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2CF52" w14:textId="77777777" w:rsidR="00F26E05" w:rsidRPr="003463BF" w:rsidRDefault="00F26E05" w:rsidP="00F26E05">
      <w:pPr>
        <w:pStyle w:val="Subtitle"/>
        <w:spacing w:after="120"/>
        <w:rPr>
          <w:rFonts w:eastAsiaTheme="majorEastAsia"/>
          <w:lang w:val="en-GB"/>
        </w:rPr>
      </w:pPr>
      <w:r w:rsidRPr="003463BF">
        <w:rPr>
          <w:rFonts w:eastAsiaTheme="majorEastAsia"/>
          <w:lang w:val="en-GB"/>
        </w:rPr>
        <w:t>Forestry Transition Program</w:t>
      </w:r>
    </w:p>
    <w:p w14:paraId="210DC1BE" w14:textId="3F80B9F1" w:rsidR="00EB323D" w:rsidRPr="003463BF" w:rsidRDefault="00F26E05" w:rsidP="00AB6104">
      <w:pPr>
        <w:pStyle w:val="Title"/>
        <w:spacing w:after="240"/>
        <w:rPr>
          <w:rFonts w:cs="Times New Roman (Headings CS)"/>
          <w:bCs/>
          <w:spacing w:val="4"/>
          <w:lang w:val="en-GB"/>
        </w:rPr>
      </w:pPr>
      <w:r w:rsidRPr="003463BF">
        <w:rPr>
          <w:rFonts w:cs="Times New Roman (Headings CS)"/>
          <w:bCs/>
          <w:spacing w:val="4"/>
          <w:lang w:val="en-GB"/>
        </w:rPr>
        <w:t>Community Forestry Support Package</w:t>
      </w:r>
    </w:p>
    <w:p w14:paraId="4B071807" w14:textId="4B0505CD" w:rsidR="00661920" w:rsidRPr="003463BF" w:rsidRDefault="00F26E05" w:rsidP="00C3751A">
      <w:pPr>
        <w:pStyle w:val="Subtitle"/>
        <w:spacing w:after="360"/>
        <w:rPr>
          <w:rFonts w:cs="Times New Roman (Body CS)"/>
          <w:spacing w:val="4"/>
          <w:lang w:val="en-GB"/>
        </w:rPr>
      </w:pPr>
      <w:r w:rsidRPr="003463BF">
        <w:rPr>
          <w:rFonts w:cs="Times New Roman (Body CS)"/>
          <w:spacing w:val="4"/>
          <w:lang w:val="en-GB"/>
        </w:rPr>
        <w:t>Application Guidelines</w:t>
      </w:r>
      <w:r w:rsidRPr="003463BF">
        <w:rPr>
          <w:rFonts w:cs="Times New Roman (Body CS)"/>
          <w:spacing w:val="4"/>
          <w:lang w:val="en-GB"/>
        </w:rPr>
        <w:br/>
      </w:r>
      <w:r w:rsidR="00846200">
        <w:rPr>
          <w:rFonts w:cs="Times New Roman (Body CS)"/>
          <w:spacing w:val="4"/>
          <w:lang w:val="en-GB"/>
        </w:rPr>
        <w:t>June</w:t>
      </w:r>
      <w:r w:rsidRPr="003463BF">
        <w:rPr>
          <w:rFonts w:cs="Times New Roman (Body CS)"/>
          <w:spacing w:val="4"/>
          <w:lang w:val="en-GB"/>
        </w:rPr>
        <w:t xml:space="preserve"> 202</w:t>
      </w:r>
      <w:r w:rsidR="00F34E4B" w:rsidRPr="003463BF">
        <w:rPr>
          <w:rFonts w:cs="Times New Roman (Body CS)"/>
          <w:spacing w:val="4"/>
          <w:lang w:val="en-GB"/>
        </w:rPr>
        <w:t>4</w:t>
      </w:r>
    </w:p>
    <w:p w14:paraId="6039658D" w14:textId="4DB74088" w:rsidR="001500AB" w:rsidRPr="003463BF" w:rsidRDefault="001500AB" w:rsidP="001500AB">
      <w:pPr>
        <w:pStyle w:val="TOCHeading"/>
        <w:spacing w:after="120"/>
      </w:pPr>
      <w:r w:rsidRPr="003463BF">
        <w:t>Table of Contents</w:t>
      </w:r>
    </w:p>
    <w:p w14:paraId="02AC5C3C" w14:textId="0BE68097" w:rsidR="00D138E6" w:rsidRDefault="001500AB">
      <w:pPr>
        <w:pStyle w:val="TOC1"/>
        <w:tabs>
          <w:tab w:val="right" w:leader="dot" w:pos="9628"/>
        </w:tabs>
        <w:rPr>
          <w:rFonts w:cstheme="minorBidi"/>
          <w:bCs w:val="0"/>
          <w:noProof/>
          <w:kern w:val="2"/>
          <w:sz w:val="22"/>
          <w:szCs w:val="22"/>
          <w14:ligatures w14:val="standardContextual"/>
        </w:rPr>
      </w:pPr>
      <w:r w:rsidRPr="003463BF">
        <w:fldChar w:fldCharType="begin"/>
      </w:r>
      <w:r w:rsidRPr="003463BF">
        <w:instrText xml:space="preserve"> TOC \o "1-1" \h \z \u </w:instrText>
      </w:r>
      <w:r w:rsidRPr="003463BF">
        <w:fldChar w:fldCharType="separate"/>
      </w:r>
      <w:hyperlink w:anchor="_Toc167200946" w:history="1">
        <w:r w:rsidR="00D138E6" w:rsidRPr="003E616A">
          <w:rPr>
            <w:rStyle w:val="Hyperlink"/>
            <w:noProof/>
            <w:lang w:val="en-GB"/>
          </w:rPr>
          <w:t>1. Background</w:t>
        </w:r>
        <w:r w:rsidR="00D138E6">
          <w:rPr>
            <w:noProof/>
            <w:webHidden/>
          </w:rPr>
          <w:tab/>
        </w:r>
        <w:r w:rsidR="00D138E6">
          <w:rPr>
            <w:noProof/>
            <w:webHidden/>
          </w:rPr>
          <w:fldChar w:fldCharType="begin"/>
        </w:r>
        <w:r w:rsidR="00D138E6">
          <w:rPr>
            <w:noProof/>
            <w:webHidden/>
          </w:rPr>
          <w:instrText xml:space="preserve"> PAGEREF _Toc167200946 \h </w:instrText>
        </w:r>
        <w:r w:rsidR="00D138E6">
          <w:rPr>
            <w:noProof/>
            <w:webHidden/>
          </w:rPr>
        </w:r>
        <w:r w:rsidR="00D138E6">
          <w:rPr>
            <w:noProof/>
            <w:webHidden/>
          </w:rPr>
          <w:fldChar w:fldCharType="separate"/>
        </w:r>
        <w:r w:rsidR="00D138E6">
          <w:rPr>
            <w:noProof/>
            <w:webHidden/>
          </w:rPr>
          <w:t>2</w:t>
        </w:r>
        <w:r w:rsidR="00D138E6">
          <w:rPr>
            <w:noProof/>
            <w:webHidden/>
          </w:rPr>
          <w:fldChar w:fldCharType="end"/>
        </w:r>
      </w:hyperlink>
    </w:p>
    <w:p w14:paraId="295B0DFD" w14:textId="1D62AD4B" w:rsidR="00D138E6" w:rsidRDefault="00000000">
      <w:pPr>
        <w:pStyle w:val="TOC1"/>
        <w:tabs>
          <w:tab w:val="right" w:leader="dot" w:pos="9628"/>
        </w:tabs>
        <w:rPr>
          <w:rFonts w:cstheme="minorBidi"/>
          <w:bCs w:val="0"/>
          <w:noProof/>
          <w:kern w:val="2"/>
          <w:sz w:val="22"/>
          <w:szCs w:val="22"/>
          <w14:ligatures w14:val="standardContextual"/>
        </w:rPr>
      </w:pPr>
      <w:hyperlink w:anchor="_Toc167200947" w:history="1">
        <w:r w:rsidR="00D138E6" w:rsidRPr="003E616A">
          <w:rPr>
            <w:rStyle w:val="Hyperlink"/>
            <w:noProof/>
            <w:lang w:val="en-GB"/>
          </w:rPr>
          <w:t>2. Overview of the Community Forestry Support Package</w:t>
        </w:r>
        <w:r w:rsidR="00D138E6">
          <w:rPr>
            <w:noProof/>
            <w:webHidden/>
          </w:rPr>
          <w:tab/>
        </w:r>
        <w:r w:rsidR="00D138E6">
          <w:rPr>
            <w:noProof/>
            <w:webHidden/>
          </w:rPr>
          <w:fldChar w:fldCharType="begin"/>
        </w:r>
        <w:r w:rsidR="00D138E6">
          <w:rPr>
            <w:noProof/>
            <w:webHidden/>
          </w:rPr>
          <w:instrText xml:space="preserve"> PAGEREF _Toc167200947 \h </w:instrText>
        </w:r>
        <w:r w:rsidR="00D138E6">
          <w:rPr>
            <w:noProof/>
            <w:webHidden/>
          </w:rPr>
        </w:r>
        <w:r w:rsidR="00D138E6">
          <w:rPr>
            <w:noProof/>
            <w:webHidden/>
          </w:rPr>
          <w:fldChar w:fldCharType="separate"/>
        </w:r>
        <w:r w:rsidR="00D138E6">
          <w:rPr>
            <w:noProof/>
            <w:webHidden/>
          </w:rPr>
          <w:t>2</w:t>
        </w:r>
        <w:r w:rsidR="00D138E6">
          <w:rPr>
            <w:noProof/>
            <w:webHidden/>
          </w:rPr>
          <w:fldChar w:fldCharType="end"/>
        </w:r>
      </w:hyperlink>
    </w:p>
    <w:p w14:paraId="2534727D" w14:textId="6D2CEA99" w:rsidR="00D138E6" w:rsidRDefault="00000000">
      <w:pPr>
        <w:pStyle w:val="TOC1"/>
        <w:tabs>
          <w:tab w:val="right" w:leader="dot" w:pos="9628"/>
        </w:tabs>
        <w:rPr>
          <w:rFonts w:cstheme="minorBidi"/>
          <w:bCs w:val="0"/>
          <w:noProof/>
          <w:kern w:val="2"/>
          <w:sz w:val="22"/>
          <w:szCs w:val="22"/>
          <w14:ligatures w14:val="standardContextual"/>
        </w:rPr>
      </w:pPr>
      <w:hyperlink w:anchor="_Toc167200948" w:history="1">
        <w:r w:rsidR="00D138E6" w:rsidRPr="003E616A">
          <w:rPr>
            <w:rStyle w:val="Hyperlink"/>
            <w:noProof/>
            <w:lang w:val="en-GB"/>
          </w:rPr>
          <w:t>3. Eligible businesses</w:t>
        </w:r>
        <w:r w:rsidR="00D138E6">
          <w:rPr>
            <w:noProof/>
            <w:webHidden/>
          </w:rPr>
          <w:tab/>
        </w:r>
        <w:r w:rsidR="00D138E6">
          <w:rPr>
            <w:noProof/>
            <w:webHidden/>
          </w:rPr>
          <w:fldChar w:fldCharType="begin"/>
        </w:r>
        <w:r w:rsidR="00D138E6">
          <w:rPr>
            <w:noProof/>
            <w:webHidden/>
          </w:rPr>
          <w:instrText xml:space="preserve"> PAGEREF _Toc167200948 \h </w:instrText>
        </w:r>
        <w:r w:rsidR="00D138E6">
          <w:rPr>
            <w:noProof/>
            <w:webHidden/>
          </w:rPr>
        </w:r>
        <w:r w:rsidR="00D138E6">
          <w:rPr>
            <w:noProof/>
            <w:webHidden/>
          </w:rPr>
          <w:fldChar w:fldCharType="separate"/>
        </w:r>
        <w:r w:rsidR="00D138E6">
          <w:rPr>
            <w:noProof/>
            <w:webHidden/>
          </w:rPr>
          <w:t>2</w:t>
        </w:r>
        <w:r w:rsidR="00D138E6">
          <w:rPr>
            <w:noProof/>
            <w:webHidden/>
          </w:rPr>
          <w:fldChar w:fldCharType="end"/>
        </w:r>
      </w:hyperlink>
    </w:p>
    <w:p w14:paraId="6818EC24" w14:textId="2F55091B" w:rsidR="00D138E6" w:rsidRDefault="00000000">
      <w:pPr>
        <w:pStyle w:val="TOC1"/>
        <w:tabs>
          <w:tab w:val="right" w:leader="dot" w:pos="9628"/>
        </w:tabs>
        <w:rPr>
          <w:rFonts w:cstheme="minorBidi"/>
          <w:bCs w:val="0"/>
          <w:noProof/>
          <w:kern w:val="2"/>
          <w:sz w:val="22"/>
          <w:szCs w:val="22"/>
          <w14:ligatures w14:val="standardContextual"/>
        </w:rPr>
      </w:pPr>
      <w:hyperlink w:anchor="_Toc167200949" w:history="1">
        <w:r w:rsidR="00D138E6" w:rsidRPr="003E616A">
          <w:rPr>
            <w:rStyle w:val="Hyperlink"/>
            <w:noProof/>
            <w:lang w:val="en-GB"/>
          </w:rPr>
          <w:t>4. What will the Department pay?</w:t>
        </w:r>
        <w:r w:rsidR="00D138E6">
          <w:rPr>
            <w:noProof/>
            <w:webHidden/>
          </w:rPr>
          <w:tab/>
        </w:r>
        <w:r w:rsidR="00D138E6">
          <w:rPr>
            <w:noProof/>
            <w:webHidden/>
          </w:rPr>
          <w:fldChar w:fldCharType="begin"/>
        </w:r>
        <w:r w:rsidR="00D138E6">
          <w:rPr>
            <w:noProof/>
            <w:webHidden/>
          </w:rPr>
          <w:instrText xml:space="preserve"> PAGEREF _Toc167200949 \h </w:instrText>
        </w:r>
        <w:r w:rsidR="00D138E6">
          <w:rPr>
            <w:noProof/>
            <w:webHidden/>
          </w:rPr>
        </w:r>
        <w:r w:rsidR="00D138E6">
          <w:rPr>
            <w:noProof/>
            <w:webHidden/>
          </w:rPr>
          <w:fldChar w:fldCharType="separate"/>
        </w:r>
        <w:r w:rsidR="00D138E6">
          <w:rPr>
            <w:noProof/>
            <w:webHidden/>
          </w:rPr>
          <w:t>3</w:t>
        </w:r>
        <w:r w:rsidR="00D138E6">
          <w:rPr>
            <w:noProof/>
            <w:webHidden/>
          </w:rPr>
          <w:fldChar w:fldCharType="end"/>
        </w:r>
      </w:hyperlink>
    </w:p>
    <w:p w14:paraId="1F280CE7" w14:textId="242A21BE" w:rsidR="00D138E6" w:rsidRDefault="00000000">
      <w:pPr>
        <w:pStyle w:val="TOC1"/>
        <w:tabs>
          <w:tab w:val="right" w:leader="dot" w:pos="9628"/>
        </w:tabs>
        <w:rPr>
          <w:rFonts w:cstheme="minorBidi"/>
          <w:bCs w:val="0"/>
          <w:noProof/>
          <w:kern w:val="2"/>
          <w:sz w:val="22"/>
          <w:szCs w:val="22"/>
          <w14:ligatures w14:val="standardContextual"/>
        </w:rPr>
      </w:pPr>
      <w:hyperlink w:anchor="_Toc167200950" w:history="1">
        <w:r w:rsidR="00D138E6" w:rsidRPr="003E616A">
          <w:rPr>
            <w:rStyle w:val="Hyperlink"/>
            <w:noProof/>
            <w:lang w:val="en-GB"/>
          </w:rPr>
          <w:t>5. Assessment</w:t>
        </w:r>
        <w:r w:rsidR="00D138E6">
          <w:rPr>
            <w:noProof/>
            <w:webHidden/>
          </w:rPr>
          <w:tab/>
        </w:r>
        <w:r w:rsidR="00D138E6">
          <w:rPr>
            <w:noProof/>
            <w:webHidden/>
          </w:rPr>
          <w:fldChar w:fldCharType="begin"/>
        </w:r>
        <w:r w:rsidR="00D138E6">
          <w:rPr>
            <w:noProof/>
            <w:webHidden/>
          </w:rPr>
          <w:instrText xml:space="preserve"> PAGEREF _Toc167200950 \h </w:instrText>
        </w:r>
        <w:r w:rsidR="00D138E6">
          <w:rPr>
            <w:noProof/>
            <w:webHidden/>
          </w:rPr>
        </w:r>
        <w:r w:rsidR="00D138E6">
          <w:rPr>
            <w:noProof/>
            <w:webHidden/>
          </w:rPr>
          <w:fldChar w:fldCharType="separate"/>
        </w:r>
        <w:r w:rsidR="00D138E6">
          <w:rPr>
            <w:noProof/>
            <w:webHidden/>
          </w:rPr>
          <w:t>6</w:t>
        </w:r>
        <w:r w:rsidR="00D138E6">
          <w:rPr>
            <w:noProof/>
            <w:webHidden/>
          </w:rPr>
          <w:fldChar w:fldCharType="end"/>
        </w:r>
      </w:hyperlink>
    </w:p>
    <w:p w14:paraId="5E83BC01" w14:textId="7BF4B181" w:rsidR="00D138E6" w:rsidRDefault="00000000">
      <w:pPr>
        <w:pStyle w:val="TOC1"/>
        <w:tabs>
          <w:tab w:val="right" w:leader="dot" w:pos="9628"/>
        </w:tabs>
        <w:rPr>
          <w:rFonts w:cstheme="minorBidi"/>
          <w:bCs w:val="0"/>
          <w:noProof/>
          <w:kern w:val="2"/>
          <w:sz w:val="22"/>
          <w:szCs w:val="22"/>
          <w14:ligatures w14:val="standardContextual"/>
        </w:rPr>
      </w:pPr>
      <w:hyperlink w:anchor="_Toc167200951" w:history="1">
        <w:r w:rsidR="00D138E6" w:rsidRPr="003E616A">
          <w:rPr>
            <w:rStyle w:val="Hyperlink"/>
            <w:noProof/>
            <w:lang w:val="en-GB"/>
          </w:rPr>
          <w:t>6. Key dates</w:t>
        </w:r>
        <w:r w:rsidR="00D138E6">
          <w:rPr>
            <w:noProof/>
            <w:webHidden/>
          </w:rPr>
          <w:tab/>
        </w:r>
        <w:r w:rsidR="00D138E6">
          <w:rPr>
            <w:noProof/>
            <w:webHidden/>
          </w:rPr>
          <w:fldChar w:fldCharType="begin"/>
        </w:r>
        <w:r w:rsidR="00D138E6">
          <w:rPr>
            <w:noProof/>
            <w:webHidden/>
          </w:rPr>
          <w:instrText xml:space="preserve"> PAGEREF _Toc167200951 \h </w:instrText>
        </w:r>
        <w:r w:rsidR="00D138E6">
          <w:rPr>
            <w:noProof/>
            <w:webHidden/>
          </w:rPr>
        </w:r>
        <w:r w:rsidR="00D138E6">
          <w:rPr>
            <w:noProof/>
            <w:webHidden/>
          </w:rPr>
          <w:fldChar w:fldCharType="separate"/>
        </w:r>
        <w:r w:rsidR="00D138E6">
          <w:rPr>
            <w:noProof/>
            <w:webHidden/>
          </w:rPr>
          <w:t>7</w:t>
        </w:r>
        <w:r w:rsidR="00D138E6">
          <w:rPr>
            <w:noProof/>
            <w:webHidden/>
          </w:rPr>
          <w:fldChar w:fldCharType="end"/>
        </w:r>
      </w:hyperlink>
    </w:p>
    <w:p w14:paraId="7ED05424" w14:textId="726DA74D" w:rsidR="00D138E6" w:rsidRDefault="00000000">
      <w:pPr>
        <w:pStyle w:val="TOC1"/>
        <w:tabs>
          <w:tab w:val="right" w:leader="dot" w:pos="9628"/>
        </w:tabs>
        <w:rPr>
          <w:rFonts w:cstheme="minorBidi"/>
          <w:bCs w:val="0"/>
          <w:noProof/>
          <w:kern w:val="2"/>
          <w:sz w:val="22"/>
          <w:szCs w:val="22"/>
          <w14:ligatures w14:val="standardContextual"/>
        </w:rPr>
      </w:pPr>
      <w:hyperlink w:anchor="_Toc167200952" w:history="1">
        <w:r w:rsidR="00D138E6" w:rsidRPr="003E616A">
          <w:rPr>
            <w:rStyle w:val="Hyperlink"/>
            <w:noProof/>
            <w:lang w:val="en-GB"/>
          </w:rPr>
          <w:t>7. Application process</w:t>
        </w:r>
        <w:r w:rsidR="00D138E6">
          <w:rPr>
            <w:noProof/>
            <w:webHidden/>
          </w:rPr>
          <w:tab/>
        </w:r>
        <w:r w:rsidR="00D138E6">
          <w:rPr>
            <w:noProof/>
            <w:webHidden/>
          </w:rPr>
          <w:fldChar w:fldCharType="begin"/>
        </w:r>
        <w:r w:rsidR="00D138E6">
          <w:rPr>
            <w:noProof/>
            <w:webHidden/>
          </w:rPr>
          <w:instrText xml:space="preserve"> PAGEREF _Toc167200952 \h </w:instrText>
        </w:r>
        <w:r w:rsidR="00D138E6">
          <w:rPr>
            <w:noProof/>
            <w:webHidden/>
          </w:rPr>
        </w:r>
        <w:r w:rsidR="00D138E6">
          <w:rPr>
            <w:noProof/>
            <w:webHidden/>
          </w:rPr>
          <w:fldChar w:fldCharType="separate"/>
        </w:r>
        <w:r w:rsidR="00D138E6">
          <w:rPr>
            <w:noProof/>
            <w:webHidden/>
          </w:rPr>
          <w:t>7</w:t>
        </w:r>
        <w:r w:rsidR="00D138E6">
          <w:rPr>
            <w:noProof/>
            <w:webHidden/>
          </w:rPr>
          <w:fldChar w:fldCharType="end"/>
        </w:r>
      </w:hyperlink>
    </w:p>
    <w:p w14:paraId="1938EADB" w14:textId="7D3EB6E1" w:rsidR="00D138E6" w:rsidRDefault="00000000">
      <w:pPr>
        <w:pStyle w:val="TOC1"/>
        <w:tabs>
          <w:tab w:val="right" w:leader="dot" w:pos="9628"/>
        </w:tabs>
        <w:rPr>
          <w:rFonts w:cstheme="minorBidi"/>
          <w:bCs w:val="0"/>
          <w:noProof/>
          <w:kern w:val="2"/>
          <w:sz w:val="22"/>
          <w:szCs w:val="22"/>
          <w14:ligatures w14:val="standardContextual"/>
        </w:rPr>
      </w:pPr>
      <w:hyperlink w:anchor="_Toc167200953" w:history="1">
        <w:r w:rsidR="00D138E6" w:rsidRPr="003E616A">
          <w:rPr>
            <w:rStyle w:val="Hyperlink"/>
            <w:noProof/>
            <w:lang w:val="en-GB"/>
          </w:rPr>
          <w:t>8. Offer and grant agreement</w:t>
        </w:r>
        <w:r w:rsidR="00D138E6">
          <w:rPr>
            <w:noProof/>
            <w:webHidden/>
          </w:rPr>
          <w:tab/>
        </w:r>
        <w:r w:rsidR="00D138E6">
          <w:rPr>
            <w:noProof/>
            <w:webHidden/>
          </w:rPr>
          <w:fldChar w:fldCharType="begin"/>
        </w:r>
        <w:r w:rsidR="00D138E6">
          <w:rPr>
            <w:noProof/>
            <w:webHidden/>
          </w:rPr>
          <w:instrText xml:space="preserve"> PAGEREF _Toc167200953 \h </w:instrText>
        </w:r>
        <w:r w:rsidR="00D138E6">
          <w:rPr>
            <w:noProof/>
            <w:webHidden/>
          </w:rPr>
        </w:r>
        <w:r w:rsidR="00D138E6">
          <w:rPr>
            <w:noProof/>
            <w:webHidden/>
          </w:rPr>
          <w:fldChar w:fldCharType="separate"/>
        </w:r>
        <w:r w:rsidR="00D138E6">
          <w:rPr>
            <w:noProof/>
            <w:webHidden/>
          </w:rPr>
          <w:t>11</w:t>
        </w:r>
        <w:r w:rsidR="00D138E6">
          <w:rPr>
            <w:noProof/>
            <w:webHidden/>
          </w:rPr>
          <w:fldChar w:fldCharType="end"/>
        </w:r>
      </w:hyperlink>
    </w:p>
    <w:p w14:paraId="37969E1D" w14:textId="2125CCF9" w:rsidR="00D138E6" w:rsidRDefault="00000000">
      <w:pPr>
        <w:pStyle w:val="TOC1"/>
        <w:tabs>
          <w:tab w:val="right" w:leader="dot" w:pos="9628"/>
        </w:tabs>
        <w:rPr>
          <w:rFonts w:cstheme="minorBidi"/>
          <w:bCs w:val="0"/>
          <w:noProof/>
          <w:kern w:val="2"/>
          <w:sz w:val="22"/>
          <w:szCs w:val="22"/>
          <w14:ligatures w14:val="standardContextual"/>
        </w:rPr>
      </w:pPr>
      <w:hyperlink w:anchor="_Toc167200954" w:history="1">
        <w:r w:rsidR="00D138E6" w:rsidRPr="003E616A">
          <w:rPr>
            <w:rStyle w:val="Hyperlink"/>
            <w:noProof/>
            <w:lang w:val="en-GB"/>
          </w:rPr>
          <w:t>9. GST and other taxes</w:t>
        </w:r>
        <w:r w:rsidR="00D138E6">
          <w:rPr>
            <w:noProof/>
            <w:webHidden/>
          </w:rPr>
          <w:tab/>
        </w:r>
        <w:r w:rsidR="00D138E6">
          <w:rPr>
            <w:noProof/>
            <w:webHidden/>
          </w:rPr>
          <w:fldChar w:fldCharType="begin"/>
        </w:r>
        <w:r w:rsidR="00D138E6">
          <w:rPr>
            <w:noProof/>
            <w:webHidden/>
          </w:rPr>
          <w:instrText xml:space="preserve"> PAGEREF _Toc167200954 \h </w:instrText>
        </w:r>
        <w:r w:rsidR="00D138E6">
          <w:rPr>
            <w:noProof/>
            <w:webHidden/>
          </w:rPr>
        </w:r>
        <w:r w:rsidR="00D138E6">
          <w:rPr>
            <w:noProof/>
            <w:webHidden/>
          </w:rPr>
          <w:fldChar w:fldCharType="separate"/>
        </w:r>
        <w:r w:rsidR="00D138E6">
          <w:rPr>
            <w:noProof/>
            <w:webHidden/>
          </w:rPr>
          <w:t>13</w:t>
        </w:r>
        <w:r w:rsidR="00D138E6">
          <w:rPr>
            <w:noProof/>
            <w:webHidden/>
          </w:rPr>
          <w:fldChar w:fldCharType="end"/>
        </w:r>
      </w:hyperlink>
    </w:p>
    <w:p w14:paraId="283C8E1C" w14:textId="6AB0927F" w:rsidR="00D138E6" w:rsidRDefault="00000000">
      <w:pPr>
        <w:pStyle w:val="TOC1"/>
        <w:tabs>
          <w:tab w:val="right" w:leader="dot" w:pos="9628"/>
        </w:tabs>
        <w:rPr>
          <w:rFonts w:cstheme="minorBidi"/>
          <w:bCs w:val="0"/>
          <w:noProof/>
          <w:kern w:val="2"/>
          <w:sz w:val="22"/>
          <w:szCs w:val="22"/>
          <w14:ligatures w14:val="standardContextual"/>
        </w:rPr>
      </w:pPr>
      <w:hyperlink w:anchor="_Toc167200955" w:history="1">
        <w:r w:rsidR="00D138E6" w:rsidRPr="003E616A">
          <w:rPr>
            <w:rStyle w:val="Hyperlink"/>
            <w:noProof/>
            <w:lang w:val="en-GB"/>
          </w:rPr>
          <w:t>10. Absolute discretion</w:t>
        </w:r>
        <w:r w:rsidR="00D138E6">
          <w:rPr>
            <w:noProof/>
            <w:webHidden/>
          </w:rPr>
          <w:tab/>
        </w:r>
        <w:r w:rsidR="00D138E6">
          <w:rPr>
            <w:noProof/>
            <w:webHidden/>
          </w:rPr>
          <w:fldChar w:fldCharType="begin"/>
        </w:r>
        <w:r w:rsidR="00D138E6">
          <w:rPr>
            <w:noProof/>
            <w:webHidden/>
          </w:rPr>
          <w:instrText xml:space="preserve"> PAGEREF _Toc167200955 \h </w:instrText>
        </w:r>
        <w:r w:rsidR="00D138E6">
          <w:rPr>
            <w:noProof/>
            <w:webHidden/>
          </w:rPr>
        </w:r>
        <w:r w:rsidR="00D138E6">
          <w:rPr>
            <w:noProof/>
            <w:webHidden/>
          </w:rPr>
          <w:fldChar w:fldCharType="separate"/>
        </w:r>
        <w:r w:rsidR="00D138E6">
          <w:rPr>
            <w:noProof/>
            <w:webHidden/>
          </w:rPr>
          <w:t>13</w:t>
        </w:r>
        <w:r w:rsidR="00D138E6">
          <w:rPr>
            <w:noProof/>
            <w:webHidden/>
          </w:rPr>
          <w:fldChar w:fldCharType="end"/>
        </w:r>
      </w:hyperlink>
    </w:p>
    <w:p w14:paraId="36249E44" w14:textId="2B60C8FA" w:rsidR="00D138E6" w:rsidRDefault="00000000">
      <w:pPr>
        <w:pStyle w:val="TOC1"/>
        <w:tabs>
          <w:tab w:val="right" w:leader="dot" w:pos="9628"/>
        </w:tabs>
        <w:rPr>
          <w:rFonts w:cstheme="minorBidi"/>
          <w:bCs w:val="0"/>
          <w:noProof/>
          <w:kern w:val="2"/>
          <w:sz w:val="22"/>
          <w:szCs w:val="22"/>
          <w14:ligatures w14:val="standardContextual"/>
        </w:rPr>
      </w:pPr>
      <w:hyperlink w:anchor="_Toc167200956" w:history="1">
        <w:r w:rsidR="00D138E6" w:rsidRPr="003E616A">
          <w:rPr>
            <w:rStyle w:val="Hyperlink"/>
            <w:noProof/>
            <w:lang w:val="en-GB"/>
          </w:rPr>
          <w:t>11. Payments</w:t>
        </w:r>
        <w:r w:rsidR="00D138E6">
          <w:rPr>
            <w:noProof/>
            <w:webHidden/>
          </w:rPr>
          <w:tab/>
        </w:r>
        <w:r w:rsidR="00D138E6">
          <w:rPr>
            <w:noProof/>
            <w:webHidden/>
          </w:rPr>
          <w:fldChar w:fldCharType="begin"/>
        </w:r>
        <w:r w:rsidR="00D138E6">
          <w:rPr>
            <w:noProof/>
            <w:webHidden/>
          </w:rPr>
          <w:instrText xml:space="preserve"> PAGEREF _Toc167200956 \h </w:instrText>
        </w:r>
        <w:r w:rsidR="00D138E6">
          <w:rPr>
            <w:noProof/>
            <w:webHidden/>
          </w:rPr>
        </w:r>
        <w:r w:rsidR="00D138E6">
          <w:rPr>
            <w:noProof/>
            <w:webHidden/>
          </w:rPr>
          <w:fldChar w:fldCharType="separate"/>
        </w:r>
        <w:r w:rsidR="00D138E6">
          <w:rPr>
            <w:noProof/>
            <w:webHidden/>
          </w:rPr>
          <w:t>13</w:t>
        </w:r>
        <w:r w:rsidR="00D138E6">
          <w:rPr>
            <w:noProof/>
            <w:webHidden/>
          </w:rPr>
          <w:fldChar w:fldCharType="end"/>
        </w:r>
      </w:hyperlink>
    </w:p>
    <w:p w14:paraId="35D8653B" w14:textId="67673F7E" w:rsidR="00D138E6" w:rsidRDefault="00000000">
      <w:pPr>
        <w:pStyle w:val="TOC1"/>
        <w:tabs>
          <w:tab w:val="right" w:leader="dot" w:pos="9628"/>
        </w:tabs>
        <w:rPr>
          <w:rFonts w:cstheme="minorBidi"/>
          <w:bCs w:val="0"/>
          <w:noProof/>
          <w:kern w:val="2"/>
          <w:sz w:val="22"/>
          <w:szCs w:val="22"/>
          <w14:ligatures w14:val="standardContextual"/>
        </w:rPr>
      </w:pPr>
      <w:hyperlink w:anchor="_Toc167200957" w:history="1">
        <w:r w:rsidR="00D138E6" w:rsidRPr="003E616A">
          <w:rPr>
            <w:rStyle w:val="Hyperlink"/>
            <w:noProof/>
            <w:lang w:val="en-GB"/>
          </w:rPr>
          <w:t>12. Privacy</w:t>
        </w:r>
        <w:r w:rsidR="00D138E6">
          <w:rPr>
            <w:noProof/>
            <w:webHidden/>
          </w:rPr>
          <w:tab/>
        </w:r>
        <w:r w:rsidR="00D138E6">
          <w:rPr>
            <w:noProof/>
            <w:webHidden/>
          </w:rPr>
          <w:fldChar w:fldCharType="begin"/>
        </w:r>
        <w:r w:rsidR="00D138E6">
          <w:rPr>
            <w:noProof/>
            <w:webHidden/>
          </w:rPr>
          <w:instrText xml:space="preserve"> PAGEREF _Toc167200957 \h </w:instrText>
        </w:r>
        <w:r w:rsidR="00D138E6">
          <w:rPr>
            <w:noProof/>
            <w:webHidden/>
          </w:rPr>
        </w:r>
        <w:r w:rsidR="00D138E6">
          <w:rPr>
            <w:noProof/>
            <w:webHidden/>
          </w:rPr>
          <w:fldChar w:fldCharType="separate"/>
        </w:r>
        <w:r w:rsidR="00D138E6">
          <w:rPr>
            <w:noProof/>
            <w:webHidden/>
          </w:rPr>
          <w:t>13</w:t>
        </w:r>
        <w:r w:rsidR="00D138E6">
          <w:rPr>
            <w:noProof/>
            <w:webHidden/>
          </w:rPr>
          <w:fldChar w:fldCharType="end"/>
        </w:r>
      </w:hyperlink>
    </w:p>
    <w:p w14:paraId="49B049B2" w14:textId="05EAAEDF" w:rsidR="00D138E6" w:rsidRDefault="00000000">
      <w:pPr>
        <w:pStyle w:val="TOC1"/>
        <w:tabs>
          <w:tab w:val="right" w:leader="dot" w:pos="9628"/>
        </w:tabs>
        <w:rPr>
          <w:rFonts w:cstheme="minorBidi"/>
          <w:bCs w:val="0"/>
          <w:noProof/>
          <w:kern w:val="2"/>
          <w:sz w:val="22"/>
          <w:szCs w:val="22"/>
          <w14:ligatures w14:val="standardContextual"/>
        </w:rPr>
      </w:pPr>
      <w:hyperlink w:anchor="_Toc167200958" w:history="1">
        <w:r w:rsidR="00D138E6" w:rsidRPr="003E616A">
          <w:rPr>
            <w:rStyle w:val="Hyperlink"/>
            <w:noProof/>
            <w:lang w:val="en-GB"/>
          </w:rPr>
          <w:t>13. Other Forestry Transition assistance available</w:t>
        </w:r>
        <w:r w:rsidR="00D138E6">
          <w:rPr>
            <w:noProof/>
            <w:webHidden/>
          </w:rPr>
          <w:tab/>
        </w:r>
        <w:r w:rsidR="00D138E6">
          <w:rPr>
            <w:noProof/>
            <w:webHidden/>
          </w:rPr>
          <w:fldChar w:fldCharType="begin"/>
        </w:r>
        <w:r w:rsidR="00D138E6">
          <w:rPr>
            <w:noProof/>
            <w:webHidden/>
          </w:rPr>
          <w:instrText xml:space="preserve"> PAGEREF _Toc167200958 \h </w:instrText>
        </w:r>
        <w:r w:rsidR="00D138E6">
          <w:rPr>
            <w:noProof/>
            <w:webHidden/>
          </w:rPr>
        </w:r>
        <w:r w:rsidR="00D138E6">
          <w:rPr>
            <w:noProof/>
            <w:webHidden/>
          </w:rPr>
          <w:fldChar w:fldCharType="separate"/>
        </w:r>
        <w:r w:rsidR="00D138E6">
          <w:rPr>
            <w:noProof/>
            <w:webHidden/>
          </w:rPr>
          <w:t>14</w:t>
        </w:r>
        <w:r w:rsidR="00D138E6">
          <w:rPr>
            <w:noProof/>
            <w:webHidden/>
          </w:rPr>
          <w:fldChar w:fldCharType="end"/>
        </w:r>
      </w:hyperlink>
    </w:p>
    <w:p w14:paraId="0B081386" w14:textId="0C106503" w:rsidR="00D138E6" w:rsidRDefault="00000000">
      <w:pPr>
        <w:pStyle w:val="TOC1"/>
        <w:tabs>
          <w:tab w:val="right" w:leader="dot" w:pos="9628"/>
        </w:tabs>
        <w:rPr>
          <w:rFonts w:cstheme="minorBidi"/>
          <w:bCs w:val="0"/>
          <w:noProof/>
          <w:kern w:val="2"/>
          <w:sz w:val="22"/>
          <w:szCs w:val="22"/>
          <w14:ligatures w14:val="standardContextual"/>
        </w:rPr>
      </w:pPr>
      <w:hyperlink w:anchor="_Toc167200959" w:history="1">
        <w:r w:rsidR="00D138E6" w:rsidRPr="003E616A">
          <w:rPr>
            <w:rStyle w:val="Hyperlink"/>
            <w:noProof/>
            <w:lang w:val="en-GB"/>
          </w:rPr>
          <w:t>14. Privacy</w:t>
        </w:r>
        <w:r w:rsidR="00D138E6">
          <w:rPr>
            <w:noProof/>
            <w:webHidden/>
          </w:rPr>
          <w:tab/>
        </w:r>
        <w:r w:rsidR="00D138E6">
          <w:rPr>
            <w:noProof/>
            <w:webHidden/>
          </w:rPr>
          <w:fldChar w:fldCharType="begin"/>
        </w:r>
        <w:r w:rsidR="00D138E6">
          <w:rPr>
            <w:noProof/>
            <w:webHidden/>
          </w:rPr>
          <w:instrText xml:space="preserve"> PAGEREF _Toc167200959 \h </w:instrText>
        </w:r>
        <w:r w:rsidR="00D138E6">
          <w:rPr>
            <w:noProof/>
            <w:webHidden/>
          </w:rPr>
        </w:r>
        <w:r w:rsidR="00D138E6">
          <w:rPr>
            <w:noProof/>
            <w:webHidden/>
          </w:rPr>
          <w:fldChar w:fldCharType="separate"/>
        </w:r>
        <w:r w:rsidR="00D138E6">
          <w:rPr>
            <w:noProof/>
            <w:webHidden/>
          </w:rPr>
          <w:t>15</w:t>
        </w:r>
        <w:r w:rsidR="00D138E6">
          <w:rPr>
            <w:noProof/>
            <w:webHidden/>
          </w:rPr>
          <w:fldChar w:fldCharType="end"/>
        </w:r>
      </w:hyperlink>
    </w:p>
    <w:p w14:paraId="4FE1B7B2" w14:textId="2A3C12BF" w:rsidR="00D138E6" w:rsidRDefault="00000000">
      <w:pPr>
        <w:pStyle w:val="TOC1"/>
        <w:tabs>
          <w:tab w:val="right" w:leader="dot" w:pos="9628"/>
        </w:tabs>
        <w:rPr>
          <w:rFonts w:cstheme="minorBidi"/>
          <w:bCs w:val="0"/>
          <w:noProof/>
          <w:kern w:val="2"/>
          <w:sz w:val="22"/>
          <w:szCs w:val="22"/>
          <w14:ligatures w14:val="standardContextual"/>
        </w:rPr>
      </w:pPr>
      <w:hyperlink w:anchor="_Toc167200960" w:history="1">
        <w:r w:rsidR="00D138E6" w:rsidRPr="003E616A">
          <w:rPr>
            <w:rStyle w:val="Hyperlink"/>
            <w:noProof/>
            <w:lang w:val="en-GB"/>
          </w:rPr>
          <w:t>15. No representation</w:t>
        </w:r>
        <w:r w:rsidR="00D138E6">
          <w:rPr>
            <w:noProof/>
            <w:webHidden/>
          </w:rPr>
          <w:tab/>
        </w:r>
        <w:r w:rsidR="00D138E6">
          <w:rPr>
            <w:noProof/>
            <w:webHidden/>
          </w:rPr>
          <w:fldChar w:fldCharType="begin"/>
        </w:r>
        <w:r w:rsidR="00D138E6">
          <w:rPr>
            <w:noProof/>
            <w:webHidden/>
          </w:rPr>
          <w:instrText xml:space="preserve"> PAGEREF _Toc167200960 \h </w:instrText>
        </w:r>
        <w:r w:rsidR="00D138E6">
          <w:rPr>
            <w:noProof/>
            <w:webHidden/>
          </w:rPr>
        </w:r>
        <w:r w:rsidR="00D138E6">
          <w:rPr>
            <w:noProof/>
            <w:webHidden/>
          </w:rPr>
          <w:fldChar w:fldCharType="separate"/>
        </w:r>
        <w:r w:rsidR="00D138E6">
          <w:rPr>
            <w:noProof/>
            <w:webHidden/>
          </w:rPr>
          <w:t>16</w:t>
        </w:r>
        <w:r w:rsidR="00D138E6">
          <w:rPr>
            <w:noProof/>
            <w:webHidden/>
          </w:rPr>
          <w:fldChar w:fldCharType="end"/>
        </w:r>
      </w:hyperlink>
    </w:p>
    <w:p w14:paraId="21511476" w14:textId="3AE8D163" w:rsidR="00D138E6" w:rsidRDefault="00000000">
      <w:pPr>
        <w:pStyle w:val="TOC1"/>
        <w:tabs>
          <w:tab w:val="right" w:leader="dot" w:pos="9628"/>
        </w:tabs>
        <w:rPr>
          <w:rFonts w:cstheme="minorBidi"/>
          <w:bCs w:val="0"/>
          <w:noProof/>
          <w:kern w:val="2"/>
          <w:sz w:val="22"/>
          <w:szCs w:val="22"/>
          <w14:ligatures w14:val="standardContextual"/>
        </w:rPr>
      </w:pPr>
      <w:hyperlink w:anchor="_Toc167200961" w:history="1">
        <w:r w:rsidR="00D138E6" w:rsidRPr="003E616A">
          <w:rPr>
            <w:rStyle w:val="Hyperlink"/>
            <w:noProof/>
            <w:lang w:val="en-GB"/>
          </w:rPr>
          <w:t>16. Further support</w:t>
        </w:r>
        <w:r w:rsidR="00D138E6">
          <w:rPr>
            <w:noProof/>
            <w:webHidden/>
          </w:rPr>
          <w:tab/>
        </w:r>
        <w:r w:rsidR="00D138E6">
          <w:rPr>
            <w:noProof/>
            <w:webHidden/>
          </w:rPr>
          <w:fldChar w:fldCharType="begin"/>
        </w:r>
        <w:r w:rsidR="00D138E6">
          <w:rPr>
            <w:noProof/>
            <w:webHidden/>
          </w:rPr>
          <w:instrText xml:space="preserve"> PAGEREF _Toc167200961 \h </w:instrText>
        </w:r>
        <w:r w:rsidR="00D138E6">
          <w:rPr>
            <w:noProof/>
            <w:webHidden/>
          </w:rPr>
        </w:r>
        <w:r w:rsidR="00D138E6">
          <w:rPr>
            <w:noProof/>
            <w:webHidden/>
          </w:rPr>
          <w:fldChar w:fldCharType="separate"/>
        </w:r>
        <w:r w:rsidR="00D138E6">
          <w:rPr>
            <w:noProof/>
            <w:webHidden/>
          </w:rPr>
          <w:t>16</w:t>
        </w:r>
        <w:r w:rsidR="00D138E6">
          <w:rPr>
            <w:noProof/>
            <w:webHidden/>
          </w:rPr>
          <w:fldChar w:fldCharType="end"/>
        </w:r>
      </w:hyperlink>
    </w:p>
    <w:p w14:paraId="0E0D79BD" w14:textId="3E8AC2D1" w:rsidR="00D44761" w:rsidRPr="003463BF" w:rsidRDefault="001500AB" w:rsidP="001500AB">
      <w:r w:rsidRPr="003463BF">
        <w:fldChar w:fldCharType="end"/>
      </w:r>
      <w:r w:rsidR="00D44761" w:rsidRPr="003463BF">
        <w:rPr>
          <w:lang w:val="en-GB"/>
        </w:rPr>
        <w:br w:type="page"/>
      </w:r>
    </w:p>
    <w:p w14:paraId="4C09F58E" w14:textId="058302C2" w:rsidR="00F26E05" w:rsidRPr="003463BF" w:rsidRDefault="00F26E05" w:rsidP="00F26E05">
      <w:pPr>
        <w:pStyle w:val="Heading1"/>
        <w:rPr>
          <w:lang w:val="en-GB"/>
        </w:rPr>
      </w:pPr>
      <w:bookmarkStart w:id="0" w:name="_Toc150953819"/>
      <w:bookmarkStart w:id="1" w:name="_Toc167200946"/>
      <w:r w:rsidRPr="003463BF">
        <w:rPr>
          <w:lang w:val="en-GB"/>
        </w:rPr>
        <w:lastRenderedPageBreak/>
        <w:t>1. Background</w:t>
      </w:r>
      <w:bookmarkEnd w:id="0"/>
      <w:bookmarkEnd w:id="1"/>
    </w:p>
    <w:p w14:paraId="351E28B8" w14:textId="77777777" w:rsidR="00F26E05" w:rsidRPr="003463BF" w:rsidRDefault="00F26E05" w:rsidP="00F26E05">
      <w:pPr>
        <w:pStyle w:val="BodyText"/>
        <w:rPr>
          <w:lang w:val="en-GB"/>
        </w:rPr>
      </w:pPr>
      <w:r w:rsidRPr="003463BF">
        <w:rPr>
          <w:lang w:val="en-GB"/>
        </w:rPr>
        <w:t>In May 2023 the Victorian Government announced the cessation of commercial native timber harvesting in State forests by 1 January 2024.</w:t>
      </w:r>
    </w:p>
    <w:p w14:paraId="610CF668" w14:textId="77777777" w:rsidR="00F26E05" w:rsidRPr="003463BF" w:rsidRDefault="00F26E05" w:rsidP="00F26E05">
      <w:pPr>
        <w:pStyle w:val="BodyText"/>
        <w:rPr>
          <w:lang w:val="en-GB"/>
        </w:rPr>
      </w:pPr>
      <w:r w:rsidRPr="003463BF">
        <w:rPr>
          <w:lang w:val="en-GB"/>
        </w:rPr>
        <w:t>The Victorian Government’s Forestry Transition program aims to maintain as many regional jobs as possible as the timber industry transitions away from native timber harvesting.</w:t>
      </w:r>
    </w:p>
    <w:p w14:paraId="4955CC45" w14:textId="77777777" w:rsidR="00F26E05" w:rsidRPr="003463BF" w:rsidRDefault="00F26E05" w:rsidP="00F26E05">
      <w:pPr>
        <w:pStyle w:val="BodyText"/>
        <w:rPr>
          <w:lang w:val="en-GB"/>
        </w:rPr>
      </w:pPr>
      <w:r w:rsidRPr="003463BF">
        <w:rPr>
          <w:lang w:val="en-GB"/>
        </w:rPr>
        <w:t>The Community Forestry Support Package is part of a suite of programs on offer by the Victorian Government to support community forestry operators and non-contractor firewood customers who are significantly impacted by the native timber industry transition.</w:t>
      </w:r>
    </w:p>
    <w:p w14:paraId="7B8A60C2" w14:textId="59256ED9" w:rsidR="00F26E05" w:rsidRPr="003463BF" w:rsidRDefault="00F26E05" w:rsidP="00F26E05">
      <w:pPr>
        <w:pStyle w:val="Heading1"/>
        <w:rPr>
          <w:lang w:val="en-GB"/>
        </w:rPr>
      </w:pPr>
      <w:bookmarkStart w:id="2" w:name="_Toc150953820"/>
      <w:bookmarkStart w:id="3" w:name="_Toc167200947"/>
      <w:r w:rsidRPr="003463BF">
        <w:rPr>
          <w:lang w:val="en-GB"/>
        </w:rPr>
        <w:t>2. Overview of the Community Forestry Support Package</w:t>
      </w:r>
      <w:bookmarkEnd w:id="2"/>
      <w:bookmarkEnd w:id="3"/>
    </w:p>
    <w:p w14:paraId="06AEEFB0" w14:textId="76EA9AB8" w:rsidR="00F26E05" w:rsidRPr="003463BF" w:rsidRDefault="00F26E05" w:rsidP="00F26E05">
      <w:pPr>
        <w:pStyle w:val="BodyText"/>
        <w:rPr>
          <w:lang w:val="en-GB"/>
        </w:rPr>
      </w:pPr>
      <w:r w:rsidRPr="003463BF">
        <w:rPr>
          <w:lang w:val="en-GB"/>
        </w:rPr>
        <w:t xml:space="preserve">The Community Forestry Support Package (the Package) is a payment the Victorian Government will make compensating for timber undersupply between 1 </w:t>
      </w:r>
      <w:r w:rsidR="008C294C" w:rsidRPr="003463BF">
        <w:rPr>
          <w:lang w:val="en-GB"/>
        </w:rPr>
        <w:t xml:space="preserve">July </w:t>
      </w:r>
      <w:r w:rsidRPr="003463BF">
        <w:rPr>
          <w:lang w:val="en-GB"/>
        </w:rPr>
        <w:t>2022 and 30 June 2024 to:</w:t>
      </w:r>
    </w:p>
    <w:p w14:paraId="002DD423" w14:textId="77777777" w:rsidR="00F26E05" w:rsidRPr="003463BF" w:rsidRDefault="00F26E05" w:rsidP="00F26E05">
      <w:pPr>
        <w:pStyle w:val="ListBullet"/>
        <w:rPr>
          <w:lang w:val="en-GB"/>
        </w:rPr>
      </w:pPr>
      <w:r w:rsidRPr="003463BF">
        <w:rPr>
          <w:lang w:val="en-GB"/>
        </w:rPr>
        <w:t>community forestry operators who hold a Forest Produce Licence (FPL) or a Forest Produce Agreement (FPA)</w:t>
      </w:r>
    </w:p>
    <w:p w14:paraId="792FE1BB" w14:textId="72BF8F43" w:rsidR="00F26E05" w:rsidRPr="003463BF" w:rsidRDefault="00F26E05" w:rsidP="00F26E05">
      <w:pPr>
        <w:pStyle w:val="ListBullet"/>
        <w:spacing w:after="240"/>
        <w:rPr>
          <w:lang w:val="en-GB"/>
        </w:rPr>
      </w:pPr>
      <w:r w:rsidRPr="003463BF">
        <w:rPr>
          <w:lang w:val="en-GB"/>
        </w:rPr>
        <w:t>non-contractor</w:t>
      </w:r>
      <w:r w:rsidR="007D6A47" w:rsidRPr="003463BF">
        <w:rPr>
          <w:lang w:val="en-GB"/>
        </w:rPr>
        <w:t xml:space="preserve"> </w:t>
      </w:r>
      <w:r w:rsidRPr="003463BF">
        <w:rPr>
          <w:lang w:val="en-GB"/>
        </w:rPr>
        <w:t>firewood customers who hold a Timber Sale Agreement (TSA).</w:t>
      </w:r>
    </w:p>
    <w:p w14:paraId="3CF3CAC8" w14:textId="77777777" w:rsidR="00F26E05" w:rsidRPr="003463BF" w:rsidRDefault="00F26E05" w:rsidP="00F26E05">
      <w:pPr>
        <w:pStyle w:val="BodyText"/>
        <w:rPr>
          <w:lang w:val="en-GB"/>
        </w:rPr>
      </w:pPr>
      <w:r w:rsidRPr="003463BF">
        <w:rPr>
          <w:lang w:val="en-GB"/>
        </w:rPr>
        <w:t>The Package is voluntary for all eligible applicants.</w:t>
      </w:r>
    </w:p>
    <w:p w14:paraId="6099D280" w14:textId="77777777" w:rsidR="00F26E05" w:rsidRPr="003463BF" w:rsidRDefault="00F26E05" w:rsidP="00F26E05">
      <w:pPr>
        <w:pStyle w:val="BodyText"/>
        <w:rPr>
          <w:lang w:val="en-GB"/>
        </w:rPr>
      </w:pPr>
      <w:r w:rsidRPr="003463BF">
        <w:rPr>
          <w:lang w:val="en-GB"/>
        </w:rPr>
        <w:t>Assistance is available to businesses to complete an application to the support package, via a Forestry Transition team member. Businesses are also encouraged to seek independent advice as required.</w:t>
      </w:r>
    </w:p>
    <w:p w14:paraId="082D5916" w14:textId="77777777" w:rsidR="00F26E05" w:rsidRPr="003463BF" w:rsidRDefault="00F26E05" w:rsidP="00F26E05">
      <w:pPr>
        <w:pStyle w:val="BodyText"/>
        <w:rPr>
          <w:lang w:val="en-GB"/>
        </w:rPr>
      </w:pPr>
      <w:r w:rsidRPr="003463BF">
        <w:rPr>
          <w:lang w:val="en-GB"/>
        </w:rPr>
        <w:t>The Package is administered by the Department of Energy, Environment and Climate Action (the Department).</w:t>
      </w:r>
    </w:p>
    <w:p w14:paraId="4EBF59A3" w14:textId="77777777" w:rsidR="00F26E05" w:rsidRPr="003463BF" w:rsidRDefault="00F26E05" w:rsidP="00F26E05">
      <w:pPr>
        <w:pStyle w:val="BodyText"/>
        <w:rPr>
          <w:lang w:val="en-GB"/>
        </w:rPr>
      </w:pPr>
      <w:r w:rsidRPr="003463BF">
        <w:rPr>
          <w:lang w:val="en-GB"/>
        </w:rPr>
        <w:t>The Department will assess each application and recommend a funding decision.</w:t>
      </w:r>
    </w:p>
    <w:p w14:paraId="1DDEA858" w14:textId="7A44D8C7" w:rsidR="00F26E05" w:rsidRPr="003463BF" w:rsidRDefault="00F26E05" w:rsidP="00F26E05">
      <w:pPr>
        <w:pStyle w:val="BodyText"/>
        <w:rPr>
          <w:lang w:val="en-GB"/>
        </w:rPr>
      </w:pPr>
      <w:r w:rsidRPr="003463BF">
        <w:rPr>
          <w:lang w:val="en-GB"/>
        </w:rPr>
        <w:t>The decision on funding support will be made by the Minister for Agriculture in their absolute discretion.</w:t>
      </w:r>
    </w:p>
    <w:p w14:paraId="01ED018D" w14:textId="4514D0E1" w:rsidR="00F26E05" w:rsidRPr="003463BF" w:rsidRDefault="00F26E05" w:rsidP="00F26E05">
      <w:pPr>
        <w:pStyle w:val="BodyText"/>
        <w:rPr>
          <w:lang w:val="en-GB"/>
        </w:rPr>
      </w:pPr>
      <w:r w:rsidRPr="003463BF">
        <w:rPr>
          <w:lang w:val="en-GB"/>
        </w:rPr>
        <w:t>Community forestry operators and non-contractor</w:t>
      </w:r>
      <w:r w:rsidR="00CC7403" w:rsidRPr="003463BF">
        <w:rPr>
          <w:lang w:val="en-GB"/>
        </w:rPr>
        <w:t xml:space="preserve"> </w:t>
      </w:r>
      <w:r w:rsidRPr="003463BF">
        <w:rPr>
          <w:lang w:val="en-GB"/>
        </w:rPr>
        <w:t>firewood customers and their employees are also eligible to register for the Victorian Forestry Worker Support Program, worker support payments</w:t>
      </w:r>
      <w:r w:rsidR="00E24A18" w:rsidRPr="003463BF">
        <w:rPr>
          <w:lang w:val="en-GB"/>
        </w:rPr>
        <w:t xml:space="preserve"> subject to eligibility requirements</w:t>
      </w:r>
      <w:r w:rsidRPr="003463BF">
        <w:rPr>
          <w:lang w:val="en-GB"/>
        </w:rPr>
        <w:t>, and for a one-off hardship payment.</w:t>
      </w:r>
    </w:p>
    <w:p w14:paraId="7C613FEE" w14:textId="26A404A4" w:rsidR="00F26E05" w:rsidRPr="003463BF" w:rsidRDefault="00F26E05" w:rsidP="00F26E05">
      <w:pPr>
        <w:pStyle w:val="Heading1"/>
        <w:rPr>
          <w:lang w:val="en-GB"/>
        </w:rPr>
      </w:pPr>
      <w:bookmarkStart w:id="4" w:name="_Toc150953821"/>
      <w:bookmarkStart w:id="5" w:name="_Toc167200948"/>
      <w:r w:rsidRPr="003463BF">
        <w:rPr>
          <w:lang w:val="en-GB"/>
        </w:rPr>
        <w:t>3. Eligible businesses</w:t>
      </w:r>
      <w:bookmarkEnd w:id="4"/>
      <w:bookmarkEnd w:id="5"/>
    </w:p>
    <w:p w14:paraId="5705CB0E" w14:textId="77777777" w:rsidR="00F26E05" w:rsidRPr="003463BF" w:rsidRDefault="00F26E05" w:rsidP="00F26E05">
      <w:pPr>
        <w:pStyle w:val="BodyText"/>
        <w:rPr>
          <w:lang w:val="en-GB"/>
        </w:rPr>
      </w:pPr>
      <w:r w:rsidRPr="003463BF">
        <w:rPr>
          <w:lang w:val="en-GB"/>
        </w:rPr>
        <w:t>To be eligible to apply for one or more component/s within the Package, applicant businesses must:</w:t>
      </w:r>
    </w:p>
    <w:p w14:paraId="50E21E23" w14:textId="77777777" w:rsidR="00F26E05" w:rsidRPr="003463BF" w:rsidRDefault="00F26E05" w:rsidP="00F26E05">
      <w:pPr>
        <w:pStyle w:val="Listparagrapha"/>
      </w:pPr>
      <w:r w:rsidRPr="003463BF">
        <w:lastRenderedPageBreak/>
        <w:t>be a community forestry operator that holds a Forest Produce Licence or Forest Produce Agreement issued or administered by VicForests for timber supply in 2022-23 and/or 2023-24, that is not for the sole purpose of storm or bushfire salvage operations, as a one-off FPL or FPA for a defined period of time for a specific location; or</w:t>
      </w:r>
    </w:p>
    <w:p w14:paraId="0CDD0D2E" w14:textId="1A523305" w:rsidR="00F26E05" w:rsidRPr="003463BF" w:rsidRDefault="00F26E05" w:rsidP="00F26E05">
      <w:pPr>
        <w:pStyle w:val="Listparagrapha"/>
      </w:pPr>
      <w:r w:rsidRPr="003463BF">
        <w:t>be a non-contractor</w:t>
      </w:r>
      <w:r w:rsidR="00CC7403" w:rsidRPr="003463BF">
        <w:t xml:space="preserve"> </w:t>
      </w:r>
      <w:r w:rsidRPr="003463BF">
        <w:t>firewood customer that is</w:t>
      </w:r>
      <w:r w:rsidR="00CC7403" w:rsidRPr="003463BF">
        <w:t xml:space="preserve"> </w:t>
      </w:r>
      <w:r w:rsidRPr="003463BF">
        <w:t>party to a Timber Sale Agreement with VicForests for timber supply in</w:t>
      </w:r>
      <w:r w:rsidR="00AE11DA" w:rsidRPr="003463BF">
        <w:t xml:space="preserve"> 2022</w:t>
      </w:r>
      <w:r w:rsidR="00F9245D" w:rsidRPr="003463BF">
        <w:t>-2023 and/or</w:t>
      </w:r>
      <w:r w:rsidRPr="003463BF">
        <w:t xml:space="preserve"> 2023-24</w:t>
      </w:r>
      <w:r w:rsidR="004230BA" w:rsidRPr="003463BF">
        <w:rPr>
          <w:rStyle w:val="FootnoteReference"/>
        </w:rPr>
        <w:footnoteReference w:id="2"/>
      </w:r>
      <w:r w:rsidRPr="003463BF">
        <w:t>; and</w:t>
      </w:r>
    </w:p>
    <w:p w14:paraId="26D0D07A" w14:textId="77777777" w:rsidR="00F26E05" w:rsidRPr="003463BF" w:rsidRDefault="00F26E05" w:rsidP="00F26E05">
      <w:pPr>
        <w:pStyle w:val="Listparagrapha"/>
      </w:pPr>
      <w:r w:rsidRPr="003463BF">
        <w:t>hold a current registered Australian Business Number (ABN), and</w:t>
      </w:r>
    </w:p>
    <w:p w14:paraId="4B9DF1FD" w14:textId="5A771E43" w:rsidR="00F26E05" w:rsidRPr="003463BF" w:rsidRDefault="00F26E05" w:rsidP="00F26E05">
      <w:pPr>
        <w:pStyle w:val="Listparagrapha"/>
      </w:pPr>
      <w:r w:rsidRPr="003463BF">
        <w:t xml:space="preserve">declare that they meet all industrial relations obligations as an employer in accordance with the National Employment Standards under the </w:t>
      </w:r>
      <w:r w:rsidRPr="003463BF">
        <w:rPr>
          <w:i/>
          <w:iCs/>
        </w:rPr>
        <w:t>Fair Work Act 2009</w:t>
      </w:r>
      <w:r w:rsidRPr="003463BF">
        <w:t xml:space="preserve"> (Cth) if they are an employing business.</w:t>
      </w:r>
    </w:p>
    <w:p w14:paraId="46BE5EFA" w14:textId="38E6A4E0" w:rsidR="00F26E05" w:rsidRPr="003463BF" w:rsidRDefault="00D138E6" w:rsidP="00F26E05">
      <w:pPr>
        <w:pStyle w:val="Heading1"/>
        <w:rPr>
          <w:lang w:val="en-GB"/>
        </w:rPr>
      </w:pPr>
      <w:bookmarkStart w:id="6" w:name="_Toc150953825"/>
      <w:bookmarkStart w:id="7" w:name="_Toc167200949"/>
      <w:r>
        <w:rPr>
          <w:lang w:val="en-GB"/>
        </w:rPr>
        <w:t>4</w:t>
      </w:r>
      <w:r w:rsidR="005E3F95" w:rsidRPr="003463BF">
        <w:rPr>
          <w:lang w:val="en-GB"/>
        </w:rPr>
        <w:t xml:space="preserve">. </w:t>
      </w:r>
      <w:r w:rsidR="00F26E05" w:rsidRPr="003463BF">
        <w:rPr>
          <w:lang w:val="en-GB"/>
        </w:rPr>
        <w:t>What will the Department pay?</w:t>
      </w:r>
      <w:bookmarkEnd w:id="6"/>
      <w:bookmarkEnd w:id="7"/>
    </w:p>
    <w:p w14:paraId="104E8858" w14:textId="4BFE26DB" w:rsidR="00F26E05" w:rsidRPr="003463BF" w:rsidRDefault="008D6873" w:rsidP="00F26E05">
      <w:pPr>
        <w:pStyle w:val="BodyText"/>
        <w:rPr>
          <w:lang w:val="en-GB"/>
        </w:rPr>
      </w:pPr>
      <w:r w:rsidRPr="003463BF">
        <w:rPr>
          <w:lang w:val="en-GB"/>
        </w:rPr>
        <w:t xml:space="preserve">Subject to </w:t>
      </w:r>
      <w:r w:rsidR="00074C4F" w:rsidRPr="003463BF">
        <w:rPr>
          <w:lang w:val="en-GB"/>
        </w:rPr>
        <w:t>s</w:t>
      </w:r>
      <w:r w:rsidRPr="003463BF">
        <w:rPr>
          <w:lang w:val="en-GB"/>
        </w:rPr>
        <w:t>ection 1</w:t>
      </w:r>
      <w:r w:rsidR="00BC40FA" w:rsidRPr="003463BF">
        <w:rPr>
          <w:lang w:val="en-GB"/>
        </w:rPr>
        <w:t xml:space="preserve">1 </w:t>
      </w:r>
      <w:r w:rsidR="00074C4F" w:rsidRPr="003463BF">
        <w:rPr>
          <w:lang w:val="en-GB"/>
        </w:rPr>
        <w:t xml:space="preserve">of these Guidelines </w:t>
      </w:r>
      <w:r w:rsidR="00BC40FA" w:rsidRPr="003463BF">
        <w:rPr>
          <w:lang w:val="en-GB"/>
        </w:rPr>
        <w:t>and execution of the Grant Agreement,</w:t>
      </w:r>
      <w:r w:rsidRPr="003463BF">
        <w:rPr>
          <w:lang w:val="en-GB"/>
        </w:rPr>
        <w:t xml:space="preserve"> t</w:t>
      </w:r>
      <w:r w:rsidR="00F26E05" w:rsidRPr="003463BF">
        <w:rPr>
          <w:lang w:val="en-GB"/>
        </w:rPr>
        <w:t>he amount the Department will pay through a Package will be made up of:</w:t>
      </w:r>
    </w:p>
    <w:p w14:paraId="2FD1648C" w14:textId="262B9DB7" w:rsidR="00F26E05" w:rsidRPr="003463BF" w:rsidRDefault="00F26E05" w:rsidP="00EA3039">
      <w:pPr>
        <w:pStyle w:val="ListBullet"/>
        <w:ind w:left="357" w:hanging="357"/>
        <w:rPr>
          <w:lang w:val="en-GB"/>
        </w:rPr>
      </w:pPr>
      <w:r w:rsidRPr="003463BF">
        <w:rPr>
          <w:lang w:val="en-GB"/>
        </w:rPr>
        <w:t xml:space="preserve">a volume compensation payment </w:t>
      </w:r>
      <w:r w:rsidR="00796459" w:rsidRPr="003463BF">
        <w:rPr>
          <w:lang w:val="en-GB"/>
        </w:rPr>
        <w:t>– see component 1 below;</w:t>
      </w:r>
    </w:p>
    <w:p w14:paraId="0F0B1AC4" w14:textId="5CAABB93" w:rsidR="00F26E05" w:rsidRPr="003463BF" w:rsidRDefault="00F26E05" w:rsidP="00E00C8A">
      <w:pPr>
        <w:pStyle w:val="ListBullet"/>
        <w:rPr>
          <w:lang w:val="en-GB"/>
        </w:rPr>
      </w:pPr>
      <w:r w:rsidRPr="003463BF">
        <w:rPr>
          <w:lang w:val="en-GB"/>
        </w:rPr>
        <w:t>a payment of up to $1,000,000 for non-fully depreciated plant and equipment used for native timber harvesting or processing operations</w:t>
      </w:r>
      <w:r w:rsidR="00796459" w:rsidRPr="003463BF">
        <w:rPr>
          <w:lang w:val="en-GB"/>
        </w:rPr>
        <w:t>- see component 2 below</w:t>
      </w:r>
      <w:r w:rsidR="00BC40FA" w:rsidRPr="003463BF">
        <w:rPr>
          <w:lang w:val="en-GB"/>
        </w:rPr>
        <w:t>;</w:t>
      </w:r>
    </w:p>
    <w:p w14:paraId="0615F869" w14:textId="77777777" w:rsidR="00A925B4" w:rsidRPr="00D138E6" w:rsidRDefault="00F26E05" w:rsidP="00D138E6">
      <w:pPr>
        <w:pStyle w:val="ListBullet"/>
        <w:rPr>
          <w:lang w:val="en-GB"/>
        </w:rPr>
      </w:pPr>
      <w:r w:rsidRPr="00D138E6">
        <w:rPr>
          <w:lang w:val="en-GB"/>
        </w:rPr>
        <w:t>a reimbursement payment for any employee statutory redundancy costs made by the business</w:t>
      </w:r>
      <w:r w:rsidR="00796459" w:rsidRPr="00D138E6">
        <w:rPr>
          <w:lang w:val="en-GB"/>
        </w:rPr>
        <w:t xml:space="preserve"> – see component 3</w:t>
      </w:r>
      <w:r w:rsidR="00BC40FA" w:rsidRPr="00D138E6">
        <w:rPr>
          <w:lang w:val="en-GB"/>
        </w:rPr>
        <w:t xml:space="preserve"> below</w:t>
      </w:r>
      <w:r w:rsidR="00A925B4" w:rsidRPr="00D138E6">
        <w:rPr>
          <w:lang w:val="en-GB"/>
        </w:rPr>
        <w:t>;</w:t>
      </w:r>
    </w:p>
    <w:p w14:paraId="380E84C1" w14:textId="06DEBE01" w:rsidR="00F26E05" w:rsidRPr="00D138E6" w:rsidRDefault="005C5843" w:rsidP="00D138E6">
      <w:pPr>
        <w:pStyle w:val="ListBullet"/>
        <w:rPr>
          <w:lang w:val="en-GB"/>
        </w:rPr>
      </w:pPr>
      <w:r w:rsidRPr="00D138E6">
        <w:rPr>
          <w:lang w:val="en-GB"/>
        </w:rPr>
        <w:t xml:space="preserve">a site rehabilitation payment for licensees or agreement holders with an annual </w:t>
      </w:r>
      <w:r w:rsidR="002544C4" w:rsidRPr="00D138E6">
        <w:rPr>
          <w:lang w:val="en-GB"/>
        </w:rPr>
        <w:t xml:space="preserve">licensed or agreed </w:t>
      </w:r>
      <w:r w:rsidRPr="00D138E6">
        <w:rPr>
          <w:lang w:val="en-GB"/>
        </w:rPr>
        <w:t>supply level of 1,000m</w:t>
      </w:r>
      <w:r w:rsidRPr="00D138E6">
        <w:rPr>
          <w:vertAlign w:val="superscript"/>
          <w:lang w:val="en-GB"/>
        </w:rPr>
        <w:t>3</w:t>
      </w:r>
      <w:r w:rsidRPr="00D138E6">
        <w:rPr>
          <w:lang w:val="en-GB"/>
        </w:rPr>
        <w:t xml:space="preserve"> or </w:t>
      </w:r>
      <w:r w:rsidR="00C60C57" w:rsidRPr="00D138E6">
        <w:rPr>
          <w:lang w:val="en-GB"/>
        </w:rPr>
        <w:t xml:space="preserve">1,000 tonnes or </w:t>
      </w:r>
      <w:r w:rsidRPr="00D138E6">
        <w:rPr>
          <w:lang w:val="en-GB"/>
        </w:rPr>
        <w:t>greater</w:t>
      </w:r>
      <w:r w:rsidR="00830BFF" w:rsidRPr="00D138E6">
        <w:rPr>
          <w:lang w:val="en-GB"/>
        </w:rPr>
        <w:t xml:space="preserve"> -</w:t>
      </w:r>
      <w:r w:rsidR="00AF6654" w:rsidRPr="00D138E6">
        <w:rPr>
          <w:lang w:val="en-GB"/>
        </w:rPr>
        <w:t xml:space="preserve"> </w:t>
      </w:r>
      <w:r w:rsidR="00830BFF" w:rsidRPr="00D138E6">
        <w:rPr>
          <w:lang w:val="en-GB"/>
        </w:rPr>
        <w:t xml:space="preserve">see component </w:t>
      </w:r>
      <w:r w:rsidR="00835933" w:rsidRPr="00D138E6">
        <w:rPr>
          <w:lang w:val="en-GB"/>
        </w:rPr>
        <w:t>4 below</w:t>
      </w:r>
      <w:r w:rsidR="00BE3EE9" w:rsidRPr="00D138E6">
        <w:rPr>
          <w:lang w:val="en-GB"/>
        </w:rPr>
        <w:t>:</w:t>
      </w:r>
    </w:p>
    <w:p w14:paraId="4CD41333" w14:textId="77777777" w:rsidR="00F26E05" w:rsidRPr="003463BF" w:rsidRDefault="00F26E05" w:rsidP="00E00C8A">
      <w:pPr>
        <w:pStyle w:val="Heading2"/>
      </w:pPr>
      <w:bookmarkStart w:id="8" w:name="_Toc150953826"/>
      <w:r w:rsidRPr="003463BF">
        <w:t>Component 1: Volume Compensation</w:t>
      </w:r>
      <w:bookmarkEnd w:id="8"/>
    </w:p>
    <w:p w14:paraId="7EF17A1E" w14:textId="397C70C3" w:rsidR="00F26E05" w:rsidRPr="003463BF" w:rsidRDefault="00F26E05" w:rsidP="00F26E05">
      <w:pPr>
        <w:pStyle w:val="BodyText"/>
        <w:rPr>
          <w:lang w:val="en-GB"/>
        </w:rPr>
      </w:pPr>
      <w:r w:rsidRPr="003463BF">
        <w:rPr>
          <w:lang w:val="en-GB"/>
        </w:rPr>
        <w:t xml:space="preserve">The Department will pay eligible </w:t>
      </w:r>
      <w:r w:rsidRPr="003463BF">
        <w:rPr>
          <w:b/>
          <w:bCs/>
          <w:lang w:val="en-GB"/>
        </w:rPr>
        <w:t>Forest Produce Licence holders</w:t>
      </w:r>
      <w:r w:rsidRPr="003463BF">
        <w:rPr>
          <w:lang w:val="en-GB"/>
        </w:rPr>
        <w:t xml:space="preserve"> (including those who hold a Forest Produce Agreement) </w:t>
      </w:r>
      <w:r w:rsidR="008A753C" w:rsidRPr="003463BF">
        <w:rPr>
          <w:lang w:val="en-GB"/>
        </w:rPr>
        <w:t>up to</w:t>
      </w:r>
      <w:r w:rsidRPr="003463BF">
        <w:rPr>
          <w:lang w:val="en-GB"/>
        </w:rPr>
        <w:t xml:space="preserve"> the rates given in Table 1 for:</w:t>
      </w:r>
    </w:p>
    <w:p w14:paraId="10E6D500" w14:textId="6FF8075F" w:rsidR="00F26E05" w:rsidRPr="003463BF" w:rsidRDefault="00F26E05" w:rsidP="00E00C8A">
      <w:pPr>
        <w:pStyle w:val="ListBullet"/>
        <w:rPr>
          <w:lang w:val="en-GB"/>
        </w:rPr>
      </w:pPr>
      <w:r w:rsidRPr="003463BF">
        <w:rPr>
          <w:lang w:val="en-GB"/>
        </w:rPr>
        <w:t xml:space="preserve">their Annual Supply Level volume </w:t>
      </w:r>
      <w:r w:rsidR="008A753C" w:rsidRPr="003463BF">
        <w:rPr>
          <w:lang w:val="en-GB"/>
        </w:rPr>
        <w:t>for 2022-23 as per the relevant FPL</w:t>
      </w:r>
      <w:r w:rsidRPr="003463BF">
        <w:rPr>
          <w:lang w:val="en-GB"/>
        </w:rPr>
        <w:t>, plus</w:t>
      </w:r>
    </w:p>
    <w:p w14:paraId="02861D79" w14:textId="77777777" w:rsidR="00F26E05" w:rsidRPr="003463BF" w:rsidRDefault="00F26E05" w:rsidP="00E00C8A">
      <w:pPr>
        <w:pStyle w:val="Bullet1last"/>
        <w:rPr>
          <w:lang w:val="en-GB"/>
        </w:rPr>
      </w:pPr>
      <w:r w:rsidRPr="003463BF">
        <w:rPr>
          <w:lang w:val="en-GB"/>
        </w:rPr>
        <w:t>the Annual Supply Level volume for 2023-24 as per the relevant FPL</w:t>
      </w:r>
    </w:p>
    <w:p w14:paraId="6E254E78" w14:textId="77777777" w:rsidR="00F26E05" w:rsidRPr="003463BF" w:rsidRDefault="00F26E05" w:rsidP="00F26E05">
      <w:pPr>
        <w:pStyle w:val="BodyText"/>
        <w:rPr>
          <w:lang w:val="en-GB"/>
        </w:rPr>
      </w:pPr>
      <w:r w:rsidRPr="003463BF">
        <w:rPr>
          <w:lang w:val="en-GB"/>
        </w:rPr>
        <w:t>minus</w:t>
      </w:r>
    </w:p>
    <w:p w14:paraId="2840558C" w14:textId="193FB536" w:rsidR="00F26E05" w:rsidRPr="003463BF" w:rsidRDefault="00F26E05" w:rsidP="00E00C8A">
      <w:pPr>
        <w:pStyle w:val="ListBullet"/>
        <w:rPr>
          <w:lang w:val="en-GB"/>
        </w:rPr>
      </w:pPr>
      <w:r w:rsidRPr="003463BF">
        <w:rPr>
          <w:lang w:val="en-GB"/>
        </w:rPr>
        <w:t>any volume taken during 2022-23, and minus</w:t>
      </w:r>
    </w:p>
    <w:p w14:paraId="09717DC6" w14:textId="5E6EC4BF" w:rsidR="008D6873" w:rsidRPr="003463BF" w:rsidRDefault="00F26E05" w:rsidP="00364CF0">
      <w:pPr>
        <w:pStyle w:val="Bullet1last"/>
        <w:rPr>
          <w:lang w:val="en-GB"/>
        </w:rPr>
      </w:pPr>
      <w:r w:rsidRPr="003463BF">
        <w:rPr>
          <w:lang w:val="en-GB"/>
        </w:rPr>
        <w:t>any volume taken during 2023-24.</w:t>
      </w:r>
    </w:p>
    <w:p w14:paraId="3DD2DB28" w14:textId="123C38BE" w:rsidR="00F26E05" w:rsidRPr="003463BF" w:rsidRDefault="00F26E05" w:rsidP="00F26E05">
      <w:pPr>
        <w:pStyle w:val="BodyText"/>
        <w:rPr>
          <w:lang w:val="en-GB"/>
        </w:rPr>
      </w:pPr>
      <w:r w:rsidRPr="003463BF">
        <w:rPr>
          <w:lang w:val="en-GB"/>
        </w:rPr>
        <w:t>The Department will pay eligible non-contractor</w:t>
      </w:r>
      <w:r w:rsidR="00D30300" w:rsidRPr="003463BF">
        <w:rPr>
          <w:lang w:val="en-GB"/>
        </w:rPr>
        <w:t xml:space="preserve"> </w:t>
      </w:r>
      <w:r w:rsidRPr="003463BF">
        <w:rPr>
          <w:b/>
          <w:bCs/>
          <w:lang w:val="en-GB"/>
        </w:rPr>
        <w:t>Timber Sale Agreement holders</w:t>
      </w:r>
      <w:r w:rsidR="00D35A29" w:rsidRPr="003463BF">
        <w:rPr>
          <w:b/>
          <w:bCs/>
          <w:lang w:val="en-GB"/>
        </w:rPr>
        <w:t xml:space="preserve"> </w:t>
      </w:r>
      <w:r w:rsidR="00D35A29" w:rsidRPr="003463BF">
        <w:rPr>
          <w:color w:val="000000" w:themeColor="text1"/>
          <w:lang w:val="en-GB"/>
        </w:rPr>
        <w:t>up to</w:t>
      </w:r>
      <w:r w:rsidRPr="003463BF">
        <w:rPr>
          <w:color w:val="000000" w:themeColor="text1"/>
          <w:lang w:val="en-GB"/>
        </w:rPr>
        <w:t xml:space="preserve"> </w:t>
      </w:r>
      <w:r w:rsidRPr="003463BF">
        <w:rPr>
          <w:lang w:val="en-GB"/>
        </w:rPr>
        <w:t>the rates given in Table 1 for:</w:t>
      </w:r>
    </w:p>
    <w:p w14:paraId="5D2E6904" w14:textId="667E87A4" w:rsidR="00F26E05" w:rsidRPr="003463BF" w:rsidRDefault="00F26E05" w:rsidP="00E00C8A">
      <w:pPr>
        <w:pStyle w:val="ListBullet"/>
        <w:rPr>
          <w:lang w:val="en-GB"/>
        </w:rPr>
      </w:pPr>
      <w:r w:rsidRPr="003463BF">
        <w:rPr>
          <w:lang w:val="en-GB"/>
        </w:rPr>
        <w:lastRenderedPageBreak/>
        <w:t xml:space="preserve">the </w:t>
      </w:r>
      <w:r w:rsidR="00323945" w:rsidRPr="003463BF">
        <w:rPr>
          <w:lang w:val="en-GB"/>
        </w:rPr>
        <w:t xml:space="preserve">minimum </w:t>
      </w:r>
      <w:r w:rsidRPr="003463BF">
        <w:rPr>
          <w:lang w:val="en-GB"/>
        </w:rPr>
        <w:t xml:space="preserve">Annual Supply Level volume </w:t>
      </w:r>
      <w:r w:rsidR="00323945" w:rsidRPr="003463BF">
        <w:rPr>
          <w:lang w:val="en-GB"/>
        </w:rPr>
        <w:t>for 2022-23 as per the relevant TSA</w:t>
      </w:r>
      <w:r w:rsidR="00C6335B" w:rsidRPr="003463BF">
        <w:rPr>
          <w:lang w:val="en-GB"/>
        </w:rPr>
        <w:t>,</w:t>
      </w:r>
      <w:r w:rsidR="00323945" w:rsidRPr="003463BF">
        <w:rPr>
          <w:lang w:val="en-GB"/>
        </w:rPr>
        <w:t xml:space="preserve"> minus any volume taken during 2022-23;</w:t>
      </w:r>
      <w:r w:rsidRPr="003463BF">
        <w:rPr>
          <w:lang w:val="en-GB"/>
        </w:rPr>
        <w:t xml:space="preserve"> plus</w:t>
      </w:r>
    </w:p>
    <w:p w14:paraId="00EBCA2A" w14:textId="759B4EAE" w:rsidR="00323945" w:rsidRPr="003463BF" w:rsidRDefault="00F26E05" w:rsidP="003616B0">
      <w:pPr>
        <w:pStyle w:val="Bullet1last"/>
        <w:rPr>
          <w:lang w:val="en-GB"/>
        </w:rPr>
      </w:pPr>
      <w:r w:rsidRPr="003463BF">
        <w:rPr>
          <w:lang w:val="en-GB"/>
        </w:rPr>
        <w:t>the minimum Annual Supply Level volume for 2023-24 as per the relevant TSA</w:t>
      </w:r>
      <w:r w:rsidR="00C6335B" w:rsidRPr="003463BF">
        <w:rPr>
          <w:lang w:val="en-GB"/>
        </w:rPr>
        <w:t>,</w:t>
      </w:r>
      <w:r w:rsidR="003616B0" w:rsidRPr="003463BF">
        <w:rPr>
          <w:lang w:val="en-GB"/>
        </w:rPr>
        <w:t xml:space="preserve"> </w:t>
      </w:r>
      <w:r w:rsidR="00C6335B" w:rsidRPr="003463BF">
        <w:rPr>
          <w:lang w:val="en-GB"/>
        </w:rPr>
        <w:t>minus any volume taken during 2023-24</w:t>
      </w:r>
      <w:r w:rsidR="00375ECD">
        <w:rPr>
          <w:lang w:val="en-GB"/>
        </w:rPr>
        <w:t>.</w:t>
      </w:r>
    </w:p>
    <w:p w14:paraId="587FB656" w14:textId="43D35D0F" w:rsidR="00F26E05" w:rsidRPr="003463BF" w:rsidRDefault="003616B0" w:rsidP="00323945">
      <w:pPr>
        <w:pStyle w:val="Bullet1last"/>
        <w:numPr>
          <w:ilvl w:val="0"/>
          <w:numId w:val="0"/>
        </w:numPr>
        <w:rPr>
          <w:lang w:val="en-GB"/>
        </w:rPr>
      </w:pPr>
      <w:r w:rsidRPr="003463BF">
        <w:rPr>
          <w:lang w:val="en-GB"/>
        </w:rPr>
        <w:t>Note: For Timber Sale Agreements with an ‘up to’ volume amount, the minimum volume will be used for the calculation</w:t>
      </w:r>
    </w:p>
    <w:p w14:paraId="3682F30F" w14:textId="77777777" w:rsidR="00F26E05" w:rsidRPr="003463BF" w:rsidRDefault="00F26E05" w:rsidP="00F26E05">
      <w:pPr>
        <w:pStyle w:val="BodyText"/>
        <w:rPr>
          <w:lang w:val="en-GB"/>
        </w:rPr>
      </w:pPr>
      <w:r w:rsidRPr="003463BF">
        <w:rPr>
          <w:lang w:val="en-GB"/>
        </w:rPr>
        <w:t>minus</w:t>
      </w:r>
    </w:p>
    <w:p w14:paraId="5EA937C6" w14:textId="5B254978" w:rsidR="00EA3039" w:rsidRPr="003463BF" w:rsidRDefault="00F26E05" w:rsidP="00411FA4">
      <w:pPr>
        <w:pStyle w:val="Bullet1last"/>
        <w:rPr>
          <w:lang w:val="en-GB"/>
        </w:rPr>
      </w:pPr>
      <w:r w:rsidRPr="003463BF">
        <w:rPr>
          <w:lang w:val="en-GB"/>
        </w:rPr>
        <w:t>any compensation payments received from VicForests in 2022-23 and</w:t>
      </w:r>
      <w:r w:rsidR="005244FB" w:rsidRPr="003463BF">
        <w:rPr>
          <w:lang w:val="en-GB"/>
        </w:rPr>
        <w:t>/or</w:t>
      </w:r>
      <w:r w:rsidRPr="003463BF">
        <w:rPr>
          <w:lang w:val="en-GB"/>
        </w:rPr>
        <w:t xml:space="preserve"> 2023-24 for the relevant Timber Sale Agreements</w:t>
      </w:r>
      <w:r w:rsidR="005720F3" w:rsidRPr="003463BF">
        <w:rPr>
          <w:lang w:val="en-GB"/>
        </w:rPr>
        <w:t>.</w:t>
      </w:r>
    </w:p>
    <w:p w14:paraId="32DD855F" w14:textId="60725D61" w:rsidR="00F26E05" w:rsidRPr="003463BF" w:rsidRDefault="00F26E05" w:rsidP="003F514F">
      <w:pPr>
        <w:pStyle w:val="BodyText"/>
        <w:rPr>
          <w:lang w:val="en-GB"/>
        </w:rPr>
      </w:pPr>
      <w:r w:rsidRPr="003463BF">
        <w:rPr>
          <w:lang w:val="en-GB"/>
        </w:rPr>
        <w:t>Community forestry operators who have applied for compensation for 2023-24 licensed or contracted sawlog volume through the Sawmill Voluntary Transition Package (SVTP) will apply for that volume through that program. Any sawlog volume compensated through the SVTP will not be compensated through this Package.</w:t>
      </w:r>
    </w:p>
    <w:p w14:paraId="77526EFE" w14:textId="77777777" w:rsidR="00F26E05" w:rsidRPr="003463BF" w:rsidRDefault="00F26E05" w:rsidP="006466AF">
      <w:pPr>
        <w:pStyle w:val="Heading3"/>
      </w:pPr>
      <w:bookmarkStart w:id="9" w:name="_Toc150953830"/>
      <w:r w:rsidRPr="003463BF">
        <w:t>Payment rates</w:t>
      </w:r>
      <w:bookmarkEnd w:id="9"/>
    </w:p>
    <w:p w14:paraId="133836D3" w14:textId="0D382FD4" w:rsidR="006F0F04" w:rsidRPr="003463BF" w:rsidRDefault="00F26E05" w:rsidP="00F26E05">
      <w:pPr>
        <w:pStyle w:val="BodyText"/>
        <w:rPr>
          <w:lang w:val="en-GB"/>
        </w:rPr>
      </w:pPr>
      <w:r w:rsidRPr="003463BF">
        <w:rPr>
          <w:lang w:val="en-GB"/>
        </w:rPr>
        <w:t xml:space="preserve">The Department will </w:t>
      </w:r>
      <w:r w:rsidR="00C14F68" w:rsidRPr="003463BF">
        <w:rPr>
          <w:lang w:val="en-GB"/>
        </w:rPr>
        <w:t>pay up to</w:t>
      </w:r>
      <w:r w:rsidR="00DE2E6A" w:rsidRPr="003463BF">
        <w:rPr>
          <w:lang w:val="en-GB"/>
        </w:rPr>
        <w:t xml:space="preserve"> </w:t>
      </w:r>
      <w:r w:rsidRPr="003463BF">
        <w:rPr>
          <w:lang w:val="en-GB"/>
        </w:rPr>
        <w:t xml:space="preserve">the rates per unit in the schedules below </w:t>
      </w:r>
      <w:r w:rsidR="00DE2E6A" w:rsidRPr="003463BF">
        <w:rPr>
          <w:lang w:val="en-GB"/>
        </w:rPr>
        <w:t xml:space="preserve">to price </w:t>
      </w:r>
      <w:r w:rsidRPr="003463BF">
        <w:rPr>
          <w:lang w:val="en-GB"/>
        </w:rPr>
        <w:t>the surrendered volume of timber</w:t>
      </w:r>
      <w:r w:rsidR="00AF386B" w:rsidRPr="003463BF">
        <w:rPr>
          <w:lang w:val="en-GB"/>
        </w:rPr>
        <w:t xml:space="preserve">. </w:t>
      </w:r>
    </w:p>
    <w:p w14:paraId="3C8E9B15" w14:textId="03EE638A" w:rsidR="00AB025E" w:rsidRPr="003463BF" w:rsidRDefault="00AB025E" w:rsidP="00AB025E">
      <w:pPr>
        <w:pStyle w:val="Caption"/>
        <w:keepNext/>
        <w:rPr>
          <w:bCs/>
          <w:lang w:val="en-GB"/>
        </w:rPr>
      </w:pPr>
      <w:r w:rsidRPr="003463BF">
        <w:t xml:space="preserve">Table </w:t>
      </w:r>
      <w:r w:rsidRPr="003463BF">
        <w:fldChar w:fldCharType="begin"/>
      </w:r>
      <w:r w:rsidRPr="003463BF">
        <w:instrText>SEQ Table \* ARABIC</w:instrText>
      </w:r>
      <w:r w:rsidRPr="003463BF">
        <w:fldChar w:fldCharType="separate"/>
      </w:r>
      <w:r w:rsidRPr="003463BF">
        <w:rPr>
          <w:noProof/>
        </w:rPr>
        <w:t>1</w:t>
      </w:r>
      <w:r w:rsidRPr="003463BF">
        <w:fldChar w:fldCharType="end"/>
      </w:r>
      <w:r w:rsidRPr="003463BF">
        <w:t xml:space="preserve">: </w:t>
      </w:r>
      <w:r w:rsidRPr="003463BF">
        <w:rPr>
          <w:bCs/>
          <w:lang w:val="en-GB"/>
        </w:rPr>
        <w:t>Schedule of rates for fencing, firewood, and wood chop logs</w:t>
      </w:r>
    </w:p>
    <w:tbl>
      <w:tblPr>
        <w:tblStyle w:val="TableGrid"/>
        <w:tblW w:w="9865" w:type="dxa"/>
        <w:tblLayout w:type="fixed"/>
        <w:tblLook w:val="0020" w:firstRow="1" w:lastRow="0" w:firstColumn="0" w:lastColumn="0" w:noHBand="0" w:noVBand="0"/>
      </w:tblPr>
      <w:tblGrid>
        <w:gridCol w:w="3256"/>
        <w:gridCol w:w="2203"/>
        <w:gridCol w:w="2203"/>
        <w:gridCol w:w="2203"/>
      </w:tblGrid>
      <w:tr w:rsidR="00AB025E" w:rsidRPr="003463BF" w14:paraId="03844078" w14:textId="77777777" w:rsidTr="00AB025E">
        <w:trPr>
          <w:trHeight w:val="755"/>
          <w:tblHeader/>
        </w:trPr>
        <w:tc>
          <w:tcPr>
            <w:tcW w:w="3256" w:type="dxa"/>
          </w:tcPr>
          <w:p w14:paraId="36E90574" w14:textId="77777777" w:rsidR="00AB025E" w:rsidRPr="003463BF" w:rsidRDefault="00AB025E" w:rsidP="00AB025E">
            <w:pPr>
              <w:pStyle w:val="Tabletext"/>
              <w:rPr>
                <w:b/>
                <w:bCs/>
              </w:rPr>
            </w:pPr>
            <w:r w:rsidRPr="003463BF">
              <w:rPr>
                <w:b/>
                <w:bCs/>
              </w:rPr>
              <w:t>Product / grade</w:t>
            </w:r>
          </w:p>
        </w:tc>
        <w:tc>
          <w:tcPr>
            <w:tcW w:w="2203" w:type="dxa"/>
          </w:tcPr>
          <w:p w14:paraId="24830EC8" w14:textId="77777777" w:rsidR="00AB025E" w:rsidRPr="003463BF" w:rsidRDefault="00AB025E" w:rsidP="003F514F">
            <w:pPr>
              <w:pStyle w:val="Tabletext"/>
              <w:jc w:val="center"/>
              <w:rPr>
                <w:b/>
                <w:bCs/>
              </w:rPr>
            </w:pPr>
            <w:r w:rsidRPr="003463BF">
              <w:rPr>
                <w:b/>
                <w:bCs/>
              </w:rPr>
              <w:t>All species – all grades</w:t>
            </w:r>
          </w:p>
          <w:p w14:paraId="52DAC7C0" w14:textId="08CA4F31" w:rsidR="00AB025E" w:rsidRPr="003463BF" w:rsidRDefault="00AB025E" w:rsidP="003F514F">
            <w:pPr>
              <w:pStyle w:val="Tabletext"/>
              <w:jc w:val="center"/>
              <w:rPr>
                <w:b/>
                <w:bCs/>
              </w:rPr>
            </w:pPr>
            <w:r w:rsidRPr="003463BF">
              <w:rPr>
                <w:b/>
                <w:bCs/>
              </w:rPr>
              <w:t>$/</w:t>
            </w:r>
            <w:r w:rsidR="00564079" w:rsidRPr="003463BF">
              <w:t>m</w:t>
            </w:r>
            <w:r w:rsidR="00564079" w:rsidRPr="003463BF">
              <w:rPr>
                <w:vertAlign w:val="superscript"/>
              </w:rPr>
              <w:t>3</w:t>
            </w:r>
          </w:p>
        </w:tc>
        <w:tc>
          <w:tcPr>
            <w:tcW w:w="2203" w:type="dxa"/>
          </w:tcPr>
          <w:p w14:paraId="2E2DFA53" w14:textId="77777777" w:rsidR="00AB025E" w:rsidRPr="003463BF" w:rsidRDefault="00AB025E" w:rsidP="003F514F">
            <w:pPr>
              <w:pStyle w:val="Tabletext"/>
              <w:jc w:val="center"/>
              <w:rPr>
                <w:b/>
                <w:bCs/>
              </w:rPr>
            </w:pPr>
            <w:r w:rsidRPr="003463BF">
              <w:rPr>
                <w:b/>
                <w:bCs/>
              </w:rPr>
              <w:t>All species – all grades</w:t>
            </w:r>
          </w:p>
          <w:p w14:paraId="34E9195F" w14:textId="77777777" w:rsidR="00AB025E" w:rsidRPr="003463BF" w:rsidRDefault="00AB025E" w:rsidP="003F514F">
            <w:pPr>
              <w:pStyle w:val="Tabletext"/>
              <w:jc w:val="center"/>
              <w:rPr>
                <w:b/>
                <w:bCs/>
              </w:rPr>
            </w:pPr>
            <w:r w:rsidRPr="003463BF">
              <w:rPr>
                <w:b/>
                <w:bCs/>
              </w:rPr>
              <w:t>$/piece</w:t>
            </w:r>
          </w:p>
        </w:tc>
        <w:tc>
          <w:tcPr>
            <w:tcW w:w="2203" w:type="dxa"/>
          </w:tcPr>
          <w:p w14:paraId="6D7F1578" w14:textId="77777777" w:rsidR="00AB025E" w:rsidRPr="003463BF" w:rsidRDefault="00AB025E" w:rsidP="003F514F">
            <w:pPr>
              <w:pStyle w:val="Tabletext"/>
              <w:jc w:val="center"/>
              <w:rPr>
                <w:b/>
                <w:bCs/>
              </w:rPr>
            </w:pPr>
            <w:r w:rsidRPr="003463BF">
              <w:rPr>
                <w:b/>
                <w:bCs/>
              </w:rPr>
              <w:t>All species – all grades</w:t>
            </w:r>
          </w:p>
          <w:p w14:paraId="3F679321" w14:textId="77777777" w:rsidR="00AB025E" w:rsidRPr="003463BF" w:rsidRDefault="00AB025E" w:rsidP="003F514F">
            <w:pPr>
              <w:pStyle w:val="Tabletext"/>
              <w:jc w:val="center"/>
              <w:rPr>
                <w:b/>
                <w:bCs/>
              </w:rPr>
            </w:pPr>
            <w:r w:rsidRPr="003463BF">
              <w:rPr>
                <w:b/>
                <w:bCs/>
              </w:rPr>
              <w:t>$/tonne</w:t>
            </w:r>
          </w:p>
        </w:tc>
      </w:tr>
      <w:tr w:rsidR="00AB025E" w:rsidRPr="003463BF" w14:paraId="0CDE443F" w14:textId="77777777" w:rsidTr="007F748D">
        <w:trPr>
          <w:trHeight w:val="567"/>
        </w:trPr>
        <w:tc>
          <w:tcPr>
            <w:tcW w:w="3256" w:type="dxa"/>
            <w:vAlign w:val="center"/>
          </w:tcPr>
          <w:p w14:paraId="03A9E927" w14:textId="77777777" w:rsidR="00AB025E" w:rsidRPr="003463BF" w:rsidRDefault="00AB025E" w:rsidP="00564079">
            <w:pPr>
              <w:pStyle w:val="Tabletext"/>
            </w:pPr>
            <w:r w:rsidRPr="003463BF">
              <w:t>Fencing</w:t>
            </w:r>
          </w:p>
        </w:tc>
        <w:tc>
          <w:tcPr>
            <w:tcW w:w="2203" w:type="dxa"/>
            <w:vAlign w:val="center"/>
          </w:tcPr>
          <w:p w14:paraId="2862416E" w14:textId="77777777" w:rsidR="00AB025E" w:rsidRPr="003463BF" w:rsidRDefault="00AB025E" w:rsidP="003F514F">
            <w:pPr>
              <w:pStyle w:val="Tabletext"/>
              <w:jc w:val="center"/>
            </w:pPr>
            <w:r w:rsidRPr="003463BF">
              <w:t>120</w:t>
            </w:r>
          </w:p>
        </w:tc>
        <w:tc>
          <w:tcPr>
            <w:tcW w:w="2203" w:type="dxa"/>
            <w:vAlign w:val="center"/>
          </w:tcPr>
          <w:p w14:paraId="5C74DEA5" w14:textId="77777777" w:rsidR="00AB025E" w:rsidRPr="003463BF" w:rsidRDefault="00AB025E" w:rsidP="003F514F">
            <w:pPr>
              <w:pStyle w:val="Tabletext"/>
              <w:jc w:val="center"/>
            </w:pPr>
            <w:r w:rsidRPr="003463BF">
              <w:t>20</w:t>
            </w:r>
          </w:p>
        </w:tc>
        <w:tc>
          <w:tcPr>
            <w:tcW w:w="2203" w:type="dxa"/>
            <w:vAlign w:val="center"/>
          </w:tcPr>
          <w:p w14:paraId="0A8E36F0" w14:textId="47C7387A" w:rsidR="00AB025E" w:rsidRPr="003463BF" w:rsidRDefault="00241796" w:rsidP="003F514F">
            <w:pPr>
              <w:pStyle w:val="Tabletext"/>
              <w:jc w:val="center"/>
            </w:pPr>
            <w:r w:rsidRPr="003463BF">
              <w:t>n/a</w:t>
            </w:r>
          </w:p>
        </w:tc>
      </w:tr>
      <w:tr w:rsidR="00564079" w:rsidRPr="003463BF" w14:paraId="627CA6E8" w14:textId="77777777" w:rsidTr="007F748D">
        <w:trPr>
          <w:trHeight w:val="567"/>
        </w:trPr>
        <w:tc>
          <w:tcPr>
            <w:tcW w:w="3256" w:type="dxa"/>
            <w:vAlign w:val="center"/>
          </w:tcPr>
          <w:p w14:paraId="45ECDB0F" w14:textId="77777777" w:rsidR="00564079" w:rsidRPr="003463BF" w:rsidRDefault="00564079" w:rsidP="00564079">
            <w:pPr>
              <w:pStyle w:val="Tabletext"/>
            </w:pPr>
            <w:r w:rsidRPr="003463BF">
              <w:t>Firewood</w:t>
            </w:r>
          </w:p>
        </w:tc>
        <w:tc>
          <w:tcPr>
            <w:tcW w:w="2203" w:type="dxa"/>
            <w:vAlign w:val="center"/>
          </w:tcPr>
          <w:p w14:paraId="2A9CB4CE" w14:textId="77777777" w:rsidR="00564079" w:rsidRPr="003463BF" w:rsidRDefault="00564079" w:rsidP="003F514F">
            <w:pPr>
              <w:pStyle w:val="Tabletext"/>
              <w:jc w:val="center"/>
            </w:pPr>
            <w:r w:rsidRPr="003463BF">
              <w:t>80</w:t>
            </w:r>
          </w:p>
        </w:tc>
        <w:tc>
          <w:tcPr>
            <w:tcW w:w="2203" w:type="dxa"/>
            <w:vAlign w:val="center"/>
          </w:tcPr>
          <w:p w14:paraId="58D0FAF5" w14:textId="6F4F5A6D" w:rsidR="00564079" w:rsidRPr="003463BF" w:rsidRDefault="00241796" w:rsidP="003F514F">
            <w:pPr>
              <w:pStyle w:val="Tabletext"/>
              <w:jc w:val="center"/>
            </w:pPr>
            <w:r w:rsidRPr="003463BF">
              <w:t>n/a</w:t>
            </w:r>
          </w:p>
        </w:tc>
        <w:tc>
          <w:tcPr>
            <w:tcW w:w="2203" w:type="dxa"/>
            <w:vAlign w:val="center"/>
          </w:tcPr>
          <w:p w14:paraId="643864B7" w14:textId="77777777" w:rsidR="00564079" w:rsidRPr="003463BF" w:rsidRDefault="00564079" w:rsidP="003F514F">
            <w:pPr>
              <w:pStyle w:val="Tabletext"/>
              <w:jc w:val="center"/>
            </w:pPr>
            <w:r w:rsidRPr="003463BF">
              <w:t>100</w:t>
            </w:r>
          </w:p>
        </w:tc>
      </w:tr>
      <w:tr w:rsidR="00564079" w:rsidRPr="003463BF" w14:paraId="44E2F333" w14:textId="77777777" w:rsidTr="007F748D">
        <w:trPr>
          <w:trHeight w:val="567"/>
        </w:trPr>
        <w:tc>
          <w:tcPr>
            <w:tcW w:w="3256" w:type="dxa"/>
            <w:vAlign w:val="center"/>
          </w:tcPr>
          <w:p w14:paraId="631BF7BB" w14:textId="77777777" w:rsidR="00564079" w:rsidRPr="003463BF" w:rsidRDefault="00564079" w:rsidP="00564079">
            <w:pPr>
              <w:pStyle w:val="Tabletext"/>
            </w:pPr>
            <w:r w:rsidRPr="003463BF">
              <w:t>Wood chop logs</w:t>
            </w:r>
          </w:p>
        </w:tc>
        <w:tc>
          <w:tcPr>
            <w:tcW w:w="2203" w:type="dxa"/>
            <w:vAlign w:val="center"/>
          </w:tcPr>
          <w:p w14:paraId="42FBBEE3" w14:textId="77777777" w:rsidR="00564079" w:rsidRPr="003463BF" w:rsidRDefault="00564079" w:rsidP="003F514F">
            <w:pPr>
              <w:pStyle w:val="Tabletext"/>
              <w:jc w:val="center"/>
            </w:pPr>
            <w:r w:rsidRPr="003463BF">
              <w:t>150</w:t>
            </w:r>
          </w:p>
        </w:tc>
        <w:tc>
          <w:tcPr>
            <w:tcW w:w="2203" w:type="dxa"/>
            <w:vAlign w:val="center"/>
          </w:tcPr>
          <w:p w14:paraId="4ED6F144" w14:textId="4B2034DA" w:rsidR="00564079" w:rsidRPr="003463BF" w:rsidRDefault="00241796" w:rsidP="003F514F">
            <w:pPr>
              <w:pStyle w:val="Tabletext"/>
              <w:jc w:val="center"/>
            </w:pPr>
            <w:r w:rsidRPr="003463BF">
              <w:t>n/a</w:t>
            </w:r>
          </w:p>
        </w:tc>
        <w:tc>
          <w:tcPr>
            <w:tcW w:w="2203" w:type="dxa"/>
            <w:vAlign w:val="center"/>
          </w:tcPr>
          <w:p w14:paraId="26F29FA3" w14:textId="4C1EE323" w:rsidR="00564079" w:rsidRPr="003463BF" w:rsidRDefault="00241796" w:rsidP="003F514F">
            <w:pPr>
              <w:pStyle w:val="Tabletext"/>
              <w:jc w:val="center"/>
            </w:pPr>
            <w:r w:rsidRPr="003463BF">
              <w:t>n/a</w:t>
            </w:r>
          </w:p>
        </w:tc>
      </w:tr>
    </w:tbl>
    <w:p w14:paraId="6840F029" w14:textId="0513ABF6" w:rsidR="00AB025E" w:rsidRPr="003463BF" w:rsidRDefault="00AB025E" w:rsidP="00AB025E">
      <w:pPr>
        <w:pStyle w:val="Caption"/>
        <w:keepNext/>
        <w:spacing w:before="360"/>
        <w:rPr>
          <w:bCs/>
          <w:lang w:val="en-GB"/>
        </w:rPr>
      </w:pPr>
      <w:r w:rsidRPr="003463BF">
        <w:t xml:space="preserve">Table </w:t>
      </w:r>
      <w:r w:rsidRPr="003463BF">
        <w:fldChar w:fldCharType="begin"/>
      </w:r>
      <w:r w:rsidRPr="003463BF">
        <w:instrText>SEQ Table \* ARABIC</w:instrText>
      </w:r>
      <w:r w:rsidRPr="003463BF">
        <w:fldChar w:fldCharType="separate"/>
      </w:r>
      <w:r w:rsidRPr="003463BF">
        <w:rPr>
          <w:noProof/>
        </w:rPr>
        <w:t>2</w:t>
      </w:r>
      <w:r w:rsidRPr="003463BF">
        <w:fldChar w:fldCharType="end"/>
      </w:r>
      <w:r w:rsidRPr="003463BF">
        <w:t xml:space="preserve">: </w:t>
      </w:r>
      <w:r w:rsidRPr="003463BF">
        <w:rPr>
          <w:bCs/>
          <w:lang w:val="en-GB"/>
        </w:rPr>
        <w:t>Schedule of rates for Box Ironbark, Red Gum and durable species and Common and Mixed species sawlog</w:t>
      </w:r>
    </w:p>
    <w:tbl>
      <w:tblPr>
        <w:tblStyle w:val="TableGrid"/>
        <w:tblW w:w="9865" w:type="dxa"/>
        <w:tblLayout w:type="fixed"/>
        <w:tblLook w:val="0020" w:firstRow="1" w:lastRow="0" w:firstColumn="0" w:lastColumn="0" w:noHBand="0" w:noVBand="0"/>
      </w:tblPr>
      <w:tblGrid>
        <w:gridCol w:w="3256"/>
        <w:gridCol w:w="2203"/>
        <w:gridCol w:w="2203"/>
        <w:gridCol w:w="2203"/>
      </w:tblGrid>
      <w:tr w:rsidR="00AB025E" w:rsidRPr="003463BF" w14:paraId="21484166" w14:textId="77777777" w:rsidTr="00AB025E">
        <w:trPr>
          <w:trHeight w:val="755"/>
          <w:tblHeader/>
        </w:trPr>
        <w:tc>
          <w:tcPr>
            <w:tcW w:w="3256" w:type="dxa"/>
          </w:tcPr>
          <w:p w14:paraId="2FCB7DE7" w14:textId="77777777" w:rsidR="00AB025E" w:rsidRPr="003463BF" w:rsidRDefault="00AB025E" w:rsidP="00AB025E">
            <w:pPr>
              <w:pStyle w:val="Tabletext"/>
              <w:rPr>
                <w:b/>
                <w:bCs/>
              </w:rPr>
            </w:pPr>
            <w:r w:rsidRPr="003463BF">
              <w:rPr>
                <w:b/>
                <w:bCs/>
              </w:rPr>
              <w:t>Product / grade</w:t>
            </w:r>
          </w:p>
        </w:tc>
        <w:tc>
          <w:tcPr>
            <w:tcW w:w="2203" w:type="dxa"/>
          </w:tcPr>
          <w:p w14:paraId="2CA9D43F" w14:textId="77777777" w:rsidR="00AB025E" w:rsidRPr="003463BF" w:rsidRDefault="00AB025E" w:rsidP="003F514F">
            <w:pPr>
              <w:pStyle w:val="Tabletext"/>
              <w:jc w:val="center"/>
              <w:rPr>
                <w:b/>
                <w:bCs/>
              </w:rPr>
            </w:pPr>
            <w:r w:rsidRPr="003463BF">
              <w:rPr>
                <w:b/>
                <w:bCs/>
              </w:rPr>
              <w:t>Class/grade 1</w:t>
            </w:r>
          </w:p>
          <w:p w14:paraId="0A4039C0" w14:textId="1F65F8E1" w:rsidR="00AB025E" w:rsidRPr="003463BF" w:rsidRDefault="00AB025E" w:rsidP="003F514F">
            <w:pPr>
              <w:pStyle w:val="Tabletext"/>
              <w:jc w:val="center"/>
              <w:rPr>
                <w:b/>
                <w:bCs/>
              </w:rPr>
            </w:pPr>
            <w:r w:rsidRPr="003463BF">
              <w:rPr>
                <w:b/>
                <w:bCs/>
              </w:rPr>
              <w:t>$/</w:t>
            </w:r>
            <w:r w:rsidR="00564079" w:rsidRPr="003463BF">
              <w:t>m</w:t>
            </w:r>
            <w:r w:rsidR="00564079" w:rsidRPr="003463BF">
              <w:rPr>
                <w:vertAlign w:val="superscript"/>
              </w:rPr>
              <w:t>3</w:t>
            </w:r>
          </w:p>
        </w:tc>
        <w:tc>
          <w:tcPr>
            <w:tcW w:w="2203" w:type="dxa"/>
          </w:tcPr>
          <w:p w14:paraId="5CF42B74" w14:textId="77777777" w:rsidR="00AB025E" w:rsidRPr="003463BF" w:rsidRDefault="00AB025E" w:rsidP="003F514F">
            <w:pPr>
              <w:pStyle w:val="Tabletext"/>
              <w:jc w:val="center"/>
              <w:rPr>
                <w:b/>
                <w:bCs/>
              </w:rPr>
            </w:pPr>
            <w:r w:rsidRPr="003463BF">
              <w:rPr>
                <w:b/>
                <w:bCs/>
              </w:rPr>
              <w:t>Class/grade 2</w:t>
            </w:r>
          </w:p>
          <w:p w14:paraId="1E33DD88" w14:textId="5ACFAF0A" w:rsidR="00AB025E" w:rsidRPr="003463BF" w:rsidRDefault="00AB025E" w:rsidP="003F514F">
            <w:pPr>
              <w:pStyle w:val="Tabletext"/>
              <w:jc w:val="center"/>
              <w:rPr>
                <w:b/>
                <w:bCs/>
              </w:rPr>
            </w:pPr>
            <w:r w:rsidRPr="003463BF">
              <w:rPr>
                <w:b/>
                <w:bCs/>
              </w:rPr>
              <w:t>$/</w:t>
            </w:r>
            <w:r w:rsidR="00564079" w:rsidRPr="003463BF">
              <w:t>m</w:t>
            </w:r>
            <w:r w:rsidR="00564079" w:rsidRPr="003463BF">
              <w:rPr>
                <w:vertAlign w:val="superscript"/>
              </w:rPr>
              <w:t>3</w:t>
            </w:r>
          </w:p>
        </w:tc>
        <w:tc>
          <w:tcPr>
            <w:tcW w:w="2203" w:type="dxa"/>
          </w:tcPr>
          <w:p w14:paraId="46C65C75" w14:textId="77777777" w:rsidR="00AB025E" w:rsidRPr="003463BF" w:rsidRDefault="00AB025E" w:rsidP="003F514F">
            <w:pPr>
              <w:pStyle w:val="Tabletext"/>
              <w:jc w:val="center"/>
              <w:rPr>
                <w:b/>
                <w:bCs/>
              </w:rPr>
            </w:pPr>
            <w:r w:rsidRPr="003463BF">
              <w:rPr>
                <w:b/>
                <w:bCs/>
              </w:rPr>
              <w:t>Class/grade 3</w:t>
            </w:r>
          </w:p>
          <w:p w14:paraId="42D5DB3B" w14:textId="47637ADD" w:rsidR="00AB025E" w:rsidRPr="003463BF" w:rsidRDefault="00AB025E" w:rsidP="003F514F">
            <w:pPr>
              <w:pStyle w:val="Tabletext"/>
              <w:jc w:val="center"/>
              <w:rPr>
                <w:b/>
                <w:bCs/>
              </w:rPr>
            </w:pPr>
            <w:r w:rsidRPr="003463BF">
              <w:rPr>
                <w:b/>
                <w:bCs/>
              </w:rPr>
              <w:t>$/</w:t>
            </w:r>
            <w:r w:rsidR="00564079" w:rsidRPr="003463BF">
              <w:t>m</w:t>
            </w:r>
            <w:r w:rsidR="00564079" w:rsidRPr="003463BF">
              <w:rPr>
                <w:vertAlign w:val="superscript"/>
              </w:rPr>
              <w:t>3</w:t>
            </w:r>
          </w:p>
        </w:tc>
      </w:tr>
      <w:tr w:rsidR="00AB025E" w:rsidRPr="003463BF" w14:paraId="7004C967" w14:textId="77777777" w:rsidTr="007F748D">
        <w:trPr>
          <w:trHeight w:val="567"/>
        </w:trPr>
        <w:tc>
          <w:tcPr>
            <w:tcW w:w="3256" w:type="dxa"/>
            <w:vAlign w:val="center"/>
          </w:tcPr>
          <w:p w14:paraId="6C01AD29" w14:textId="77777777" w:rsidR="00AB025E" w:rsidRPr="003463BF" w:rsidRDefault="00AB025E" w:rsidP="00564079">
            <w:pPr>
              <w:pStyle w:val="Tabletext"/>
            </w:pPr>
            <w:r w:rsidRPr="003463BF">
              <w:t>Box - Ironbark</w:t>
            </w:r>
          </w:p>
        </w:tc>
        <w:tc>
          <w:tcPr>
            <w:tcW w:w="2203" w:type="dxa"/>
            <w:vAlign w:val="center"/>
          </w:tcPr>
          <w:p w14:paraId="175CE633" w14:textId="77777777" w:rsidR="00AB025E" w:rsidRPr="003463BF" w:rsidRDefault="00AB025E" w:rsidP="003F514F">
            <w:pPr>
              <w:pStyle w:val="Tabletext"/>
              <w:jc w:val="center"/>
            </w:pPr>
            <w:r w:rsidRPr="003463BF">
              <w:t>350</w:t>
            </w:r>
          </w:p>
        </w:tc>
        <w:tc>
          <w:tcPr>
            <w:tcW w:w="2203" w:type="dxa"/>
            <w:vAlign w:val="center"/>
          </w:tcPr>
          <w:p w14:paraId="61F7E002" w14:textId="77777777" w:rsidR="00AB025E" w:rsidRPr="003463BF" w:rsidRDefault="00AB025E" w:rsidP="003F514F">
            <w:pPr>
              <w:pStyle w:val="Tabletext"/>
              <w:jc w:val="center"/>
            </w:pPr>
            <w:r w:rsidRPr="003463BF">
              <w:t>225</w:t>
            </w:r>
          </w:p>
        </w:tc>
        <w:tc>
          <w:tcPr>
            <w:tcW w:w="2203" w:type="dxa"/>
            <w:vAlign w:val="center"/>
          </w:tcPr>
          <w:p w14:paraId="7D599061" w14:textId="77777777" w:rsidR="00AB025E" w:rsidRPr="003463BF" w:rsidRDefault="00AB025E" w:rsidP="003F514F">
            <w:pPr>
              <w:pStyle w:val="Tabletext"/>
              <w:jc w:val="center"/>
            </w:pPr>
            <w:r w:rsidRPr="003463BF">
              <w:t>n.a</w:t>
            </w:r>
          </w:p>
        </w:tc>
      </w:tr>
      <w:tr w:rsidR="00AB025E" w:rsidRPr="003463BF" w14:paraId="2539F083" w14:textId="77777777" w:rsidTr="007F748D">
        <w:trPr>
          <w:trHeight w:val="567"/>
        </w:trPr>
        <w:tc>
          <w:tcPr>
            <w:tcW w:w="3256" w:type="dxa"/>
            <w:vAlign w:val="center"/>
          </w:tcPr>
          <w:p w14:paraId="02AF717A" w14:textId="77777777" w:rsidR="00AB025E" w:rsidRPr="003463BF" w:rsidRDefault="00AB025E" w:rsidP="00564079">
            <w:pPr>
              <w:pStyle w:val="Tabletext"/>
            </w:pPr>
            <w:r w:rsidRPr="003463BF">
              <w:t>Red Gum, speciality, and</w:t>
            </w:r>
            <w:r w:rsidRPr="003463BF">
              <w:br/>
              <w:t>durable species</w:t>
            </w:r>
          </w:p>
        </w:tc>
        <w:tc>
          <w:tcPr>
            <w:tcW w:w="2203" w:type="dxa"/>
            <w:vAlign w:val="center"/>
          </w:tcPr>
          <w:p w14:paraId="1FA10EF1" w14:textId="77777777" w:rsidR="00AB025E" w:rsidRPr="003463BF" w:rsidRDefault="00AB025E" w:rsidP="003F514F">
            <w:pPr>
              <w:pStyle w:val="Tabletext"/>
              <w:jc w:val="center"/>
            </w:pPr>
            <w:r w:rsidRPr="003463BF">
              <w:t>350</w:t>
            </w:r>
          </w:p>
        </w:tc>
        <w:tc>
          <w:tcPr>
            <w:tcW w:w="2203" w:type="dxa"/>
            <w:vAlign w:val="center"/>
          </w:tcPr>
          <w:p w14:paraId="00C7012F" w14:textId="77777777" w:rsidR="00AB025E" w:rsidRPr="003463BF" w:rsidRDefault="00AB025E" w:rsidP="003F514F">
            <w:pPr>
              <w:pStyle w:val="Tabletext"/>
              <w:jc w:val="center"/>
            </w:pPr>
            <w:r w:rsidRPr="003463BF">
              <w:t>300</w:t>
            </w:r>
          </w:p>
        </w:tc>
        <w:tc>
          <w:tcPr>
            <w:tcW w:w="2203" w:type="dxa"/>
            <w:vAlign w:val="center"/>
          </w:tcPr>
          <w:p w14:paraId="6D851315" w14:textId="77777777" w:rsidR="00AB025E" w:rsidRPr="003463BF" w:rsidRDefault="00AB025E" w:rsidP="003F514F">
            <w:pPr>
              <w:pStyle w:val="Tabletext"/>
              <w:jc w:val="center"/>
            </w:pPr>
            <w:r w:rsidRPr="003463BF">
              <w:t>140</w:t>
            </w:r>
          </w:p>
        </w:tc>
      </w:tr>
      <w:tr w:rsidR="00AB025E" w:rsidRPr="003463BF" w14:paraId="526E2F05" w14:textId="77777777" w:rsidTr="007F748D">
        <w:trPr>
          <w:trHeight w:val="567"/>
        </w:trPr>
        <w:tc>
          <w:tcPr>
            <w:tcW w:w="3256" w:type="dxa"/>
            <w:vAlign w:val="center"/>
          </w:tcPr>
          <w:p w14:paraId="3ACC9567" w14:textId="77777777" w:rsidR="00AB025E" w:rsidRPr="003463BF" w:rsidRDefault="00AB025E" w:rsidP="00564079">
            <w:pPr>
              <w:pStyle w:val="Tabletext"/>
            </w:pPr>
            <w:r w:rsidRPr="003463BF">
              <w:t>Common and mixed species</w:t>
            </w:r>
          </w:p>
        </w:tc>
        <w:tc>
          <w:tcPr>
            <w:tcW w:w="2203" w:type="dxa"/>
            <w:vAlign w:val="center"/>
          </w:tcPr>
          <w:p w14:paraId="558C52A7" w14:textId="77777777" w:rsidR="00AB025E" w:rsidRPr="003463BF" w:rsidRDefault="00AB025E" w:rsidP="003F514F">
            <w:pPr>
              <w:pStyle w:val="Tabletext"/>
              <w:jc w:val="center"/>
            </w:pPr>
            <w:r w:rsidRPr="003463BF">
              <w:t>300</w:t>
            </w:r>
          </w:p>
        </w:tc>
        <w:tc>
          <w:tcPr>
            <w:tcW w:w="2203" w:type="dxa"/>
            <w:vAlign w:val="center"/>
          </w:tcPr>
          <w:p w14:paraId="034BC064" w14:textId="77777777" w:rsidR="00AB025E" w:rsidRPr="003463BF" w:rsidRDefault="00AB025E" w:rsidP="003F514F">
            <w:pPr>
              <w:pStyle w:val="Tabletext"/>
              <w:jc w:val="center"/>
            </w:pPr>
            <w:r w:rsidRPr="003463BF">
              <w:t>140</w:t>
            </w:r>
          </w:p>
        </w:tc>
        <w:tc>
          <w:tcPr>
            <w:tcW w:w="2203" w:type="dxa"/>
            <w:vAlign w:val="center"/>
          </w:tcPr>
          <w:p w14:paraId="0C206924" w14:textId="77777777" w:rsidR="00AB025E" w:rsidRPr="003463BF" w:rsidRDefault="00AB025E" w:rsidP="003F514F">
            <w:pPr>
              <w:pStyle w:val="Tabletext"/>
              <w:jc w:val="center"/>
            </w:pPr>
            <w:r w:rsidRPr="003463BF">
              <w:t>125</w:t>
            </w:r>
          </w:p>
        </w:tc>
      </w:tr>
    </w:tbl>
    <w:p w14:paraId="2A095563" w14:textId="757D06FD" w:rsidR="00F26E05" w:rsidRPr="003463BF" w:rsidRDefault="00F26E05" w:rsidP="00B0318F">
      <w:pPr>
        <w:pStyle w:val="BodyText"/>
        <w:spacing w:before="360"/>
      </w:pPr>
      <w:r w:rsidRPr="003463BF">
        <w:lastRenderedPageBreak/>
        <w:t>If a Forest Produce Licensee</w:t>
      </w:r>
      <w:r w:rsidR="00444C0E" w:rsidRPr="003463BF">
        <w:t>,</w:t>
      </w:r>
      <w:r w:rsidR="00B0318F" w:rsidRPr="003463BF">
        <w:t xml:space="preserve"> Forest Produce Agreement </w:t>
      </w:r>
      <w:r w:rsidR="00444C0E" w:rsidRPr="003463BF">
        <w:t>holder or Timber Sale Agreement holder</w:t>
      </w:r>
      <w:r w:rsidRPr="003463BF">
        <w:t xml:space="preserve"> engages a harvest and</w:t>
      </w:r>
      <w:r w:rsidR="009C2621" w:rsidRPr="003463BF">
        <w:t>/or</w:t>
      </w:r>
      <w:r w:rsidRPr="003463BF">
        <w:t xml:space="preserve"> haulage contractor to harvest and</w:t>
      </w:r>
      <w:r w:rsidR="009C2621" w:rsidRPr="003463BF">
        <w:t>/or</w:t>
      </w:r>
      <w:r w:rsidRPr="003463BF">
        <w:t xml:space="preserve"> deliver the timber, payment of the harvest and</w:t>
      </w:r>
      <w:r w:rsidR="009C2621" w:rsidRPr="003463BF">
        <w:t>/or</w:t>
      </w:r>
      <w:r w:rsidRPr="003463BF">
        <w:t xml:space="preserve"> haul</w:t>
      </w:r>
      <w:r w:rsidR="009C2621" w:rsidRPr="003463BF">
        <w:t>age</w:t>
      </w:r>
      <w:r w:rsidRPr="003463BF">
        <w:t xml:space="preserve"> component of the timber price will be based on the evidence of that amount being made to the relevant harvest and haulage contractor.</w:t>
      </w:r>
    </w:p>
    <w:p w14:paraId="431D850A" w14:textId="77777777" w:rsidR="00F26E05" w:rsidRPr="003463BF" w:rsidRDefault="00F26E05" w:rsidP="006466AF">
      <w:pPr>
        <w:pStyle w:val="BodyText"/>
      </w:pPr>
      <w:r w:rsidRPr="003463BF">
        <w:t>The conversion rates in Table 3 have been used to determine the schedule of rates in Table 1.</w:t>
      </w:r>
    </w:p>
    <w:p w14:paraId="0163289C" w14:textId="62BD1E55" w:rsidR="00AB025E" w:rsidRPr="003463BF" w:rsidRDefault="00AB025E" w:rsidP="00AB025E">
      <w:pPr>
        <w:pStyle w:val="Caption"/>
        <w:keepNext/>
        <w:rPr>
          <w:bCs/>
          <w:lang w:val="en-GB"/>
        </w:rPr>
      </w:pPr>
      <w:r w:rsidRPr="003463BF">
        <w:t xml:space="preserve">Table </w:t>
      </w:r>
      <w:r w:rsidRPr="003463BF">
        <w:fldChar w:fldCharType="begin"/>
      </w:r>
      <w:r w:rsidRPr="003463BF">
        <w:instrText>SEQ Table \* ARABIC</w:instrText>
      </w:r>
      <w:r w:rsidRPr="003463BF">
        <w:fldChar w:fldCharType="separate"/>
      </w:r>
      <w:r w:rsidRPr="003463BF">
        <w:rPr>
          <w:noProof/>
        </w:rPr>
        <w:t>3</w:t>
      </w:r>
      <w:r w:rsidRPr="003463BF">
        <w:fldChar w:fldCharType="end"/>
      </w:r>
      <w:r w:rsidRPr="003463BF">
        <w:t xml:space="preserve">: </w:t>
      </w:r>
      <w:r w:rsidRPr="003463BF">
        <w:rPr>
          <w:bCs/>
          <w:lang w:val="en-GB"/>
        </w:rPr>
        <w:t>Conversion rates</w:t>
      </w:r>
    </w:p>
    <w:tbl>
      <w:tblPr>
        <w:tblStyle w:val="TableGrid"/>
        <w:tblW w:w="9918" w:type="dxa"/>
        <w:tblLayout w:type="fixed"/>
        <w:tblLook w:val="0020" w:firstRow="1" w:lastRow="0" w:firstColumn="0" w:lastColumn="0" w:noHBand="0" w:noVBand="0"/>
      </w:tblPr>
      <w:tblGrid>
        <w:gridCol w:w="3256"/>
        <w:gridCol w:w="3331"/>
        <w:gridCol w:w="3331"/>
      </w:tblGrid>
      <w:tr w:rsidR="00AB025E" w:rsidRPr="003463BF" w14:paraId="10A5A8B4" w14:textId="77777777" w:rsidTr="00904039">
        <w:trPr>
          <w:trHeight w:val="567"/>
          <w:tblHeader/>
        </w:trPr>
        <w:tc>
          <w:tcPr>
            <w:tcW w:w="3256" w:type="dxa"/>
            <w:vAlign w:val="center"/>
          </w:tcPr>
          <w:p w14:paraId="4C2DBF65" w14:textId="77777777" w:rsidR="00AB025E" w:rsidRPr="003463BF" w:rsidRDefault="00AB025E" w:rsidP="00904039">
            <w:pPr>
              <w:pStyle w:val="Tabletext"/>
              <w:rPr>
                <w:b/>
                <w:bCs/>
              </w:rPr>
            </w:pPr>
            <w:r w:rsidRPr="003463BF">
              <w:rPr>
                <w:b/>
                <w:bCs/>
              </w:rPr>
              <w:t>Original Unit</w:t>
            </w:r>
          </w:p>
        </w:tc>
        <w:tc>
          <w:tcPr>
            <w:tcW w:w="3331" w:type="dxa"/>
            <w:vAlign w:val="center"/>
          </w:tcPr>
          <w:p w14:paraId="12145CC3" w14:textId="77777777" w:rsidR="00AB025E" w:rsidRPr="003463BF" w:rsidRDefault="00AB025E" w:rsidP="003F514F">
            <w:pPr>
              <w:pStyle w:val="Tabletext"/>
              <w:jc w:val="center"/>
              <w:rPr>
                <w:b/>
                <w:bCs/>
              </w:rPr>
            </w:pPr>
            <w:r w:rsidRPr="003463BF">
              <w:rPr>
                <w:b/>
                <w:bCs/>
              </w:rPr>
              <w:t>Conversion Rate</w:t>
            </w:r>
          </w:p>
        </w:tc>
        <w:tc>
          <w:tcPr>
            <w:tcW w:w="3331" w:type="dxa"/>
            <w:vAlign w:val="center"/>
          </w:tcPr>
          <w:p w14:paraId="32375ADD" w14:textId="77777777" w:rsidR="00AB025E" w:rsidRPr="003463BF" w:rsidRDefault="00AB025E" w:rsidP="003F514F">
            <w:pPr>
              <w:pStyle w:val="Tabletext"/>
              <w:jc w:val="center"/>
              <w:rPr>
                <w:b/>
                <w:bCs/>
              </w:rPr>
            </w:pPr>
            <w:r w:rsidRPr="003463BF">
              <w:rPr>
                <w:b/>
                <w:bCs/>
              </w:rPr>
              <w:t>Converted Unit</w:t>
            </w:r>
          </w:p>
        </w:tc>
      </w:tr>
      <w:tr w:rsidR="00AB025E" w:rsidRPr="003463BF" w14:paraId="351716D0" w14:textId="77777777" w:rsidTr="00904039">
        <w:trPr>
          <w:trHeight w:val="567"/>
        </w:trPr>
        <w:tc>
          <w:tcPr>
            <w:tcW w:w="3256" w:type="dxa"/>
            <w:vAlign w:val="center"/>
          </w:tcPr>
          <w:p w14:paraId="3E45C1C1" w14:textId="52AD34B1" w:rsidR="00AB025E" w:rsidRPr="003463BF" w:rsidRDefault="00AB025E" w:rsidP="00904039">
            <w:pPr>
              <w:pStyle w:val="Tabletext"/>
            </w:pPr>
            <w:r w:rsidRPr="003463BF">
              <w:t>Stacked cubic metre (s</w:t>
            </w:r>
            <w:r w:rsidR="00564079" w:rsidRPr="003463BF">
              <w:t>m</w:t>
            </w:r>
            <w:r w:rsidR="00564079" w:rsidRPr="003463BF">
              <w:rPr>
                <w:vertAlign w:val="superscript"/>
              </w:rPr>
              <w:t>3</w:t>
            </w:r>
            <w:r w:rsidRPr="003463BF">
              <w:t>)</w:t>
            </w:r>
          </w:p>
        </w:tc>
        <w:tc>
          <w:tcPr>
            <w:tcW w:w="3331" w:type="dxa"/>
            <w:vAlign w:val="center"/>
          </w:tcPr>
          <w:p w14:paraId="1526E414" w14:textId="694EFEE8" w:rsidR="00AB025E" w:rsidRPr="003463BF" w:rsidRDefault="00AB025E" w:rsidP="003F514F">
            <w:pPr>
              <w:pStyle w:val="Tabletext"/>
              <w:jc w:val="center"/>
            </w:pPr>
            <w:r w:rsidRPr="003463BF">
              <w:t>0.</w:t>
            </w:r>
            <w:r w:rsidR="00EA5875" w:rsidRPr="003463BF">
              <w:t>8</w:t>
            </w:r>
          </w:p>
        </w:tc>
        <w:tc>
          <w:tcPr>
            <w:tcW w:w="3331" w:type="dxa"/>
            <w:vAlign w:val="center"/>
          </w:tcPr>
          <w:p w14:paraId="10089A60" w14:textId="670A5EDA" w:rsidR="00AB025E" w:rsidRPr="003463BF" w:rsidRDefault="00564079" w:rsidP="003F514F">
            <w:pPr>
              <w:pStyle w:val="Tabletext"/>
              <w:jc w:val="center"/>
            </w:pPr>
            <w:r w:rsidRPr="003463BF">
              <w:t>m</w:t>
            </w:r>
            <w:r w:rsidRPr="003463BF">
              <w:rPr>
                <w:vertAlign w:val="superscript"/>
              </w:rPr>
              <w:t>3</w:t>
            </w:r>
          </w:p>
        </w:tc>
      </w:tr>
      <w:tr w:rsidR="00AB025E" w:rsidRPr="003463BF" w14:paraId="6400B463" w14:textId="77777777" w:rsidTr="00904039">
        <w:trPr>
          <w:trHeight w:val="567"/>
        </w:trPr>
        <w:tc>
          <w:tcPr>
            <w:tcW w:w="3256" w:type="dxa"/>
            <w:vAlign w:val="center"/>
          </w:tcPr>
          <w:p w14:paraId="51D2FD68" w14:textId="77777777" w:rsidR="00AB025E" w:rsidRPr="003463BF" w:rsidRDefault="00AB025E" w:rsidP="00904039">
            <w:pPr>
              <w:pStyle w:val="Tabletext"/>
            </w:pPr>
            <w:r w:rsidRPr="003463BF">
              <w:t>Linear metre</w:t>
            </w:r>
          </w:p>
        </w:tc>
        <w:tc>
          <w:tcPr>
            <w:tcW w:w="3331" w:type="dxa"/>
            <w:vAlign w:val="center"/>
          </w:tcPr>
          <w:p w14:paraId="26506270" w14:textId="77777777" w:rsidR="00AB025E" w:rsidRPr="003463BF" w:rsidRDefault="00AB025E" w:rsidP="003F514F">
            <w:pPr>
              <w:pStyle w:val="Tabletext"/>
              <w:jc w:val="center"/>
            </w:pPr>
            <w:r w:rsidRPr="003463BF">
              <w:t>0.3</w:t>
            </w:r>
          </w:p>
        </w:tc>
        <w:tc>
          <w:tcPr>
            <w:tcW w:w="3331" w:type="dxa"/>
            <w:vAlign w:val="center"/>
          </w:tcPr>
          <w:p w14:paraId="74DD2C7D" w14:textId="6D7A82F5" w:rsidR="00AB025E" w:rsidRPr="003463BF" w:rsidRDefault="00564079" w:rsidP="003F514F">
            <w:pPr>
              <w:pStyle w:val="Tabletext"/>
              <w:jc w:val="center"/>
            </w:pPr>
            <w:r w:rsidRPr="003463BF">
              <w:t>m</w:t>
            </w:r>
            <w:r w:rsidRPr="003463BF">
              <w:rPr>
                <w:vertAlign w:val="superscript"/>
              </w:rPr>
              <w:t>3</w:t>
            </w:r>
          </w:p>
        </w:tc>
      </w:tr>
    </w:tbl>
    <w:p w14:paraId="5E85B4CF" w14:textId="77777777" w:rsidR="00F26E05" w:rsidRPr="003463BF" w:rsidRDefault="00F26E05" w:rsidP="00AB025E">
      <w:pPr>
        <w:pStyle w:val="Heading2"/>
        <w:spacing w:before="600"/>
      </w:pPr>
      <w:bookmarkStart w:id="10" w:name="_Toc150953831"/>
      <w:r w:rsidRPr="003463BF">
        <w:t>Component 2: Non-fully depreciated plant and equipment</w:t>
      </w:r>
      <w:bookmarkEnd w:id="10"/>
    </w:p>
    <w:p w14:paraId="4A7663C8" w14:textId="182A006E" w:rsidR="00F26E05" w:rsidRPr="003463BF" w:rsidRDefault="00F26E05" w:rsidP="00F26E05">
      <w:pPr>
        <w:pStyle w:val="BodyText"/>
        <w:rPr>
          <w:lang w:val="en-GB"/>
        </w:rPr>
      </w:pPr>
      <w:r w:rsidRPr="003463BF">
        <w:rPr>
          <w:lang w:val="en-GB"/>
        </w:rPr>
        <w:t xml:space="preserve">The Department will pay the difference between the non-fully depreciated value of </w:t>
      </w:r>
      <w:r w:rsidR="00ED50B8" w:rsidRPr="003463BF">
        <w:rPr>
          <w:lang w:val="en-GB"/>
        </w:rPr>
        <w:t>each piece of</w:t>
      </w:r>
      <w:r w:rsidRPr="003463BF">
        <w:rPr>
          <w:lang w:val="en-GB"/>
        </w:rPr>
        <w:t xml:space="preserve"> eligible plant and equipment and the auction realisable value based on a valuation undertaken by the Valuer-General Victoria, as detailed in Section </w:t>
      </w:r>
      <w:r w:rsidR="00692B3C">
        <w:rPr>
          <w:lang w:val="en-GB"/>
        </w:rPr>
        <w:t>5</w:t>
      </w:r>
      <w:r w:rsidRPr="003463BF">
        <w:rPr>
          <w:lang w:val="en-GB"/>
        </w:rPr>
        <w:t>.</w:t>
      </w:r>
    </w:p>
    <w:p w14:paraId="3ADECFCA" w14:textId="77777777" w:rsidR="00F26E05" w:rsidRPr="003463BF" w:rsidRDefault="00F26E05" w:rsidP="00F26E05">
      <w:pPr>
        <w:pStyle w:val="BodyText"/>
        <w:rPr>
          <w:lang w:val="en-GB"/>
        </w:rPr>
      </w:pPr>
      <w:r w:rsidRPr="003463BF">
        <w:rPr>
          <w:lang w:val="en-GB"/>
        </w:rPr>
        <w:t>To be eligible for the payment, plant and equipment must:</w:t>
      </w:r>
    </w:p>
    <w:p w14:paraId="10D653F3" w14:textId="77777777" w:rsidR="00F26E05" w:rsidRPr="003463BF" w:rsidRDefault="00F26E05" w:rsidP="007B211D">
      <w:pPr>
        <w:pStyle w:val="ListBullet"/>
        <w:rPr>
          <w:lang w:val="en-GB"/>
        </w:rPr>
      </w:pPr>
      <w:r w:rsidRPr="003463BF">
        <w:rPr>
          <w:lang w:val="en-GB"/>
        </w:rPr>
        <w:t>be listed on the business’s ATO-compliant 2021-22 or 2022-23 depreciation schedule with a closing value of greater than $0.00</w:t>
      </w:r>
    </w:p>
    <w:p w14:paraId="095F4368" w14:textId="77777777" w:rsidR="00F26E05" w:rsidRPr="003463BF" w:rsidRDefault="00F26E05" w:rsidP="007B211D">
      <w:pPr>
        <w:pStyle w:val="ListBullet"/>
        <w:rPr>
          <w:lang w:val="en-GB"/>
        </w:rPr>
      </w:pPr>
      <w:r w:rsidRPr="003463BF">
        <w:rPr>
          <w:lang w:val="en-GB"/>
        </w:rPr>
        <w:t>be used primarily for the harvesting, hauling, or processing of timber</w:t>
      </w:r>
    </w:p>
    <w:p w14:paraId="26A9B41D" w14:textId="77777777" w:rsidR="00F26E05" w:rsidRPr="003463BF" w:rsidRDefault="00F26E05" w:rsidP="007B211D">
      <w:pPr>
        <w:pStyle w:val="Bullet1last"/>
        <w:rPr>
          <w:lang w:val="en-GB"/>
        </w:rPr>
      </w:pPr>
      <w:r w:rsidRPr="003463BF">
        <w:rPr>
          <w:lang w:val="en-GB"/>
        </w:rPr>
        <w:t>not be a motor vehicle, IT and office equipment, or infrastructure. These will be considered as separate asset classes from the plant and equipment used for the processing of native forest timber and will not be included in the valuation.</w:t>
      </w:r>
    </w:p>
    <w:p w14:paraId="576F9360" w14:textId="77777777" w:rsidR="00F26E05" w:rsidRPr="003463BF" w:rsidRDefault="00F26E05" w:rsidP="00F26E05">
      <w:pPr>
        <w:pStyle w:val="BodyText"/>
        <w:rPr>
          <w:lang w:val="en-GB"/>
        </w:rPr>
      </w:pPr>
      <w:r w:rsidRPr="003463BF">
        <w:rPr>
          <w:lang w:val="en-GB"/>
        </w:rPr>
        <w:t>The business may sell or donate the plant and equipment after a payment has been made.</w:t>
      </w:r>
    </w:p>
    <w:p w14:paraId="6E75B7B8" w14:textId="77777777" w:rsidR="00F26E05" w:rsidRPr="003463BF" w:rsidRDefault="00F26E05" w:rsidP="00F26E05">
      <w:pPr>
        <w:pStyle w:val="BodyText"/>
        <w:rPr>
          <w:lang w:val="en-GB"/>
        </w:rPr>
      </w:pPr>
      <w:r w:rsidRPr="003463BF">
        <w:rPr>
          <w:lang w:val="en-GB"/>
        </w:rPr>
        <w:t>If the valuation amount is less than the written down value for a piece of plant or equipment, the Department will pay the difference, up to $1.0 million in total per eligible business.</w:t>
      </w:r>
    </w:p>
    <w:p w14:paraId="3515F2A0" w14:textId="77777777" w:rsidR="00F26E05" w:rsidRPr="003463BF" w:rsidRDefault="00F26E05" w:rsidP="00F26E05">
      <w:pPr>
        <w:pStyle w:val="BodyText"/>
        <w:rPr>
          <w:lang w:val="en-GB"/>
        </w:rPr>
      </w:pPr>
      <w:r w:rsidRPr="003463BF">
        <w:rPr>
          <w:lang w:val="en-GB"/>
        </w:rPr>
        <w:t>If the valuation amount is greater than the written down value for a piece of plant or equipment, the Department will not make a payment.</w:t>
      </w:r>
    </w:p>
    <w:p w14:paraId="2609A371" w14:textId="77777777" w:rsidR="00F26E05" w:rsidRPr="003463BF" w:rsidRDefault="00F26E05" w:rsidP="00F26E05">
      <w:pPr>
        <w:pStyle w:val="BodyText"/>
        <w:rPr>
          <w:lang w:val="en-GB"/>
        </w:rPr>
      </w:pPr>
      <w:r w:rsidRPr="003463BF">
        <w:rPr>
          <w:lang w:val="en-GB"/>
        </w:rPr>
        <w:t>For example:</w:t>
      </w:r>
    </w:p>
    <w:tbl>
      <w:tblPr>
        <w:tblStyle w:val="TableGrid"/>
        <w:tblW w:w="0" w:type="auto"/>
        <w:tblLayout w:type="fixed"/>
        <w:tblLook w:val="0020" w:firstRow="1" w:lastRow="0" w:firstColumn="0" w:lastColumn="0" w:noHBand="0" w:noVBand="0"/>
      </w:tblPr>
      <w:tblGrid>
        <w:gridCol w:w="1814"/>
        <w:gridCol w:w="1984"/>
        <w:gridCol w:w="1999"/>
        <w:gridCol w:w="1885"/>
        <w:gridCol w:w="2183"/>
      </w:tblGrid>
      <w:tr w:rsidR="007B211D" w:rsidRPr="003463BF" w14:paraId="679A196A" w14:textId="77777777" w:rsidTr="007B211D">
        <w:trPr>
          <w:trHeight w:val="496"/>
        </w:trPr>
        <w:tc>
          <w:tcPr>
            <w:tcW w:w="1814" w:type="dxa"/>
          </w:tcPr>
          <w:p w14:paraId="18DBC4A4" w14:textId="77777777" w:rsidR="007B211D" w:rsidRPr="003463BF" w:rsidRDefault="007B211D" w:rsidP="007B211D">
            <w:pPr>
              <w:pStyle w:val="Tabletext"/>
            </w:pPr>
          </w:p>
        </w:tc>
        <w:tc>
          <w:tcPr>
            <w:tcW w:w="1984" w:type="dxa"/>
          </w:tcPr>
          <w:p w14:paraId="42138BC3" w14:textId="77777777" w:rsidR="007B211D" w:rsidRPr="003463BF" w:rsidRDefault="007B211D" w:rsidP="003F514F">
            <w:pPr>
              <w:pStyle w:val="Tabletext"/>
              <w:jc w:val="center"/>
              <w:rPr>
                <w:b/>
                <w:bCs/>
              </w:rPr>
            </w:pPr>
            <w:r w:rsidRPr="003463BF">
              <w:rPr>
                <w:b/>
                <w:bCs/>
              </w:rPr>
              <w:t>Written down value</w:t>
            </w:r>
          </w:p>
        </w:tc>
        <w:tc>
          <w:tcPr>
            <w:tcW w:w="1999" w:type="dxa"/>
          </w:tcPr>
          <w:p w14:paraId="02E59CEC" w14:textId="77777777" w:rsidR="007B211D" w:rsidRPr="003463BF" w:rsidRDefault="007B211D" w:rsidP="003F514F">
            <w:pPr>
              <w:pStyle w:val="Tabletext"/>
              <w:jc w:val="center"/>
              <w:rPr>
                <w:b/>
                <w:bCs/>
              </w:rPr>
            </w:pPr>
            <w:r w:rsidRPr="003463BF">
              <w:rPr>
                <w:b/>
                <w:bCs/>
              </w:rPr>
              <w:t>Current market value</w:t>
            </w:r>
          </w:p>
        </w:tc>
        <w:tc>
          <w:tcPr>
            <w:tcW w:w="1885" w:type="dxa"/>
          </w:tcPr>
          <w:p w14:paraId="3DC1BE7C" w14:textId="77777777" w:rsidR="007B211D" w:rsidRPr="003463BF" w:rsidRDefault="007B211D" w:rsidP="003F514F">
            <w:pPr>
              <w:pStyle w:val="Tabletext"/>
              <w:jc w:val="center"/>
              <w:rPr>
                <w:b/>
                <w:bCs/>
              </w:rPr>
            </w:pPr>
            <w:r w:rsidRPr="003463BF">
              <w:rPr>
                <w:b/>
                <w:bCs/>
              </w:rPr>
              <w:t>Projected loss on sale</w:t>
            </w:r>
          </w:p>
        </w:tc>
        <w:tc>
          <w:tcPr>
            <w:tcW w:w="2183" w:type="dxa"/>
          </w:tcPr>
          <w:p w14:paraId="4CB57018" w14:textId="77777777" w:rsidR="007B211D" w:rsidRPr="003463BF" w:rsidRDefault="007B211D" w:rsidP="003F514F">
            <w:pPr>
              <w:pStyle w:val="Tabletext"/>
              <w:jc w:val="center"/>
              <w:rPr>
                <w:b/>
                <w:bCs/>
              </w:rPr>
            </w:pPr>
            <w:r w:rsidRPr="003463BF">
              <w:rPr>
                <w:b/>
                <w:bCs/>
              </w:rPr>
              <w:t>Departmental payment</w:t>
            </w:r>
          </w:p>
        </w:tc>
      </w:tr>
      <w:tr w:rsidR="007B211D" w:rsidRPr="003463BF" w14:paraId="465C055E" w14:textId="77777777" w:rsidTr="007F748D">
        <w:trPr>
          <w:trHeight w:val="567"/>
        </w:trPr>
        <w:tc>
          <w:tcPr>
            <w:tcW w:w="1814" w:type="dxa"/>
            <w:vAlign w:val="center"/>
          </w:tcPr>
          <w:p w14:paraId="1DCDE967" w14:textId="77777777" w:rsidR="007B211D" w:rsidRPr="003463BF" w:rsidRDefault="007B211D" w:rsidP="007B211D">
            <w:pPr>
              <w:pStyle w:val="Tabletext"/>
            </w:pPr>
            <w:r w:rsidRPr="003463BF">
              <w:t>Item 1</w:t>
            </w:r>
          </w:p>
        </w:tc>
        <w:tc>
          <w:tcPr>
            <w:tcW w:w="1984" w:type="dxa"/>
            <w:vAlign w:val="center"/>
          </w:tcPr>
          <w:p w14:paraId="7F7FCB7D" w14:textId="77777777" w:rsidR="007B211D" w:rsidRPr="003463BF" w:rsidRDefault="007B211D" w:rsidP="003F514F">
            <w:pPr>
              <w:pStyle w:val="Tabletext"/>
              <w:jc w:val="center"/>
            </w:pPr>
            <w:r w:rsidRPr="003463BF">
              <w:t>$250,000</w:t>
            </w:r>
          </w:p>
        </w:tc>
        <w:tc>
          <w:tcPr>
            <w:tcW w:w="1999" w:type="dxa"/>
            <w:vAlign w:val="center"/>
          </w:tcPr>
          <w:p w14:paraId="64AE67A7" w14:textId="77777777" w:rsidR="007B211D" w:rsidRPr="003463BF" w:rsidRDefault="007B211D" w:rsidP="003F514F">
            <w:pPr>
              <w:pStyle w:val="Tabletext"/>
              <w:jc w:val="center"/>
            </w:pPr>
            <w:r w:rsidRPr="003463BF">
              <w:t>$20,000</w:t>
            </w:r>
          </w:p>
        </w:tc>
        <w:tc>
          <w:tcPr>
            <w:tcW w:w="1885" w:type="dxa"/>
            <w:vAlign w:val="center"/>
          </w:tcPr>
          <w:p w14:paraId="11CB6B6E" w14:textId="77777777" w:rsidR="007B211D" w:rsidRPr="003463BF" w:rsidRDefault="007B211D" w:rsidP="003F514F">
            <w:pPr>
              <w:pStyle w:val="Tabletext"/>
              <w:jc w:val="center"/>
            </w:pPr>
            <w:r w:rsidRPr="003463BF">
              <w:t>$230,000</w:t>
            </w:r>
          </w:p>
        </w:tc>
        <w:tc>
          <w:tcPr>
            <w:tcW w:w="2183" w:type="dxa"/>
            <w:vAlign w:val="center"/>
          </w:tcPr>
          <w:p w14:paraId="43E514CE" w14:textId="77777777" w:rsidR="007B211D" w:rsidRPr="003463BF" w:rsidRDefault="007B211D" w:rsidP="003F514F">
            <w:pPr>
              <w:pStyle w:val="Tabletext"/>
              <w:jc w:val="center"/>
            </w:pPr>
            <w:r w:rsidRPr="003463BF">
              <w:t>$230,000</w:t>
            </w:r>
          </w:p>
        </w:tc>
      </w:tr>
      <w:tr w:rsidR="007B211D" w:rsidRPr="003463BF" w14:paraId="2F6636EE" w14:textId="77777777" w:rsidTr="007F748D">
        <w:trPr>
          <w:trHeight w:val="567"/>
        </w:trPr>
        <w:tc>
          <w:tcPr>
            <w:tcW w:w="1814" w:type="dxa"/>
            <w:vAlign w:val="center"/>
          </w:tcPr>
          <w:p w14:paraId="5346BB84" w14:textId="77777777" w:rsidR="007B211D" w:rsidRPr="003463BF" w:rsidRDefault="007B211D" w:rsidP="007B211D">
            <w:pPr>
              <w:pStyle w:val="Tabletext"/>
            </w:pPr>
            <w:r w:rsidRPr="003463BF">
              <w:lastRenderedPageBreak/>
              <w:t>Item 2</w:t>
            </w:r>
          </w:p>
        </w:tc>
        <w:tc>
          <w:tcPr>
            <w:tcW w:w="1984" w:type="dxa"/>
            <w:vAlign w:val="center"/>
          </w:tcPr>
          <w:p w14:paraId="5B94A505" w14:textId="77777777" w:rsidR="007B211D" w:rsidRPr="003463BF" w:rsidRDefault="007B211D" w:rsidP="003F514F">
            <w:pPr>
              <w:pStyle w:val="Tabletext"/>
              <w:jc w:val="center"/>
            </w:pPr>
            <w:r w:rsidRPr="003463BF">
              <w:t>$100,000</w:t>
            </w:r>
          </w:p>
        </w:tc>
        <w:tc>
          <w:tcPr>
            <w:tcW w:w="1999" w:type="dxa"/>
            <w:vAlign w:val="center"/>
          </w:tcPr>
          <w:p w14:paraId="708BAA7F" w14:textId="77777777" w:rsidR="007B211D" w:rsidRPr="003463BF" w:rsidRDefault="007B211D" w:rsidP="003F514F">
            <w:pPr>
              <w:pStyle w:val="Tabletext"/>
              <w:jc w:val="center"/>
            </w:pPr>
            <w:r w:rsidRPr="003463BF">
              <w:t>$130,000</w:t>
            </w:r>
          </w:p>
        </w:tc>
        <w:tc>
          <w:tcPr>
            <w:tcW w:w="1885" w:type="dxa"/>
            <w:vAlign w:val="center"/>
          </w:tcPr>
          <w:p w14:paraId="3918C9BE" w14:textId="77777777" w:rsidR="007B211D" w:rsidRPr="003463BF" w:rsidRDefault="007B211D" w:rsidP="003F514F">
            <w:pPr>
              <w:pStyle w:val="Tabletext"/>
              <w:jc w:val="center"/>
            </w:pPr>
            <w:r w:rsidRPr="003463BF">
              <w:t>$0</w:t>
            </w:r>
          </w:p>
        </w:tc>
        <w:tc>
          <w:tcPr>
            <w:tcW w:w="2183" w:type="dxa"/>
            <w:vAlign w:val="center"/>
          </w:tcPr>
          <w:p w14:paraId="07003E64" w14:textId="77777777" w:rsidR="007B211D" w:rsidRPr="003463BF" w:rsidRDefault="007B211D" w:rsidP="003F514F">
            <w:pPr>
              <w:pStyle w:val="Tabletext"/>
              <w:jc w:val="center"/>
            </w:pPr>
            <w:r w:rsidRPr="003463BF">
              <w:t>$0</w:t>
            </w:r>
          </w:p>
        </w:tc>
      </w:tr>
    </w:tbl>
    <w:p w14:paraId="5ACFEC2F" w14:textId="77777777" w:rsidR="00F26E05" w:rsidRPr="003463BF" w:rsidRDefault="00F26E05" w:rsidP="007B211D">
      <w:pPr>
        <w:pStyle w:val="BodyText"/>
        <w:spacing w:before="240"/>
        <w:rPr>
          <w:lang w:val="en-GB"/>
        </w:rPr>
      </w:pPr>
      <w:r w:rsidRPr="003463BF">
        <w:rPr>
          <w:lang w:val="en-GB"/>
        </w:rPr>
        <w:t>If an applicant has previously submitted an application for the plant and equipment compensation through any other Forestry Transition program, the applicant will not be able to receive a payment through Component 2 of this Package.</w:t>
      </w:r>
    </w:p>
    <w:p w14:paraId="75A4A182" w14:textId="77777777" w:rsidR="00F26E05" w:rsidRPr="003463BF" w:rsidRDefault="00F26E05" w:rsidP="00F26E05">
      <w:pPr>
        <w:pStyle w:val="BodyText"/>
        <w:rPr>
          <w:lang w:val="en-GB"/>
        </w:rPr>
      </w:pPr>
      <w:r w:rsidRPr="003463BF">
        <w:rPr>
          <w:lang w:val="en-GB"/>
        </w:rPr>
        <w:t>The final sum to be included in the grant agreement is subject to this process having been completed.</w:t>
      </w:r>
    </w:p>
    <w:p w14:paraId="47D501A5" w14:textId="77777777" w:rsidR="00F26E05" w:rsidRPr="003463BF" w:rsidRDefault="00F26E05" w:rsidP="007B211D">
      <w:pPr>
        <w:pStyle w:val="Heading2"/>
      </w:pPr>
      <w:bookmarkStart w:id="11" w:name="_Toc150953832"/>
      <w:r w:rsidRPr="003463BF">
        <w:t>Component 3: Employee statutory redundancy costs</w:t>
      </w:r>
      <w:bookmarkEnd w:id="11"/>
    </w:p>
    <w:p w14:paraId="51ACF5BA" w14:textId="77777777" w:rsidR="00F26E05" w:rsidRPr="003463BF" w:rsidRDefault="00F26E05" w:rsidP="00F26E05">
      <w:pPr>
        <w:pStyle w:val="BodyText"/>
        <w:rPr>
          <w:lang w:val="en-GB"/>
        </w:rPr>
      </w:pPr>
      <w:r w:rsidRPr="003463BF">
        <w:rPr>
          <w:lang w:val="en-GB"/>
        </w:rPr>
        <w:t>The Department will reimburse the business for employee statutory redundancy payments made by the business, capped at the maximum rate specified in the applicable Award or National Employment Standards.</w:t>
      </w:r>
    </w:p>
    <w:p w14:paraId="735BB1CA" w14:textId="77777777" w:rsidR="00F26E05" w:rsidRPr="003463BF" w:rsidRDefault="00F26E05" w:rsidP="00F26E05">
      <w:pPr>
        <w:pStyle w:val="BodyText"/>
        <w:rPr>
          <w:lang w:val="en-GB"/>
        </w:rPr>
      </w:pPr>
      <w:r w:rsidRPr="003463BF">
        <w:rPr>
          <w:lang w:val="en-GB"/>
        </w:rPr>
        <w:t>The reimbursement amount will be based on the evidence of the redundancy payment being made to an employee. Only actual redundancy amounts will be reimbursed.</w:t>
      </w:r>
    </w:p>
    <w:p w14:paraId="1FC08EB1" w14:textId="6360D0CE" w:rsidR="00F26E05" w:rsidRPr="003463BF" w:rsidRDefault="00F26E05" w:rsidP="00F26E05">
      <w:pPr>
        <w:pStyle w:val="BodyText"/>
        <w:rPr>
          <w:lang w:val="en-GB"/>
        </w:rPr>
      </w:pPr>
      <w:r w:rsidRPr="003463BF">
        <w:rPr>
          <w:lang w:val="en-GB"/>
        </w:rPr>
        <w:t>The Department will not reimburse the payment of leave entitlements. Note that reimbursement of employee redundancy payments will be made on the basis of a genuine redundancy.</w:t>
      </w:r>
      <w:r w:rsidR="00904039" w:rsidRPr="003463BF">
        <w:rPr>
          <w:lang w:val="en-GB"/>
        </w:rPr>
        <w:t xml:space="preserve"> </w:t>
      </w:r>
      <w:r w:rsidRPr="003463BF">
        <w:rPr>
          <w:lang w:val="en-GB"/>
        </w:rPr>
        <w:t>A genuine redundancy relates to a worker’s position that is not required by the employer, in this case due to the consequence of the transition away from harvesting native timber from state forests</w:t>
      </w:r>
      <w:r w:rsidR="003F514F">
        <w:rPr>
          <w:lang w:val="en-GB"/>
        </w:rPr>
        <w:t>.</w:t>
      </w:r>
    </w:p>
    <w:p w14:paraId="392EDCF7" w14:textId="77777777" w:rsidR="00F26E05" w:rsidRPr="003463BF" w:rsidRDefault="00F26E05" w:rsidP="00F26E05">
      <w:pPr>
        <w:pStyle w:val="BodyText"/>
        <w:rPr>
          <w:lang w:val="en-GB"/>
        </w:rPr>
      </w:pPr>
      <w:r w:rsidRPr="003463BF">
        <w:rPr>
          <w:lang w:val="en-GB"/>
        </w:rPr>
        <w:t>The position will be superfluous to each employer’s needs and not to be occupied by anyone. Accordingly, the dismissal is because of the redundancy of the position (and not for any other reason).</w:t>
      </w:r>
    </w:p>
    <w:p w14:paraId="55DFC034" w14:textId="77777777" w:rsidR="00F26E05" w:rsidRPr="003463BF" w:rsidRDefault="00F26E05" w:rsidP="00F26E05">
      <w:pPr>
        <w:pStyle w:val="BodyText"/>
        <w:rPr>
          <w:lang w:val="en-GB"/>
        </w:rPr>
      </w:pPr>
      <w:r w:rsidRPr="003463BF">
        <w:rPr>
          <w:lang w:val="en-GB"/>
        </w:rPr>
        <w:t>There must be no contrived arrangement (such as promise of another job) or other circumstances which indicate the redundancy is not genuine.</w:t>
      </w:r>
    </w:p>
    <w:p w14:paraId="5FE6E62C" w14:textId="1616B29E" w:rsidR="00F26E05" w:rsidRPr="003463BF" w:rsidRDefault="00F26E05" w:rsidP="00F26E05">
      <w:pPr>
        <w:pStyle w:val="BodyText"/>
        <w:rPr>
          <w:lang w:val="en-GB"/>
        </w:rPr>
      </w:pPr>
      <w:r w:rsidRPr="003463BF">
        <w:rPr>
          <w:lang w:val="en-GB"/>
        </w:rPr>
        <w:t xml:space="preserve">Some workers may be categorised as </w:t>
      </w:r>
      <w:r w:rsidR="00B5504A" w:rsidRPr="003463BF">
        <w:rPr>
          <w:lang w:val="en-GB"/>
        </w:rPr>
        <w:t>‘</w:t>
      </w:r>
      <w:r w:rsidRPr="003463BF">
        <w:rPr>
          <w:lang w:val="en-GB"/>
        </w:rPr>
        <w:t>dual capacity</w:t>
      </w:r>
      <w:r w:rsidR="00B5504A" w:rsidRPr="003463BF">
        <w:rPr>
          <w:lang w:val="en-GB"/>
        </w:rPr>
        <w:t>’</w:t>
      </w:r>
      <w:r w:rsidRPr="003463BF">
        <w:rPr>
          <w:lang w:val="en-GB"/>
        </w:rPr>
        <w:t xml:space="preserve"> employees, in that they are engaged by an employing entity, and are also a directing mind or officeholder of that entity. The department will seek to understand the nature of the termination in these circumstances to determine if there is a genuine redundancy.</w:t>
      </w:r>
    </w:p>
    <w:p w14:paraId="6A885C52" w14:textId="65458D2F" w:rsidR="00861A84" w:rsidRPr="003463BF" w:rsidRDefault="00861A84" w:rsidP="00861A84">
      <w:pPr>
        <w:pStyle w:val="Heading2"/>
      </w:pPr>
      <w:r w:rsidRPr="003463BF">
        <w:t>Component 4: Site rehabilitation</w:t>
      </w:r>
    </w:p>
    <w:p w14:paraId="3770B009" w14:textId="1A4B697A" w:rsidR="001B1A8A" w:rsidRPr="003463BF" w:rsidRDefault="001B1A8A" w:rsidP="00861A84">
      <w:pPr>
        <w:pStyle w:val="BodyText"/>
        <w:rPr>
          <w:lang w:val="en-GB"/>
        </w:rPr>
      </w:pPr>
      <w:r w:rsidRPr="003463BF">
        <w:rPr>
          <w:lang w:val="en-GB"/>
        </w:rPr>
        <w:t>The Depar</w:t>
      </w:r>
      <w:r w:rsidR="00861A84" w:rsidRPr="003463BF">
        <w:rPr>
          <w:lang w:val="en-GB"/>
        </w:rPr>
        <w:t>tment will</w:t>
      </w:r>
      <w:r w:rsidR="0079229F" w:rsidRPr="003463BF">
        <w:rPr>
          <w:lang w:val="en-GB"/>
        </w:rPr>
        <w:t xml:space="preserve"> pay up to</w:t>
      </w:r>
      <w:r w:rsidR="00EC71B3" w:rsidRPr="003463BF">
        <w:rPr>
          <w:lang w:val="en-GB"/>
        </w:rPr>
        <w:t xml:space="preserve"> $50,000 towards site rehabilitation </w:t>
      </w:r>
      <w:r w:rsidR="00B02B2F" w:rsidRPr="003463BF">
        <w:rPr>
          <w:lang w:val="en-GB"/>
        </w:rPr>
        <w:t xml:space="preserve">and remediation </w:t>
      </w:r>
      <w:r w:rsidR="00EC71B3" w:rsidRPr="003463BF">
        <w:rPr>
          <w:lang w:val="en-GB"/>
        </w:rPr>
        <w:t>for</w:t>
      </w:r>
      <w:r w:rsidRPr="003463BF">
        <w:rPr>
          <w:lang w:val="en-GB"/>
        </w:rPr>
        <w:t xml:space="preserve"> licensees and agreement holders who</w:t>
      </w:r>
      <w:r w:rsidR="00E63E82" w:rsidRPr="003463BF">
        <w:rPr>
          <w:lang w:val="en-GB"/>
        </w:rPr>
        <w:t xml:space="preserve"> have a</w:t>
      </w:r>
      <w:r w:rsidR="00D36D74" w:rsidRPr="003463BF">
        <w:rPr>
          <w:lang w:val="en-GB"/>
        </w:rPr>
        <w:t>n</w:t>
      </w:r>
      <w:r w:rsidR="00ED3434" w:rsidRPr="003463BF">
        <w:rPr>
          <w:lang w:val="en-GB"/>
        </w:rPr>
        <w:t xml:space="preserve"> </w:t>
      </w:r>
      <w:r w:rsidR="00E63E82" w:rsidRPr="003463BF">
        <w:rPr>
          <w:lang w:val="en-GB"/>
        </w:rPr>
        <w:t>annual allocation</w:t>
      </w:r>
      <w:r w:rsidR="0015030B" w:rsidRPr="003463BF">
        <w:rPr>
          <w:lang w:val="en-GB"/>
        </w:rPr>
        <w:t xml:space="preserve"> of 1,000 tonnes or </w:t>
      </w:r>
      <w:r w:rsidR="002F2092" w:rsidRPr="003463BF">
        <w:rPr>
          <w:lang w:val="en-GB"/>
        </w:rPr>
        <w:t>cubic metres</w:t>
      </w:r>
      <w:r w:rsidR="00D36D74" w:rsidRPr="003463BF">
        <w:rPr>
          <w:lang w:val="en-GB"/>
        </w:rPr>
        <w:t xml:space="preserve"> or more,</w:t>
      </w:r>
      <w:r w:rsidR="00A91025" w:rsidRPr="003463BF">
        <w:rPr>
          <w:lang w:val="en-GB"/>
        </w:rPr>
        <w:t xml:space="preserve"> across one or more licences or agreements</w:t>
      </w:r>
      <w:r w:rsidR="002A748B" w:rsidRPr="003463BF">
        <w:rPr>
          <w:lang w:val="en-GB"/>
        </w:rPr>
        <w:t xml:space="preserve"> and intend to cease operating as a </w:t>
      </w:r>
      <w:r w:rsidR="00427057" w:rsidRPr="003463BF">
        <w:rPr>
          <w:lang w:val="en-GB"/>
        </w:rPr>
        <w:t>processor of forest products</w:t>
      </w:r>
      <w:r w:rsidR="002A748B" w:rsidRPr="003463BF">
        <w:rPr>
          <w:lang w:val="en-GB"/>
        </w:rPr>
        <w:t>.</w:t>
      </w:r>
    </w:p>
    <w:p w14:paraId="3819121B" w14:textId="2F383011" w:rsidR="00F26E05" w:rsidRPr="003463BF" w:rsidRDefault="00D138E6" w:rsidP="007B211D">
      <w:pPr>
        <w:pStyle w:val="Heading1"/>
        <w:rPr>
          <w:lang w:val="en-GB"/>
        </w:rPr>
      </w:pPr>
      <w:bookmarkStart w:id="12" w:name="_Toc150953833"/>
      <w:bookmarkStart w:id="13" w:name="_Toc167200950"/>
      <w:r>
        <w:rPr>
          <w:lang w:val="en-GB"/>
        </w:rPr>
        <w:t>5</w:t>
      </w:r>
      <w:r w:rsidR="007B211D" w:rsidRPr="003463BF">
        <w:rPr>
          <w:lang w:val="en-GB"/>
        </w:rPr>
        <w:t xml:space="preserve">. </w:t>
      </w:r>
      <w:r w:rsidR="00F26E05" w:rsidRPr="003463BF">
        <w:rPr>
          <w:lang w:val="en-GB"/>
        </w:rPr>
        <w:t>Assessment</w:t>
      </w:r>
      <w:bookmarkEnd w:id="12"/>
      <w:bookmarkEnd w:id="13"/>
    </w:p>
    <w:p w14:paraId="34D873C5" w14:textId="1E752A95" w:rsidR="00F26E05" w:rsidRPr="003463BF" w:rsidRDefault="00F26E05" w:rsidP="007B211D">
      <w:pPr>
        <w:pStyle w:val="Heading2"/>
      </w:pPr>
      <w:bookmarkStart w:id="14" w:name="_Toc150953834"/>
      <w:r w:rsidRPr="003463BF">
        <w:t>Eligibility check</w:t>
      </w:r>
      <w:bookmarkEnd w:id="14"/>
    </w:p>
    <w:p w14:paraId="6EDE1DDC" w14:textId="77777777" w:rsidR="00F26E05" w:rsidRPr="003463BF" w:rsidRDefault="00F26E05" w:rsidP="00F26E05">
      <w:pPr>
        <w:pStyle w:val="BodyText"/>
        <w:rPr>
          <w:lang w:val="en-GB"/>
        </w:rPr>
      </w:pPr>
      <w:r w:rsidRPr="003463BF">
        <w:rPr>
          <w:lang w:val="en-GB"/>
        </w:rPr>
        <w:t>The Department will confirm the eligibility of each applicant’s Application.</w:t>
      </w:r>
    </w:p>
    <w:p w14:paraId="5A2C8432" w14:textId="77777777" w:rsidR="00F26E05" w:rsidRPr="003463BF" w:rsidRDefault="00F26E05" w:rsidP="00F26E05">
      <w:pPr>
        <w:pStyle w:val="BodyText"/>
        <w:rPr>
          <w:lang w:val="en-GB"/>
        </w:rPr>
      </w:pPr>
      <w:r w:rsidRPr="003463BF">
        <w:rPr>
          <w:lang w:val="en-GB"/>
        </w:rPr>
        <w:lastRenderedPageBreak/>
        <w:t>An Application is ‘eligible’ if:</w:t>
      </w:r>
    </w:p>
    <w:p w14:paraId="78D854FE" w14:textId="0FEF4F87" w:rsidR="00F26E05" w:rsidRPr="003463BF" w:rsidRDefault="00F26E05" w:rsidP="007B211D">
      <w:pPr>
        <w:pStyle w:val="ListNumber"/>
        <w:rPr>
          <w:lang w:val="en-US"/>
        </w:rPr>
      </w:pPr>
      <w:r w:rsidRPr="003463BF">
        <w:rPr>
          <w:lang w:val="en-US"/>
        </w:rPr>
        <w:t>the eligibility criteria listed in section 3 are all met;</w:t>
      </w:r>
    </w:p>
    <w:p w14:paraId="1E418485" w14:textId="7B6C73EF" w:rsidR="00F26E05" w:rsidRPr="003463BF" w:rsidRDefault="00F26E05" w:rsidP="007B211D">
      <w:pPr>
        <w:pStyle w:val="ListNumber"/>
        <w:rPr>
          <w:lang w:val="en-US"/>
        </w:rPr>
      </w:pPr>
      <w:r w:rsidRPr="003463BF">
        <w:rPr>
          <w:lang w:val="en-US"/>
        </w:rPr>
        <w:t>the information and evidence provided is true and correct in every particular;</w:t>
      </w:r>
    </w:p>
    <w:p w14:paraId="5285998A" w14:textId="0D6A96A6" w:rsidR="00F26E05" w:rsidRPr="003463BF" w:rsidRDefault="00F26E05" w:rsidP="007B211D">
      <w:pPr>
        <w:pStyle w:val="ListNumber"/>
        <w:rPr>
          <w:lang w:val="en-US"/>
        </w:rPr>
      </w:pPr>
      <w:r w:rsidRPr="003463BF">
        <w:rPr>
          <w:lang w:val="en-US"/>
        </w:rPr>
        <w:t>the declaration required to be made when submitting the Application is made; and</w:t>
      </w:r>
    </w:p>
    <w:p w14:paraId="6A6017F3" w14:textId="6ACAA6C3" w:rsidR="00F26E05" w:rsidRPr="003463BF" w:rsidRDefault="00F26E05" w:rsidP="007B211D">
      <w:pPr>
        <w:pStyle w:val="ListNumber"/>
        <w:rPr>
          <w:lang w:val="en-US"/>
        </w:rPr>
      </w:pPr>
      <w:r w:rsidRPr="003463BF">
        <w:rPr>
          <w:lang w:val="en-US"/>
        </w:rPr>
        <w:t>the Application is submitted by the Application Closing Date.</w:t>
      </w:r>
    </w:p>
    <w:p w14:paraId="0383B6CC" w14:textId="0AA883A6" w:rsidR="00F26E05" w:rsidRPr="003463BF" w:rsidRDefault="00F26E05" w:rsidP="00F26E05">
      <w:pPr>
        <w:pStyle w:val="BodyText"/>
        <w:rPr>
          <w:lang w:val="en-GB"/>
        </w:rPr>
      </w:pPr>
      <w:r w:rsidRPr="003463BF">
        <w:rPr>
          <w:lang w:val="en-GB"/>
        </w:rPr>
        <w:t>The Department may request clarification of the information provided, ask for additional information or validate the information provided before formally determining the eligibility of the Application.</w:t>
      </w:r>
    </w:p>
    <w:p w14:paraId="6F086AB3" w14:textId="77777777" w:rsidR="00F26E05" w:rsidRPr="003463BF" w:rsidRDefault="00F26E05" w:rsidP="00F26E05">
      <w:pPr>
        <w:pStyle w:val="BodyText"/>
        <w:rPr>
          <w:lang w:val="en-GB"/>
        </w:rPr>
      </w:pPr>
      <w:r w:rsidRPr="003463BF">
        <w:rPr>
          <w:lang w:val="en-GB"/>
        </w:rPr>
        <w:t>The Application cannot be assessed until the information requested is provided within the timeframes specified by the Department.</w:t>
      </w:r>
    </w:p>
    <w:p w14:paraId="30F256E1" w14:textId="77777777" w:rsidR="00F26E05" w:rsidRPr="003463BF" w:rsidRDefault="00F26E05" w:rsidP="007B211D">
      <w:pPr>
        <w:pStyle w:val="Heading2"/>
      </w:pPr>
      <w:bookmarkStart w:id="15" w:name="_Toc150953835"/>
      <w:r w:rsidRPr="003463BF">
        <w:t>Assessment and Valuation</w:t>
      </w:r>
      <w:bookmarkEnd w:id="15"/>
    </w:p>
    <w:p w14:paraId="5BFBC755" w14:textId="77777777" w:rsidR="00F26E05" w:rsidRPr="003463BF" w:rsidRDefault="00F26E05" w:rsidP="00F26E05">
      <w:pPr>
        <w:pStyle w:val="BodyText"/>
        <w:rPr>
          <w:lang w:val="en-GB"/>
        </w:rPr>
      </w:pPr>
      <w:r w:rsidRPr="003463BF">
        <w:rPr>
          <w:lang w:val="en-GB"/>
        </w:rPr>
        <w:t>To assess the non-fully depreciated value of plant and equipment, the Department may request the applicant provide clarifying or further information, and access to the business site/s to inspect the property and assets of the business.</w:t>
      </w:r>
    </w:p>
    <w:p w14:paraId="651B00A9" w14:textId="77777777" w:rsidR="00F26E05" w:rsidRPr="003463BF" w:rsidRDefault="00F26E05" w:rsidP="00F26E05">
      <w:pPr>
        <w:pStyle w:val="BodyText"/>
        <w:rPr>
          <w:lang w:val="en-GB"/>
        </w:rPr>
      </w:pPr>
      <w:r w:rsidRPr="003463BF">
        <w:rPr>
          <w:lang w:val="en-GB"/>
        </w:rPr>
        <w:t>The Department will arrange for a valuer from the Valuer-General Victoria to visit the site, accompanied by a Departmental officer, to undertake an independent valuation of all the eligible non-fully depreciated plant and equipment that has been listed by the applicant in their Application.</w:t>
      </w:r>
    </w:p>
    <w:p w14:paraId="57F54C1A" w14:textId="20127A6D" w:rsidR="00F26E05" w:rsidRPr="003463BF" w:rsidRDefault="00F26E05" w:rsidP="00F26E05">
      <w:pPr>
        <w:pStyle w:val="BodyText"/>
        <w:rPr>
          <w:lang w:val="en-GB"/>
        </w:rPr>
      </w:pPr>
      <w:r w:rsidRPr="003463BF">
        <w:rPr>
          <w:lang w:val="en-GB"/>
        </w:rPr>
        <w:t xml:space="preserve">Subject to this valuation process, if the valuation amount </w:t>
      </w:r>
      <w:r w:rsidR="00606E28" w:rsidRPr="003463BF">
        <w:rPr>
          <w:lang w:val="en-GB"/>
        </w:rPr>
        <w:t xml:space="preserve">for a </w:t>
      </w:r>
      <w:r w:rsidR="00CD32D1" w:rsidRPr="003463BF">
        <w:rPr>
          <w:lang w:val="en-GB"/>
        </w:rPr>
        <w:t xml:space="preserve">piece of plant or equipment </w:t>
      </w:r>
      <w:r w:rsidRPr="003463BF">
        <w:rPr>
          <w:lang w:val="en-GB"/>
        </w:rPr>
        <w:t>is less than the written down value in the business’ asset register, then the Department will pay the difference between the orderly liquidation value as assessed by the valuer and the written down value. If the valuation amount is greater than the written down value for a piece of plant or equipment, the Department will not make a payment.</w:t>
      </w:r>
    </w:p>
    <w:p w14:paraId="7875732F" w14:textId="77777777" w:rsidR="00F26E05" w:rsidRPr="003463BF" w:rsidRDefault="00F26E05" w:rsidP="00F26E05">
      <w:pPr>
        <w:pStyle w:val="BodyText"/>
        <w:rPr>
          <w:lang w:val="en-GB"/>
        </w:rPr>
      </w:pPr>
      <w:r w:rsidRPr="003463BF">
        <w:rPr>
          <w:lang w:val="en-GB"/>
        </w:rPr>
        <w:t>The completed valuation by the Valuer-General Victoria is final and non-negotiable.</w:t>
      </w:r>
    </w:p>
    <w:p w14:paraId="4CD0C7F0" w14:textId="77777777" w:rsidR="00F26E05" w:rsidRPr="003463BF" w:rsidRDefault="00F26E05" w:rsidP="00F26E05">
      <w:pPr>
        <w:pStyle w:val="BodyText"/>
        <w:rPr>
          <w:lang w:val="en-GB"/>
        </w:rPr>
      </w:pPr>
      <w:r w:rsidRPr="003463BF">
        <w:rPr>
          <w:lang w:val="en-GB"/>
        </w:rPr>
        <w:t>The Department will assess all other components of the package and make a recommendation for funding to the Minister.</w:t>
      </w:r>
    </w:p>
    <w:p w14:paraId="250EDC95" w14:textId="166B8ABC" w:rsidR="00F26E05" w:rsidRPr="003463BF" w:rsidRDefault="00D138E6" w:rsidP="007B211D">
      <w:pPr>
        <w:pStyle w:val="Heading1"/>
        <w:rPr>
          <w:lang w:val="en-GB"/>
        </w:rPr>
      </w:pPr>
      <w:bookmarkStart w:id="16" w:name="_Toc150953836"/>
      <w:bookmarkStart w:id="17" w:name="_Toc167200951"/>
      <w:r>
        <w:rPr>
          <w:lang w:val="en-GB"/>
        </w:rPr>
        <w:t>6</w:t>
      </w:r>
      <w:r w:rsidR="007B211D" w:rsidRPr="003463BF">
        <w:rPr>
          <w:lang w:val="en-GB"/>
        </w:rPr>
        <w:t xml:space="preserve">. </w:t>
      </w:r>
      <w:r w:rsidR="00F26E05" w:rsidRPr="003463BF">
        <w:rPr>
          <w:lang w:val="en-GB"/>
        </w:rPr>
        <w:t>Key dates</w:t>
      </w:r>
      <w:bookmarkEnd w:id="16"/>
      <w:bookmarkEnd w:id="17"/>
    </w:p>
    <w:p w14:paraId="4630FCE6" w14:textId="61B28155" w:rsidR="00F26E05" w:rsidRPr="003463BF" w:rsidRDefault="00F26E05" w:rsidP="00F26E05">
      <w:pPr>
        <w:pStyle w:val="BodyText"/>
        <w:rPr>
          <w:lang w:val="en-GB"/>
        </w:rPr>
      </w:pPr>
      <w:r w:rsidRPr="003463BF">
        <w:rPr>
          <w:b/>
          <w:bCs/>
          <w:lang w:val="en-GB"/>
        </w:rPr>
        <w:t>Applications open:</w:t>
      </w:r>
      <w:r w:rsidRPr="003463BF">
        <w:rPr>
          <w:lang w:val="en-GB"/>
        </w:rPr>
        <w:t xml:space="preserve"> Friday, 1 </w:t>
      </w:r>
      <w:r w:rsidR="00DC3264" w:rsidRPr="003463BF">
        <w:rPr>
          <w:lang w:val="en-GB"/>
        </w:rPr>
        <w:t>Dec</w:t>
      </w:r>
      <w:r w:rsidRPr="003463BF">
        <w:rPr>
          <w:lang w:val="en-GB"/>
        </w:rPr>
        <w:t>ember 2023</w:t>
      </w:r>
    </w:p>
    <w:p w14:paraId="6062CE72" w14:textId="7844E8DC" w:rsidR="00F26E05" w:rsidRPr="003463BF" w:rsidRDefault="00F26E05" w:rsidP="00F26E05">
      <w:pPr>
        <w:pStyle w:val="BodyText"/>
        <w:rPr>
          <w:lang w:val="en-GB"/>
        </w:rPr>
      </w:pPr>
      <w:r w:rsidRPr="003463BF">
        <w:rPr>
          <w:b/>
          <w:bCs/>
          <w:lang w:val="en-GB"/>
        </w:rPr>
        <w:t>Applications close:</w:t>
      </w:r>
      <w:r w:rsidRPr="003463BF">
        <w:rPr>
          <w:lang w:val="en-GB"/>
        </w:rPr>
        <w:t xml:space="preserve"> Friday, </w:t>
      </w:r>
      <w:r w:rsidR="003463BF" w:rsidRPr="003463BF">
        <w:rPr>
          <w:lang w:val="en-GB"/>
        </w:rPr>
        <w:t>27 September</w:t>
      </w:r>
      <w:r w:rsidRPr="003463BF">
        <w:rPr>
          <w:lang w:val="en-GB"/>
        </w:rPr>
        <w:t xml:space="preserve"> 2024</w:t>
      </w:r>
    </w:p>
    <w:p w14:paraId="4996C733" w14:textId="02A7D57D" w:rsidR="00F26E05" w:rsidRPr="003463BF" w:rsidRDefault="00D138E6" w:rsidP="007B211D">
      <w:pPr>
        <w:pStyle w:val="Heading1"/>
        <w:rPr>
          <w:lang w:val="en-GB"/>
        </w:rPr>
      </w:pPr>
      <w:bookmarkStart w:id="18" w:name="_Toc150953837"/>
      <w:bookmarkStart w:id="19" w:name="_Toc167200952"/>
      <w:r>
        <w:rPr>
          <w:lang w:val="en-GB"/>
        </w:rPr>
        <w:t>7</w:t>
      </w:r>
      <w:r w:rsidR="007B211D" w:rsidRPr="003463BF">
        <w:rPr>
          <w:lang w:val="en-GB"/>
        </w:rPr>
        <w:t xml:space="preserve">. </w:t>
      </w:r>
      <w:r w:rsidR="00F26E05" w:rsidRPr="003463BF">
        <w:rPr>
          <w:lang w:val="en-GB"/>
        </w:rPr>
        <w:t>Application process</w:t>
      </w:r>
      <w:bookmarkEnd w:id="18"/>
      <w:bookmarkEnd w:id="19"/>
      <w:r w:rsidR="00F26E05" w:rsidRPr="003463BF">
        <w:rPr>
          <w:lang w:val="en-GB"/>
        </w:rPr>
        <w:t xml:space="preserve"> </w:t>
      </w:r>
    </w:p>
    <w:p w14:paraId="3864DCEC" w14:textId="77777777" w:rsidR="00F26E05" w:rsidRPr="003463BF" w:rsidRDefault="00F26E05" w:rsidP="00F26E05">
      <w:pPr>
        <w:pStyle w:val="BodyText"/>
        <w:rPr>
          <w:lang w:val="en-GB"/>
        </w:rPr>
      </w:pPr>
      <w:r w:rsidRPr="003463BF">
        <w:rPr>
          <w:lang w:val="en-GB"/>
        </w:rPr>
        <w:t>Applications are submitted online or by completing a hard copy form with Department assistance.</w:t>
      </w:r>
    </w:p>
    <w:p w14:paraId="107C2B12" w14:textId="11DC72FC" w:rsidR="00F26E05" w:rsidRPr="003463BF" w:rsidRDefault="00F26E05" w:rsidP="00F26E05">
      <w:pPr>
        <w:pStyle w:val="BodyText"/>
        <w:rPr>
          <w:lang w:val="en-GB"/>
        </w:rPr>
      </w:pPr>
      <w:r w:rsidRPr="003463BF">
        <w:rPr>
          <w:lang w:val="en-GB"/>
        </w:rPr>
        <w:lastRenderedPageBreak/>
        <w:t xml:space="preserve">To apply, visit </w:t>
      </w:r>
      <w:hyperlink r:id="rId14" w:history="1">
        <w:r w:rsidRPr="003463BF">
          <w:rPr>
            <w:rStyle w:val="Hyperlink"/>
            <w:lang w:val="en-GB"/>
          </w:rPr>
          <w:t>www.deeca.vic.gov.au/forestry/grants/community-forestry-support-package</w:t>
        </w:r>
      </w:hyperlink>
      <w:r w:rsidRPr="003463BF">
        <w:rPr>
          <w:lang w:val="en-GB"/>
        </w:rPr>
        <w:t xml:space="preserve"> and click on the ‘apply now’ button to access the application form.</w:t>
      </w:r>
    </w:p>
    <w:p w14:paraId="068D0325" w14:textId="5133DE79" w:rsidR="00F26E05" w:rsidRPr="003463BF" w:rsidRDefault="00F26E05" w:rsidP="007B211D">
      <w:pPr>
        <w:pStyle w:val="HeadingFOUR"/>
      </w:pPr>
      <w:bookmarkStart w:id="20" w:name="_Toc150953838"/>
      <w:r w:rsidRPr="003463BF">
        <w:t>Attaching required documents:</w:t>
      </w:r>
      <w:bookmarkEnd w:id="20"/>
    </w:p>
    <w:p w14:paraId="6ABE5F5B" w14:textId="4DEAB940" w:rsidR="00F26E05" w:rsidRPr="003463BF" w:rsidRDefault="00F26E05" w:rsidP="00F26E05">
      <w:pPr>
        <w:pStyle w:val="BodyText"/>
        <w:rPr>
          <w:lang w:val="en-GB"/>
        </w:rPr>
      </w:pPr>
      <w:r w:rsidRPr="003463BF">
        <w:rPr>
          <w:lang w:val="en-GB"/>
        </w:rPr>
        <w:t>When attaching documents to your application supporting documents must be in an acceptable file type, such as Word, Excel, PDF, or JPEG. The maximum file size for each file is 10MB.</w:t>
      </w:r>
    </w:p>
    <w:p w14:paraId="245D19C0" w14:textId="43CCA9D3" w:rsidR="00F26E05" w:rsidRPr="003463BF" w:rsidRDefault="00F26E05" w:rsidP="00F26E05">
      <w:pPr>
        <w:pStyle w:val="BodyText"/>
        <w:rPr>
          <w:lang w:val="en-GB"/>
        </w:rPr>
      </w:pPr>
      <w:r w:rsidRPr="003463BF">
        <w:rPr>
          <w:lang w:val="en-GB"/>
        </w:rPr>
        <w:t>You will receive an application number when you submit an application online. Please quote this number in all communications with the department relating to your application.</w:t>
      </w:r>
    </w:p>
    <w:p w14:paraId="22B19F9C" w14:textId="100A730A" w:rsidR="00F26E05" w:rsidRPr="003463BF" w:rsidRDefault="00F26E05" w:rsidP="00F26E05">
      <w:pPr>
        <w:pStyle w:val="BodyText"/>
        <w:rPr>
          <w:lang w:val="en-GB"/>
        </w:rPr>
      </w:pPr>
      <w:r w:rsidRPr="003463BF">
        <w:rPr>
          <w:lang w:val="en-GB"/>
        </w:rPr>
        <w:t>If you have documents to submit that cannot be attached to your online application you can email them to communityforestry@ecodev.vic.gov.au, quoting your application number. Attach all documents to one email, zipping the files if required.</w:t>
      </w:r>
    </w:p>
    <w:p w14:paraId="1344FABE" w14:textId="05F8B847" w:rsidR="00F26E05" w:rsidRPr="003463BF" w:rsidRDefault="00F26E05" w:rsidP="00F26E05">
      <w:pPr>
        <w:pStyle w:val="BodyText"/>
        <w:rPr>
          <w:lang w:val="en-GB"/>
        </w:rPr>
      </w:pPr>
      <w:r w:rsidRPr="003463BF">
        <w:rPr>
          <w:lang w:val="en-GB"/>
        </w:rPr>
        <w:t>Applications for the Package must be submitted by 5:00pm Friday, 2</w:t>
      </w:r>
      <w:r w:rsidR="00E32047">
        <w:rPr>
          <w:lang w:val="en-GB"/>
        </w:rPr>
        <w:t xml:space="preserve">7 </w:t>
      </w:r>
      <w:r w:rsidR="008A23E4">
        <w:rPr>
          <w:lang w:val="en-GB"/>
        </w:rPr>
        <w:t>September</w:t>
      </w:r>
      <w:r w:rsidRPr="003463BF">
        <w:rPr>
          <w:lang w:val="en-GB"/>
        </w:rPr>
        <w:t xml:space="preserve"> 2024 (Application Closing Date)</w:t>
      </w:r>
    </w:p>
    <w:p w14:paraId="5854010C" w14:textId="77777777" w:rsidR="00F26E05" w:rsidRPr="003463BF" w:rsidRDefault="00F26E05" w:rsidP="007B211D">
      <w:pPr>
        <w:pStyle w:val="Heading2"/>
      </w:pPr>
      <w:bookmarkStart w:id="21" w:name="_Toc150953839"/>
      <w:r w:rsidRPr="003463BF">
        <w:t>Step 1: Invitation to submit an Application</w:t>
      </w:r>
      <w:bookmarkEnd w:id="21"/>
    </w:p>
    <w:p w14:paraId="29B901C7" w14:textId="7103B20D" w:rsidR="00F26E05" w:rsidRPr="003463BF" w:rsidRDefault="00F26E05" w:rsidP="00F26E05">
      <w:pPr>
        <w:pStyle w:val="BodyText"/>
        <w:rPr>
          <w:lang w:val="en-GB"/>
        </w:rPr>
      </w:pPr>
      <w:r w:rsidRPr="003463BF">
        <w:rPr>
          <w:lang w:val="en-GB"/>
        </w:rPr>
        <w:t>The Department will write to eligible community forestry operators and non-contractor firewood customers inviting them to submit an Application for a Package.</w:t>
      </w:r>
    </w:p>
    <w:p w14:paraId="3985EFA8" w14:textId="77777777" w:rsidR="00F26E05" w:rsidRPr="003463BF" w:rsidRDefault="00F26E05" w:rsidP="007B211D">
      <w:pPr>
        <w:pStyle w:val="Heading2"/>
      </w:pPr>
      <w:bookmarkStart w:id="22" w:name="_Toc150953840"/>
      <w:r w:rsidRPr="003463BF">
        <w:t>Step 2: Discuss the application with the Forestry Transition Business Support Team</w:t>
      </w:r>
      <w:bookmarkEnd w:id="22"/>
    </w:p>
    <w:p w14:paraId="6247DAFE" w14:textId="77777777" w:rsidR="00F26E05" w:rsidRPr="003463BF" w:rsidRDefault="00F26E05" w:rsidP="00F26E05">
      <w:pPr>
        <w:pStyle w:val="BodyText"/>
        <w:rPr>
          <w:lang w:val="en-GB"/>
        </w:rPr>
      </w:pPr>
      <w:r w:rsidRPr="003463BF">
        <w:rPr>
          <w:lang w:val="en-GB"/>
        </w:rPr>
        <w:t>Eligible applicants are encouraged to contact the Forestry Transition Business Support Team to discuss their individual circumstances and proposed application and potential payments:</w:t>
      </w:r>
    </w:p>
    <w:p w14:paraId="79A92FBE" w14:textId="77777777" w:rsidR="00F26E05" w:rsidRPr="003463BF" w:rsidRDefault="00F26E05" w:rsidP="00F26E05">
      <w:pPr>
        <w:pStyle w:val="BodyText"/>
        <w:rPr>
          <w:b/>
          <w:bCs/>
          <w:lang w:val="en-GB"/>
        </w:rPr>
      </w:pPr>
      <w:r w:rsidRPr="003463BF">
        <w:rPr>
          <w:b/>
          <w:bCs/>
          <w:lang w:val="en-GB"/>
        </w:rPr>
        <w:t>Kara Zdrzalka</w:t>
      </w:r>
    </w:p>
    <w:p w14:paraId="6A997452" w14:textId="1B9240E2" w:rsidR="00F26E05" w:rsidRPr="003463BF" w:rsidRDefault="00F26E05" w:rsidP="00F26E05">
      <w:pPr>
        <w:pStyle w:val="BodyText"/>
        <w:rPr>
          <w:b/>
          <w:bCs/>
          <w:lang w:val="en-GB"/>
        </w:rPr>
      </w:pPr>
      <w:r w:rsidRPr="003463BF">
        <w:rPr>
          <w:lang w:val="en-GB"/>
        </w:rPr>
        <w:t xml:space="preserve">Email: </w:t>
      </w:r>
      <w:hyperlink r:id="rId15" w:history="1">
        <w:r w:rsidR="00D4315A" w:rsidRPr="003463BF">
          <w:rPr>
            <w:rStyle w:val="Hyperlink"/>
            <w:lang w:val="en-GB"/>
          </w:rPr>
          <w:t>kara.zdrzalka@deeca.vic.gov.au</w:t>
        </w:r>
      </w:hyperlink>
    </w:p>
    <w:p w14:paraId="1C106800" w14:textId="77777777" w:rsidR="00F26E05" w:rsidRPr="003463BF" w:rsidRDefault="00F26E05" w:rsidP="00F26E05">
      <w:pPr>
        <w:pStyle w:val="BodyText"/>
        <w:rPr>
          <w:lang w:val="en-GB"/>
        </w:rPr>
      </w:pPr>
      <w:r w:rsidRPr="003463BF">
        <w:rPr>
          <w:lang w:val="en-GB"/>
        </w:rPr>
        <w:t xml:space="preserve">Phone: </w:t>
      </w:r>
      <w:r w:rsidRPr="003463BF">
        <w:rPr>
          <w:b/>
          <w:bCs/>
          <w:lang w:val="en-GB"/>
        </w:rPr>
        <w:t>0417 483 803</w:t>
      </w:r>
    </w:p>
    <w:p w14:paraId="3C72854B" w14:textId="77777777" w:rsidR="00F26E05" w:rsidRPr="003463BF" w:rsidRDefault="00F26E05" w:rsidP="00F26E05">
      <w:pPr>
        <w:pStyle w:val="BodyText"/>
        <w:rPr>
          <w:lang w:val="en-GB"/>
        </w:rPr>
      </w:pPr>
      <w:r w:rsidRPr="003463BF">
        <w:rPr>
          <w:lang w:val="en-GB"/>
        </w:rPr>
        <w:t>Applicants can also seek professional advice and support in the preparation of their application.</w:t>
      </w:r>
    </w:p>
    <w:p w14:paraId="1070580E" w14:textId="77777777" w:rsidR="00F26E05" w:rsidRPr="003463BF" w:rsidRDefault="00F26E05" w:rsidP="007B211D">
      <w:pPr>
        <w:pStyle w:val="Heading2"/>
      </w:pPr>
      <w:bookmarkStart w:id="23" w:name="_Toc150953841"/>
      <w:r w:rsidRPr="003463BF">
        <w:t>Step 3: Businesses prepare and submit an Application</w:t>
      </w:r>
      <w:bookmarkEnd w:id="23"/>
    </w:p>
    <w:p w14:paraId="40EEC157" w14:textId="7BEBF349" w:rsidR="00F26E05" w:rsidRPr="003463BF" w:rsidRDefault="00F26E05" w:rsidP="00F26E05">
      <w:pPr>
        <w:pStyle w:val="BodyText"/>
        <w:rPr>
          <w:lang w:val="en-GB"/>
        </w:rPr>
      </w:pPr>
      <w:r w:rsidRPr="003463BF">
        <w:rPr>
          <w:lang w:val="en-GB"/>
        </w:rPr>
        <w:t>The Application is to be made through an online form or a manual form with Department assistance and requires the applicant business to provide the following information and commitments to the Department:</w:t>
      </w:r>
    </w:p>
    <w:p w14:paraId="227BFF8C" w14:textId="25E1419D" w:rsidR="00F26E05" w:rsidRPr="003463BF" w:rsidRDefault="00F26E05" w:rsidP="008B596D">
      <w:pPr>
        <w:pStyle w:val="ListNumber"/>
        <w:numPr>
          <w:ilvl w:val="0"/>
          <w:numId w:val="7"/>
        </w:numPr>
        <w:rPr>
          <w:lang w:val="en-GB"/>
        </w:rPr>
      </w:pPr>
      <w:r w:rsidRPr="003463BF">
        <w:rPr>
          <w:lang w:val="en-GB"/>
        </w:rPr>
        <w:t>A declaration that the business is eligible to participate in the Package:</w:t>
      </w:r>
    </w:p>
    <w:p w14:paraId="0A0768A4" w14:textId="0B3F8C10" w:rsidR="00F26E05" w:rsidRPr="003463BF" w:rsidRDefault="00F26E05" w:rsidP="008B596D">
      <w:pPr>
        <w:pStyle w:val="Listparagrapha"/>
        <w:numPr>
          <w:ilvl w:val="0"/>
          <w:numId w:val="9"/>
        </w:numPr>
        <w:ind w:left="709"/>
        <w:rPr>
          <w:lang w:val="en-GB"/>
        </w:rPr>
      </w:pPr>
      <w:r w:rsidRPr="003463BF">
        <w:rPr>
          <w:lang w:val="en-GB"/>
        </w:rPr>
        <w:t>holds a Forest Produce Licence or Forest Produce Agreement issued or administered by VicForests that includes the supply of box ironbark, red gum, durable, speciality, common or mixed species timber for timber supply for 2022-23 and/or 2023-24 (if a community forestry operator); or</w:t>
      </w:r>
    </w:p>
    <w:p w14:paraId="594619B1" w14:textId="7C9F944E" w:rsidR="00F26E05" w:rsidRPr="003463BF" w:rsidRDefault="00F26E05" w:rsidP="008B596D">
      <w:pPr>
        <w:pStyle w:val="Listparagrapha"/>
        <w:numPr>
          <w:ilvl w:val="0"/>
          <w:numId w:val="9"/>
        </w:numPr>
        <w:ind w:left="709"/>
        <w:rPr>
          <w:lang w:val="en-GB"/>
        </w:rPr>
      </w:pPr>
      <w:r w:rsidRPr="003463BF">
        <w:rPr>
          <w:lang w:val="en-GB"/>
        </w:rPr>
        <w:lastRenderedPageBreak/>
        <w:t xml:space="preserve">is a party to a current Timber Sale Agreement with VicForests  for timber supply for </w:t>
      </w:r>
      <w:r w:rsidR="00B33D5B" w:rsidRPr="003463BF">
        <w:rPr>
          <w:lang w:val="en-GB"/>
        </w:rPr>
        <w:t xml:space="preserve">2022-2023 and/or </w:t>
      </w:r>
      <w:r w:rsidRPr="003463BF">
        <w:rPr>
          <w:lang w:val="en-GB"/>
        </w:rPr>
        <w:t>2023-24</w:t>
      </w:r>
      <w:r w:rsidR="007169D8" w:rsidRPr="003463BF">
        <w:rPr>
          <w:lang w:val="en-GB"/>
        </w:rPr>
        <w:t xml:space="preserve"> </w:t>
      </w:r>
      <w:r w:rsidRPr="003463BF">
        <w:rPr>
          <w:lang w:val="en-GB"/>
        </w:rPr>
        <w:t>(if a non-contractor firewood customer); or</w:t>
      </w:r>
    </w:p>
    <w:p w14:paraId="71548B64" w14:textId="4D9EF4E2" w:rsidR="00F26E05" w:rsidRPr="003463BF" w:rsidRDefault="00F26E05" w:rsidP="00E11A71">
      <w:pPr>
        <w:pStyle w:val="Listparagrapha"/>
        <w:ind w:left="709"/>
        <w:rPr>
          <w:lang w:val="en-GB"/>
        </w:rPr>
      </w:pPr>
      <w:r w:rsidRPr="003463BF">
        <w:rPr>
          <w:lang w:val="en-GB"/>
        </w:rPr>
        <w:t>holds a current registered Australian Business Number (ABN); and</w:t>
      </w:r>
    </w:p>
    <w:p w14:paraId="53747157" w14:textId="69ED4600" w:rsidR="00F26E05" w:rsidRPr="003463BF" w:rsidRDefault="00F26E05" w:rsidP="00E11A71">
      <w:pPr>
        <w:pStyle w:val="Listparagrapha"/>
        <w:spacing w:after="240"/>
        <w:ind w:left="709"/>
        <w:rPr>
          <w:lang w:val="en-GB"/>
        </w:rPr>
      </w:pPr>
      <w:r w:rsidRPr="003463BF">
        <w:rPr>
          <w:lang w:val="en-GB"/>
        </w:rPr>
        <w:t xml:space="preserve">meets all industrial relations obligations as an employer in accordance with the National Employment Standards under the </w:t>
      </w:r>
      <w:r w:rsidRPr="003463BF">
        <w:rPr>
          <w:i/>
          <w:iCs/>
          <w:lang w:val="en-GB"/>
        </w:rPr>
        <w:t>Fair Work Act 2009</w:t>
      </w:r>
      <w:r w:rsidRPr="003463BF">
        <w:rPr>
          <w:lang w:val="en-GB"/>
        </w:rPr>
        <w:t xml:space="preserve"> (Cth) if they are an employing business</w:t>
      </w:r>
    </w:p>
    <w:p w14:paraId="352CF3BE" w14:textId="23583F5D" w:rsidR="00F26E05" w:rsidRPr="003463BF" w:rsidRDefault="00F26E05" w:rsidP="00E11A71">
      <w:pPr>
        <w:pStyle w:val="ListNumber"/>
        <w:spacing w:after="240"/>
        <w:rPr>
          <w:lang w:val="en-GB"/>
        </w:rPr>
      </w:pPr>
      <w:r w:rsidRPr="003463BF">
        <w:rPr>
          <w:lang w:val="en-GB"/>
        </w:rPr>
        <w:t>A copy of the current executed and dated Timber Sale Agreement with VicForests including any relevant Deeds of Amendment and/or a copy of the current executed and dated Forest Produce Licence administered by VicForests and/or a copy of the current executed and dated Forest Produce Agreement with VicForests.</w:t>
      </w:r>
    </w:p>
    <w:p w14:paraId="39A77E01" w14:textId="66255B90" w:rsidR="00F26E05" w:rsidRPr="003463BF" w:rsidRDefault="00F26E05" w:rsidP="00E11A71">
      <w:pPr>
        <w:pStyle w:val="ListNumber"/>
        <w:rPr>
          <w:lang w:val="en-GB"/>
        </w:rPr>
      </w:pPr>
      <w:r w:rsidRPr="003463BF">
        <w:rPr>
          <w:lang w:val="en-GB"/>
        </w:rPr>
        <w:t>Confirmation of Community Forestry Support Package components:</w:t>
      </w:r>
    </w:p>
    <w:p w14:paraId="6999C66D" w14:textId="42369EDF" w:rsidR="00F26E05" w:rsidRPr="003463BF" w:rsidRDefault="00F26E05" w:rsidP="008B596D">
      <w:pPr>
        <w:pStyle w:val="Listparagrapha"/>
        <w:numPr>
          <w:ilvl w:val="0"/>
          <w:numId w:val="15"/>
        </w:numPr>
        <w:tabs>
          <w:tab w:val="num" w:pos="709"/>
        </w:tabs>
        <w:ind w:left="709"/>
        <w:rPr>
          <w:lang w:val="en-GB"/>
        </w:rPr>
      </w:pPr>
      <w:r w:rsidRPr="003463BF">
        <w:rPr>
          <w:lang w:val="en-GB"/>
        </w:rPr>
        <w:t>Component 1 – Timber volume</w:t>
      </w:r>
    </w:p>
    <w:p w14:paraId="4B5E2A2D" w14:textId="4397B9C6" w:rsidR="00F26E05" w:rsidRPr="003463BF" w:rsidRDefault="00F26E05" w:rsidP="00E11A71">
      <w:pPr>
        <w:pStyle w:val="Listparagraphi"/>
      </w:pPr>
      <w:r w:rsidRPr="003463BF">
        <w:t xml:space="preserve">Acknowledgement of the Timber volume as outlined in the letter sent by the Department inviting an application for the Community Forestry Support Package. If the applicant considers the volume to be incorrect, they are encouraged to contact the Program Manager on </w:t>
      </w:r>
      <w:hyperlink r:id="rId16" w:history="1">
        <w:r w:rsidR="00EC5180" w:rsidRPr="003463BF">
          <w:rPr>
            <w:rStyle w:val="Hyperlink"/>
          </w:rPr>
          <w:t>communityforestry@deeca.vic.gov.au</w:t>
        </w:r>
      </w:hyperlink>
      <w:r w:rsidRPr="003463BF">
        <w:t xml:space="preserve">. The final package payment will be subject to the process outlined in Section </w:t>
      </w:r>
      <w:r w:rsidR="00692B3C">
        <w:t>4</w:t>
      </w:r>
      <w:r w:rsidRPr="003463BF">
        <w:t>.</w:t>
      </w:r>
    </w:p>
    <w:p w14:paraId="7684CD5F" w14:textId="447998A5" w:rsidR="00F26E05" w:rsidRPr="003463BF" w:rsidRDefault="00F26E05" w:rsidP="008B596D">
      <w:pPr>
        <w:pStyle w:val="Listparagrapha"/>
        <w:numPr>
          <w:ilvl w:val="0"/>
          <w:numId w:val="15"/>
        </w:numPr>
        <w:tabs>
          <w:tab w:val="num" w:pos="709"/>
        </w:tabs>
        <w:ind w:left="709"/>
        <w:rPr>
          <w:lang w:val="en-GB"/>
        </w:rPr>
      </w:pPr>
      <w:r w:rsidRPr="003463BF">
        <w:rPr>
          <w:lang w:val="en-GB"/>
        </w:rPr>
        <w:t>Component 2 – Plant and equipment compensation</w:t>
      </w:r>
    </w:p>
    <w:p w14:paraId="5FC7AB39" w14:textId="07E1BE4C" w:rsidR="00F26E05" w:rsidRPr="003463BF" w:rsidRDefault="00F26E05" w:rsidP="008B596D">
      <w:pPr>
        <w:pStyle w:val="Listparagraphi"/>
        <w:numPr>
          <w:ilvl w:val="0"/>
          <w:numId w:val="17"/>
        </w:numPr>
      </w:pPr>
      <w:r w:rsidRPr="003463BF">
        <w:t>A copy of the business’s asset depreciation schedule that is Australian Taxation Office compliant</w:t>
      </w:r>
    </w:p>
    <w:p w14:paraId="0A009156" w14:textId="7A4E209A" w:rsidR="00F26E05" w:rsidRPr="003463BF" w:rsidRDefault="00F26E05" w:rsidP="008B596D">
      <w:pPr>
        <w:pStyle w:val="Listparagraphi"/>
        <w:numPr>
          <w:ilvl w:val="0"/>
          <w:numId w:val="17"/>
        </w:numPr>
      </w:pPr>
      <w:r w:rsidRPr="003463BF">
        <w:t>Identification of the plant and equipment for which compensation is requested</w:t>
      </w:r>
    </w:p>
    <w:p w14:paraId="52D44BBC" w14:textId="2245C096" w:rsidR="00F26E05" w:rsidRPr="003463BF" w:rsidRDefault="00F26E05" w:rsidP="008B596D">
      <w:pPr>
        <w:pStyle w:val="Listparagraphi"/>
        <w:numPr>
          <w:ilvl w:val="0"/>
          <w:numId w:val="17"/>
        </w:numPr>
      </w:pPr>
      <w:r w:rsidRPr="003463BF">
        <w:t>Agree to the Department arranging for a valuer from the Valuer-General Victoria to visit the site, accompanied by a Departmental officer, to undertake an independent valuation of all the eligible non-fully depreciated plant and equipment for which compensation is requested.</w:t>
      </w:r>
    </w:p>
    <w:p w14:paraId="356A4DAE" w14:textId="68FA1215" w:rsidR="00F26E05" w:rsidRPr="003463BF" w:rsidRDefault="00F26E05" w:rsidP="008B596D">
      <w:pPr>
        <w:pStyle w:val="Listparagrapha"/>
        <w:numPr>
          <w:ilvl w:val="0"/>
          <w:numId w:val="21"/>
        </w:numPr>
        <w:ind w:left="993" w:hanging="567"/>
        <w:rPr>
          <w:lang w:val="en-GB"/>
        </w:rPr>
      </w:pPr>
      <w:r w:rsidRPr="003463BF">
        <w:rPr>
          <w:lang w:val="en-GB"/>
        </w:rPr>
        <w:t>Component 3 (if applicable) – Employee statutory redundancy costs</w:t>
      </w:r>
    </w:p>
    <w:p w14:paraId="4A32D2A5" w14:textId="5C94966E" w:rsidR="00F26E05" w:rsidRPr="003463BF" w:rsidRDefault="00F26E05" w:rsidP="008B596D">
      <w:pPr>
        <w:pStyle w:val="Listparagraphi"/>
        <w:numPr>
          <w:ilvl w:val="0"/>
          <w:numId w:val="20"/>
        </w:numPr>
      </w:pPr>
      <w:r w:rsidRPr="003463BF">
        <w:t>A spreadsheet detailing the employee statutory redundancy payments to be made to employees who are to be made redundant:</w:t>
      </w:r>
    </w:p>
    <w:p w14:paraId="1AC7D3E4" w14:textId="4B5BDBE4" w:rsidR="00F26E05" w:rsidRPr="003463BF" w:rsidRDefault="00F26E05" w:rsidP="008B596D">
      <w:pPr>
        <w:pStyle w:val="Listparagraphi"/>
        <w:numPr>
          <w:ilvl w:val="0"/>
          <w:numId w:val="19"/>
        </w:numPr>
        <w:spacing w:after="80"/>
      </w:pPr>
      <w:r w:rsidRPr="003463BF">
        <w:t>Employee starting date</w:t>
      </w:r>
    </w:p>
    <w:p w14:paraId="7F18A465" w14:textId="1E0FA32E" w:rsidR="00F26E05" w:rsidRPr="003463BF" w:rsidRDefault="00F26E05" w:rsidP="008B596D">
      <w:pPr>
        <w:pStyle w:val="Listparagraphi"/>
        <w:numPr>
          <w:ilvl w:val="0"/>
          <w:numId w:val="19"/>
        </w:numPr>
        <w:spacing w:after="80"/>
      </w:pPr>
      <w:r w:rsidRPr="003463BF">
        <w:t>Years of service</w:t>
      </w:r>
    </w:p>
    <w:p w14:paraId="6F67BD56" w14:textId="58F3DE05" w:rsidR="00F26E05" w:rsidRPr="003463BF" w:rsidRDefault="00F26E05" w:rsidP="008B596D">
      <w:pPr>
        <w:pStyle w:val="Listparagraphi"/>
        <w:numPr>
          <w:ilvl w:val="0"/>
          <w:numId w:val="19"/>
        </w:numPr>
        <w:spacing w:after="80"/>
      </w:pPr>
      <w:r w:rsidRPr="003463BF">
        <w:t>Hourly rate</w:t>
      </w:r>
    </w:p>
    <w:p w14:paraId="79D775D0" w14:textId="1E995C81" w:rsidR="00F26E05" w:rsidRPr="003463BF" w:rsidRDefault="00F26E05" w:rsidP="008B596D">
      <w:pPr>
        <w:pStyle w:val="Listparagraphi"/>
        <w:numPr>
          <w:ilvl w:val="0"/>
          <w:numId w:val="19"/>
        </w:numPr>
        <w:spacing w:after="80"/>
      </w:pPr>
      <w:r w:rsidRPr="003463BF">
        <w:t>Award</w:t>
      </w:r>
    </w:p>
    <w:p w14:paraId="59CFAA37" w14:textId="7C7E8FE9" w:rsidR="00F26E05" w:rsidRPr="003463BF" w:rsidRDefault="00F26E05" w:rsidP="008B596D">
      <w:pPr>
        <w:pStyle w:val="Listparagraphi"/>
        <w:numPr>
          <w:ilvl w:val="0"/>
          <w:numId w:val="19"/>
        </w:numPr>
        <w:spacing w:after="80"/>
      </w:pPr>
      <w:r w:rsidRPr="003463BF">
        <w:t>Redundancy pay weeks</w:t>
      </w:r>
    </w:p>
    <w:p w14:paraId="0EC1F15A" w14:textId="14D671CF" w:rsidR="00F26E05" w:rsidRPr="003463BF" w:rsidRDefault="00F26E05" w:rsidP="008B596D">
      <w:pPr>
        <w:pStyle w:val="Listparagraphi"/>
        <w:numPr>
          <w:ilvl w:val="0"/>
          <w:numId w:val="19"/>
        </w:numPr>
      </w:pPr>
      <w:r w:rsidRPr="003463BF">
        <w:t>Redundancy pay value</w:t>
      </w:r>
    </w:p>
    <w:p w14:paraId="4154B65A" w14:textId="1E63CFB0" w:rsidR="00F26E05" w:rsidRPr="003463BF" w:rsidRDefault="00F26E05" w:rsidP="00F26E05">
      <w:pPr>
        <w:pStyle w:val="BodyText"/>
        <w:rPr>
          <w:lang w:val="en-GB"/>
        </w:rPr>
      </w:pPr>
      <w:r w:rsidRPr="003463BF">
        <w:rPr>
          <w:lang w:val="en-GB"/>
        </w:rPr>
        <w:t>Note that the information in the spreadsheet may be de-identified and not include employee names.</w:t>
      </w:r>
    </w:p>
    <w:p w14:paraId="3AFAA4A4" w14:textId="65AC7D2F" w:rsidR="001A7CFC" w:rsidRPr="003463BF" w:rsidRDefault="001A7CFC" w:rsidP="00124CDD">
      <w:pPr>
        <w:pStyle w:val="ListNumber"/>
        <w:rPr>
          <w:lang w:val="en-GB"/>
        </w:rPr>
      </w:pPr>
      <w:r w:rsidRPr="003463BF">
        <w:rPr>
          <w:lang w:val="en-GB"/>
        </w:rPr>
        <w:lastRenderedPageBreak/>
        <w:t xml:space="preserve">Component </w:t>
      </w:r>
      <w:r w:rsidR="0047667F" w:rsidRPr="003463BF">
        <w:rPr>
          <w:lang w:val="en-GB"/>
        </w:rPr>
        <w:t xml:space="preserve">4 (if applicable), confirmation that the business intends to cease operating as </w:t>
      </w:r>
      <w:r w:rsidR="00DA5FB4" w:rsidRPr="003463BF">
        <w:rPr>
          <w:lang w:val="en-GB"/>
        </w:rPr>
        <w:t>a processor of forest products</w:t>
      </w:r>
    </w:p>
    <w:p w14:paraId="69E47E6C" w14:textId="226C9772" w:rsidR="00F26E05" w:rsidRPr="003463BF" w:rsidRDefault="00F26E05" w:rsidP="00124CDD">
      <w:pPr>
        <w:pStyle w:val="ListNumber"/>
        <w:rPr>
          <w:lang w:val="en-GB"/>
        </w:rPr>
      </w:pPr>
      <w:r w:rsidRPr="003463BF">
        <w:rPr>
          <w:lang w:val="en-GB"/>
        </w:rPr>
        <w:t>A declaration that the business:</w:t>
      </w:r>
    </w:p>
    <w:p w14:paraId="7DD2EC5E" w14:textId="44F1C3EB" w:rsidR="00F26E05" w:rsidRPr="003463BF" w:rsidRDefault="00F26E05" w:rsidP="008B596D">
      <w:pPr>
        <w:pStyle w:val="Listparagrapha"/>
        <w:numPr>
          <w:ilvl w:val="0"/>
          <w:numId w:val="28"/>
        </w:numPr>
        <w:tabs>
          <w:tab w:val="clear" w:pos="766"/>
        </w:tabs>
        <w:ind w:left="681" w:hanging="255"/>
        <w:rPr>
          <w:lang w:val="en-GB"/>
        </w:rPr>
      </w:pPr>
      <w:r w:rsidRPr="003463BF">
        <w:rPr>
          <w:lang w:val="en-GB"/>
        </w:rPr>
        <w:t>will comply with the conditions of participation in the Package set out in these Guidelines;</w:t>
      </w:r>
    </w:p>
    <w:p w14:paraId="1FC2CB03" w14:textId="09F5E285" w:rsidR="00F26E05" w:rsidRPr="003463BF" w:rsidRDefault="00F26E05" w:rsidP="008B596D">
      <w:pPr>
        <w:pStyle w:val="Listparagrapha"/>
        <w:numPr>
          <w:ilvl w:val="0"/>
          <w:numId w:val="28"/>
        </w:numPr>
        <w:ind w:left="709" w:hanging="255"/>
        <w:rPr>
          <w:lang w:val="en-GB"/>
        </w:rPr>
      </w:pPr>
      <w:r w:rsidRPr="003463BF">
        <w:rPr>
          <w:lang w:val="en-GB"/>
        </w:rPr>
        <w:t>consents to the Department sharing information with Australian and State government departments and agencies and the Australian Business Register for the purpose of verifying the information provided in the Application;</w:t>
      </w:r>
    </w:p>
    <w:p w14:paraId="0EF2E51F" w14:textId="38FFBB1E" w:rsidR="00F26E05" w:rsidRPr="003463BF" w:rsidRDefault="00F26E05" w:rsidP="008B596D">
      <w:pPr>
        <w:pStyle w:val="Listparagrapha"/>
        <w:numPr>
          <w:ilvl w:val="0"/>
          <w:numId w:val="28"/>
        </w:numPr>
        <w:ind w:left="709" w:hanging="255"/>
        <w:rPr>
          <w:lang w:val="en-GB"/>
        </w:rPr>
      </w:pPr>
      <w:r w:rsidRPr="003463BF">
        <w:rPr>
          <w:lang w:val="en-GB"/>
        </w:rPr>
        <w:t>understands that if the business chooses to participate in the Package and intends to make some or all of their workforce redundant (if applicable), the business will be required to, from the date an application is submitted:</w:t>
      </w:r>
    </w:p>
    <w:p w14:paraId="174C7E20" w14:textId="45BA4D95" w:rsidR="00F26E05" w:rsidRPr="003463BF" w:rsidRDefault="00F26E05" w:rsidP="008B596D">
      <w:pPr>
        <w:pStyle w:val="Listparagraphi"/>
        <w:numPr>
          <w:ilvl w:val="0"/>
          <w:numId w:val="22"/>
        </w:numPr>
        <w:ind w:hanging="255"/>
      </w:pPr>
      <w:r w:rsidRPr="003463BF">
        <w:t>provide employees with the opportunity to participate in an agreed program of pre-redundancy training, including onsite skills audit and/or verification and other Forestry Transition Worker Support Program activities, with the cost of any leave to be at no cost to the employee or the State; and</w:t>
      </w:r>
    </w:p>
    <w:p w14:paraId="6C8F5D60" w14:textId="173F253F" w:rsidR="00F26E05" w:rsidRPr="003463BF" w:rsidRDefault="00F26E05" w:rsidP="008B596D">
      <w:pPr>
        <w:pStyle w:val="Listparagraphi"/>
        <w:numPr>
          <w:ilvl w:val="0"/>
          <w:numId w:val="20"/>
        </w:numPr>
        <w:ind w:hanging="255"/>
        <w:rPr>
          <w:rFonts w:cs="Times New Roman (Body CS)"/>
          <w:kern w:val="24"/>
        </w:rPr>
      </w:pPr>
      <w:r w:rsidRPr="003463BF">
        <w:t>provide access for the Department’s worker support program staff to engage with employees regarding the Forestry Transition Worker Support Program, with the access to employees to be provided at no cost to the Department or employees;</w:t>
      </w:r>
    </w:p>
    <w:p w14:paraId="52FE1E37" w14:textId="2C0D72ED" w:rsidR="00F26E05" w:rsidRPr="003463BF" w:rsidRDefault="00F26E05" w:rsidP="008B596D">
      <w:pPr>
        <w:pStyle w:val="Listparagrapha"/>
        <w:numPr>
          <w:ilvl w:val="0"/>
          <w:numId w:val="28"/>
        </w:numPr>
        <w:ind w:left="709"/>
        <w:rPr>
          <w:lang w:val="en-GB"/>
        </w:rPr>
      </w:pPr>
      <w:r w:rsidRPr="003463BF">
        <w:rPr>
          <w:lang w:val="en-GB"/>
        </w:rPr>
        <w:t>understands that if the business is successful in the Package, the business will be required to:</w:t>
      </w:r>
    </w:p>
    <w:p w14:paraId="79DA04DC" w14:textId="6C84ACBD" w:rsidR="00F26E05" w:rsidRPr="003463BF" w:rsidRDefault="00F26E05" w:rsidP="008B596D">
      <w:pPr>
        <w:pStyle w:val="Listparagraphi"/>
        <w:numPr>
          <w:ilvl w:val="0"/>
          <w:numId w:val="23"/>
        </w:numPr>
        <w:tabs>
          <w:tab w:val="clear" w:pos="1049"/>
        </w:tabs>
        <w:ind w:left="1134" w:hanging="425"/>
      </w:pPr>
      <w:r w:rsidRPr="003463BF">
        <w:t>enter into a grant agreement with the Department for the payment</w:t>
      </w:r>
    </w:p>
    <w:p w14:paraId="3BF966CE" w14:textId="60EFACC9" w:rsidR="00F26E05" w:rsidRPr="003463BF" w:rsidRDefault="00F26E05" w:rsidP="008B596D">
      <w:pPr>
        <w:pStyle w:val="Listparagraphi"/>
        <w:numPr>
          <w:ilvl w:val="0"/>
          <w:numId w:val="22"/>
        </w:numPr>
        <w:tabs>
          <w:tab w:val="clear" w:pos="1049"/>
        </w:tabs>
        <w:ind w:left="1134" w:hanging="425"/>
      </w:pPr>
      <w:r w:rsidRPr="003463BF">
        <w:t>agree to the termination of the Timber Sale Agreement that they hold with VicForests (applicable to non-contractor firewood customers holding a Timber Sale Agreement)</w:t>
      </w:r>
    </w:p>
    <w:p w14:paraId="69E9C27A" w14:textId="5F1BA409" w:rsidR="00F26E05" w:rsidRPr="003463BF" w:rsidRDefault="00F26E05" w:rsidP="008B596D">
      <w:pPr>
        <w:pStyle w:val="Listparagraphi"/>
        <w:numPr>
          <w:ilvl w:val="0"/>
          <w:numId w:val="22"/>
        </w:numPr>
        <w:tabs>
          <w:tab w:val="clear" w:pos="1049"/>
        </w:tabs>
        <w:ind w:left="1134" w:hanging="425"/>
      </w:pPr>
      <w:r w:rsidRPr="003463BF">
        <w:t>meet all employee statutory entitlements of employees associated with redundancy due to this Package (applicable to an employing business)</w:t>
      </w:r>
    </w:p>
    <w:p w14:paraId="47D6B3C3" w14:textId="2F0F285B" w:rsidR="00F26E05" w:rsidRPr="003463BF" w:rsidRDefault="00F26E05" w:rsidP="008B596D">
      <w:pPr>
        <w:pStyle w:val="Listparagraphi"/>
        <w:numPr>
          <w:ilvl w:val="0"/>
          <w:numId w:val="22"/>
        </w:numPr>
        <w:tabs>
          <w:tab w:val="clear" w:pos="1049"/>
        </w:tabs>
        <w:ind w:left="1134" w:hanging="425"/>
      </w:pPr>
      <w:proofErr w:type="gramStart"/>
      <w:r w:rsidRPr="003463BF">
        <w:t>enter into</w:t>
      </w:r>
      <w:proofErr w:type="gramEnd"/>
      <w:r w:rsidRPr="003463BF">
        <w:t xml:space="preserve"> an irrevocable Deed of Termination and Release with VicForests for all Timber Sale Agreements or Forest Produce Agreements held with VicForests (applicable to Timber Sale Agreement holders and Forest Produce Agreement holders</w:t>
      </w:r>
      <w:r w:rsidR="00692B3C">
        <w:t xml:space="preserve"> </w:t>
      </w:r>
      <w:r w:rsidR="00692B3C" w:rsidRPr="00692B3C">
        <w:t>until the expiry date of the relevant agreement)</w:t>
      </w:r>
    </w:p>
    <w:p w14:paraId="12BB19D5" w14:textId="2C40998F" w:rsidR="00F26E05" w:rsidRPr="003463BF" w:rsidRDefault="00F26E05" w:rsidP="008B596D">
      <w:pPr>
        <w:pStyle w:val="Listparagraphi"/>
        <w:numPr>
          <w:ilvl w:val="0"/>
          <w:numId w:val="22"/>
        </w:numPr>
        <w:tabs>
          <w:tab w:val="clear" w:pos="1049"/>
        </w:tabs>
        <w:ind w:left="1134" w:hanging="425"/>
      </w:pPr>
      <w:r w:rsidRPr="003463BF">
        <w:t>send correspondence to VicForests and sign a statutory declaration confirming they are surrendering their remaining allocation and relinquishing their Forest Produce Licence, and agree to not producing or processing under a Forest Produce Licence that they hold with VicForests after an agreement for a Community Forestry Support Package is reached with the Departmen</w:t>
      </w:r>
      <w:r w:rsidR="00692B3C">
        <w:t>t</w:t>
      </w:r>
      <w:r w:rsidR="00692B3C" w:rsidRPr="00692B3C">
        <w:t xml:space="preserve"> until the expiry date of the relevant licence or agreement</w:t>
      </w:r>
      <w:r w:rsidR="00692B3C">
        <w:t xml:space="preserve"> </w:t>
      </w:r>
      <w:r w:rsidR="00692B3C" w:rsidRPr="00692B3C">
        <w:t>until the expiry date of the relevant licence or agreement</w:t>
      </w:r>
    </w:p>
    <w:p w14:paraId="2EDAB9A0" w14:textId="178A6AD9" w:rsidR="00F26E05" w:rsidRPr="003463BF" w:rsidRDefault="00F26E05" w:rsidP="008B596D">
      <w:pPr>
        <w:pStyle w:val="Listparagraphi"/>
        <w:numPr>
          <w:ilvl w:val="0"/>
          <w:numId w:val="22"/>
        </w:numPr>
        <w:tabs>
          <w:tab w:val="clear" w:pos="1049"/>
        </w:tabs>
        <w:ind w:left="1134" w:hanging="425"/>
      </w:pPr>
      <w:r w:rsidRPr="003463BF">
        <w:lastRenderedPageBreak/>
        <w:t>identify how contractors will be paid the harvest and haulage component of the timber price in cases where there has been long-standing use of contractors for the harvest and delivery of timber for a sawmill purchasing timber through a Forest Produce Licence (if applicable)</w:t>
      </w:r>
    </w:p>
    <w:p w14:paraId="18100046" w14:textId="3431B657" w:rsidR="00F26E05" w:rsidRPr="003463BF" w:rsidRDefault="00F26E05" w:rsidP="008B596D">
      <w:pPr>
        <w:pStyle w:val="Listparagraphi"/>
        <w:numPr>
          <w:ilvl w:val="0"/>
          <w:numId w:val="22"/>
        </w:numPr>
        <w:tabs>
          <w:tab w:val="clear" w:pos="1049"/>
        </w:tabs>
        <w:ind w:left="1134" w:hanging="425"/>
      </w:pPr>
      <w:r w:rsidRPr="003463BF">
        <w:t>consent to VicForests sharing the applicant’s Timber Sale Agreement or Forest Produce Licence, and details of the volumes taken, with the Department</w:t>
      </w:r>
    </w:p>
    <w:p w14:paraId="38E74C68" w14:textId="722CEF97" w:rsidR="00F26E05" w:rsidRPr="003463BF" w:rsidRDefault="00F26E05" w:rsidP="008B596D">
      <w:pPr>
        <w:pStyle w:val="Listparagraphi"/>
        <w:numPr>
          <w:ilvl w:val="0"/>
          <w:numId w:val="22"/>
        </w:numPr>
        <w:tabs>
          <w:tab w:val="clear" w:pos="1049"/>
        </w:tabs>
        <w:ind w:left="1134" w:hanging="425"/>
      </w:pPr>
      <w:r w:rsidRPr="003463BF">
        <w:t>enable worker support payment redundancy top-ups to be calculated by the Worker Support Service by ensuring that full payroll and employment information is provided in writing for workers that are made redundant (this includes all information relating to start date; years of service with the business; annual salary and rates of pay; relevant Award; statutory redundancy payments made or to be made by the business to the worker; unused annual leave and statutory entitlements paid) (if applicable)</w:t>
      </w:r>
    </w:p>
    <w:p w14:paraId="1C6AF67E" w14:textId="40F06AEB" w:rsidR="00F26E05" w:rsidRPr="003463BF" w:rsidRDefault="00F26E05" w:rsidP="008B596D">
      <w:pPr>
        <w:pStyle w:val="Listparagraphi"/>
        <w:numPr>
          <w:ilvl w:val="0"/>
          <w:numId w:val="22"/>
        </w:numPr>
        <w:tabs>
          <w:tab w:val="clear" w:pos="1049"/>
        </w:tabs>
        <w:ind w:left="1134" w:hanging="425"/>
      </w:pPr>
      <w:r w:rsidRPr="003463BF">
        <w:t>meet all obligations relating to major workplace change in accordance with the relevant award or Enterprise Bargaining Agreement.</w:t>
      </w:r>
    </w:p>
    <w:p w14:paraId="4E7F08E7" w14:textId="09DDDEAB" w:rsidR="00F26E05" w:rsidRPr="003463BF" w:rsidRDefault="00D138E6" w:rsidP="00124CDD">
      <w:pPr>
        <w:pStyle w:val="Heading1"/>
        <w:rPr>
          <w:lang w:val="en-GB"/>
        </w:rPr>
      </w:pPr>
      <w:bookmarkStart w:id="24" w:name="_Toc150953842"/>
      <w:bookmarkStart w:id="25" w:name="_Toc167200953"/>
      <w:r>
        <w:rPr>
          <w:lang w:val="en-GB"/>
        </w:rPr>
        <w:t>8</w:t>
      </w:r>
      <w:r w:rsidR="005E3F95" w:rsidRPr="003463BF">
        <w:rPr>
          <w:lang w:val="en-GB"/>
        </w:rPr>
        <w:t xml:space="preserve">. </w:t>
      </w:r>
      <w:r w:rsidR="00F26E05" w:rsidRPr="003463BF">
        <w:rPr>
          <w:lang w:val="en-GB"/>
        </w:rPr>
        <w:t>Offer and grant agreement</w:t>
      </w:r>
      <w:bookmarkEnd w:id="24"/>
      <w:bookmarkEnd w:id="25"/>
    </w:p>
    <w:p w14:paraId="7A856A8B" w14:textId="67CA9552" w:rsidR="00F26E05" w:rsidRPr="003463BF" w:rsidRDefault="00F26E05" w:rsidP="00124CDD">
      <w:pPr>
        <w:pStyle w:val="Heading2"/>
      </w:pPr>
      <w:bookmarkStart w:id="26" w:name="_Toc150953843"/>
      <w:r w:rsidRPr="003463BF">
        <w:t xml:space="preserve">Step </w:t>
      </w:r>
      <w:r w:rsidR="00692B3C">
        <w:t>4</w:t>
      </w:r>
      <w:r w:rsidRPr="003463BF">
        <w:t>: Offer of a Package</w:t>
      </w:r>
      <w:bookmarkEnd w:id="26"/>
    </w:p>
    <w:p w14:paraId="6B555486" w14:textId="71FF1296" w:rsidR="00F26E05" w:rsidRPr="003463BF" w:rsidRDefault="00F26E05" w:rsidP="00F26E05">
      <w:pPr>
        <w:pStyle w:val="BodyText"/>
        <w:rPr>
          <w:lang w:val="en-GB"/>
        </w:rPr>
      </w:pPr>
      <w:r w:rsidRPr="003463BF">
        <w:rPr>
          <w:lang w:val="en-GB"/>
        </w:rPr>
        <w:t xml:space="preserve">The Minister for Agriculture will consider the recommendations made by the Department when deliberating on final approval for a Package for a successful </w:t>
      </w:r>
      <w:r w:rsidR="007F748D" w:rsidRPr="003463BF">
        <w:rPr>
          <w:lang w:val="en-GB"/>
        </w:rPr>
        <w:t>applicant and</w:t>
      </w:r>
      <w:r w:rsidRPr="003463BF">
        <w:rPr>
          <w:lang w:val="en-GB"/>
        </w:rPr>
        <w:t xml:space="preserve"> write to successful applicants with an offer to enter into a grant agreement with the Department.</w:t>
      </w:r>
    </w:p>
    <w:p w14:paraId="43988673" w14:textId="77777777" w:rsidR="00F26E05" w:rsidRPr="003463BF" w:rsidRDefault="00F26E05" w:rsidP="00F26E05">
      <w:pPr>
        <w:pStyle w:val="BodyText"/>
        <w:rPr>
          <w:lang w:val="en-GB"/>
        </w:rPr>
      </w:pPr>
      <w:r w:rsidRPr="003463BF">
        <w:rPr>
          <w:lang w:val="en-GB"/>
        </w:rPr>
        <w:t>The successful applicant must respond to the Letter of Offer indicating they have accepted it.</w:t>
      </w:r>
    </w:p>
    <w:p w14:paraId="4D6AC7A9" w14:textId="77777777" w:rsidR="00F26E05" w:rsidRPr="003463BF" w:rsidRDefault="00F26E05" w:rsidP="00F26E05">
      <w:pPr>
        <w:pStyle w:val="BodyText"/>
        <w:rPr>
          <w:lang w:val="en-GB"/>
        </w:rPr>
      </w:pPr>
      <w:r w:rsidRPr="003463BF">
        <w:rPr>
          <w:lang w:val="en-GB"/>
        </w:rPr>
        <w:t>The letter of offer is a non-binding agreement and will lapse after 15 business days from the date of the letter unless varied by agreement with the Department.</w:t>
      </w:r>
    </w:p>
    <w:p w14:paraId="147A8F17" w14:textId="6A1808AC" w:rsidR="00F26E05" w:rsidRPr="003463BF" w:rsidRDefault="00F26E05" w:rsidP="00124CDD">
      <w:pPr>
        <w:pStyle w:val="Heading2"/>
      </w:pPr>
      <w:bookmarkStart w:id="27" w:name="_Toc150953844"/>
      <w:r w:rsidRPr="003463BF">
        <w:t xml:space="preserve">Step </w:t>
      </w:r>
      <w:r w:rsidR="00692B3C">
        <w:t>5</w:t>
      </w:r>
      <w:r w:rsidRPr="003463BF">
        <w:t>: Grant agreement</w:t>
      </w:r>
      <w:bookmarkEnd w:id="27"/>
    </w:p>
    <w:p w14:paraId="3CD02006" w14:textId="10A212EA" w:rsidR="00F26E05" w:rsidRPr="003463BF" w:rsidRDefault="00F26E05" w:rsidP="00F26E05">
      <w:pPr>
        <w:pStyle w:val="BodyText"/>
        <w:rPr>
          <w:lang w:val="en-GB"/>
        </w:rPr>
      </w:pPr>
      <w:r w:rsidRPr="003463BF">
        <w:rPr>
          <w:lang w:val="en-GB"/>
        </w:rPr>
        <w:t>Successful applicants must enter into a funding agreement with Department of Energy, Environment and Climate Action (DEECA).</w:t>
      </w:r>
    </w:p>
    <w:p w14:paraId="176968A3" w14:textId="34BC5E85" w:rsidR="00F26E05" w:rsidRPr="003463BF" w:rsidRDefault="00F26E05" w:rsidP="00124CDD">
      <w:pPr>
        <w:pStyle w:val="Heading3"/>
      </w:pPr>
      <w:bookmarkStart w:id="28" w:name="_Toc150953845"/>
      <w:r w:rsidRPr="003463BF">
        <w:t>Legislative and regulatory requirements</w:t>
      </w:r>
      <w:bookmarkEnd w:id="28"/>
    </w:p>
    <w:p w14:paraId="41E0029E" w14:textId="3982E10B" w:rsidR="00F26E05" w:rsidRPr="003463BF" w:rsidRDefault="00F26E05" w:rsidP="00F26E05">
      <w:pPr>
        <w:pStyle w:val="BodyText"/>
        <w:rPr>
          <w:lang w:val="en-GB"/>
        </w:rPr>
      </w:pPr>
      <w:r w:rsidRPr="003463BF">
        <w:rPr>
          <w:lang w:val="en-GB"/>
        </w:rPr>
        <w:t>In delivering the activity grant recipients are required to comply with all relevant Commonwealth and state/territory legislations and regulations, including but not limited to:</w:t>
      </w:r>
    </w:p>
    <w:p w14:paraId="49D1333A" w14:textId="3D2AAF6A" w:rsidR="00F26E05" w:rsidRPr="003463BF" w:rsidRDefault="00F26E05" w:rsidP="00124CDD">
      <w:pPr>
        <w:pStyle w:val="ListBullet"/>
        <w:rPr>
          <w:i/>
          <w:iCs/>
          <w:lang w:val="en-GB"/>
        </w:rPr>
      </w:pPr>
      <w:r w:rsidRPr="003463BF">
        <w:rPr>
          <w:i/>
          <w:iCs/>
          <w:lang w:val="en-GB"/>
        </w:rPr>
        <w:t>The Privacy Act 1988 (Commonwealth)</w:t>
      </w:r>
    </w:p>
    <w:p w14:paraId="79A70B03" w14:textId="29984EE6" w:rsidR="00F26E05" w:rsidRPr="003463BF" w:rsidRDefault="00F26E05" w:rsidP="00124CDD">
      <w:pPr>
        <w:pStyle w:val="ListBullet"/>
        <w:rPr>
          <w:i/>
          <w:iCs/>
          <w:lang w:val="en-GB"/>
        </w:rPr>
      </w:pPr>
      <w:r w:rsidRPr="003463BF">
        <w:rPr>
          <w:i/>
          <w:iCs/>
          <w:lang w:val="en-GB"/>
        </w:rPr>
        <w:t>The Freedom of Information Act 1982 (Vic)</w:t>
      </w:r>
    </w:p>
    <w:p w14:paraId="185E7538" w14:textId="22B56F20" w:rsidR="00F26E05" w:rsidRPr="003463BF" w:rsidRDefault="00F26E05" w:rsidP="00124CDD">
      <w:pPr>
        <w:pStyle w:val="Bullet1last"/>
        <w:rPr>
          <w:i/>
          <w:iCs/>
          <w:lang w:val="en-GB"/>
        </w:rPr>
      </w:pPr>
      <w:r w:rsidRPr="003463BF">
        <w:rPr>
          <w:i/>
          <w:iCs/>
          <w:lang w:val="en-GB"/>
        </w:rPr>
        <w:t>Occupational Health and Safety Act 2004</w:t>
      </w:r>
    </w:p>
    <w:p w14:paraId="7AC393DF" w14:textId="77777777" w:rsidR="00F26E05" w:rsidRPr="003463BF" w:rsidRDefault="00F26E05" w:rsidP="00F26E05">
      <w:pPr>
        <w:pStyle w:val="BodyText"/>
        <w:rPr>
          <w:lang w:val="en-GB"/>
        </w:rPr>
      </w:pPr>
      <w:r w:rsidRPr="003463BF">
        <w:rPr>
          <w:lang w:val="en-GB"/>
        </w:rPr>
        <w:lastRenderedPageBreak/>
        <w:t>The grant agreement is a legally enforceable document that clearly set out the obligations of both parties. The grant agreement aims to protect the Victorian Government’s interests and to ensure the efficient and effective use of public money.</w:t>
      </w:r>
    </w:p>
    <w:p w14:paraId="3C0CCA7F" w14:textId="77777777" w:rsidR="00F26E05" w:rsidRPr="003463BF" w:rsidRDefault="00F26E05" w:rsidP="00F26E05">
      <w:pPr>
        <w:pStyle w:val="BodyText"/>
        <w:rPr>
          <w:lang w:val="en-GB"/>
        </w:rPr>
      </w:pPr>
      <w:r w:rsidRPr="003463BF">
        <w:rPr>
          <w:lang w:val="en-GB"/>
        </w:rPr>
        <w:t>The grant agreement will detail all funding obligations and conditions, including without limitation the following key terms:</w:t>
      </w:r>
    </w:p>
    <w:p w14:paraId="51C146F9" w14:textId="0F356B7D" w:rsidR="00F26E05" w:rsidRPr="003463BF" w:rsidRDefault="00F26E05" w:rsidP="008B596D">
      <w:pPr>
        <w:pStyle w:val="ListNumber"/>
        <w:numPr>
          <w:ilvl w:val="0"/>
          <w:numId w:val="24"/>
        </w:numPr>
      </w:pPr>
      <w:r w:rsidRPr="003463BF">
        <w:t>Holders of a Forest Produce Licence, Forest Produce Agreement or Timber Sale Agreement will be required to indemnify and release the State and its agencies and their officers and agents from and against any and all current and any and all future claims, actions, proceedings, demands, costs and expenses in connection with the Package.</w:t>
      </w:r>
    </w:p>
    <w:p w14:paraId="7ECC9A51" w14:textId="0F6958FB" w:rsidR="00F26E05" w:rsidRPr="003463BF" w:rsidRDefault="00F26E05" w:rsidP="00215E01">
      <w:pPr>
        <w:pStyle w:val="ListNumber"/>
      </w:pPr>
      <w:r w:rsidRPr="003463BF">
        <w:t>All monies due and payable to VicForests but remaining unpaid must be paid prior to the Package payment being paid.</w:t>
      </w:r>
    </w:p>
    <w:p w14:paraId="0A4909CB" w14:textId="2BB3AEDF" w:rsidR="00F26E05" w:rsidRPr="003463BF" w:rsidRDefault="00F26E05" w:rsidP="00215E01">
      <w:pPr>
        <w:pStyle w:val="ListNumber"/>
        <w:rPr>
          <w:lang w:val="en-GB"/>
        </w:rPr>
      </w:pPr>
      <w:r w:rsidRPr="003463BF">
        <w:t>Where the successful applicant has been the recipient of financial assistance or a grant from the State for which an agreement has been entered into, any obligations of the business to the State arising out of the take-up of a Package payment will require settlement in accordance with the Department’s directions.</w:t>
      </w:r>
      <w:r w:rsidR="00215E01" w:rsidRPr="003463BF">
        <w:t xml:space="preserve"> (</w:t>
      </w:r>
      <w:r w:rsidR="00215E01" w:rsidRPr="003463BF">
        <w:rPr>
          <w:lang w:val="en-GB"/>
        </w:rPr>
        <w:t>For example, a sawmill might be the recipient of a Victorian Timber Innovation Grant and the take-up of a Package Payment may impact on the achievement of a grant milestone.)</w:t>
      </w:r>
    </w:p>
    <w:p w14:paraId="2F0967AB" w14:textId="71D465A0" w:rsidR="00F26E05" w:rsidRPr="003463BF" w:rsidRDefault="00F26E05" w:rsidP="00215E01">
      <w:pPr>
        <w:pStyle w:val="ListNumber"/>
      </w:pPr>
      <w:r w:rsidRPr="003463BF">
        <w:t xml:space="preserve">The applicant must settle liability in connection with the surrender of the Timber Sale Agreement, Forest Produce Agreement and </w:t>
      </w:r>
      <w:proofErr w:type="gramStart"/>
      <w:r w:rsidRPr="003463BF">
        <w:t>enter into</w:t>
      </w:r>
      <w:proofErr w:type="gramEnd"/>
      <w:r w:rsidRPr="003463BF">
        <w:t xml:space="preserve"> a Deed of Termination and Release with VicForests (on such terms as required by </w:t>
      </w:r>
      <w:proofErr w:type="spellStart"/>
      <w:r w:rsidRPr="003463BF">
        <w:t>VicForests</w:t>
      </w:r>
      <w:proofErr w:type="spellEnd"/>
      <w:r w:rsidR="00692B3C">
        <w:t xml:space="preserve"> </w:t>
      </w:r>
      <w:r w:rsidR="00692B3C" w:rsidRPr="00692B3C">
        <w:t>until the expiry date of the relevant agreement).</w:t>
      </w:r>
    </w:p>
    <w:p w14:paraId="16DAEA6F" w14:textId="61914AA9" w:rsidR="00F26E05" w:rsidRPr="003463BF" w:rsidRDefault="00F26E05" w:rsidP="00215E01">
      <w:pPr>
        <w:pStyle w:val="ListNumber"/>
      </w:pPr>
      <w:r w:rsidRPr="003463BF">
        <w:t xml:space="preserve">No part of the Package payment will be made under the grant agreement to Forest Produce Agreement or Timber Sale Agreement holders until VicForests’ Deed of Termination and Release has been executed by </w:t>
      </w:r>
      <w:proofErr w:type="spellStart"/>
      <w:r w:rsidRPr="003463BF">
        <w:t>VicForests</w:t>
      </w:r>
      <w:proofErr w:type="spellEnd"/>
      <w:r w:rsidRPr="003463BF">
        <w:t xml:space="preserve"> and the applicant</w:t>
      </w:r>
      <w:r w:rsidR="00692B3C">
        <w:t xml:space="preserve"> </w:t>
      </w:r>
      <w:r w:rsidR="00692B3C" w:rsidRPr="00692B3C">
        <w:t>or until the Timber Sale Agreement or Forest Produce Agreement has expired.</w:t>
      </w:r>
    </w:p>
    <w:p w14:paraId="765A220A" w14:textId="6574724F" w:rsidR="00F26E05" w:rsidRPr="003463BF" w:rsidRDefault="00F26E05" w:rsidP="00215E01">
      <w:pPr>
        <w:pStyle w:val="ListNumber"/>
      </w:pPr>
      <w:r w:rsidRPr="003463BF">
        <w:t xml:space="preserve">The full amount of a Package payment will only be made after evidence has been provided that any required statutory entitlements for employees have been met, unless special circumstances can be </w:t>
      </w:r>
      <w:proofErr w:type="gramStart"/>
      <w:r w:rsidRPr="003463BF">
        <w:t>demonstrated</w:t>
      </w:r>
      <w:proofErr w:type="gramEnd"/>
      <w:r w:rsidRPr="003463BF">
        <w:t xml:space="preserve"> and arrangements settled with the Department in advance.</w:t>
      </w:r>
    </w:p>
    <w:p w14:paraId="7AD8C334" w14:textId="3F522A46" w:rsidR="00F26E05" w:rsidRPr="003463BF" w:rsidRDefault="00F26E05" w:rsidP="00215E01">
      <w:pPr>
        <w:pStyle w:val="ListNumber"/>
      </w:pPr>
      <w:r w:rsidRPr="003463BF">
        <w:t>The applicant agrees to provide reasonable access for the Department-funded Forestry Transition’s worker support program staff to engage with employees regarding the worker support program, with the cost of providing access to employees to be at no cost to the Department or employees.</w:t>
      </w:r>
    </w:p>
    <w:p w14:paraId="68C59F8B" w14:textId="4E2C96A5" w:rsidR="00F26E05" w:rsidRPr="003463BF" w:rsidRDefault="00F26E05" w:rsidP="00215E01">
      <w:pPr>
        <w:pStyle w:val="ListNumber"/>
      </w:pPr>
      <w:r w:rsidRPr="003463BF">
        <w:t>The Package payment will be paid in one or more instalments after 1 July 2023 as determined by the Department in consultation with the successful applicant.</w:t>
      </w:r>
    </w:p>
    <w:p w14:paraId="008688DE" w14:textId="2574D925" w:rsidR="00F26E05" w:rsidRPr="003463BF" w:rsidRDefault="00F26E05" w:rsidP="00F26E05">
      <w:pPr>
        <w:pStyle w:val="BodyText"/>
        <w:rPr>
          <w:lang w:val="en-GB"/>
        </w:rPr>
      </w:pPr>
      <w:r w:rsidRPr="003463BF">
        <w:rPr>
          <w:lang w:val="en-GB"/>
        </w:rPr>
        <w:t>Successful applicants must agree and sign the grant agreement within 15 business days from the date the Department provides them with the grant agreement, otherwise the offer will lapse.</w:t>
      </w:r>
    </w:p>
    <w:p w14:paraId="443D594E" w14:textId="77777777" w:rsidR="00F26E05" w:rsidRPr="003463BF" w:rsidRDefault="00F26E05" w:rsidP="00F26E05">
      <w:pPr>
        <w:pStyle w:val="BodyText"/>
        <w:rPr>
          <w:lang w:val="en-GB"/>
        </w:rPr>
      </w:pPr>
      <w:r w:rsidRPr="003463BF">
        <w:rPr>
          <w:lang w:val="en-GB"/>
        </w:rPr>
        <w:t>The Department in its discretion may consider an extension.</w:t>
      </w:r>
    </w:p>
    <w:p w14:paraId="0097E912" w14:textId="77777777" w:rsidR="00F26E05" w:rsidRPr="003463BF" w:rsidRDefault="00F26E05" w:rsidP="00F26E05">
      <w:pPr>
        <w:pStyle w:val="BodyText"/>
        <w:rPr>
          <w:lang w:val="en-GB"/>
        </w:rPr>
      </w:pPr>
      <w:r w:rsidRPr="003463BF">
        <w:rPr>
          <w:lang w:val="en-GB"/>
        </w:rPr>
        <w:lastRenderedPageBreak/>
        <w:t>The offer from the Minister for Agriculture is to be kept confidential by the applicant and its officer, employees, agents and related entities, subject to the confidentiality obligations in these Guidelines, unless the Department releases the business names of the successful applicants publicly.</w:t>
      </w:r>
    </w:p>
    <w:p w14:paraId="5ED50D69" w14:textId="539C7D58" w:rsidR="00F26E05" w:rsidRPr="003463BF" w:rsidRDefault="00D138E6" w:rsidP="00215E01">
      <w:pPr>
        <w:pStyle w:val="Heading1"/>
        <w:rPr>
          <w:lang w:val="en-GB"/>
        </w:rPr>
      </w:pPr>
      <w:bookmarkStart w:id="29" w:name="_Toc150953846"/>
      <w:bookmarkStart w:id="30" w:name="_Toc167200954"/>
      <w:r>
        <w:rPr>
          <w:lang w:val="en-GB"/>
        </w:rPr>
        <w:t>9</w:t>
      </w:r>
      <w:r w:rsidR="00215E01" w:rsidRPr="003463BF">
        <w:rPr>
          <w:lang w:val="en-GB"/>
        </w:rPr>
        <w:t xml:space="preserve">. </w:t>
      </w:r>
      <w:r w:rsidR="00F26E05" w:rsidRPr="003463BF">
        <w:rPr>
          <w:lang w:val="en-GB"/>
        </w:rPr>
        <w:t>GST and other taxes</w:t>
      </w:r>
      <w:bookmarkEnd w:id="29"/>
      <w:bookmarkEnd w:id="30"/>
    </w:p>
    <w:p w14:paraId="2E7065FD" w14:textId="77777777" w:rsidR="00F26E05" w:rsidRPr="003463BF" w:rsidRDefault="00F26E05" w:rsidP="00F26E05">
      <w:pPr>
        <w:pStyle w:val="BodyText"/>
        <w:rPr>
          <w:lang w:val="en-GB"/>
        </w:rPr>
      </w:pPr>
      <w:r w:rsidRPr="003463BF">
        <w:rPr>
          <w:lang w:val="en-GB"/>
        </w:rPr>
        <w:t>Applicants should note that all costs and calculations included in the Application must be exclusive of GST.</w:t>
      </w:r>
    </w:p>
    <w:p w14:paraId="29056EFB" w14:textId="77777777" w:rsidR="00F26E05" w:rsidRPr="003463BF" w:rsidRDefault="00F26E05" w:rsidP="00F26E05">
      <w:pPr>
        <w:pStyle w:val="BodyText"/>
        <w:rPr>
          <w:lang w:val="en-GB"/>
        </w:rPr>
      </w:pPr>
      <w:r w:rsidRPr="003463BF">
        <w:rPr>
          <w:lang w:val="en-GB"/>
        </w:rPr>
        <w:t>Applicants will be required to determine the tax implications of any payment under the Package from their own taxation advisors and at their own risk. Tax liabilities (if any) payable or paid as a consequence of the Package is entirely the responsibility of the applicant and will not be reimbursed.</w:t>
      </w:r>
    </w:p>
    <w:p w14:paraId="507F6561" w14:textId="0EBB34F7" w:rsidR="00F26E05" w:rsidRPr="003463BF" w:rsidRDefault="00F26E05" w:rsidP="00F26E05">
      <w:pPr>
        <w:pStyle w:val="BodyText"/>
        <w:rPr>
          <w:lang w:val="en-GB"/>
        </w:rPr>
      </w:pPr>
      <w:r w:rsidRPr="003463BF">
        <w:rPr>
          <w:lang w:val="en-GB"/>
        </w:rPr>
        <w:t>If a successful applicant is registered for GST, a GST payment will be added to any payments made under the Package.</w:t>
      </w:r>
    </w:p>
    <w:p w14:paraId="42611E0B" w14:textId="3EEB9703" w:rsidR="00F26E05" w:rsidRPr="003463BF" w:rsidRDefault="00F26E05" w:rsidP="00F26E05">
      <w:pPr>
        <w:pStyle w:val="BodyText"/>
        <w:rPr>
          <w:lang w:val="en-GB"/>
        </w:rPr>
      </w:pPr>
      <w:r w:rsidRPr="003463BF">
        <w:rPr>
          <w:lang w:val="en-GB"/>
        </w:rPr>
        <w:t>Successful applicants without an ABN will need to provide a completed Australian Taxation Office form ‘Statement by a Supplier” so that no withholding tax is required from the grant payment.</w:t>
      </w:r>
    </w:p>
    <w:p w14:paraId="22CA63BD" w14:textId="42DED835" w:rsidR="00F26E05" w:rsidRPr="003463BF" w:rsidRDefault="00215E01" w:rsidP="00215E01">
      <w:pPr>
        <w:pStyle w:val="Heading1"/>
        <w:rPr>
          <w:lang w:val="en-GB"/>
        </w:rPr>
      </w:pPr>
      <w:bookmarkStart w:id="31" w:name="_Toc150953847"/>
      <w:bookmarkStart w:id="32" w:name="_Toc167200955"/>
      <w:r w:rsidRPr="003463BF">
        <w:rPr>
          <w:lang w:val="en-GB"/>
        </w:rPr>
        <w:t>1</w:t>
      </w:r>
      <w:r w:rsidR="00D138E6">
        <w:rPr>
          <w:lang w:val="en-GB"/>
        </w:rPr>
        <w:t>0</w:t>
      </w:r>
      <w:r w:rsidRPr="003463BF">
        <w:rPr>
          <w:lang w:val="en-GB"/>
        </w:rPr>
        <w:t xml:space="preserve">. </w:t>
      </w:r>
      <w:r w:rsidR="00F26E05" w:rsidRPr="003463BF">
        <w:rPr>
          <w:lang w:val="en-GB"/>
        </w:rPr>
        <w:t>Absolute discretion</w:t>
      </w:r>
      <w:bookmarkEnd w:id="31"/>
      <w:bookmarkEnd w:id="32"/>
    </w:p>
    <w:p w14:paraId="49611809" w14:textId="6F0D192A" w:rsidR="00F26E05" w:rsidRPr="003463BF" w:rsidRDefault="00F26E05" w:rsidP="00F26E05">
      <w:pPr>
        <w:pStyle w:val="BodyText"/>
        <w:rPr>
          <w:lang w:val="en-GB"/>
        </w:rPr>
      </w:pPr>
      <w:r w:rsidRPr="003463BF">
        <w:rPr>
          <w:lang w:val="en-GB"/>
        </w:rPr>
        <w:t>The Department reserves the right to request the applicant to provide further information should it be deemed necessary.</w:t>
      </w:r>
    </w:p>
    <w:p w14:paraId="2CE3EAF6" w14:textId="7086A9C6" w:rsidR="00F26E05" w:rsidRPr="003463BF" w:rsidRDefault="00F26E05" w:rsidP="00F26E05">
      <w:pPr>
        <w:pStyle w:val="BodyText"/>
        <w:rPr>
          <w:lang w:val="en-GB"/>
        </w:rPr>
      </w:pPr>
      <w:r w:rsidRPr="003463BF">
        <w:rPr>
          <w:lang w:val="en-GB"/>
        </w:rPr>
        <w:t>The Department reserves the right to amend these Guidelines and the application terms at any time as it deems appropriate.</w:t>
      </w:r>
    </w:p>
    <w:p w14:paraId="621E3356" w14:textId="6001B8A9" w:rsidR="00EA5DF4" w:rsidRPr="003463BF" w:rsidRDefault="00EA5DF4" w:rsidP="00EA5DF4">
      <w:pPr>
        <w:pStyle w:val="BodyText"/>
        <w:rPr>
          <w:lang w:val="en-GB"/>
        </w:rPr>
      </w:pPr>
      <w:r w:rsidRPr="003463BF">
        <w:rPr>
          <w:lang w:val="en-GB"/>
        </w:rPr>
        <w:t xml:space="preserve">Any </w:t>
      </w:r>
      <w:r w:rsidR="006573A1" w:rsidRPr="003463BF">
        <w:rPr>
          <w:lang w:val="en-GB"/>
        </w:rPr>
        <w:t xml:space="preserve">further </w:t>
      </w:r>
      <w:r w:rsidRPr="003463BF">
        <w:rPr>
          <w:lang w:val="en-GB"/>
        </w:rPr>
        <w:t>changes to the Guidelines will not affect the eligibility of the applicants and Applications made prior to the date of publication of any update.</w:t>
      </w:r>
    </w:p>
    <w:p w14:paraId="72B2FE13" w14:textId="774EFCB6" w:rsidR="00F26E05" w:rsidRPr="003463BF" w:rsidRDefault="00F26E05" w:rsidP="00F26E05">
      <w:pPr>
        <w:pStyle w:val="BodyText"/>
        <w:rPr>
          <w:lang w:val="en-GB"/>
        </w:rPr>
      </w:pPr>
      <w:r w:rsidRPr="003463BF">
        <w:rPr>
          <w:lang w:val="en-GB"/>
        </w:rPr>
        <w:t xml:space="preserve">The State makes no representation that a grant of funds will be made to any applicant and reserves the right to </w:t>
      </w:r>
      <w:r w:rsidR="00BC1F97" w:rsidRPr="003463BF">
        <w:rPr>
          <w:lang w:val="en-GB"/>
        </w:rPr>
        <w:t xml:space="preserve">adjust any payment (or any component of a payment) that is calculated in accordance with these Guidelines </w:t>
      </w:r>
      <w:r w:rsidR="00C840E6" w:rsidRPr="003463BF">
        <w:rPr>
          <w:lang w:val="en-GB"/>
        </w:rPr>
        <w:t xml:space="preserve">or </w:t>
      </w:r>
      <w:r w:rsidRPr="003463BF">
        <w:rPr>
          <w:lang w:val="en-GB"/>
        </w:rPr>
        <w:t>to make no funds available under the Package</w:t>
      </w:r>
      <w:r w:rsidR="002544C4" w:rsidRPr="003463BF">
        <w:rPr>
          <w:lang w:val="en-GB"/>
        </w:rPr>
        <w:t>, in its absolute discretion</w:t>
      </w:r>
      <w:r w:rsidRPr="003463BF">
        <w:rPr>
          <w:lang w:val="en-GB"/>
        </w:rPr>
        <w:t>.</w:t>
      </w:r>
    </w:p>
    <w:p w14:paraId="57CA12BE" w14:textId="34FC2F3B" w:rsidR="00F26E05" w:rsidRPr="003463BF" w:rsidRDefault="00215E01" w:rsidP="00215E01">
      <w:pPr>
        <w:pStyle w:val="Heading1"/>
        <w:rPr>
          <w:lang w:val="en-GB"/>
        </w:rPr>
      </w:pPr>
      <w:bookmarkStart w:id="33" w:name="_Toc150953848"/>
      <w:bookmarkStart w:id="34" w:name="_Toc167200956"/>
      <w:r w:rsidRPr="003463BF">
        <w:rPr>
          <w:lang w:val="en-GB"/>
        </w:rPr>
        <w:t>1</w:t>
      </w:r>
      <w:r w:rsidR="00D138E6">
        <w:rPr>
          <w:lang w:val="en-GB"/>
        </w:rPr>
        <w:t>1</w:t>
      </w:r>
      <w:r w:rsidRPr="003463BF">
        <w:rPr>
          <w:lang w:val="en-GB"/>
        </w:rPr>
        <w:t xml:space="preserve">. </w:t>
      </w:r>
      <w:r w:rsidR="00F26E05" w:rsidRPr="003463BF">
        <w:rPr>
          <w:lang w:val="en-GB"/>
        </w:rPr>
        <w:t>Payments</w:t>
      </w:r>
      <w:bookmarkEnd w:id="33"/>
      <w:bookmarkEnd w:id="34"/>
    </w:p>
    <w:p w14:paraId="7E3DD5D1" w14:textId="2E635834" w:rsidR="00F26E05" w:rsidRPr="003463BF" w:rsidRDefault="00F26E05" w:rsidP="00F26E05">
      <w:pPr>
        <w:pStyle w:val="BodyText"/>
        <w:rPr>
          <w:lang w:val="en-GB"/>
        </w:rPr>
      </w:pPr>
      <w:r w:rsidRPr="003463BF">
        <w:rPr>
          <w:lang w:val="en-GB"/>
        </w:rPr>
        <w:t>Payments will be made as long as:</w:t>
      </w:r>
    </w:p>
    <w:p w14:paraId="2540A81E" w14:textId="343B87FA" w:rsidR="00F26E05" w:rsidRPr="003463BF" w:rsidRDefault="00F26E05" w:rsidP="00215E01">
      <w:pPr>
        <w:pStyle w:val="ListBullet"/>
        <w:rPr>
          <w:lang w:val="en-GB"/>
        </w:rPr>
      </w:pPr>
      <w:r w:rsidRPr="003463BF">
        <w:rPr>
          <w:lang w:val="en-GB"/>
        </w:rPr>
        <w:t>the funding agreement has been signed by both parties;</w:t>
      </w:r>
    </w:p>
    <w:p w14:paraId="3C7E3DAC" w14:textId="6ADC476D" w:rsidR="00F26E05" w:rsidRPr="003463BF" w:rsidRDefault="00F26E05" w:rsidP="00215E01">
      <w:pPr>
        <w:pStyle w:val="Bullet1last"/>
        <w:rPr>
          <w:lang w:val="en-GB"/>
        </w:rPr>
      </w:pPr>
      <w:r w:rsidRPr="003463BF">
        <w:rPr>
          <w:lang w:val="en-GB"/>
        </w:rPr>
        <w:t>other terms and conditions of funding continue to be met.</w:t>
      </w:r>
    </w:p>
    <w:p w14:paraId="5210C0DB" w14:textId="00FBA53F" w:rsidR="00F26E05" w:rsidRPr="003463BF" w:rsidRDefault="00215E01" w:rsidP="00215E01">
      <w:pPr>
        <w:pStyle w:val="Heading1"/>
        <w:rPr>
          <w:lang w:val="en-GB"/>
        </w:rPr>
      </w:pPr>
      <w:bookmarkStart w:id="35" w:name="_Toc150953849"/>
      <w:bookmarkStart w:id="36" w:name="_Toc167200957"/>
      <w:r w:rsidRPr="003463BF">
        <w:rPr>
          <w:lang w:val="en-GB"/>
        </w:rPr>
        <w:lastRenderedPageBreak/>
        <w:t>1</w:t>
      </w:r>
      <w:r w:rsidR="00D138E6">
        <w:rPr>
          <w:lang w:val="en-GB"/>
        </w:rPr>
        <w:t>2</w:t>
      </w:r>
      <w:r w:rsidRPr="003463BF">
        <w:rPr>
          <w:lang w:val="en-GB"/>
        </w:rPr>
        <w:t xml:space="preserve">. </w:t>
      </w:r>
      <w:r w:rsidR="00F26E05" w:rsidRPr="003463BF">
        <w:rPr>
          <w:lang w:val="en-GB"/>
        </w:rPr>
        <w:t>Privacy</w:t>
      </w:r>
      <w:bookmarkEnd w:id="35"/>
      <w:bookmarkEnd w:id="36"/>
    </w:p>
    <w:p w14:paraId="67C37570" w14:textId="11E57728" w:rsidR="00F26E05" w:rsidRPr="003463BF" w:rsidRDefault="00F26E05" w:rsidP="00F26E05">
      <w:pPr>
        <w:pStyle w:val="BodyText"/>
        <w:rPr>
          <w:lang w:val="en-GB"/>
        </w:rPr>
      </w:pPr>
      <w:r w:rsidRPr="003463BF">
        <w:rPr>
          <w:lang w:val="en-GB"/>
        </w:rPr>
        <w:t>Any personal information about you or a third party in your application will be collected by the department for the purposes of administering your grant application and informing Members of Parliament of successful applications. Personal information may also be disclosed to external experts, such as members of assessment panels, or other Government Departments for assessment, reporting, advice, comment or for discussions regarding alternative or collaborative grant funding opportunities. If you intend to include personal information about third parties in your application, please ensure that they are aware of the contents of this privacy statement.</w:t>
      </w:r>
    </w:p>
    <w:p w14:paraId="507D2865" w14:textId="20BBA20C" w:rsidR="00F26E05" w:rsidRPr="003463BF" w:rsidRDefault="00F26E05" w:rsidP="00F26E05">
      <w:pPr>
        <w:pStyle w:val="BodyText"/>
        <w:rPr>
          <w:lang w:val="en-GB"/>
        </w:rPr>
      </w:pPr>
      <w:r w:rsidRPr="003463BF">
        <w:rPr>
          <w:lang w:val="en-GB"/>
        </w:rPr>
        <w:t>Any personal information about you or a third party in your correspondence will be collected, held, managed, used, disclosed or transferred in accordance with the provisions of the Privacy and Data Protection Act 2014 and other applicable laws.</w:t>
      </w:r>
    </w:p>
    <w:p w14:paraId="6C839B4E" w14:textId="33D1841F" w:rsidR="00F26E05" w:rsidRPr="003463BF" w:rsidRDefault="00F26E05" w:rsidP="00F26E05">
      <w:pPr>
        <w:pStyle w:val="BodyText"/>
        <w:rPr>
          <w:lang w:val="en-GB"/>
        </w:rPr>
      </w:pPr>
      <w:r w:rsidRPr="003463BF">
        <w:rPr>
          <w:lang w:val="en-GB"/>
        </w:rPr>
        <w:t xml:space="preserve">DEECA is committed to protecting the privacy of personal information. You can find the DEECA Privacy Policy online at </w:t>
      </w:r>
      <w:hyperlink r:id="rId17" w:history="1">
        <w:r w:rsidRPr="003463BF">
          <w:rPr>
            <w:rStyle w:val="Hyperlink"/>
            <w:lang w:val="en-GB"/>
          </w:rPr>
          <w:t>www.delwp.vic.gov.au/privacy</w:t>
        </w:r>
      </w:hyperlink>
      <w:r w:rsidRPr="003463BF">
        <w:rPr>
          <w:lang w:val="en-GB"/>
        </w:rPr>
        <w:t xml:space="preserve">. </w:t>
      </w:r>
    </w:p>
    <w:p w14:paraId="0FE9FFC4" w14:textId="77777777" w:rsidR="00F26E05" w:rsidRPr="003463BF" w:rsidRDefault="00F26E05" w:rsidP="00F26E05">
      <w:pPr>
        <w:pStyle w:val="BodyText"/>
        <w:rPr>
          <w:lang w:val="en-GB"/>
        </w:rPr>
      </w:pPr>
      <w:r w:rsidRPr="003463BF">
        <w:rPr>
          <w:lang w:val="en-GB"/>
        </w:rPr>
        <w:t>Enquiries about access to information about you held by the Department should be directed to:</w:t>
      </w:r>
    </w:p>
    <w:p w14:paraId="3B004FE6" w14:textId="7ABE91F2" w:rsidR="00F26E05" w:rsidRPr="003463BF" w:rsidRDefault="00F26E05" w:rsidP="00F26E05">
      <w:pPr>
        <w:pStyle w:val="BodyText"/>
        <w:rPr>
          <w:lang w:val="en-GB"/>
        </w:rPr>
      </w:pPr>
      <w:r w:rsidRPr="003463BF">
        <w:rPr>
          <w:lang w:val="en-GB"/>
        </w:rPr>
        <w:t>Freedom of Information Manager and Privacy Officer</w:t>
      </w:r>
      <w:r w:rsidR="007F748D" w:rsidRPr="003463BF">
        <w:rPr>
          <w:lang w:val="en-GB"/>
        </w:rPr>
        <w:br/>
      </w:r>
      <w:r w:rsidRPr="003463BF">
        <w:rPr>
          <w:lang w:val="en-GB"/>
        </w:rPr>
        <w:t>Department of Energy, Environment and Climate Action</w:t>
      </w:r>
    </w:p>
    <w:p w14:paraId="1605F9E8" w14:textId="77777777" w:rsidR="00F26E05" w:rsidRPr="003463BF" w:rsidRDefault="00F26E05" w:rsidP="00F26E05">
      <w:pPr>
        <w:pStyle w:val="BodyText"/>
        <w:rPr>
          <w:lang w:val="en-GB"/>
        </w:rPr>
      </w:pPr>
      <w:r w:rsidRPr="003463BF">
        <w:rPr>
          <w:lang w:val="en-GB"/>
        </w:rPr>
        <w:t>PO Box 500</w:t>
      </w:r>
      <w:r w:rsidRPr="003463BF">
        <w:rPr>
          <w:lang w:val="en-GB"/>
        </w:rPr>
        <w:br/>
        <w:t>EAST MELBOURNE VIC 8002</w:t>
      </w:r>
    </w:p>
    <w:p w14:paraId="7E50FA77" w14:textId="1B57D98B" w:rsidR="00F26E05" w:rsidRPr="003463BF" w:rsidRDefault="00F26E05" w:rsidP="00F26E05">
      <w:pPr>
        <w:pStyle w:val="BodyText"/>
        <w:rPr>
          <w:lang w:val="en-GB"/>
        </w:rPr>
      </w:pPr>
      <w:r w:rsidRPr="003463BF">
        <w:rPr>
          <w:lang w:val="en-GB"/>
        </w:rPr>
        <w:t>Email:</w:t>
      </w:r>
      <w:r w:rsidRPr="003463BF">
        <w:rPr>
          <w:b/>
          <w:bCs/>
          <w:lang w:val="en-GB"/>
        </w:rPr>
        <w:t xml:space="preserve"> </w:t>
      </w:r>
      <w:hyperlink r:id="rId18" w:history="1">
        <w:r w:rsidRPr="003463BF">
          <w:rPr>
            <w:rStyle w:val="Hyperlink"/>
            <w:lang w:val="en-GB"/>
          </w:rPr>
          <w:t>foi.unit@delwp.vic.gov.au</w:t>
        </w:r>
      </w:hyperlink>
      <w:r w:rsidRPr="003463BF">
        <w:rPr>
          <w:b/>
          <w:bCs/>
          <w:lang w:val="en-GB"/>
        </w:rPr>
        <w:t xml:space="preserve"> </w:t>
      </w:r>
    </w:p>
    <w:p w14:paraId="03A5A87C" w14:textId="66E30B70" w:rsidR="00F26E05" w:rsidRPr="003463BF" w:rsidRDefault="00215E01" w:rsidP="00215E01">
      <w:pPr>
        <w:pStyle w:val="Heading1"/>
        <w:rPr>
          <w:lang w:val="en-GB"/>
        </w:rPr>
      </w:pPr>
      <w:bookmarkStart w:id="37" w:name="_Toc150953850"/>
      <w:bookmarkStart w:id="38" w:name="_Toc167200958"/>
      <w:r w:rsidRPr="003463BF">
        <w:rPr>
          <w:lang w:val="en-GB"/>
        </w:rPr>
        <w:t>1</w:t>
      </w:r>
      <w:r w:rsidR="00D138E6">
        <w:rPr>
          <w:lang w:val="en-GB"/>
        </w:rPr>
        <w:t>3</w:t>
      </w:r>
      <w:r w:rsidRPr="003463BF">
        <w:rPr>
          <w:lang w:val="en-GB"/>
        </w:rPr>
        <w:t xml:space="preserve">. </w:t>
      </w:r>
      <w:r w:rsidR="00F26E05" w:rsidRPr="003463BF">
        <w:rPr>
          <w:lang w:val="en-GB"/>
        </w:rPr>
        <w:t>Other Forestry Transition assistance available</w:t>
      </w:r>
      <w:bookmarkEnd w:id="37"/>
      <w:bookmarkEnd w:id="38"/>
    </w:p>
    <w:p w14:paraId="053D5D44" w14:textId="77777777" w:rsidR="00F26E05" w:rsidRPr="003463BF" w:rsidRDefault="00F26E05" w:rsidP="00215E01">
      <w:pPr>
        <w:pStyle w:val="Heading3"/>
      </w:pPr>
      <w:bookmarkStart w:id="39" w:name="_Toc150953851"/>
      <w:r w:rsidRPr="003463BF">
        <w:t>Worker support</w:t>
      </w:r>
      <w:bookmarkEnd w:id="39"/>
    </w:p>
    <w:p w14:paraId="1E2FA05E" w14:textId="003ED39B" w:rsidR="00F26E05" w:rsidRPr="003463BF" w:rsidRDefault="00F26E05" w:rsidP="00F26E05">
      <w:pPr>
        <w:pStyle w:val="BodyText"/>
        <w:rPr>
          <w:lang w:val="en-GB"/>
        </w:rPr>
      </w:pPr>
      <w:r w:rsidRPr="003463BF">
        <w:rPr>
          <w:lang w:val="en-GB"/>
        </w:rPr>
        <w:t>Community Forestry Operators</w:t>
      </w:r>
      <w:r w:rsidR="00590DE5" w:rsidRPr="003463BF">
        <w:rPr>
          <w:lang w:val="en-GB"/>
        </w:rPr>
        <w:t xml:space="preserve"> and</w:t>
      </w:r>
      <w:r w:rsidRPr="003463BF">
        <w:rPr>
          <w:lang w:val="en-GB"/>
        </w:rPr>
        <w:t xml:space="preserve"> non-contractor</w:t>
      </w:r>
      <w:r w:rsidR="00C02DB5" w:rsidRPr="003463BF">
        <w:rPr>
          <w:lang w:val="en-GB"/>
        </w:rPr>
        <w:t xml:space="preserve"> </w:t>
      </w:r>
      <w:r w:rsidRPr="003463BF">
        <w:rPr>
          <w:lang w:val="en-GB"/>
        </w:rPr>
        <w:t xml:space="preserve">firewood customers, and their workers are also eligible to register for the Victorian Forestry Worker Support Program, delivered by ForestWorks. </w:t>
      </w:r>
    </w:p>
    <w:p w14:paraId="24280580" w14:textId="77777777" w:rsidR="00F26E05" w:rsidRPr="003463BF" w:rsidRDefault="00F26E05" w:rsidP="00215E01">
      <w:pPr>
        <w:pStyle w:val="Heading3"/>
      </w:pPr>
      <w:bookmarkStart w:id="40" w:name="_Toc150953852"/>
      <w:r w:rsidRPr="003463BF">
        <w:t>The Victorian Forestry Worker Support Program offers:</w:t>
      </w:r>
      <w:bookmarkEnd w:id="40"/>
    </w:p>
    <w:p w14:paraId="2E67C0B0" w14:textId="77777777" w:rsidR="00F26E05" w:rsidRPr="003463BF" w:rsidRDefault="00F26E05" w:rsidP="00215E01">
      <w:pPr>
        <w:pStyle w:val="ListBullet"/>
        <w:rPr>
          <w:lang w:val="en-GB"/>
        </w:rPr>
      </w:pPr>
      <w:r w:rsidRPr="003463BF">
        <w:rPr>
          <w:lang w:val="en-GB"/>
        </w:rPr>
        <w:t>support payments;</w:t>
      </w:r>
    </w:p>
    <w:p w14:paraId="5D57FAD3" w14:textId="77777777" w:rsidR="00F26E05" w:rsidRPr="003463BF" w:rsidRDefault="00F26E05" w:rsidP="00215E01">
      <w:pPr>
        <w:pStyle w:val="ListBullet2"/>
        <w:rPr>
          <w:lang w:val="en-GB"/>
        </w:rPr>
      </w:pPr>
      <w:r w:rsidRPr="003463BF">
        <w:rPr>
          <w:lang w:val="en-GB"/>
        </w:rPr>
        <w:t>redundancy top-up</w:t>
      </w:r>
    </w:p>
    <w:p w14:paraId="133E5728" w14:textId="77777777" w:rsidR="00F26E05" w:rsidRPr="003463BF" w:rsidRDefault="00F26E05" w:rsidP="00215E01">
      <w:pPr>
        <w:pStyle w:val="ListBullet2"/>
        <w:rPr>
          <w:lang w:val="en-GB"/>
        </w:rPr>
      </w:pPr>
      <w:r w:rsidRPr="003463BF">
        <w:rPr>
          <w:lang w:val="en-GB"/>
        </w:rPr>
        <w:t>relocation payment</w:t>
      </w:r>
    </w:p>
    <w:p w14:paraId="59A25F97" w14:textId="77777777" w:rsidR="00F26E05" w:rsidRPr="003463BF" w:rsidRDefault="00F26E05" w:rsidP="00215E01">
      <w:pPr>
        <w:pStyle w:val="ListBullet2"/>
        <w:rPr>
          <w:lang w:val="en-GB"/>
        </w:rPr>
      </w:pPr>
      <w:r w:rsidRPr="003463BF">
        <w:rPr>
          <w:lang w:val="en-GB"/>
        </w:rPr>
        <w:t>over 45 payment</w:t>
      </w:r>
    </w:p>
    <w:p w14:paraId="4539F753" w14:textId="77777777" w:rsidR="00F26E05" w:rsidRPr="003463BF" w:rsidRDefault="00F26E05" w:rsidP="00215E01">
      <w:pPr>
        <w:pStyle w:val="ListBullet2"/>
        <w:rPr>
          <w:lang w:val="en-GB"/>
        </w:rPr>
      </w:pPr>
      <w:r w:rsidRPr="003463BF">
        <w:rPr>
          <w:lang w:val="en-GB"/>
        </w:rPr>
        <w:t>hardship payment</w:t>
      </w:r>
    </w:p>
    <w:p w14:paraId="5BD21254" w14:textId="77777777" w:rsidR="00F26E05" w:rsidRPr="003463BF" w:rsidRDefault="00F26E05" w:rsidP="00215E01">
      <w:pPr>
        <w:pStyle w:val="ListBullet"/>
        <w:rPr>
          <w:lang w:val="en-GB"/>
        </w:rPr>
      </w:pPr>
      <w:r w:rsidRPr="003463BF">
        <w:rPr>
          <w:lang w:val="en-GB"/>
        </w:rPr>
        <w:t>employment support</w:t>
      </w:r>
    </w:p>
    <w:p w14:paraId="2515FEED" w14:textId="77777777" w:rsidR="00F26E05" w:rsidRPr="003463BF" w:rsidRDefault="00F26E05" w:rsidP="00215E01">
      <w:pPr>
        <w:pStyle w:val="ListBullet"/>
        <w:rPr>
          <w:lang w:val="en-GB"/>
        </w:rPr>
      </w:pPr>
      <w:r w:rsidRPr="003463BF">
        <w:rPr>
          <w:lang w:val="en-GB"/>
        </w:rPr>
        <w:lastRenderedPageBreak/>
        <w:t>training service</w:t>
      </w:r>
    </w:p>
    <w:p w14:paraId="57E19ED7" w14:textId="77777777" w:rsidR="00F26E05" w:rsidRPr="003463BF" w:rsidRDefault="00F26E05" w:rsidP="00215E01">
      <w:pPr>
        <w:pStyle w:val="Bullet1last"/>
        <w:rPr>
          <w:lang w:val="en-GB"/>
        </w:rPr>
      </w:pPr>
      <w:r w:rsidRPr="003463BF">
        <w:rPr>
          <w:lang w:val="en-GB"/>
        </w:rPr>
        <w:t>health and wellbeing support.</w:t>
      </w:r>
    </w:p>
    <w:p w14:paraId="059788A8" w14:textId="77777777" w:rsidR="00F26E05" w:rsidRPr="003463BF" w:rsidRDefault="00F26E05" w:rsidP="00215E01">
      <w:pPr>
        <w:pStyle w:val="Heading3"/>
      </w:pPr>
      <w:bookmarkStart w:id="41" w:name="_Toc150953853"/>
      <w:r w:rsidRPr="003463BF">
        <w:t>How to access the Victorian Forestry Worker Support Program</w:t>
      </w:r>
      <w:bookmarkEnd w:id="41"/>
    </w:p>
    <w:p w14:paraId="216253C0" w14:textId="087F4F53" w:rsidR="00F26E05" w:rsidRPr="003463BF" w:rsidRDefault="00F26E05" w:rsidP="00F26E05">
      <w:pPr>
        <w:pStyle w:val="BodyText"/>
        <w:rPr>
          <w:lang w:val="en-GB"/>
        </w:rPr>
      </w:pPr>
      <w:r w:rsidRPr="003463BF">
        <w:rPr>
          <w:lang w:val="en-GB"/>
        </w:rPr>
        <w:t xml:space="preserve">To register for the Victorian Forestry Worker Support Program, please visit </w:t>
      </w:r>
      <w:hyperlink r:id="rId19" w:history="1">
        <w:r w:rsidRPr="003463BF">
          <w:rPr>
            <w:rStyle w:val="Hyperlink"/>
            <w:lang w:val="en-GB"/>
          </w:rPr>
          <w:t>https://forestworks.com.au/victorian-forestry-worker-support-program/</w:t>
        </w:r>
      </w:hyperlink>
      <w:r w:rsidRPr="003463BF">
        <w:rPr>
          <w:lang w:val="en-GB"/>
        </w:rPr>
        <w:t xml:space="preserve"> or call 1800 177 001 for more information.</w:t>
      </w:r>
    </w:p>
    <w:p w14:paraId="5433A180" w14:textId="77777777" w:rsidR="00F26E05" w:rsidRPr="003463BF" w:rsidRDefault="00F26E05" w:rsidP="00215E01">
      <w:pPr>
        <w:pStyle w:val="Heading3"/>
      </w:pPr>
      <w:bookmarkStart w:id="42" w:name="_Toc150953854"/>
      <w:r w:rsidRPr="003463BF">
        <w:t>Business and industry support</w:t>
      </w:r>
      <w:bookmarkEnd w:id="42"/>
    </w:p>
    <w:p w14:paraId="5BC7808B" w14:textId="77777777" w:rsidR="00F26E05" w:rsidRPr="003463BF" w:rsidRDefault="00F26E05" w:rsidP="00F26E05">
      <w:pPr>
        <w:pStyle w:val="BodyText"/>
        <w:rPr>
          <w:lang w:val="en-GB"/>
        </w:rPr>
      </w:pPr>
      <w:r w:rsidRPr="003463BF">
        <w:rPr>
          <w:lang w:val="en-GB"/>
        </w:rPr>
        <w:t>The Forestry Transition includes assistance for affected timber businesses and communities. Successful applicants under the Package remain eligible for other Forestry Transition support packages when and if released, subject to meeting the specific requirements.</w:t>
      </w:r>
    </w:p>
    <w:p w14:paraId="0F9B348F" w14:textId="73C622E2" w:rsidR="00F26E05" w:rsidRPr="003463BF" w:rsidRDefault="00F26E05" w:rsidP="00F26E05">
      <w:pPr>
        <w:pStyle w:val="BodyText"/>
        <w:rPr>
          <w:lang w:val="en-GB"/>
        </w:rPr>
      </w:pPr>
      <w:r w:rsidRPr="003463BF">
        <w:rPr>
          <w:lang w:val="en-GB"/>
        </w:rPr>
        <w:t>Forestry Transition support for business and industry includes</w:t>
      </w:r>
      <w:r w:rsidR="001073C1" w:rsidRPr="003463BF">
        <w:rPr>
          <w:lang w:val="en-GB"/>
        </w:rPr>
        <w:t>:</w:t>
      </w:r>
    </w:p>
    <w:p w14:paraId="503C002E" w14:textId="77777777" w:rsidR="00F26E05" w:rsidRPr="003463BF" w:rsidRDefault="00F26E05" w:rsidP="001073C1">
      <w:pPr>
        <w:pStyle w:val="ListBullet"/>
        <w:rPr>
          <w:lang w:val="en-GB"/>
        </w:rPr>
      </w:pPr>
      <w:r w:rsidRPr="003463BF">
        <w:rPr>
          <w:lang w:val="en-GB"/>
        </w:rPr>
        <w:t>Victorian Timber Innovation Grants – this program supports businesses to transition from native timber and explore, investigate and implement business transition opportunities.</w:t>
      </w:r>
    </w:p>
    <w:p w14:paraId="28DFC153" w14:textId="77777777" w:rsidR="00F26E05" w:rsidRPr="003463BF" w:rsidRDefault="00F26E05" w:rsidP="001073C1">
      <w:pPr>
        <w:pStyle w:val="Bullet1last"/>
        <w:rPr>
          <w:lang w:val="en-GB"/>
        </w:rPr>
      </w:pPr>
      <w:r w:rsidRPr="003463BF">
        <w:rPr>
          <w:lang w:val="en-GB"/>
        </w:rPr>
        <w:t>Transition Fund – this fund will support businesses to maintain or create jobs in communities affected by the forestry transition.</w:t>
      </w:r>
    </w:p>
    <w:p w14:paraId="2B08541C" w14:textId="6B1C18E9" w:rsidR="00F26E05" w:rsidRPr="003463BF" w:rsidRDefault="00F26E05" w:rsidP="00F26E05">
      <w:pPr>
        <w:pStyle w:val="BodyText"/>
        <w:rPr>
          <w:lang w:val="en-GB"/>
        </w:rPr>
      </w:pPr>
      <w:r w:rsidRPr="003463BF">
        <w:rPr>
          <w:lang w:val="en-GB"/>
        </w:rPr>
        <w:t xml:space="preserve">Details of these programs can be found at </w:t>
      </w:r>
      <w:hyperlink r:id="rId20" w:history="1">
        <w:r w:rsidRPr="003463BF">
          <w:rPr>
            <w:rStyle w:val="Hyperlink"/>
            <w:lang w:val="en-GB"/>
          </w:rPr>
          <w:t>deeca.vic.gov.au/forestry/forestry-transition-program</w:t>
        </w:r>
      </w:hyperlink>
      <w:r w:rsidRPr="003463BF">
        <w:rPr>
          <w:lang w:val="en-GB"/>
        </w:rPr>
        <w:t xml:space="preserve"> or by phoning</w:t>
      </w:r>
      <w:r w:rsidRPr="003463BF">
        <w:rPr>
          <w:b/>
          <w:bCs/>
          <w:lang w:val="en-GB"/>
        </w:rPr>
        <w:t xml:space="preserve"> 1800 318 812</w:t>
      </w:r>
      <w:r w:rsidRPr="003463BF">
        <w:rPr>
          <w:lang w:val="en-GB"/>
        </w:rPr>
        <w:t>.</w:t>
      </w:r>
    </w:p>
    <w:p w14:paraId="798F9088" w14:textId="7847DEB8" w:rsidR="00F26E05" w:rsidRPr="003463BF" w:rsidRDefault="00215E01" w:rsidP="00215E01">
      <w:pPr>
        <w:pStyle w:val="Heading1"/>
        <w:rPr>
          <w:lang w:val="en-GB"/>
        </w:rPr>
      </w:pPr>
      <w:bookmarkStart w:id="43" w:name="_Toc150953855"/>
      <w:bookmarkStart w:id="44" w:name="_Toc167200959"/>
      <w:r w:rsidRPr="003463BF">
        <w:rPr>
          <w:lang w:val="en-GB"/>
        </w:rPr>
        <w:t>1</w:t>
      </w:r>
      <w:r w:rsidR="00D138E6">
        <w:rPr>
          <w:lang w:val="en-GB"/>
        </w:rPr>
        <w:t>4</w:t>
      </w:r>
      <w:r w:rsidRPr="003463BF">
        <w:rPr>
          <w:lang w:val="en-GB"/>
        </w:rPr>
        <w:t xml:space="preserve">. </w:t>
      </w:r>
      <w:r w:rsidR="00F26E05" w:rsidRPr="003463BF">
        <w:rPr>
          <w:lang w:val="en-GB"/>
        </w:rPr>
        <w:t>Privacy</w:t>
      </w:r>
      <w:bookmarkEnd w:id="43"/>
      <w:bookmarkEnd w:id="44"/>
    </w:p>
    <w:p w14:paraId="13A8B3DC" w14:textId="77777777" w:rsidR="00F26E05" w:rsidRPr="003463BF" w:rsidRDefault="00F26E05" w:rsidP="00F26E05">
      <w:pPr>
        <w:pStyle w:val="BodyText"/>
        <w:rPr>
          <w:lang w:val="en-GB"/>
        </w:rPr>
      </w:pPr>
      <w:r w:rsidRPr="003463BF">
        <w:rPr>
          <w:lang w:val="en-GB"/>
        </w:rPr>
        <w:t>The Department of Energy, Environment and Climate Action (DEECA) is committed to protecting personal information provided by you in accordance with the principles of the Victorian privacy laws.</w:t>
      </w:r>
    </w:p>
    <w:p w14:paraId="4A08BB8A" w14:textId="77777777" w:rsidR="00F26E05" w:rsidRPr="003463BF" w:rsidRDefault="00F26E05" w:rsidP="00F26E05">
      <w:pPr>
        <w:pStyle w:val="BodyText"/>
        <w:rPr>
          <w:lang w:val="en-GB"/>
        </w:rPr>
      </w:pPr>
      <w:r w:rsidRPr="003463BF">
        <w:rPr>
          <w:lang w:val="en-GB"/>
        </w:rPr>
        <w:t>Any personal information about the applicant or a third party in the Application will be collected by the Department for the purpose of grant administration.</w:t>
      </w:r>
    </w:p>
    <w:p w14:paraId="4C0F74F3" w14:textId="77777777" w:rsidR="00F26E05" w:rsidRPr="003463BF" w:rsidRDefault="00F26E05" w:rsidP="00F26E05">
      <w:pPr>
        <w:pStyle w:val="BodyText"/>
        <w:rPr>
          <w:lang w:val="en-GB"/>
        </w:rPr>
      </w:pPr>
      <w:r w:rsidRPr="003463BF">
        <w:rPr>
          <w:lang w:val="en-GB"/>
        </w:rPr>
        <w:t>If personal information about third parties is included in the application, the applicant must ensure that those third parties are aware of the contents of this privacy statement and the contents of the Department of Energy, Environment and Climate Action Privacy Policy available from the Privacy Officer (details below).</w:t>
      </w:r>
    </w:p>
    <w:p w14:paraId="080663A0" w14:textId="77777777" w:rsidR="00F26E05" w:rsidRPr="003463BF" w:rsidRDefault="00F26E05" w:rsidP="00F26E05">
      <w:pPr>
        <w:pStyle w:val="BodyText"/>
        <w:rPr>
          <w:lang w:val="en-GB"/>
        </w:rPr>
      </w:pPr>
      <w:r w:rsidRPr="003463BF">
        <w:rPr>
          <w:lang w:val="en-GB"/>
        </w:rPr>
        <w:t>Any personal information about the applicant or a third party in correspondence will be collected, held, managed, used, disclosed or transferred in accordance with the provisions of the Privacy and Data Protection Act 2014 (Vic), Health Records Act 2001 (Vic) and other applicable laws.</w:t>
      </w:r>
    </w:p>
    <w:p w14:paraId="7828A054" w14:textId="77777777" w:rsidR="00F26E05" w:rsidRPr="003463BF" w:rsidRDefault="00F26E05" w:rsidP="00F26E05">
      <w:pPr>
        <w:pStyle w:val="BodyText"/>
        <w:rPr>
          <w:lang w:val="en-GB"/>
        </w:rPr>
      </w:pPr>
      <w:r w:rsidRPr="003463BF">
        <w:rPr>
          <w:lang w:val="en-GB"/>
        </w:rPr>
        <w:lastRenderedPageBreak/>
        <w:t>In order to seek documents held by the Department you may submit an FOI request under the Freedom of Information Act 1982 to the FOI Manager, Department of Energy, Environment and Climate Action.</w:t>
      </w:r>
    </w:p>
    <w:p w14:paraId="499BA0FD" w14:textId="77777777" w:rsidR="00F26E05" w:rsidRPr="003463BF" w:rsidRDefault="00F26E05" w:rsidP="00F26E05">
      <w:pPr>
        <w:pStyle w:val="BodyText"/>
        <w:rPr>
          <w:lang w:val="en-GB"/>
        </w:rPr>
      </w:pPr>
      <w:r w:rsidRPr="003463BF">
        <w:rPr>
          <w:lang w:val="en-GB"/>
        </w:rPr>
        <w:t>The Department is committed to protecting the privacy of personal information. The Department’s privacy policy is available from:</w:t>
      </w:r>
    </w:p>
    <w:p w14:paraId="727BE818" w14:textId="77777777" w:rsidR="00F26E05" w:rsidRPr="003463BF" w:rsidRDefault="00F26E05" w:rsidP="00F26E05">
      <w:pPr>
        <w:pStyle w:val="BodyText"/>
        <w:rPr>
          <w:lang w:val="en-GB"/>
        </w:rPr>
      </w:pPr>
      <w:r w:rsidRPr="003463BF">
        <w:rPr>
          <w:lang w:val="en-GB"/>
        </w:rPr>
        <w:t>Enquiries about access to information about you held by the Department should be directed to:</w:t>
      </w:r>
    </w:p>
    <w:p w14:paraId="58731C48" w14:textId="09D053B0" w:rsidR="00F26E05" w:rsidRPr="003463BF" w:rsidRDefault="00F26E05" w:rsidP="00F26E05">
      <w:pPr>
        <w:pStyle w:val="BodyText"/>
        <w:rPr>
          <w:b/>
          <w:bCs/>
          <w:lang w:val="en-GB"/>
        </w:rPr>
      </w:pPr>
      <w:r w:rsidRPr="003463BF">
        <w:rPr>
          <w:b/>
          <w:bCs/>
          <w:lang w:val="en-GB"/>
        </w:rPr>
        <w:t>Freedom of Information Manager and Privacy Officer</w:t>
      </w:r>
      <w:r w:rsidR="007F748D" w:rsidRPr="003463BF">
        <w:rPr>
          <w:b/>
          <w:bCs/>
          <w:lang w:val="en-GB"/>
        </w:rPr>
        <w:br/>
      </w:r>
      <w:r w:rsidRPr="003463BF">
        <w:rPr>
          <w:lang w:val="en-GB"/>
        </w:rPr>
        <w:t>Department of Energy, Environment and Climate Action</w:t>
      </w:r>
    </w:p>
    <w:p w14:paraId="5310DA1C" w14:textId="77777777" w:rsidR="00F26E05" w:rsidRPr="003463BF" w:rsidRDefault="00F26E05" w:rsidP="00F26E05">
      <w:pPr>
        <w:pStyle w:val="BodyText"/>
        <w:rPr>
          <w:lang w:val="en-GB"/>
        </w:rPr>
      </w:pPr>
      <w:r w:rsidRPr="003463BF">
        <w:rPr>
          <w:lang w:val="en-GB"/>
        </w:rPr>
        <w:t>PO Box 500</w:t>
      </w:r>
      <w:r w:rsidRPr="003463BF">
        <w:rPr>
          <w:lang w:val="en-GB"/>
        </w:rPr>
        <w:br/>
        <w:t>EAST MELBOURNE VIC 8002</w:t>
      </w:r>
    </w:p>
    <w:p w14:paraId="488C49D9" w14:textId="7BDEA574" w:rsidR="00F26E05" w:rsidRPr="003463BF" w:rsidRDefault="00F26E05" w:rsidP="00F26E05">
      <w:pPr>
        <w:pStyle w:val="BodyText"/>
        <w:rPr>
          <w:lang w:val="en-GB"/>
        </w:rPr>
      </w:pPr>
      <w:r w:rsidRPr="003463BF">
        <w:rPr>
          <w:lang w:val="en-GB"/>
        </w:rPr>
        <w:t>Email:</w:t>
      </w:r>
      <w:r w:rsidRPr="003463BF">
        <w:rPr>
          <w:b/>
          <w:bCs/>
          <w:lang w:val="en-GB"/>
        </w:rPr>
        <w:t xml:space="preserve"> </w:t>
      </w:r>
      <w:hyperlink r:id="rId21" w:history="1">
        <w:r w:rsidRPr="003463BF">
          <w:rPr>
            <w:rStyle w:val="Hyperlink"/>
            <w:lang w:val="en-GB"/>
          </w:rPr>
          <w:t>foi.unit@delwp.vic.gov.au</w:t>
        </w:r>
      </w:hyperlink>
    </w:p>
    <w:p w14:paraId="48F9F654" w14:textId="77777777" w:rsidR="00F26E05" w:rsidRPr="003463BF" w:rsidRDefault="00F26E05" w:rsidP="00F26E05">
      <w:pPr>
        <w:pStyle w:val="BodyText"/>
        <w:rPr>
          <w:lang w:val="en-GB"/>
        </w:rPr>
      </w:pPr>
      <w:r w:rsidRPr="003463BF">
        <w:rPr>
          <w:lang w:val="en-GB"/>
        </w:rPr>
        <w:t>In order to seek documents held by the Department you may submit an FOI request under the Freedom of Information Act 1982 to the FOI Manager, Department of Energy, Environment and Climate Action.</w:t>
      </w:r>
    </w:p>
    <w:p w14:paraId="386BCEF4" w14:textId="1F1F7CA0" w:rsidR="00F26E05" w:rsidRPr="003463BF" w:rsidRDefault="001073C1" w:rsidP="001073C1">
      <w:pPr>
        <w:pStyle w:val="Heading1"/>
        <w:rPr>
          <w:lang w:val="en-GB"/>
        </w:rPr>
      </w:pPr>
      <w:bookmarkStart w:id="45" w:name="_Toc150953856"/>
      <w:bookmarkStart w:id="46" w:name="_Toc167200960"/>
      <w:r w:rsidRPr="003463BF">
        <w:rPr>
          <w:lang w:val="en-GB"/>
        </w:rPr>
        <w:t>1</w:t>
      </w:r>
      <w:r w:rsidR="00D138E6">
        <w:rPr>
          <w:lang w:val="en-GB"/>
        </w:rPr>
        <w:t>5</w:t>
      </w:r>
      <w:r w:rsidRPr="003463BF">
        <w:rPr>
          <w:lang w:val="en-GB"/>
        </w:rPr>
        <w:t xml:space="preserve">. </w:t>
      </w:r>
      <w:r w:rsidR="00F26E05" w:rsidRPr="003463BF">
        <w:rPr>
          <w:lang w:val="en-GB"/>
        </w:rPr>
        <w:t>No representation</w:t>
      </w:r>
      <w:bookmarkEnd w:id="45"/>
      <w:bookmarkEnd w:id="46"/>
    </w:p>
    <w:p w14:paraId="1AEF49B3" w14:textId="77777777" w:rsidR="00F26E05" w:rsidRPr="003463BF" w:rsidRDefault="00F26E05" w:rsidP="00F26E05">
      <w:pPr>
        <w:pStyle w:val="BodyText"/>
        <w:rPr>
          <w:lang w:val="en-GB"/>
        </w:rPr>
      </w:pPr>
      <w:r w:rsidRPr="003463BF">
        <w:rPr>
          <w:lang w:val="en-GB"/>
        </w:rPr>
        <w:t>Businesses are solely responsible for obtaining independent, professional legal and financial advice prior to making an application.</w:t>
      </w:r>
    </w:p>
    <w:p w14:paraId="68EB1072" w14:textId="77777777" w:rsidR="00F26E05" w:rsidRPr="003463BF" w:rsidRDefault="00F26E05" w:rsidP="00F26E05">
      <w:pPr>
        <w:pStyle w:val="BodyText"/>
        <w:rPr>
          <w:lang w:val="en-GB"/>
        </w:rPr>
      </w:pPr>
      <w:r w:rsidRPr="003463BF">
        <w:rPr>
          <w:lang w:val="en-GB"/>
        </w:rPr>
        <w:t>By making an application, the applicant acknowledges that it has not relied on, and will not rely on, any financial or other advice, representation, statement or promise provided or made by or on behalf of the Department in connection with their participation in the Package and exiting future timber supply.</w:t>
      </w:r>
    </w:p>
    <w:p w14:paraId="1CE2DD01" w14:textId="77777777" w:rsidR="00F26E05" w:rsidRPr="003463BF" w:rsidRDefault="00F26E05" w:rsidP="00F26E05">
      <w:pPr>
        <w:pStyle w:val="BodyText"/>
        <w:rPr>
          <w:lang w:val="en-GB"/>
        </w:rPr>
      </w:pPr>
      <w:r w:rsidRPr="003463BF">
        <w:rPr>
          <w:lang w:val="en-GB"/>
        </w:rPr>
        <w:t>The Department makes no representation that a grant of funds will be made to any applicant and reserves the right to make no funds available under the Package.</w:t>
      </w:r>
    </w:p>
    <w:p w14:paraId="46451EF1" w14:textId="1C888DB0" w:rsidR="00F26E05" w:rsidRPr="003463BF" w:rsidRDefault="001073C1" w:rsidP="001073C1">
      <w:pPr>
        <w:pStyle w:val="Heading1"/>
        <w:rPr>
          <w:lang w:val="en-GB"/>
        </w:rPr>
      </w:pPr>
      <w:bookmarkStart w:id="47" w:name="_Toc150953857"/>
      <w:bookmarkStart w:id="48" w:name="_Toc167200961"/>
      <w:r w:rsidRPr="003463BF">
        <w:rPr>
          <w:lang w:val="en-GB"/>
        </w:rPr>
        <w:t>1</w:t>
      </w:r>
      <w:r w:rsidR="00D138E6">
        <w:rPr>
          <w:lang w:val="en-GB"/>
        </w:rPr>
        <w:t>6</w:t>
      </w:r>
      <w:r w:rsidRPr="003463BF">
        <w:rPr>
          <w:lang w:val="en-GB"/>
        </w:rPr>
        <w:t xml:space="preserve">. </w:t>
      </w:r>
      <w:r w:rsidR="00F26E05" w:rsidRPr="003463BF">
        <w:rPr>
          <w:lang w:val="en-GB"/>
        </w:rPr>
        <w:t>Further support</w:t>
      </w:r>
      <w:bookmarkEnd w:id="47"/>
      <w:bookmarkEnd w:id="48"/>
    </w:p>
    <w:p w14:paraId="64C0EA80" w14:textId="277E50F2" w:rsidR="00F26E05" w:rsidRPr="003463BF" w:rsidRDefault="00F26E05" w:rsidP="007F748D">
      <w:pPr>
        <w:pStyle w:val="Heading3"/>
        <w:spacing w:before="0"/>
      </w:pPr>
      <w:bookmarkStart w:id="49" w:name="_Toc150953858"/>
      <w:r w:rsidRPr="003463BF">
        <w:t>Community Forestry Support Package contact</w:t>
      </w:r>
      <w:bookmarkEnd w:id="49"/>
    </w:p>
    <w:p w14:paraId="57F1205E" w14:textId="383025F0" w:rsidR="00F26E05" w:rsidRPr="003463BF" w:rsidRDefault="00F26E05" w:rsidP="00F26E05">
      <w:pPr>
        <w:pStyle w:val="BodyText"/>
        <w:rPr>
          <w:lang w:val="de-DE"/>
        </w:rPr>
      </w:pPr>
      <w:r w:rsidRPr="003463BF">
        <w:rPr>
          <w:lang w:val="de-DE"/>
        </w:rPr>
        <w:t>Program Manager:</w:t>
      </w:r>
      <w:r w:rsidR="00D35365" w:rsidRPr="003463BF">
        <w:rPr>
          <w:lang w:val="de-DE"/>
        </w:rPr>
        <w:br/>
      </w:r>
      <w:r w:rsidRPr="003463BF">
        <w:rPr>
          <w:b/>
          <w:bCs/>
          <w:lang w:val="de-DE"/>
        </w:rPr>
        <w:t>Kara Zdrzalka, Program Manager</w:t>
      </w:r>
    </w:p>
    <w:p w14:paraId="58739741" w14:textId="7F469545" w:rsidR="00F26E05" w:rsidRPr="003463BF" w:rsidRDefault="001073C1" w:rsidP="00F26E05">
      <w:pPr>
        <w:pStyle w:val="BodyText"/>
        <w:rPr>
          <w:lang w:val="de-DE"/>
        </w:rPr>
      </w:pPr>
      <w:r w:rsidRPr="003463BF">
        <w:rPr>
          <w:lang w:val="de-DE"/>
        </w:rPr>
        <w:t>Email</w:t>
      </w:r>
      <w:r w:rsidR="00F26E05" w:rsidRPr="003463BF">
        <w:rPr>
          <w:lang w:val="de-DE"/>
        </w:rPr>
        <w:t>:</w:t>
      </w:r>
      <w:r w:rsidR="00F26E05" w:rsidRPr="003463BF">
        <w:rPr>
          <w:lang w:val="de-DE"/>
        </w:rPr>
        <w:tab/>
      </w:r>
      <w:hyperlink r:id="rId22" w:history="1">
        <w:r w:rsidR="00590D66" w:rsidRPr="003463BF">
          <w:rPr>
            <w:rStyle w:val="Hyperlink"/>
            <w:lang w:val="de-DE"/>
          </w:rPr>
          <w:t>communityforestry@deeca.vic.gov.au</w:t>
        </w:r>
      </w:hyperlink>
    </w:p>
    <w:p w14:paraId="657E8209" w14:textId="77777777" w:rsidR="00F26E05" w:rsidRPr="003463BF" w:rsidRDefault="00F26E05" w:rsidP="001073C1">
      <w:pPr>
        <w:pStyle w:val="Heading3"/>
      </w:pPr>
      <w:bookmarkStart w:id="50" w:name="_Toc150953859"/>
      <w:r w:rsidRPr="003463BF">
        <w:t>Further information</w:t>
      </w:r>
      <w:bookmarkEnd w:id="50"/>
    </w:p>
    <w:p w14:paraId="414F82EA" w14:textId="77777777" w:rsidR="00F26E05" w:rsidRPr="003463BF" w:rsidRDefault="00F26E05" w:rsidP="001073C1">
      <w:pPr>
        <w:pStyle w:val="BodyText"/>
        <w:spacing w:after="240"/>
        <w:rPr>
          <w:lang w:val="en-GB"/>
        </w:rPr>
      </w:pPr>
      <w:r w:rsidRPr="003463BF">
        <w:rPr>
          <w:lang w:val="en-GB"/>
        </w:rPr>
        <w:t>Businesses requiring further information about the Forestry Transition should contact a Forestry Transition representative for further details.</w:t>
      </w:r>
    </w:p>
    <w:p w14:paraId="225E1736" w14:textId="4F4E73D2" w:rsidR="00F26E05" w:rsidRPr="003463BF" w:rsidRDefault="001073C1" w:rsidP="001073C1">
      <w:pPr>
        <w:pStyle w:val="BodyText"/>
        <w:spacing w:after="240"/>
        <w:rPr>
          <w:lang w:val="en-GB"/>
        </w:rPr>
      </w:pPr>
      <w:r w:rsidRPr="003463BF">
        <w:rPr>
          <w:lang w:val="en-GB"/>
        </w:rPr>
        <w:t xml:space="preserve">Telephone: </w:t>
      </w:r>
      <w:r w:rsidR="00F26E05" w:rsidRPr="003463BF">
        <w:rPr>
          <w:b/>
          <w:bCs/>
          <w:lang w:val="en-GB"/>
        </w:rPr>
        <w:t>1800 318 182</w:t>
      </w:r>
    </w:p>
    <w:p w14:paraId="0EAD420B" w14:textId="3A5813D2" w:rsidR="00F26E05" w:rsidRPr="003463BF" w:rsidRDefault="001073C1" w:rsidP="001073C1">
      <w:pPr>
        <w:pStyle w:val="BodyText"/>
        <w:spacing w:after="240"/>
        <w:rPr>
          <w:lang w:val="en-GB"/>
        </w:rPr>
      </w:pPr>
      <w:r w:rsidRPr="003463BF">
        <w:rPr>
          <w:lang w:val="en-GB"/>
        </w:rPr>
        <w:lastRenderedPageBreak/>
        <w:t xml:space="preserve">Email: </w:t>
      </w:r>
      <w:hyperlink r:id="rId23" w:history="1">
        <w:r w:rsidR="00590D66" w:rsidRPr="003463BF">
          <w:rPr>
            <w:rStyle w:val="Hyperlink"/>
            <w:lang w:val="en-GB"/>
          </w:rPr>
          <w:t>forestrytransition@deeca.vic.gov.au</w:t>
        </w:r>
      </w:hyperlink>
      <w:r w:rsidR="00F26E05" w:rsidRPr="003463BF">
        <w:rPr>
          <w:b/>
          <w:bCs/>
          <w:lang w:val="en-GB"/>
        </w:rPr>
        <w:t xml:space="preserve"> </w:t>
      </w:r>
    </w:p>
    <w:p w14:paraId="27CB6827" w14:textId="7CBD96B1" w:rsidR="00F26E05" w:rsidRPr="003463BF" w:rsidRDefault="001073C1" w:rsidP="001073C1">
      <w:pPr>
        <w:pStyle w:val="BodyText"/>
        <w:spacing w:after="240"/>
        <w:rPr>
          <w:b/>
          <w:bCs/>
          <w:lang w:val="en-GB"/>
        </w:rPr>
      </w:pPr>
      <w:r w:rsidRPr="003463BF">
        <w:rPr>
          <w:lang w:val="en-GB"/>
        </w:rPr>
        <w:t>Website:</w:t>
      </w:r>
      <w:r w:rsidR="00F26E05" w:rsidRPr="003463BF">
        <w:rPr>
          <w:lang w:val="en-GB"/>
        </w:rPr>
        <w:t xml:space="preserve"> </w:t>
      </w:r>
      <w:hyperlink r:id="rId24" w:history="1">
        <w:r w:rsidR="00F26E05" w:rsidRPr="003463BF">
          <w:rPr>
            <w:rStyle w:val="Hyperlink"/>
            <w:lang w:val="en-GB"/>
          </w:rPr>
          <w:t>deeca.vic.gov.au/forestry/grants</w:t>
        </w:r>
      </w:hyperlink>
    </w:p>
    <w:p w14:paraId="416776EF" w14:textId="6734CBAC" w:rsidR="00F26E05" w:rsidRDefault="00F26E05" w:rsidP="00F26E05">
      <w:pPr>
        <w:pStyle w:val="BodyText"/>
        <w:rPr>
          <w:rStyle w:val="Hyperlink"/>
          <w:lang w:val="en-GB"/>
        </w:rPr>
      </w:pPr>
      <w:r w:rsidRPr="003463BF">
        <w:rPr>
          <w:lang w:val="en-GB"/>
        </w:rPr>
        <w:t xml:space="preserve">The Guidelines will also be made available at the following website: </w:t>
      </w:r>
      <w:hyperlink r:id="rId25" w:history="1">
        <w:r w:rsidRPr="003463BF">
          <w:rPr>
            <w:rStyle w:val="Hyperlink"/>
            <w:lang w:val="en-GB"/>
          </w:rPr>
          <w:t>deeca.vic.gov.au/forestry</w:t>
        </w:r>
      </w:hyperlink>
    </w:p>
    <w:p w14:paraId="7D5DDCEC" w14:textId="48448FD5" w:rsidR="00F26E05" w:rsidRPr="003463BF" w:rsidRDefault="00F26E05" w:rsidP="00FB24FA">
      <w:pPr>
        <w:pStyle w:val="BodyText"/>
        <w:spacing w:before="360"/>
        <w:rPr>
          <w:lang w:val="en-GB"/>
        </w:rPr>
      </w:pPr>
      <w:r w:rsidRPr="003463BF">
        <w:rPr>
          <w:lang w:val="en-GB"/>
        </w:rPr>
        <w:t>Authorised by the Department of Energy, Environment and Climate Action</w:t>
      </w:r>
    </w:p>
    <w:p w14:paraId="14F15554" w14:textId="77777777" w:rsidR="00F26E05" w:rsidRPr="003463BF" w:rsidRDefault="00F26E05" w:rsidP="00F26E05">
      <w:pPr>
        <w:pStyle w:val="BodyText"/>
        <w:rPr>
          <w:lang w:val="en-GB"/>
        </w:rPr>
      </w:pPr>
      <w:r w:rsidRPr="003463BF">
        <w:rPr>
          <w:lang w:val="en-GB"/>
        </w:rPr>
        <w:t>8 Nicholson St, Melbourne Victoria 3000</w:t>
      </w:r>
    </w:p>
    <w:p w14:paraId="09633A48" w14:textId="77777777" w:rsidR="00F26E05" w:rsidRPr="003463BF" w:rsidRDefault="00F26E05" w:rsidP="00F26E05">
      <w:pPr>
        <w:pStyle w:val="BodyText"/>
        <w:rPr>
          <w:lang w:val="en-GB"/>
        </w:rPr>
      </w:pPr>
      <w:r w:rsidRPr="003463BF">
        <w:rPr>
          <w:lang w:val="en-GB"/>
        </w:rPr>
        <w:t>Telephone 136 186</w:t>
      </w:r>
    </w:p>
    <w:p w14:paraId="3EBF8990" w14:textId="5C4BB06E" w:rsidR="00F26E05" w:rsidRPr="003463BF" w:rsidRDefault="00F26E05" w:rsidP="001073C1">
      <w:pPr>
        <w:pStyle w:val="BodyText"/>
        <w:spacing w:after="360"/>
        <w:rPr>
          <w:lang w:val="en-GB"/>
        </w:rPr>
      </w:pPr>
      <w:r w:rsidRPr="003463BF">
        <w:rPr>
          <w:lang w:val="en-GB"/>
        </w:rPr>
        <w:t>Email</w:t>
      </w:r>
      <w:r w:rsidR="001073C1" w:rsidRPr="003463BF">
        <w:rPr>
          <w:lang w:val="en-GB"/>
        </w:rPr>
        <w:t>:</w:t>
      </w:r>
      <w:r w:rsidRPr="003463BF">
        <w:rPr>
          <w:lang w:val="en-GB"/>
        </w:rPr>
        <w:t xml:space="preserve"> </w:t>
      </w:r>
      <w:hyperlink r:id="rId26" w:history="1">
        <w:r w:rsidR="00E41ED2" w:rsidRPr="003463BF">
          <w:rPr>
            <w:rStyle w:val="Hyperlink"/>
            <w:lang w:val="en-GB"/>
          </w:rPr>
          <w:t>forestrytransition@deeca.vic.gov.au</w:t>
        </w:r>
      </w:hyperlink>
    </w:p>
    <w:p w14:paraId="550D35FF" w14:textId="77777777" w:rsidR="00F26E05" w:rsidRPr="003463BF" w:rsidRDefault="00F26E05" w:rsidP="001073C1">
      <w:pPr>
        <w:pStyle w:val="BodyText"/>
        <w:spacing w:after="240"/>
        <w:rPr>
          <w:lang w:val="en-GB"/>
        </w:rPr>
      </w:pPr>
      <w:r w:rsidRPr="003463BF">
        <w:rPr>
          <w:lang w:val="en-GB"/>
        </w:rPr>
        <w:t xml:space="preserve">© Copyright State of Victoria </w:t>
      </w:r>
    </w:p>
    <w:p w14:paraId="76DD6BEC" w14:textId="43F3D4FA" w:rsidR="00F26E05" w:rsidRPr="003463BF" w:rsidRDefault="00F26E05" w:rsidP="001073C1">
      <w:pPr>
        <w:pStyle w:val="BodyText"/>
        <w:spacing w:after="240"/>
        <w:rPr>
          <w:lang w:val="en-GB"/>
        </w:rPr>
      </w:pPr>
      <w:r w:rsidRPr="003463BF">
        <w:rPr>
          <w:lang w:val="en-GB"/>
        </w:rPr>
        <w:t>Department of Energy, Environment and Climate Action 202</w:t>
      </w:r>
      <w:r w:rsidR="00B66F64">
        <w:rPr>
          <w:lang w:val="en-GB"/>
        </w:rPr>
        <w:t>4</w:t>
      </w:r>
    </w:p>
    <w:p w14:paraId="27823958" w14:textId="77777777" w:rsidR="00F26E05" w:rsidRPr="003463BF" w:rsidRDefault="00F26E05" w:rsidP="001073C1">
      <w:pPr>
        <w:pStyle w:val="BodyText"/>
        <w:spacing w:after="240"/>
        <w:rPr>
          <w:lang w:val="en-GB"/>
        </w:rPr>
      </w:pPr>
      <w:r w:rsidRPr="003463BF">
        <w:rPr>
          <w:lang w:val="en-GB"/>
        </w:rPr>
        <w:t>Except for any logos, emblems, trademarks, artwork and photography this document is made available under the terms of the Creative Commons Attribution 3.0 Australia license.</w:t>
      </w:r>
    </w:p>
    <w:p w14:paraId="2FEE9EB0" w14:textId="77A5E145" w:rsidR="00EB323D" w:rsidRPr="00F26E05" w:rsidRDefault="00F26E05" w:rsidP="00F26E05">
      <w:pPr>
        <w:pStyle w:val="BodyText"/>
        <w:rPr>
          <w:lang w:val="en-GB"/>
        </w:rPr>
      </w:pPr>
      <w:r w:rsidRPr="003463BF">
        <w:rPr>
          <w:lang w:val="en-GB"/>
        </w:rPr>
        <w:t xml:space="preserve">This document is also available in an accessible format at </w:t>
      </w:r>
      <w:hyperlink r:id="rId27" w:history="1">
        <w:r w:rsidRPr="003463BF">
          <w:rPr>
            <w:rStyle w:val="Hyperlink"/>
            <w:lang w:val="en-GB"/>
          </w:rPr>
          <w:t>www.vic.gov.au/forestry</w:t>
        </w:r>
      </w:hyperlink>
    </w:p>
    <w:sectPr w:rsidR="00EB323D" w:rsidRPr="00F26E05" w:rsidSect="00D528BE">
      <w:headerReference w:type="even" r:id="rId28"/>
      <w:headerReference w:type="default" r:id="rId29"/>
      <w:footerReference w:type="even" r:id="rId30"/>
      <w:footerReference w:type="default" r:id="rId31"/>
      <w:headerReference w:type="first" r:id="rId32"/>
      <w:footerReference w:type="first" r:id="rId33"/>
      <w:pgSz w:w="11906" w:h="16838"/>
      <w:pgMar w:top="1134"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B39B6" w14:textId="77777777" w:rsidR="00B6139B" w:rsidRDefault="00B6139B" w:rsidP="00F2730B">
      <w:pPr>
        <w:spacing w:after="0" w:line="240" w:lineRule="auto"/>
      </w:pPr>
      <w:r>
        <w:separator/>
      </w:r>
    </w:p>
  </w:endnote>
  <w:endnote w:type="continuationSeparator" w:id="0">
    <w:p w14:paraId="5FAD294C" w14:textId="77777777" w:rsidR="00B6139B" w:rsidRDefault="00B6139B" w:rsidP="00F2730B">
      <w:pPr>
        <w:spacing w:after="0" w:line="240" w:lineRule="auto"/>
      </w:pPr>
      <w:r>
        <w:continuationSeparator/>
      </w:r>
    </w:p>
  </w:endnote>
  <w:endnote w:type="continuationNotice" w:id="1">
    <w:p w14:paraId="19540607" w14:textId="77777777" w:rsidR="00B6139B" w:rsidRDefault="00B613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Times New Roman (Headings CS)">
    <w:altName w:val="Times New Roman"/>
    <w:panose1 w:val="020B0604020202020204"/>
    <w:charset w:val="00"/>
    <w:family w:val="roman"/>
    <w:notTrueType/>
    <w:pitch w:val="default"/>
  </w:font>
  <w:font w:name="MinionPro-Regular">
    <w:altName w:val="Calibri"/>
    <w:panose1 w:val="020B0604020202020204"/>
    <w:charset w:val="00"/>
    <w:family w:val="auto"/>
    <w:notTrueType/>
    <w:pitch w:val="default"/>
    <w:sig w:usb0="00000003" w:usb1="00000000" w:usb2="00000000" w:usb3="00000000" w:csb0="00000001" w:csb1="00000000"/>
  </w:font>
  <w:font w:name="VIC Light">
    <w:altName w:val="VIC Light"/>
    <w:panose1 w:val="020B0604020202020204"/>
    <w:charset w:val="00"/>
    <w:family w:val="auto"/>
    <w:notTrueType/>
    <w:pitch w:val="variable"/>
    <w:sig w:usb0="00000007" w:usb1="00000000" w:usb2="00000000" w:usb3="00000000" w:csb0="00000093" w:csb1="00000000"/>
  </w:font>
  <w:font w:name="VIC SemiBold">
    <w:panose1 w:val="020B0604020202020204"/>
    <w:charset w:val="00"/>
    <w:family w:val="auto"/>
    <w:notTrueType/>
    <w:pitch w:val="variable"/>
    <w:sig w:usb0="00000007" w:usb1="00000000" w:usb2="00000000" w:usb3="00000000" w:csb0="00000093" w:csb1="00000000"/>
  </w:font>
  <w:font w:name="VIC (OTF) Light Italic">
    <w:altName w:val="VIC"/>
    <w:panose1 w:val="00000400000000000000"/>
    <w:charset w:val="4D"/>
    <w:family w:val="auto"/>
    <w:notTrueType/>
    <w:pitch w:val="variable"/>
    <w:sig w:usb0="00000007" w:usb1="00000000" w:usb2="00000000" w:usb3="00000000" w:csb0="00000093" w:csb1="00000000"/>
  </w:font>
  <w:font w:name="VIC">
    <w:panose1 w:val="020B0604020202020204"/>
    <w:charset w:val="00"/>
    <w:family w:val="auto"/>
    <w:notTrueType/>
    <w:pitch w:val="variable"/>
    <w:sig w:usb0="00000007" w:usb1="00000000" w:usb2="00000000" w:usb3="00000000" w:csb0="00000093" w:csb1="00000000"/>
  </w:font>
  <w:font w:name="VIC (OTF) Light">
    <w:altName w:val="VIC"/>
    <w:panose1 w:val="00000400000000000000"/>
    <w:charset w:val="4D"/>
    <w:family w:val="auto"/>
    <w:notTrueType/>
    <w:pitch w:val="variable"/>
    <w:sig w:usb0="00000007" w:usb1="00000000" w:usb2="00000000" w:usb3="00000000" w:csb0="00000093" w:csb1="00000000"/>
  </w:font>
  <w:font w:name="VIC (OTF) SemiBold">
    <w:altName w:val="VIC"/>
    <w:panose1 w:val="00000700000000000000"/>
    <w:charset w:val="4D"/>
    <w:family w:val="auto"/>
    <w:notTrueType/>
    <w:pitch w:val="variable"/>
    <w:sig w:usb0="00000007" w:usb1="00000000" w:usb2="00000000" w:usb3="00000000" w:csb0="00000093" w:csb1="00000000"/>
  </w:font>
  <w:font w:name="Times New Roman (Body CS)">
    <w:altName w:val="Times New Roman"/>
    <w:panose1 w:val="020B0604020202020204"/>
    <w:charset w:val="00"/>
    <w:family w:val="roman"/>
    <w:notTrueType/>
    <w:pitch w:val="default"/>
  </w:font>
  <w:font w:name="Arial (Body)">
    <w:altName w:val="Arial"/>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B2C8C" w14:textId="77777777" w:rsidR="00CF1727" w:rsidRDefault="00CF17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C081A" w14:textId="77777777" w:rsidR="00CF1727" w:rsidRDefault="00CF17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6AC1" w14:textId="77777777" w:rsidR="00CF1727" w:rsidRDefault="00CF17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7213C" w14:textId="77777777" w:rsidR="00B6139B" w:rsidRDefault="00B6139B" w:rsidP="00F2730B">
      <w:pPr>
        <w:spacing w:after="0" w:line="240" w:lineRule="auto"/>
      </w:pPr>
      <w:r>
        <w:separator/>
      </w:r>
    </w:p>
  </w:footnote>
  <w:footnote w:type="continuationSeparator" w:id="0">
    <w:p w14:paraId="6FB39098" w14:textId="77777777" w:rsidR="00B6139B" w:rsidRDefault="00B6139B" w:rsidP="00F2730B">
      <w:pPr>
        <w:spacing w:after="0" w:line="240" w:lineRule="auto"/>
      </w:pPr>
      <w:r>
        <w:continuationSeparator/>
      </w:r>
    </w:p>
  </w:footnote>
  <w:footnote w:type="continuationNotice" w:id="1">
    <w:p w14:paraId="785A855D" w14:textId="77777777" w:rsidR="00B6139B" w:rsidRDefault="00B6139B">
      <w:pPr>
        <w:spacing w:after="0" w:line="240" w:lineRule="auto"/>
      </w:pPr>
    </w:p>
  </w:footnote>
  <w:footnote w:id="2">
    <w:p w14:paraId="5E7C03E2" w14:textId="44101009" w:rsidR="004230BA" w:rsidRDefault="004230BA">
      <w:pPr>
        <w:pStyle w:val="FootnoteText"/>
      </w:pPr>
      <w:r w:rsidRPr="00CC3CEB">
        <w:rPr>
          <w:rStyle w:val="FootnoteReference"/>
        </w:rPr>
        <w:footnoteRef/>
      </w:r>
      <w:r w:rsidRPr="00CC3CEB">
        <w:t xml:space="preserve"> Harvest and/or haulage contractors with </w:t>
      </w:r>
      <w:r w:rsidR="0016078F" w:rsidRPr="00CC3CEB">
        <w:t>a Sale on Truck Timber Sale Agreement are not eligible to apply.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ED995" w14:textId="77777777" w:rsidR="00CF1727" w:rsidRDefault="00CF17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DCB9B" w14:textId="77777777" w:rsidR="00CF1727" w:rsidRDefault="00CF17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728AE" w14:textId="77777777" w:rsidR="00CF1727" w:rsidRDefault="00CF17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E4D2F240"/>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711CA1B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2F06B82"/>
    <w:multiLevelType w:val="multilevel"/>
    <w:tmpl w:val="55D8B3A0"/>
    <w:styleLink w:val="CurrentList8"/>
    <w:lvl w:ilvl="0">
      <w:start w:val="4"/>
      <w:numFmt w:val="lowerLetter"/>
      <w:lvlText w:val="%1."/>
      <w:lvlJc w:val="left"/>
      <w:pPr>
        <w:tabs>
          <w:tab w:val="num" w:pos="1049"/>
        </w:tabs>
        <w:ind w:left="1049" w:hanging="340"/>
      </w:pPr>
      <w:rPr>
        <w:rFonts w:hint="default"/>
      </w:rPr>
    </w:lvl>
    <w:lvl w:ilvl="1">
      <w:start w:val="1"/>
      <w:numFmt w:val="lowerLetter"/>
      <w:lvlText w:val="%2."/>
      <w:lvlJc w:val="left"/>
      <w:pPr>
        <w:ind w:left="1581" w:hanging="360"/>
      </w:pPr>
    </w:lvl>
    <w:lvl w:ilvl="2">
      <w:start w:val="1"/>
      <w:numFmt w:val="lowerRoman"/>
      <w:lvlText w:val="%3."/>
      <w:lvlJc w:val="right"/>
      <w:pPr>
        <w:ind w:left="2301" w:hanging="180"/>
      </w:pPr>
    </w:lvl>
    <w:lvl w:ilvl="3">
      <w:start w:val="1"/>
      <w:numFmt w:val="decimal"/>
      <w:lvlText w:val="%4."/>
      <w:lvlJc w:val="left"/>
      <w:pPr>
        <w:ind w:left="3021" w:hanging="360"/>
      </w:pPr>
    </w:lvl>
    <w:lvl w:ilvl="4">
      <w:start w:val="1"/>
      <w:numFmt w:val="lowerLetter"/>
      <w:lvlText w:val="%5."/>
      <w:lvlJc w:val="left"/>
      <w:pPr>
        <w:ind w:left="3741" w:hanging="360"/>
      </w:pPr>
    </w:lvl>
    <w:lvl w:ilvl="5">
      <w:start w:val="1"/>
      <w:numFmt w:val="lowerRoman"/>
      <w:lvlText w:val="%6."/>
      <w:lvlJc w:val="right"/>
      <w:pPr>
        <w:ind w:left="4461" w:hanging="180"/>
      </w:pPr>
    </w:lvl>
    <w:lvl w:ilvl="6">
      <w:start w:val="1"/>
      <w:numFmt w:val="decimal"/>
      <w:lvlText w:val="%7."/>
      <w:lvlJc w:val="left"/>
      <w:pPr>
        <w:ind w:left="5181" w:hanging="360"/>
      </w:pPr>
    </w:lvl>
    <w:lvl w:ilvl="7">
      <w:start w:val="1"/>
      <w:numFmt w:val="lowerLetter"/>
      <w:lvlText w:val="%8."/>
      <w:lvlJc w:val="left"/>
      <w:pPr>
        <w:ind w:left="5901" w:hanging="360"/>
      </w:pPr>
    </w:lvl>
    <w:lvl w:ilvl="8">
      <w:start w:val="1"/>
      <w:numFmt w:val="lowerRoman"/>
      <w:lvlText w:val="%9."/>
      <w:lvlJc w:val="right"/>
      <w:pPr>
        <w:ind w:left="6621" w:hanging="180"/>
      </w:pPr>
    </w:lvl>
  </w:abstractNum>
  <w:abstractNum w:abstractNumId="3" w15:restartNumberingAfterBreak="0">
    <w:nsid w:val="05E55F8C"/>
    <w:multiLevelType w:val="hybridMultilevel"/>
    <w:tmpl w:val="573634D2"/>
    <w:lvl w:ilvl="0" w:tplc="0809000F">
      <w:start w:val="1"/>
      <w:numFmt w:val="decimal"/>
      <w:lvlText w:val="%1."/>
      <w:lvlJc w:val="left"/>
      <w:pPr>
        <w:ind w:left="1409" w:hanging="360"/>
      </w:pPr>
      <w:rPr>
        <w:rFonts w:hint="default"/>
      </w:rPr>
    </w:lvl>
    <w:lvl w:ilvl="1" w:tplc="FFFFFFFF" w:tentative="1">
      <w:start w:val="1"/>
      <w:numFmt w:val="lowerLetter"/>
      <w:lvlText w:val="%2."/>
      <w:lvlJc w:val="left"/>
      <w:pPr>
        <w:ind w:left="2489" w:hanging="360"/>
      </w:pPr>
    </w:lvl>
    <w:lvl w:ilvl="2" w:tplc="FFFFFFFF" w:tentative="1">
      <w:start w:val="1"/>
      <w:numFmt w:val="lowerRoman"/>
      <w:lvlText w:val="%3."/>
      <w:lvlJc w:val="right"/>
      <w:pPr>
        <w:ind w:left="3209" w:hanging="180"/>
      </w:pPr>
    </w:lvl>
    <w:lvl w:ilvl="3" w:tplc="FFFFFFFF" w:tentative="1">
      <w:start w:val="1"/>
      <w:numFmt w:val="decimal"/>
      <w:lvlText w:val="%4."/>
      <w:lvlJc w:val="left"/>
      <w:pPr>
        <w:ind w:left="3929" w:hanging="360"/>
      </w:pPr>
    </w:lvl>
    <w:lvl w:ilvl="4" w:tplc="FFFFFFFF" w:tentative="1">
      <w:start w:val="1"/>
      <w:numFmt w:val="lowerLetter"/>
      <w:lvlText w:val="%5."/>
      <w:lvlJc w:val="left"/>
      <w:pPr>
        <w:ind w:left="4649" w:hanging="360"/>
      </w:pPr>
    </w:lvl>
    <w:lvl w:ilvl="5" w:tplc="FFFFFFFF" w:tentative="1">
      <w:start w:val="1"/>
      <w:numFmt w:val="lowerRoman"/>
      <w:lvlText w:val="%6."/>
      <w:lvlJc w:val="right"/>
      <w:pPr>
        <w:ind w:left="5369" w:hanging="180"/>
      </w:pPr>
    </w:lvl>
    <w:lvl w:ilvl="6" w:tplc="FFFFFFFF" w:tentative="1">
      <w:start w:val="1"/>
      <w:numFmt w:val="decimal"/>
      <w:lvlText w:val="%7."/>
      <w:lvlJc w:val="left"/>
      <w:pPr>
        <w:ind w:left="6089" w:hanging="360"/>
      </w:pPr>
    </w:lvl>
    <w:lvl w:ilvl="7" w:tplc="FFFFFFFF" w:tentative="1">
      <w:start w:val="1"/>
      <w:numFmt w:val="lowerLetter"/>
      <w:lvlText w:val="%8."/>
      <w:lvlJc w:val="left"/>
      <w:pPr>
        <w:ind w:left="6809" w:hanging="360"/>
      </w:pPr>
    </w:lvl>
    <w:lvl w:ilvl="8" w:tplc="FFFFFFFF" w:tentative="1">
      <w:start w:val="1"/>
      <w:numFmt w:val="lowerRoman"/>
      <w:lvlText w:val="%9."/>
      <w:lvlJc w:val="right"/>
      <w:pPr>
        <w:ind w:left="7529" w:hanging="180"/>
      </w:pPr>
    </w:lvl>
  </w:abstractNum>
  <w:abstractNum w:abstractNumId="4" w15:restartNumberingAfterBreak="0">
    <w:nsid w:val="07BC660F"/>
    <w:multiLevelType w:val="multilevel"/>
    <w:tmpl w:val="C518E0AA"/>
    <w:styleLink w:val="CurrentList2"/>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ED41628"/>
    <w:multiLevelType w:val="multilevel"/>
    <w:tmpl w:val="0CEE4B10"/>
    <w:styleLink w:val="CurrentList7"/>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ADD3C4D"/>
    <w:multiLevelType w:val="multilevel"/>
    <w:tmpl w:val="0CEE4B10"/>
    <w:styleLink w:val="CurrentList4"/>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0EE0F58"/>
    <w:multiLevelType w:val="hybridMultilevel"/>
    <w:tmpl w:val="31F01B80"/>
    <w:lvl w:ilvl="0" w:tplc="7746159C">
      <w:start w:val="1"/>
      <w:numFmt w:val="bullet"/>
      <w:pStyle w:val="Bullet1"/>
      <w:lvlText w:val=""/>
      <w:lvlJc w:val="left"/>
      <w:pPr>
        <w:tabs>
          <w:tab w:val="num" w:pos="340"/>
        </w:tabs>
        <w:ind w:left="340" w:hanging="34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73604F4"/>
    <w:multiLevelType w:val="hybridMultilevel"/>
    <w:tmpl w:val="F7C042AA"/>
    <w:lvl w:ilvl="0" w:tplc="FFFFFFFF">
      <w:start w:val="1"/>
      <w:numFmt w:val="lowerLetter"/>
      <w:lvlText w:val="%1."/>
      <w:lvlJc w:val="left"/>
      <w:pPr>
        <w:tabs>
          <w:tab w:val="num" w:pos="766"/>
        </w:tabs>
        <w:ind w:left="766" w:hanging="340"/>
      </w:pPr>
      <w:rPr>
        <w:rFonts w:hint="default"/>
      </w:rPr>
    </w:lvl>
    <w:lvl w:ilvl="1" w:tplc="FFFFFFFF">
      <w:start w:val="1"/>
      <w:numFmt w:val="lowerLetter"/>
      <w:lvlText w:val="%2."/>
      <w:lvlJc w:val="left"/>
      <w:pPr>
        <w:ind w:left="1581" w:hanging="360"/>
      </w:pPr>
    </w:lvl>
    <w:lvl w:ilvl="2" w:tplc="FFFFFFFF" w:tentative="1">
      <w:start w:val="1"/>
      <w:numFmt w:val="lowerRoman"/>
      <w:lvlText w:val="%3."/>
      <w:lvlJc w:val="right"/>
      <w:pPr>
        <w:ind w:left="2301" w:hanging="180"/>
      </w:pPr>
    </w:lvl>
    <w:lvl w:ilvl="3" w:tplc="FFFFFFFF" w:tentative="1">
      <w:start w:val="1"/>
      <w:numFmt w:val="decimal"/>
      <w:lvlText w:val="%4."/>
      <w:lvlJc w:val="left"/>
      <w:pPr>
        <w:ind w:left="3021" w:hanging="360"/>
      </w:pPr>
    </w:lvl>
    <w:lvl w:ilvl="4" w:tplc="FFFFFFFF" w:tentative="1">
      <w:start w:val="1"/>
      <w:numFmt w:val="lowerLetter"/>
      <w:lvlText w:val="%5."/>
      <w:lvlJc w:val="left"/>
      <w:pPr>
        <w:ind w:left="3741" w:hanging="360"/>
      </w:pPr>
    </w:lvl>
    <w:lvl w:ilvl="5" w:tplc="FFFFFFFF" w:tentative="1">
      <w:start w:val="1"/>
      <w:numFmt w:val="lowerRoman"/>
      <w:lvlText w:val="%6."/>
      <w:lvlJc w:val="right"/>
      <w:pPr>
        <w:ind w:left="4461" w:hanging="180"/>
      </w:pPr>
    </w:lvl>
    <w:lvl w:ilvl="6" w:tplc="FFFFFFFF" w:tentative="1">
      <w:start w:val="1"/>
      <w:numFmt w:val="decimal"/>
      <w:lvlText w:val="%7."/>
      <w:lvlJc w:val="left"/>
      <w:pPr>
        <w:ind w:left="5181" w:hanging="360"/>
      </w:pPr>
    </w:lvl>
    <w:lvl w:ilvl="7" w:tplc="FFFFFFFF" w:tentative="1">
      <w:start w:val="1"/>
      <w:numFmt w:val="lowerLetter"/>
      <w:lvlText w:val="%8."/>
      <w:lvlJc w:val="left"/>
      <w:pPr>
        <w:ind w:left="5901" w:hanging="360"/>
      </w:pPr>
    </w:lvl>
    <w:lvl w:ilvl="8" w:tplc="FFFFFFFF" w:tentative="1">
      <w:start w:val="1"/>
      <w:numFmt w:val="lowerRoman"/>
      <w:lvlText w:val="%9."/>
      <w:lvlJc w:val="right"/>
      <w:pPr>
        <w:ind w:left="6621" w:hanging="180"/>
      </w:pPr>
    </w:lvl>
  </w:abstractNum>
  <w:abstractNum w:abstractNumId="9" w15:restartNumberingAfterBreak="0">
    <w:nsid w:val="2EBE7834"/>
    <w:multiLevelType w:val="hybridMultilevel"/>
    <w:tmpl w:val="E5F2027C"/>
    <w:lvl w:ilvl="0" w:tplc="DD82739A">
      <w:start w:val="1"/>
      <w:numFmt w:val="lowerRoman"/>
      <w:pStyle w:val="Listparagraphi"/>
      <w:lvlText w:val="%1."/>
      <w:lvlJc w:val="left"/>
      <w:pPr>
        <w:tabs>
          <w:tab w:val="num" w:pos="1049"/>
        </w:tabs>
        <w:ind w:left="1049" w:hanging="34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0" w15:restartNumberingAfterBreak="0">
    <w:nsid w:val="304E5E27"/>
    <w:multiLevelType w:val="multilevel"/>
    <w:tmpl w:val="A02C5382"/>
    <w:styleLink w:val="CurrentList5"/>
    <w:lvl w:ilvl="0">
      <w:start w:val="1"/>
      <w:numFmt w:val="lowerRoman"/>
      <w:lvlText w:val="%1."/>
      <w:lvlJc w:val="left"/>
      <w:pPr>
        <w:tabs>
          <w:tab w:val="num" w:pos="1049"/>
        </w:tabs>
        <w:ind w:left="1049" w:hanging="34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1" w15:restartNumberingAfterBreak="0">
    <w:nsid w:val="305E37BC"/>
    <w:multiLevelType w:val="multilevel"/>
    <w:tmpl w:val="4AB455C8"/>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tabs>
          <w:tab w:val="num" w:pos="567"/>
        </w:tabs>
        <w:ind w:left="567" w:hanging="567"/>
      </w:pPr>
      <w:rPr>
        <w:rFonts w:hint="default"/>
      </w:rPr>
    </w:lvl>
    <w:lvl w:ilvl="2">
      <w:start w:val="1"/>
      <w:numFmt w:val="decimal"/>
      <w:pStyle w:val="Heading3numbered"/>
      <w:lvlText w:val="%1.%2.%3"/>
      <w:lvlJc w:val="left"/>
      <w:pPr>
        <w:tabs>
          <w:tab w:val="num" w:pos="567"/>
        </w:tabs>
        <w:ind w:left="567" w:hanging="567"/>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2" w15:restartNumberingAfterBreak="0">
    <w:nsid w:val="46D35F88"/>
    <w:multiLevelType w:val="multilevel"/>
    <w:tmpl w:val="6DAE0932"/>
    <w:styleLink w:val="CurrentList3"/>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510099A"/>
    <w:multiLevelType w:val="multilevel"/>
    <w:tmpl w:val="C518E0AA"/>
    <w:styleLink w:val="CurrentList1"/>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68D2222"/>
    <w:multiLevelType w:val="hybridMultilevel"/>
    <w:tmpl w:val="0CEE4B10"/>
    <w:lvl w:ilvl="0" w:tplc="FFFFFFFF">
      <w:start w:val="1"/>
      <w:numFmt w:val="lowerLetter"/>
      <w:lvlText w:val="%1."/>
      <w:lvlJc w:val="left"/>
      <w:pPr>
        <w:tabs>
          <w:tab w:val="num" w:pos="340"/>
        </w:tabs>
        <w:ind w:left="340" w:hanging="34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ADF6AC5"/>
    <w:multiLevelType w:val="hybridMultilevel"/>
    <w:tmpl w:val="B65A3DF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5B790C95"/>
    <w:multiLevelType w:val="multilevel"/>
    <w:tmpl w:val="33E43144"/>
    <w:styleLink w:val="CurrentList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C905082"/>
    <w:multiLevelType w:val="hybridMultilevel"/>
    <w:tmpl w:val="F7C042AA"/>
    <w:lvl w:ilvl="0" w:tplc="F8F4643C">
      <w:start w:val="1"/>
      <w:numFmt w:val="lowerLetter"/>
      <w:lvlText w:val="%1."/>
      <w:lvlJc w:val="left"/>
      <w:pPr>
        <w:tabs>
          <w:tab w:val="num" w:pos="766"/>
        </w:tabs>
        <w:ind w:left="766" w:hanging="340"/>
      </w:pPr>
      <w:rPr>
        <w:rFonts w:hint="default"/>
      </w:rPr>
    </w:lvl>
    <w:lvl w:ilvl="1" w:tplc="FFFFFFFF">
      <w:start w:val="1"/>
      <w:numFmt w:val="lowerLetter"/>
      <w:lvlText w:val="%2."/>
      <w:lvlJc w:val="left"/>
      <w:pPr>
        <w:ind w:left="1581" w:hanging="360"/>
      </w:pPr>
    </w:lvl>
    <w:lvl w:ilvl="2" w:tplc="FFFFFFFF" w:tentative="1">
      <w:start w:val="1"/>
      <w:numFmt w:val="lowerRoman"/>
      <w:lvlText w:val="%3."/>
      <w:lvlJc w:val="right"/>
      <w:pPr>
        <w:ind w:left="2301" w:hanging="180"/>
      </w:pPr>
    </w:lvl>
    <w:lvl w:ilvl="3" w:tplc="FFFFFFFF" w:tentative="1">
      <w:start w:val="1"/>
      <w:numFmt w:val="decimal"/>
      <w:lvlText w:val="%4."/>
      <w:lvlJc w:val="left"/>
      <w:pPr>
        <w:ind w:left="3021" w:hanging="360"/>
      </w:pPr>
    </w:lvl>
    <w:lvl w:ilvl="4" w:tplc="FFFFFFFF" w:tentative="1">
      <w:start w:val="1"/>
      <w:numFmt w:val="lowerLetter"/>
      <w:lvlText w:val="%5."/>
      <w:lvlJc w:val="left"/>
      <w:pPr>
        <w:ind w:left="3741" w:hanging="360"/>
      </w:pPr>
    </w:lvl>
    <w:lvl w:ilvl="5" w:tplc="FFFFFFFF" w:tentative="1">
      <w:start w:val="1"/>
      <w:numFmt w:val="lowerRoman"/>
      <w:lvlText w:val="%6."/>
      <w:lvlJc w:val="right"/>
      <w:pPr>
        <w:ind w:left="4461" w:hanging="180"/>
      </w:pPr>
    </w:lvl>
    <w:lvl w:ilvl="6" w:tplc="FFFFFFFF" w:tentative="1">
      <w:start w:val="1"/>
      <w:numFmt w:val="decimal"/>
      <w:lvlText w:val="%7."/>
      <w:lvlJc w:val="left"/>
      <w:pPr>
        <w:ind w:left="5181" w:hanging="360"/>
      </w:pPr>
    </w:lvl>
    <w:lvl w:ilvl="7" w:tplc="FFFFFFFF" w:tentative="1">
      <w:start w:val="1"/>
      <w:numFmt w:val="lowerLetter"/>
      <w:lvlText w:val="%8."/>
      <w:lvlJc w:val="left"/>
      <w:pPr>
        <w:ind w:left="5901" w:hanging="360"/>
      </w:pPr>
    </w:lvl>
    <w:lvl w:ilvl="8" w:tplc="FFFFFFFF" w:tentative="1">
      <w:start w:val="1"/>
      <w:numFmt w:val="lowerRoman"/>
      <w:lvlText w:val="%9."/>
      <w:lvlJc w:val="right"/>
      <w:pPr>
        <w:ind w:left="6621" w:hanging="180"/>
      </w:pPr>
    </w:lvl>
  </w:abstractNum>
  <w:abstractNum w:abstractNumId="18" w15:restartNumberingAfterBreak="0">
    <w:nsid w:val="62CA3B4C"/>
    <w:multiLevelType w:val="hybridMultilevel"/>
    <w:tmpl w:val="18E09786"/>
    <w:lvl w:ilvl="0" w:tplc="8DB84B2A">
      <w:start w:val="1"/>
      <w:numFmt w:val="lowerLetter"/>
      <w:pStyle w:val="Listparagrapha"/>
      <w:lvlText w:val="%1."/>
      <w:lvlJc w:val="left"/>
      <w:pPr>
        <w:tabs>
          <w:tab w:val="num" w:pos="340"/>
        </w:tabs>
        <w:ind w:left="340" w:hanging="34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0A95ACB"/>
    <w:multiLevelType w:val="hybridMultilevel"/>
    <w:tmpl w:val="0CEE4B10"/>
    <w:lvl w:ilvl="0" w:tplc="D534D6DA">
      <w:start w:val="1"/>
      <w:numFmt w:val="lowerLetter"/>
      <w:lvlText w:val="%1."/>
      <w:lvlJc w:val="left"/>
      <w:pPr>
        <w:tabs>
          <w:tab w:val="num" w:pos="340"/>
        </w:tabs>
        <w:ind w:left="340" w:hanging="34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31D65E9"/>
    <w:multiLevelType w:val="hybridMultilevel"/>
    <w:tmpl w:val="8F425C38"/>
    <w:lvl w:ilvl="0" w:tplc="54303112">
      <w:start w:val="1"/>
      <w:numFmt w:val="bullet"/>
      <w:pStyle w:val="ListBullet2"/>
      <w:lvlText w:val=""/>
      <w:lvlJc w:val="left"/>
      <w:pPr>
        <w:ind w:left="717" w:hanging="360"/>
      </w:pPr>
      <w:rPr>
        <w:rFonts w:ascii="Wingdings" w:hAnsi="Wingdings"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21" w15:restartNumberingAfterBreak="0">
    <w:nsid w:val="7CA92CF3"/>
    <w:multiLevelType w:val="hybridMultilevel"/>
    <w:tmpl w:val="86D889D8"/>
    <w:lvl w:ilvl="0" w:tplc="8C9A6612">
      <w:start w:val="1"/>
      <w:numFmt w:val="bullet"/>
      <w:pStyle w:val="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D8B0EFC"/>
    <w:multiLevelType w:val="hybridMultilevel"/>
    <w:tmpl w:val="0CEE4B10"/>
    <w:lvl w:ilvl="0" w:tplc="FFFFFFFF">
      <w:start w:val="1"/>
      <w:numFmt w:val="lowerLetter"/>
      <w:lvlText w:val="%1."/>
      <w:lvlJc w:val="left"/>
      <w:pPr>
        <w:tabs>
          <w:tab w:val="num" w:pos="908"/>
        </w:tabs>
        <w:ind w:left="908" w:hanging="34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59077567">
    <w:abstractNumId w:val="7"/>
  </w:num>
  <w:num w:numId="2" w16cid:durableId="2084981408">
    <w:abstractNumId w:val="11"/>
  </w:num>
  <w:num w:numId="3" w16cid:durableId="601570190">
    <w:abstractNumId w:val="21"/>
  </w:num>
  <w:num w:numId="4" w16cid:durableId="1813522522">
    <w:abstractNumId w:val="1"/>
  </w:num>
  <w:num w:numId="5" w16cid:durableId="533276510">
    <w:abstractNumId w:val="20"/>
  </w:num>
  <w:num w:numId="6" w16cid:durableId="771362055">
    <w:abstractNumId w:val="0"/>
  </w:num>
  <w:num w:numId="7" w16cid:durableId="1378436537">
    <w:abstractNumId w:val="0"/>
    <w:lvlOverride w:ilvl="0">
      <w:startOverride w:val="1"/>
    </w:lvlOverride>
  </w:num>
  <w:num w:numId="8" w16cid:durableId="3823149">
    <w:abstractNumId w:val="13"/>
  </w:num>
  <w:num w:numId="9" w16cid:durableId="1109350762">
    <w:abstractNumId w:val="19"/>
  </w:num>
  <w:num w:numId="10" w16cid:durableId="338390637">
    <w:abstractNumId w:val="4"/>
  </w:num>
  <w:num w:numId="11" w16cid:durableId="182984412">
    <w:abstractNumId w:val="18"/>
  </w:num>
  <w:num w:numId="12" w16cid:durableId="853954488">
    <w:abstractNumId w:val="12"/>
  </w:num>
  <w:num w:numId="13" w16cid:durableId="307325374">
    <w:abstractNumId w:val="6"/>
  </w:num>
  <w:num w:numId="14" w16cid:durableId="888996331">
    <w:abstractNumId w:val="14"/>
  </w:num>
  <w:num w:numId="15" w16cid:durableId="176046496">
    <w:abstractNumId w:val="22"/>
  </w:num>
  <w:num w:numId="16" w16cid:durableId="1207567416">
    <w:abstractNumId w:val="10"/>
  </w:num>
  <w:num w:numId="17" w16cid:durableId="1205290667">
    <w:abstractNumId w:val="9"/>
    <w:lvlOverride w:ilvl="0">
      <w:startOverride w:val="1"/>
    </w:lvlOverride>
  </w:num>
  <w:num w:numId="18" w16cid:durableId="1714499310">
    <w:abstractNumId w:val="9"/>
  </w:num>
  <w:num w:numId="19" w16cid:durableId="982542587">
    <w:abstractNumId w:val="3"/>
  </w:num>
  <w:num w:numId="20" w16cid:durableId="2063869356">
    <w:abstractNumId w:val="9"/>
    <w:lvlOverride w:ilvl="0">
      <w:startOverride w:val="1"/>
    </w:lvlOverride>
  </w:num>
  <w:num w:numId="21" w16cid:durableId="1689873368">
    <w:abstractNumId w:val="17"/>
  </w:num>
  <w:num w:numId="22" w16cid:durableId="1655597716">
    <w:abstractNumId w:val="9"/>
    <w:lvlOverride w:ilvl="0">
      <w:startOverride w:val="1"/>
    </w:lvlOverride>
  </w:num>
  <w:num w:numId="23" w16cid:durableId="1315331001">
    <w:abstractNumId w:val="9"/>
    <w:lvlOverride w:ilvl="0">
      <w:startOverride w:val="1"/>
    </w:lvlOverride>
  </w:num>
  <w:num w:numId="24" w16cid:durableId="1910573142">
    <w:abstractNumId w:val="0"/>
    <w:lvlOverride w:ilvl="0">
      <w:startOverride w:val="1"/>
    </w:lvlOverride>
  </w:num>
  <w:num w:numId="25" w16cid:durableId="1557817223">
    <w:abstractNumId w:val="16"/>
  </w:num>
  <w:num w:numId="26" w16cid:durableId="766468131">
    <w:abstractNumId w:val="5"/>
  </w:num>
  <w:num w:numId="27" w16cid:durableId="401634644">
    <w:abstractNumId w:val="2"/>
  </w:num>
  <w:num w:numId="28" w16cid:durableId="1061367316">
    <w:abstractNumId w:val="8"/>
  </w:num>
  <w:num w:numId="29" w16cid:durableId="1449930451">
    <w:abstractNumId w:val="1"/>
  </w:num>
  <w:num w:numId="30" w16cid:durableId="1422413406">
    <w:abstractNumId w:val="1"/>
  </w:num>
  <w:num w:numId="31" w16cid:durableId="1538161711">
    <w:abstractNumId w:val="15"/>
  </w:num>
  <w:num w:numId="32" w16cid:durableId="1530921520">
    <w:abstractNumId w:val="1"/>
  </w:num>
  <w:num w:numId="33" w16cid:durableId="207381816">
    <w:abstractNumId w:val="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
  <w:noLineBreaksBefore w:lang="ja-JP" w:val="!),.:;?]}¢—’”‰"/>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5CB"/>
    <w:rsid w:val="00005D2C"/>
    <w:rsid w:val="00010851"/>
    <w:rsid w:val="00010D69"/>
    <w:rsid w:val="00024EED"/>
    <w:rsid w:val="00033D9B"/>
    <w:rsid w:val="000376B8"/>
    <w:rsid w:val="000535F0"/>
    <w:rsid w:val="00053E0C"/>
    <w:rsid w:val="00056610"/>
    <w:rsid w:val="000647D4"/>
    <w:rsid w:val="0006561B"/>
    <w:rsid w:val="0006634D"/>
    <w:rsid w:val="00074C4F"/>
    <w:rsid w:val="00095463"/>
    <w:rsid w:val="000B0305"/>
    <w:rsid w:val="000B43C0"/>
    <w:rsid w:val="000B62B5"/>
    <w:rsid w:val="000C4980"/>
    <w:rsid w:val="000C4A37"/>
    <w:rsid w:val="000C4B11"/>
    <w:rsid w:val="000D3E42"/>
    <w:rsid w:val="000D71B3"/>
    <w:rsid w:val="000D7224"/>
    <w:rsid w:val="000D7A9A"/>
    <w:rsid w:val="000E502E"/>
    <w:rsid w:val="000F3A15"/>
    <w:rsid w:val="000F3DF8"/>
    <w:rsid w:val="00101019"/>
    <w:rsid w:val="001073C1"/>
    <w:rsid w:val="00111A4E"/>
    <w:rsid w:val="00111DA7"/>
    <w:rsid w:val="001123C1"/>
    <w:rsid w:val="00124CDD"/>
    <w:rsid w:val="00125150"/>
    <w:rsid w:val="00126ACE"/>
    <w:rsid w:val="001273C5"/>
    <w:rsid w:val="00140C7D"/>
    <w:rsid w:val="001500AB"/>
    <w:rsid w:val="0015030B"/>
    <w:rsid w:val="0015078B"/>
    <w:rsid w:val="00151489"/>
    <w:rsid w:val="0016078F"/>
    <w:rsid w:val="0016084C"/>
    <w:rsid w:val="00170653"/>
    <w:rsid w:val="00170C4A"/>
    <w:rsid w:val="00175022"/>
    <w:rsid w:val="00177194"/>
    <w:rsid w:val="00180392"/>
    <w:rsid w:val="001874EE"/>
    <w:rsid w:val="00191DAA"/>
    <w:rsid w:val="001A7CFC"/>
    <w:rsid w:val="001B02D0"/>
    <w:rsid w:val="001B1A8A"/>
    <w:rsid w:val="001B244C"/>
    <w:rsid w:val="001B2A51"/>
    <w:rsid w:val="001B3542"/>
    <w:rsid w:val="001B56CA"/>
    <w:rsid w:val="001B6332"/>
    <w:rsid w:val="001D5429"/>
    <w:rsid w:val="001E3E65"/>
    <w:rsid w:val="001E3FB4"/>
    <w:rsid w:val="001E4846"/>
    <w:rsid w:val="001E6288"/>
    <w:rsid w:val="001E7623"/>
    <w:rsid w:val="001F53A7"/>
    <w:rsid w:val="001F7775"/>
    <w:rsid w:val="00202A5B"/>
    <w:rsid w:val="0020474C"/>
    <w:rsid w:val="002143C5"/>
    <w:rsid w:val="00215E01"/>
    <w:rsid w:val="00217DBA"/>
    <w:rsid w:val="00222AE8"/>
    <w:rsid w:val="0023007D"/>
    <w:rsid w:val="002308DD"/>
    <w:rsid w:val="00241796"/>
    <w:rsid w:val="00241E12"/>
    <w:rsid w:val="0024292F"/>
    <w:rsid w:val="00242D99"/>
    <w:rsid w:val="00244E10"/>
    <w:rsid w:val="002460FA"/>
    <w:rsid w:val="0024680A"/>
    <w:rsid w:val="002521EF"/>
    <w:rsid w:val="00252B69"/>
    <w:rsid w:val="002538AC"/>
    <w:rsid w:val="002544C4"/>
    <w:rsid w:val="00254DCF"/>
    <w:rsid w:val="00257E1D"/>
    <w:rsid w:val="002612BF"/>
    <w:rsid w:val="0026182E"/>
    <w:rsid w:val="00266DF9"/>
    <w:rsid w:val="00267F43"/>
    <w:rsid w:val="00276F9F"/>
    <w:rsid w:val="00281939"/>
    <w:rsid w:val="00283316"/>
    <w:rsid w:val="002848F0"/>
    <w:rsid w:val="002934FB"/>
    <w:rsid w:val="00295CE3"/>
    <w:rsid w:val="002A5522"/>
    <w:rsid w:val="002A748B"/>
    <w:rsid w:val="002C3499"/>
    <w:rsid w:val="002C5439"/>
    <w:rsid w:val="002C75FC"/>
    <w:rsid w:val="002D162B"/>
    <w:rsid w:val="002D2205"/>
    <w:rsid w:val="002D3C43"/>
    <w:rsid w:val="002D70AB"/>
    <w:rsid w:val="002E78E1"/>
    <w:rsid w:val="002F2092"/>
    <w:rsid w:val="002F2CD2"/>
    <w:rsid w:val="0030627E"/>
    <w:rsid w:val="0031002A"/>
    <w:rsid w:val="003116DC"/>
    <w:rsid w:val="00315578"/>
    <w:rsid w:val="00320E94"/>
    <w:rsid w:val="00321D0F"/>
    <w:rsid w:val="00323945"/>
    <w:rsid w:val="00324335"/>
    <w:rsid w:val="003250CD"/>
    <w:rsid w:val="00331859"/>
    <w:rsid w:val="003367D8"/>
    <w:rsid w:val="00337320"/>
    <w:rsid w:val="0034108E"/>
    <w:rsid w:val="003463BF"/>
    <w:rsid w:val="0035023E"/>
    <w:rsid w:val="003616B0"/>
    <w:rsid w:val="00364CF0"/>
    <w:rsid w:val="00365844"/>
    <w:rsid w:val="0036755C"/>
    <w:rsid w:val="00372CE5"/>
    <w:rsid w:val="00375ECD"/>
    <w:rsid w:val="003917D2"/>
    <w:rsid w:val="00395B17"/>
    <w:rsid w:val="0039726D"/>
    <w:rsid w:val="00397BEF"/>
    <w:rsid w:val="003B25BA"/>
    <w:rsid w:val="003B6CB5"/>
    <w:rsid w:val="003B75A0"/>
    <w:rsid w:val="003C2291"/>
    <w:rsid w:val="003C32F5"/>
    <w:rsid w:val="003C7DED"/>
    <w:rsid w:val="003E296C"/>
    <w:rsid w:val="003E3C61"/>
    <w:rsid w:val="003F3AC6"/>
    <w:rsid w:val="003F514F"/>
    <w:rsid w:val="0040225E"/>
    <w:rsid w:val="00404F0E"/>
    <w:rsid w:val="00411FA4"/>
    <w:rsid w:val="004163B5"/>
    <w:rsid w:val="004230BA"/>
    <w:rsid w:val="00427057"/>
    <w:rsid w:val="00432644"/>
    <w:rsid w:val="004423C5"/>
    <w:rsid w:val="00444C0E"/>
    <w:rsid w:val="00451ABC"/>
    <w:rsid w:val="0046011A"/>
    <w:rsid w:val="00460D9F"/>
    <w:rsid w:val="004647CF"/>
    <w:rsid w:val="0046520A"/>
    <w:rsid w:val="0047667F"/>
    <w:rsid w:val="004A0E5A"/>
    <w:rsid w:val="004A49AA"/>
    <w:rsid w:val="004A68CA"/>
    <w:rsid w:val="004B30FB"/>
    <w:rsid w:val="004B3182"/>
    <w:rsid w:val="004B7FB9"/>
    <w:rsid w:val="004C08CB"/>
    <w:rsid w:val="004C5429"/>
    <w:rsid w:val="004D6B83"/>
    <w:rsid w:val="004E1555"/>
    <w:rsid w:val="004E2D9F"/>
    <w:rsid w:val="004E395B"/>
    <w:rsid w:val="00506B0D"/>
    <w:rsid w:val="00506F16"/>
    <w:rsid w:val="005163B7"/>
    <w:rsid w:val="005244FB"/>
    <w:rsid w:val="0053353B"/>
    <w:rsid w:val="00536DD7"/>
    <w:rsid w:val="00536ED0"/>
    <w:rsid w:val="005520BE"/>
    <w:rsid w:val="005520CC"/>
    <w:rsid w:val="00552F02"/>
    <w:rsid w:val="00556105"/>
    <w:rsid w:val="005576D8"/>
    <w:rsid w:val="00561FF9"/>
    <w:rsid w:val="0056253B"/>
    <w:rsid w:val="00564079"/>
    <w:rsid w:val="00567DD8"/>
    <w:rsid w:val="005720F3"/>
    <w:rsid w:val="00576223"/>
    <w:rsid w:val="0058596D"/>
    <w:rsid w:val="00590D66"/>
    <w:rsid w:val="00590DA8"/>
    <w:rsid w:val="00590DE5"/>
    <w:rsid w:val="00594080"/>
    <w:rsid w:val="00597962"/>
    <w:rsid w:val="005A240A"/>
    <w:rsid w:val="005A6B8F"/>
    <w:rsid w:val="005B09C9"/>
    <w:rsid w:val="005B0BB4"/>
    <w:rsid w:val="005B10AD"/>
    <w:rsid w:val="005B18FE"/>
    <w:rsid w:val="005B593D"/>
    <w:rsid w:val="005C1D42"/>
    <w:rsid w:val="005C4602"/>
    <w:rsid w:val="005C5843"/>
    <w:rsid w:val="005C79C1"/>
    <w:rsid w:val="005D1F35"/>
    <w:rsid w:val="005D2585"/>
    <w:rsid w:val="005E3F95"/>
    <w:rsid w:val="005F1A1C"/>
    <w:rsid w:val="005F79AB"/>
    <w:rsid w:val="00605A83"/>
    <w:rsid w:val="00606E28"/>
    <w:rsid w:val="00613716"/>
    <w:rsid w:val="00613A89"/>
    <w:rsid w:val="00616A62"/>
    <w:rsid w:val="006170E0"/>
    <w:rsid w:val="00620098"/>
    <w:rsid w:val="0062675C"/>
    <w:rsid w:val="006329D6"/>
    <w:rsid w:val="006363F6"/>
    <w:rsid w:val="006368F9"/>
    <w:rsid w:val="00645230"/>
    <w:rsid w:val="006466AF"/>
    <w:rsid w:val="0065647E"/>
    <w:rsid w:val="006573A1"/>
    <w:rsid w:val="006608FC"/>
    <w:rsid w:val="00661920"/>
    <w:rsid w:val="00664E52"/>
    <w:rsid w:val="0067249C"/>
    <w:rsid w:val="00673096"/>
    <w:rsid w:val="006758B9"/>
    <w:rsid w:val="006759DF"/>
    <w:rsid w:val="006806BD"/>
    <w:rsid w:val="0068129E"/>
    <w:rsid w:val="0069000E"/>
    <w:rsid w:val="006901FD"/>
    <w:rsid w:val="00692B3C"/>
    <w:rsid w:val="006B7EEB"/>
    <w:rsid w:val="006D4F10"/>
    <w:rsid w:val="006F0F04"/>
    <w:rsid w:val="006F16C4"/>
    <w:rsid w:val="00700BF1"/>
    <w:rsid w:val="0071566E"/>
    <w:rsid w:val="007169D8"/>
    <w:rsid w:val="0073229A"/>
    <w:rsid w:val="0073570B"/>
    <w:rsid w:val="00740461"/>
    <w:rsid w:val="00750D1B"/>
    <w:rsid w:val="007654A6"/>
    <w:rsid w:val="00785918"/>
    <w:rsid w:val="0079229F"/>
    <w:rsid w:val="00796459"/>
    <w:rsid w:val="00797866"/>
    <w:rsid w:val="007A16FB"/>
    <w:rsid w:val="007A261A"/>
    <w:rsid w:val="007A7ED1"/>
    <w:rsid w:val="007B211D"/>
    <w:rsid w:val="007B2F86"/>
    <w:rsid w:val="007B509C"/>
    <w:rsid w:val="007C11E6"/>
    <w:rsid w:val="007C1E53"/>
    <w:rsid w:val="007D4456"/>
    <w:rsid w:val="007D58CB"/>
    <w:rsid w:val="007D6A47"/>
    <w:rsid w:val="007F39FA"/>
    <w:rsid w:val="007F6BDB"/>
    <w:rsid w:val="007F748D"/>
    <w:rsid w:val="0080008F"/>
    <w:rsid w:val="00803E96"/>
    <w:rsid w:val="00807062"/>
    <w:rsid w:val="008071AB"/>
    <w:rsid w:val="0081706D"/>
    <w:rsid w:val="0082075A"/>
    <w:rsid w:val="00824A6E"/>
    <w:rsid w:val="00827815"/>
    <w:rsid w:val="00830BFF"/>
    <w:rsid w:val="008356A4"/>
    <w:rsid w:val="00835933"/>
    <w:rsid w:val="00840E7A"/>
    <w:rsid w:val="00846200"/>
    <w:rsid w:val="008475CB"/>
    <w:rsid w:val="00856CB5"/>
    <w:rsid w:val="00861A84"/>
    <w:rsid w:val="00862634"/>
    <w:rsid w:val="00862EEC"/>
    <w:rsid w:val="00863AFF"/>
    <w:rsid w:val="00880B31"/>
    <w:rsid w:val="008826FE"/>
    <w:rsid w:val="00884A4D"/>
    <w:rsid w:val="00886D42"/>
    <w:rsid w:val="008A23E4"/>
    <w:rsid w:val="008A44D0"/>
    <w:rsid w:val="008A47EE"/>
    <w:rsid w:val="008A753C"/>
    <w:rsid w:val="008B596D"/>
    <w:rsid w:val="008B70AB"/>
    <w:rsid w:val="008C294C"/>
    <w:rsid w:val="008C3D83"/>
    <w:rsid w:val="008C6CD2"/>
    <w:rsid w:val="008C71C0"/>
    <w:rsid w:val="008D095F"/>
    <w:rsid w:val="008D6873"/>
    <w:rsid w:val="008E13AD"/>
    <w:rsid w:val="008E550D"/>
    <w:rsid w:val="008F1C30"/>
    <w:rsid w:val="00904039"/>
    <w:rsid w:val="00912DD1"/>
    <w:rsid w:val="009170B4"/>
    <w:rsid w:val="00926549"/>
    <w:rsid w:val="0093403C"/>
    <w:rsid w:val="009450C1"/>
    <w:rsid w:val="00955C36"/>
    <w:rsid w:val="00963A53"/>
    <w:rsid w:val="0096468D"/>
    <w:rsid w:val="009803E4"/>
    <w:rsid w:val="009A2BF8"/>
    <w:rsid w:val="009A4E79"/>
    <w:rsid w:val="009A618C"/>
    <w:rsid w:val="009C2621"/>
    <w:rsid w:val="009C2D7C"/>
    <w:rsid w:val="009C565D"/>
    <w:rsid w:val="009C7EAA"/>
    <w:rsid w:val="009D3FEB"/>
    <w:rsid w:val="009D7B95"/>
    <w:rsid w:val="009E2202"/>
    <w:rsid w:val="009E5947"/>
    <w:rsid w:val="009F312E"/>
    <w:rsid w:val="009F5E71"/>
    <w:rsid w:val="00A04013"/>
    <w:rsid w:val="00A065C0"/>
    <w:rsid w:val="00A0774D"/>
    <w:rsid w:val="00A10D57"/>
    <w:rsid w:val="00A122C1"/>
    <w:rsid w:val="00A32A49"/>
    <w:rsid w:val="00A3786E"/>
    <w:rsid w:val="00A42F8A"/>
    <w:rsid w:val="00A56B9D"/>
    <w:rsid w:val="00A7306D"/>
    <w:rsid w:val="00A803C5"/>
    <w:rsid w:val="00A80505"/>
    <w:rsid w:val="00A849AE"/>
    <w:rsid w:val="00A91025"/>
    <w:rsid w:val="00A925B4"/>
    <w:rsid w:val="00A93914"/>
    <w:rsid w:val="00AB025E"/>
    <w:rsid w:val="00AB6104"/>
    <w:rsid w:val="00AD3F8F"/>
    <w:rsid w:val="00AE11DA"/>
    <w:rsid w:val="00AE226D"/>
    <w:rsid w:val="00AE397A"/>
    <w:rsid w:val="00AE4576"/>
    <w:rsid w:val="00AE5ECE"/>
    <w:rsid w:val="00AE6665"/>
    <w:rsid w:val="00AF386B"/>
    <w:rsid w:val="00AF6654"/>
    <w:rsid w:val="00AF7B1D"/>
    <w:rsid w:val="00B01AE9"/>
    <w:rsid w:val="00B02B2F"/>
    <w:rsid w:val="00B0318F"/>
    <w:rsid w:val="00B07E69"/>
    <w:rsid w:val="00B106A8"/>
    <w:rsid w:val="00B142F1"/>
    <w:rsid w:val="00B14FBE"/>
    <w:rsid w:val="00B305A9"/>
    <w:rsid w:val="00B33D5B"/>
    <w:rsid w:val="00B437D8"/>
    <w:rsid w:val="00B46FED"/>
    <w:rsid w:val="00B50399"/>
    <w:rsid w:val="00B520CF"/>
    <w:rsid w:val="00B5504A"/>
    <w:rsid w:val="00B573B1"/>
    <w:rsid w:val="00B578B6"/>
    <w:rsid w:val="00B6139B"/>
    <w:rsid w:val="00B615C9"/>
    <w:rsid w:val="00B65626"/>
    <w:rsid w:val="00B66945"/>
    <w:rsid w:val="00B66F64"/>
    <w:rsid w:val="00B70F94"/>
    <w:rsid w:val="00B712B3"/>
    <w:rsid w:val="00B75868"/>
    <w:rsid w:val="00B80DD2"/>
    <w:rsid w:val="00B84C3C"/>
    <w:rsid w:val="00B85839"/>
    <w:rsid w:val="00B868B3"/>
    <w:rsid w:val="00BA2392"/>
    <w:rsid w:val="00BA3D9D"/>
    <w:rsid w:val="00BA4CD9"/>
    <w:rsid w:val="00BB2725"/>
    <w:rsid w:val="00BB7BE8"/>
    <w:rsid w:val="00BC0446"/>
    <w:rsid w:val="00BC0A72"/>
    <w:rsid w:val="00BC1F97"/>
    <w:rsid w:val="00BC2466"/>
    <w:rsid w:val="00BC40FA"/>
    <w:rsid w:val="00BD18F8"/>
    <w:rsid w:val="00BE09DE"/>
    <w:rsid w:val="00BE1D2C"/>
    <w:rsid w:val="00BE3EE9"/>
    <w:rsid w:val="00BF05B9"/>
    <w:rsid w:val="00C02DB5"/>
    <w:rsid w:val="00C0723F"/>
    <w:rsid w:val="00C122AF"/>
    <w:rsid w:val="00C14F68"/>
    <w:rsid w:val="00C14FE6"/>
    <w:rsid w:val="00C173AC"/>
    <w:rsid w:val="00C20D01"/>
    <w:rsid w:val="00C24BAF"/>
    <w:rsid w:val="00C33B56"/>
    <w:rsid w:val="00C3751A"/>
    <w:rsid w:val="00C379D5"/>
    <w:rsid w:val="00C422E6"/>
    <w:rsid w:val="00C452C4"/>
    <w:rsid w:val="00C51189"/>
    <w:rsid w:val="00C60C57"/>
    <w:rsid w:val="00C610F6"/>
    <w:rsid w:val="00C6259B"/>
    <w:rsid w:val="00C6335B"/>
    <w:rsid w:val="00C66F9E"/>
    <w:rsid w:val="00C71AEC"/>
    <w:rsid w:val="00C840E6"/>
    <w:rsid w:val="00C967C7"/>
    <w:rsid w:val="00CA1CB5"/>
    <w:rsid w:val="00CA4D2C"/>
    <w:rsid w:val="00CA5B6B"/>
    <w:rsid w:val="00CB0080"/>
    <w:rsid w:val="00CB329F"/>
    <w:rsid w:val="00CB4CC7"/>
    <w:rsid w:val="00CC1CEB"/>
    <w:rsid w:val="00CC3CEB"/>
    <w:rsid w:val="00CC4882"/>
    <w:rsid w:val="00CC7403"/>
    <w:rsid w:val="00CD0AA8"/>
    <w:rsid w:val="00CD2217"/>
    <w:rsid w:val="00CD32D1"/>
    <w:rsid w:val="00CE4244"/>
    <w:rsid w:val="00CF1727"/>
    <w:rsid w:val="00CF6CFD"/>
    <w:rsid w:val="00CF6FA9"/>
    <w:rsid w:val="00D03821"/>
    <w:rsid w:val="00D03E67"/>
    <w:rsid w:val="00D10395"/>
    <w:rsid w:val="00D1083D"/>
    <w:rsid w:val="00D138E6"/>
    <w:rsid w:val="00D15CC9"/>
    <w:rsid w:val="00D24ABB"/>
    <w:rsid w:val="00D26A00"/>
    <w:rsid w:val="00D30300"/>
    <w:rsid w:val="00D35365"/>
    <w:rsid w:val="00D35A29"/>
    <w:rsid w:val="00D36D74"/>
    <w:rsid w:val="00D420E2"/>
    <w:rsid w:val="00D4315A"/>
    <w:rsid w:val="00D437ED"/>
    <w:rsid w:val="00D44761"/>
    <w:rsid w:val="00D46342"/>
    <w:rsid w:val="00D46731"/>
    <w:rsid w:val="00D50B49"/>
    <w:rsid w:val="00D50D61"/>
    <w:rsid w:val="00D528BE"/>
    <w:rsid w:val="00D54C6D"/>
    <w:rsid w:val="00D60291"/>
    <w:rsid w:val="00D66393"/>
    <w:rsid w:val="00D90B1A"/>
    <w:rsid w:val="00D9381C"/>
    <w:rsid w:val="00D93982"/>
    <w:rsid w:val="00DA216D"/>
    <w:rsid w:val="00DA278D"/>
    <w:rsid w:val="00DA41C2"/>
    <w:rsid w:val="00DA5FB4"/>
    <w:rsid w:val="00DA77D7"/>
    <w:rsid w:val="00DB0A24"/>
    <w:rsid w:val="00DB15AB"/>
    <w:rsid w:val="00DB3AC7"/>
    <w:rsid w:val="00DC3264"/>
    <w:rsid w:val="00DD384D"/>
    <w:rsid w:val="00DE2E6A"/>
    <w:rsid w:val="00DF071B"/>
    <w:rsid w:val="00DF2620"/>
    <w:rsid w:val="00E00126"/>
    <w:rsid w:val="00E00C8A"/>
    <w:rsid w:val="00E02397"/>
    <w:rsid w:val="00E1091D"/>
    <w:rsid w:val="00E11A71"/>
    <w:rsid w:val="00E14106"/>
    <w:rsid w:val="00E157A5"/>
    <w:rsid w:val="00E24A18"/>
    <w:rsid w:val="00E32047"/>
    <w:rsid w:val="00E3582C"/>
    <w:rsid w:val="00E416CC"/>
    <w:rsid w:val="00E41ED2"/>
    <w:rsid w:val="00E4612B"/>
    <w:rsid w:val="00E47E52"/>
    <w:rsid w:val="00E5724E"/>
    <w:rsid w:val="00E57CF1"/>
    <w:rsid w:val="00E602B9"/>
    <w:rsid w:val="00E6081B"/>
    <w:rsid w:val="00E608F2"/>
    <w:rsid w:val="00E6112B"/>
    <w:rsid w:val="00E63E82"/>
    <w:rsid w:val="00E65843"/>
    <w:rsid w:val="00E7248E"/>
    <w:rsid w:val="00E74717"/>
    <w:rsid w:val="00E87220"/>
    <w:rsid w:val="00E90B4F"/>
    <w:rsid w:val="00E97655"/>
    <w:rsid w:val="00EA2EBA"/>
    <w:rsid w:val="00EA3039"/>
    <w:rsid w:val="00EA5875"/>
    <w:rsid w:val="00EA5DF4"/>
    <w:rsid w:val="00EB323D"/>
    <w:rsid w:val="00EB4724"/>
    <w:rsid w:val="00EC5180"/>
    <w:rsid w:val="00EC5782"/>
    <w:rsid w:val="00EC71B3"/>
    <w:rsid w:val="00ED3434"/>
    <w:rsid w:val="00ED50B8"/>
    <w:rsid w:val="00ED6862"/>
    <w:rsid w:val="00EE45BC"/>
    <w:rsid w:val="00EE5012"/>
    <w:rsid w:val="00EE74E5"/>
    <w:rsid w:val="00EF6F55"/>
    <w:rsid w:val="00F07029"/>
    <w:rsid w:val="00F1500A"/>
    <w:rsid w:val="00F1720B"/>
    <w:rsid w:val="00F21285"/>
    <w:rsid w:val="00F21502"/>
    <w:rsid w:val="00F22497"/>
    <w:rsid w:val="00F26E05"/>
    <w:rsid w:val="00F2730B"/>
    <w:rsid w:val="00F32C3C"/>
    <w:rsid w:val="00F32F35"/>
    <w:rsid w:val="00F34E4B"/>
    <w:rsid w:val="00F41B13"/>
    <w:rsid w:val="00F44187"/>
    <w:rsid w:val="00F53243"/>
    <w:rsid w:val="00F679FA"/>
    <w:rsid w:val="00F736B2"/>
    <w:rsid w:val="00F81B23"/>
    <w:rsid w:val="00F857AD"/>
    <w:rsid w:val="00F91D8A"/>
    <w:rsid w:val="00F9245D"/>
    <w:rsid w:val="00F93CBE"/>
    <w:rsid w:val="00FB24FA"/>
    <w:rsid w:val="00FB30C4"/>
    <w:rsid w:val="00FB3F09"/>
    <w:rsid w:val="00FB488A"/>
    <w:rsid w:val="00FB7831"/>
    <w:rsid w:val="00FC1016"/>
    <w:rsid w:val="00FC10F2"/>
    <w:rsid w:val="00FC4832"/>
    <w:rsid w:val="00FD6041"/>
    <w:rsid w:val="00FE1FAE"/>
    <w:rsid w:val="00FE53F9"/>
    <w:rsid w:val="00FE64C0"/>
    <w:rsid w:val="00FF3E3E"/>
    <w:rsid w:val="00FF446A"/>
    <w:rsid w:val="00FF61C9"/>
    <w:rsid w:val="0F2C4157"/>
    <w:rsid w:val="179FCB68"/>
    <w:rsid w:val="17E92724"/>
    <w:rsid w:val="1B68DE68"/>
    <w:rsid w:val="1C3175D8"/>
    <w:rsid w:val="1E0661CC"/>
    <w:rsid w:val="27E47243"/>
    <w:rsid w:val="2BBA6D80"/>
    <w:rsid w:val="2E602527"/>
    <w:rsid w:val="30C4C1E9"/>
    <w:rsid w:val="31E6F5E5"/>
    <w:rsid w:val="3EA4F2E7"/>
    <w:rsid w:val="3F447227"/>
    <w:rsid w:val="485F6675"/>
    <w:rsid w:val="55390BEC"/>
    <w:rsid w:val="581C4575"/>
    <w:rsid w:val="62EF6513"/>
    <w:rsid w:val="64AA0514"/>
    <w:rsid w:val="70DF5526"/>
    <w:rsid w:val="758F6B1D"/>
    <w:rsid w:val="76BFB199"/>
    <w:rsid w:val="7F0B2DBA"/>
    <w:rsid w:val="7F68EB2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1C7B47C"/>
  <w14:defaultImageDpi w14:val="96"/>
  <w15:docId w15:val="{5BB17D46-FC4B-470B-9B96-5FA5E5935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211D"/>
    <w:pPr>
      <w:suppressAutoHyphens/>
      <w:spacing w:after="200"/>
    </w:pPr>
    <w:rPr>
      <w:sz w:val="24"/>
    </w:rPr>
  </w:style>
  <w:style w:type="paragraph" w:styleId="Heading1">
    <w:name w:val="heading 1"/>
    <w:basedOn w:val="Normal"/>
    <w:next w:val="Normal"/>
    <w:link w:val="Heading1Char"/>
    <w:uiPriority w:val="9"/>
    <w:qFormat/>
    <w:rsid w:val="00404F0E"/>
    <w:pPr>
      <w:keepNext/>
      <w:keepLines/>
      <w:spacing w:before="240" w:after="240"/>
      <w:outlineLvl w:val="0"/>
    </w:pPr>
    <w:rPr>
      <w:rFonts w:asciiTheme="majorHAnsi" w:eastAsiaTheme="majorEastAsia" w:hAnsiTheme="majorHAnsi" w:cs="Times New Roman (Headings CS)"/>
      <w:b/>
      <w:bCs/>
      <w:sz w:val="40"/>
      <w:szCs w:val="36"/>
    </w:rPr>
  </w:style>
  <w:style w:type="paragraph" w:styleId="Heading2">
    <w:name w:val="heading 2"/>
    <w:basedOn w:val="Normal"/>
    <w:next w:val="Normal"/>
    <w:link w:val="Heading2Char"/>
    <w:uiPriority w:val="9"/>
    <w:unhideWhenUsed/>
    <w:qFormat/>
    <w:rsid w:val="007B509C"/>
    <w:pPr>
      <w:keepNext/>
      <w:keepLines/>
      <w:spacing w:before="120" w:after="120"/>
      <w:outlineLvl w:val="1"/>
    </w:pPr>
    <w:rPr>
      <w:rFonts w:asciiTheme="majorHAnsi" w:eastAsiaTheme="majorEastAsia" w:hAnsiTheme="majorHAnsi" w:cstheme="majorBidi"/>
      <w:b/>
      <w:bCs/>
      <w:color w:val="000000" w:themeColor="text1"/>
      <w:sz w:val="32"/>
      <w:szCs w:val="30"/>
      <w:lang w:val="en-GB"/>
    </w:rPr>
  </w:style>
  <w:style w:type="paragraph" w:styleId="Heading3">
    <w:name w:val="heading 3"/>
    <w:basedOn w:val="Normal"/>
    <w:next w:val="Normal"/>
    <w:link w:val="Heading3Char"/>
    <w:uiPriority w:val="9"/>
    <w:unhideWhenUsed/>
    <w:qFormat/>
    <w:rsid w:val="007B509C"/>
    <w:pPr>
      <w:keepNext/>
      <w:keepLines/>
      <w:spacing w:before="240" w:after="120"/>
      <w:outlineLvl w:val="2"/>
    </w:pPr>
    <w:rPr>
      <w:rFonts w:asciiTheme="majorHAnsi" w:eastAsiaTheme="majorEastAsia" w:hAnsiTheme="majorHAnsi" w:cstheme="majorBidi"/>
      <w:b/>
      <w:bCs/>
      <w:sz w:val="28"/>
      <w:szCs w:val="26"/>
      <w:lang w:val="en-GB"/>
    </w:rPr>
  </w:style>
  <w:style w:type="paragraph" w:styleId="Heading4">
    <w:name w:val="heading 4"/>
    <w:basedOn w:val="Normal"/>
    <w:next w:val="Normal"/>
    <w:link w:val="Heading4Char"/>
    <w:uiPriority w:val="9"/>
    <w:semiHidden/>
    <w:unhideWhenUsed/>
    <w:qFormat/>
    <w:rsid w:val="007D58CB"/>
    <w:pPr>
      <w:keepNext/>
      <w:keepLines/>
      <w:numPr>
        <w:ilvl w:val="3"/>
        <w:numId w:val="2"/>
      </w:numPr>
      <w:spacing w:before="40" w:after="0"/>
      <w:outlineLvl w:val="3"/>
    </w:pPr>
    <w:rPr>
      <w:rFonts w:asciiTheme="majorHAnsi" w:eastAsiaTheme="majorEastAsia" w:hAnsiTheme="majorHAnsi" w:cstheme="majorBidi"/>
      <w:i/>
      <w:iCs/>
      <w:color w:val="000000" w:themeColor="text1"/>
    </w:rPr>
  </w:style>
  <w:style w:type="paragraph" w:styleId="Heading5">
    <w:name w:val="heading 5"/>
    <w:basedOn w:val="Normal"/>
    <w:next w:val="Normal"/>
    <w:link w:val="Heading5Char"/>
    <w:uiPriority w:val="9"/>
    <w:semiHidden/>
    <w:unhideWhenUsed/>
    <w:qFormat/>
    <w:rsid w:val="00BE09DE"/>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BE09DE"/>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BE09DE"/>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BE09DE"/>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E09DE"/>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n-US"/>
    </w:rPr>
  </w:style>
  <w:style w:type="paragraph" w:customStyle="1" w:styleId="BodyCopyBodycopy">
    <w:name w:val="Body Copy (Body copy)"/>
    <w:basedOn w:val="NoParagraphStyle"/>
    <w:uiPriority w:val="99"/>
    <w:pPr>
      <w:suppressAutoHyphens/>
      <w:spacing w:before="57" w:after="113" w:line="220" w:lineRule="atLeast"/>
    </w:pPr>
    <w:rPr>
      <w:rFonts w:ascii="VIC Light" w:hAnsi="VIC Light" w:cs="VIC Light"/>
      <w:sz w:val="18"/>
      <w:szCs w:val="18"/>
      <w:lang w:val="en-GB"/>
    </w:rPr>
  </w:style>
  <w:style w:type="character" w:customStyle="1" w:styleId="Bold">
    <w:name w:val="Bold"/>
    <w:uiPriority w:val="99"/>
    <w:rPr>
      <w:b/>
      <w:bCs/>
    </w:rPr>
  </w:style>
  <w:style w:type="paragraph" w:styleId="FootnoteText">
    <w:name w:val="footnote text"/>
    <w:basedOn w:val="Normal"/>
    <w:link w:val="FootnoteTextChar"/>
    <w:uiPriority w:val="99"/>
    <w:rsid w:val="002848F0"/>
    <w:pPr>
      <w:tabs>
        <w:tab w:val="left" w:pos="227"/>
      </w:tabs>
      <w:spacing w:after="60" w:line="240" w:lineRule="auto"/>
      <w:ind w:left="227" w:hanging="227"/>
    </w:pPr>
    <w:rPr>
      <w:sz w:val="18"/>
      <w:szCs w:val="20"/>
    </w:rPr>
  </w:style>
  <w:style w:type="character" w:customStyle="1" w:styleId="FootnoteTextChar">
    <w:name w:val="Footnote Text Char"/>
    <w:basedOn w:val="DefaultParagraphFont"/>
    <w:link w:val="FootnoteText"/>
    <w:uiPriority w:val="99"/>
    <w:rsid w:val="002848F0"/>
    <w:rPr>
      <w:sz w:val="18"/>
      <w:szCs w:val="20"/>
    </w:rPr>
  </w:style>
  <w:style w:type="character" w:styleId="FootnoteReference">
    <w:name w:val="footnote reference"/>
    <w:basedOn w:val="DefaultParagraphFont"/>
    <w:uiPriority w:val="99"/>
    <w:semiHidden/>
    <w:unhideWhenUsed/>
    <w:rsid w:val="00F2730B"/>
    <w:rPr>
      <w:vertAlign w:val="superscript"/>
    </w:rPr>
  </w:style>
  <w:style w:type="paragraph" w:customStyle="1" w:styleId="Heading1Headings">
    <w:name w:val="Heading 1 (Headings)"/>
    <w:basedOn w:val="NoParagraphStyle"/>
    <w:uiPriority w:val="99"/>
    <w:rsid w:val="007D58CB"/>
    <w:pPr>
      <w:widowControl/>
      <w:suppressAutoHyphens/>
      <w:spacing w:after="283" w:line="540" w:lineRule="atLeast"/>
    </w:pPr>
    <w:rPr>
      <w:rFonts w:ascii="VIC SemiBold" w:hAnsi="VIC SemiBold" w:cs="VIC SemiBold"/>
      <w:b/>
      <w:bCs/>
      <w:color w:val="000000" w:themeColor="text1"/>
      <w:sz w:val="44"/>
      <w:szCs w:val="44"/>
      <w:lang w:val="en-GB"/>
    </w:rPr>
  </w:style>
  <w:style w:type="paragraph" w:customStyle="1" w:styleId="Number3Lists">
    <w:name w:val="Number 3 (Lists)"/>
    <w:basedOn w:val="BodyCopyBodycopy"/>
    <w:uiPriority w:val="99"/>
    <w:rsid w:val="006368F9"/>
    <w:pPr>
      <w:widowControl/>
      <w:ind w:left="1020" w:hanging="340"/>
    </w:pPr>
  </w:style>
  <w:style w:type="character" w:customStyle="1" w:styleId="Italic">
    <w:name w:val="Italic"/>
    <w:basedOn w:val="Bold"/>
    <w:uiPriority w:val="99"/>
    <w:rsid w:val="006368F9"/>
    <w:rPr>
      <w:rFonts w:ascii="VIC (OTF) Light Italic" w:hAnsi="VIC (OTF) Light Italic" w:cs="VIC (OTF) Light Italic"/>
      <w:b w:val="0"/>
      <w:bCs w:val="0"/>
      <w:i/>
      <w:iCs/>
    </w:rPr>
  </w:style>
  <w:style w:type="paragraph" w:customStyle="1" w:styleId="Heading3Headings">
    <w:name w:val="Heading 3 (Headings)"/>
    <w:basedOn w:val="NoParagraphStyle"/>
    <w:uiPriority w:val="99"/>
    <w:rsid w:val="006368F9"/>
    <w:pPr>
      <w:widowControl/>
      <w:suppressAutoHyphens/>
      <w:spacing w:before="113" w:after="113" w:line="240" w:lineRule="atLeast"/>
    </w:pPr>
    <w:rPr>
      <w:rFonts w:ascii="VIC" w:hAnsi="VIC" w:cs="VIC"/>
      <w:b/>
      <w:bCs/>
      <w:color w:val="100149"/>
      <w:sz w:val="20"/>
      <w:szCs w:val="20"/>
      <w:lang w:val="en-GB"/>
    </w:rPr>
  </w:style>
  <w:style w:type="paragraph" w:customStyle="1" w:styleId="Bullet1">
    <w:name w:val="Bullet 1"/>
    <w:basedOn w:val="BodyCopyBodycopy"/>
    <w:uiPriority w:val="99"/>
    <w:rsid w:val="008071AB"/>
    <w:pPr>
      <w:widowControl/>
      <w:numPr>
        <w:numId w:val="1"/>
      </w:numPr>
      <w:spacing w:before="0" w:after="120"/>
    </w:pPr>
    <w:rPr>
      <w:rFonts w:ascii="Arial" w:hAnsi="Arial" w:cs="Arial"/>
      <w:sz w:val="22"/>
      <w:szCs w:val="22"/>
    </w:rPr>
  </w:style>
  <w:style w:type="paragraph" w:customStyle="1" w:styleId="Heading2Headings">
    <w:name w:val="Heading 2 (Headings)"/>
    <w:basedOn w:val="Normal"/>
    <w:uiPriority w:val="99"/>
    <w:rsid w:val="00337320"/>
    <w:pPr>
      <w:autoSpaceDE w:val="0"/>
      <w:autoSpaceDN w:val="0"/>
      <w:adjustRightInd w:val="0"/>
      <w:spacing w:before="227" w:after="113" w:line="280" w:lineRule="atLeast"/>
      <w:ind w:left="460" w:hanging="460"/>
      <w:textAlignment w:val="center"/>
    </w:pPr>
    <w:rPr>
      <w:rFonts w:ascii="VIC SemiBold" w:hAnsi="VIC SemiBold" w:cs="VIC SemiBold"/>
      <w:b/>
      <w:bCs/>
      <w:color w:val="000000" w:themeColor="text1"/>
      <w:szCs w:val="24"/>
      <w:lang w:val="en-GB"/>
    </w:rPr>
  </w:style>
  <w:style w:type="paragraph" w:customStyle="1" w:styleId="Heading5Headings">
    <w:name w:val="Heading 5 (Headings)"/>
    <w:basedOn w:val="NoParagraphStyle"/>
    <w:uiPriority w:val="99"/>
    <w:rsid w:val="006368F9"/>
    <w:pPr>
      <w:widowControl/>
      <w:suppressAutoHyphens/>
      <w:spacing w:before="113" w:after="113" w:line="240" w:lineRule="atLeast"/>
    </w:pPr>
    <w:rPr>
      <w:rFonts w:ascii="VIC" w:hAnsi="VIC" w:cs="VIC"/>
      <w:i/>
      <w:iCs/>
      <w:color w:val="100149"/>
      <w:sz w:val="20"/>
      <w:szCs w:val="20"/>
      <w:lang w:val="en-GB"/>
    </w:rPr>
  </w:style>
  <w:style w:type="paragraph" w:customStyle="1" w:styleId="HeadingPOPulloutbox">
    <w:name w:val="Heading_PO (Pull out box)"/>
    <w:basedOn w:val="NoParagraphStyle"/>
    <w:uiPriority w:val="99"/>
    <w:rsid w:val="00033D9B"/>
    <w:pPr>
      <w:widowControl/>
      <w:suppressAutoHyphens/>
      <w:spacing w:before="57" w:after="113" w:line="280" w:lineRule="atLeast"/>
    </w:pPr>
    <w:rPr>
      <w:rFonts w:ascii="VIC SemiBold" w:hAnsi="VIC SemiBold" w:cs="VIC SemiBold"/>
      <w:b/>
      <w:bCs/>
      <w:color w:val="100149"/>
      <w:sz w:val="26"/>
      <w:szCs w:val="26"/>
      <w:lang w:val="en-GB"/>
    </w:rPr>
  </w:style>
  <w:style w:type="character" w:styleId="Hyperlink">
    <w:name w:val="Hyperlink"/>
    <w:basedOn w:val="DefaultParagraphFont"/>
    <w:uiPriority w:val="99"/>
    <w:rsid w:val="00B66945"/>
    <w:rPr>
      <w:color w:val="205D9E"/>
      <w:u w:val="single" w:color="205D9E"/>
    </w:rPr>
  </w:style>
  <w:style w:type="paragraph" w:customStyle="1" w:styleId="Number2Lists">
    <w:name w:val="Number 2 (Lists)"/>
    <w:basedOn w:val="Normal"/>
    <w:uiPriority w:val="99"/>
    <w:rsid w:val="00033D9B"/>
    <w:pPr>
      <w:autoSpaceDE w:val="0"/>
      <w:autoSpaceDN w:val="0"/>
      <w:adjustRightInd w:val="0"/>
      <w:spacing w:before="57" w:after="113" w:line="220" w:lineRule="atLeast"/>
      <w:ind w:left="680" w:hanging="340"/>
      <w:textAlignment w:val="center"/>
    </w:pPr>
    <w:rPr>
      <w:rFonts w:ascii="VIC Light" w:hAnsi="VIC Light" w:cs="VIC Light"/>
      <w:color w:val="000000"/>
      <w:sz w:val="18"/>
      <w:szCs w:val="18"/>
      <w:lang w:val="en-GB"/>
    </w:rPr>
  </w:style>
  <w:style w:type="paragraph" w:customStyle="1" w:styleId="Bullet2Lists">
    <w:name w:val="Bullet 2 (Lists)"/>
    <w:basedOn w:val="BodyCopyBodycopy"/>
    <w:uiPriority w:val="99"/>
    <w:rsid w:val="00033D9B"/>
    <w:pPr>
      <w:widowControl/>
      <w:spacing w:after="57"/>
      <w:ind w:left="340" w:hanging="170"/>
    </w:pPr>
  </w:style>
  <w:style w:type="paragraph" w:customStyle="1" w:styleId="TablebodyleftTables">
    <w:name w:val="Table body_left (Tables)"/>
    <w:basedOn w:val="NoParagraphStyle"/>
    <w:uiPriority w:val="99"/>
    <w:rsid w:val="00033D9B"/>
    <w:pPr>
      <w:widowControl/>
      <w:spacing w:after="180" w:line="220" w:lineRule="atLeast"/>
    </w:pPr>
    <w:rPr>
      <w:rFonts w:ascii="VIC" w:hAnsi="VIC" w:cs="VIC"/>
      <w:color w:val="100149"/>
      <w:sz w:val="18"/>
      <w:szCs w:val="18"/>
      <w:lang w:val="en-GB"/>
    </w:rPr>
  </w:style>
  <w:style w:type="paragraph" w:customStyle="1" w:styleId="TablebodyrightTables">
    <w:name w:val="Table body_right (Tables)"/>
    <w:basedOn w:val="NoParagraphStyle"/>
    <w:uiPriority w:val="99"/>
    <w:rsid w:val="00033D9B"/>
    <w:pPr>
      <w:widowControl/>
      <w:spacing w:after="180" w:line="220" w:lineRule="atLeast"/>
      <w:jc w:val="right"/>
    </w:pPr>
    <w:rPr>
      <w:rFonts w:ascii="VIC" w:hAnsi="VIC" w:cs="VIC"/>
      <w:color w:val="100149"/>
      <w:sz w:val="18"/>
      <w:szCs w:val="18"/>
      <w:lang w:val="en-GB"/>
    </w:rPr>
  </w:style>
  <w:style w:type="paragraph" w:customStyle="1" w:styleId="ReferencesBodycopy">
    <w:name w:val="References (Body copy)"/>
    <w:basedOn w:val="BodyCopyBodycopy"/>
    <w:uiPriority w:val="99"/>
    <w:rsid w:val="00033D9B"/>
    <w:pPr>
      <w:widowControl/>
      <w:spacing w:after="57" w:line="200" w:lineRule="atLeast"/>
      <w:ind w:left="680" w:hanging="680"/>
    </w:pPr>
    <w:rPr>
      <w:sz w:val="16"/>
      <w:szCs w:val="16"/>
    </w:rPr>
  </w:style>
  <w:style w:type="paragraph" w:customStyle="1" w:styleId="SubheadingCover">
    <w:name w:val="Sub heading (Cover)"/>
    <w:basedOn w:val="Subtitle"/>
    <w:uiPriority w:val="99"/>
    <w:rsid w:val="00B80DD2"/>
  </w:style>
  <w:style w:type="paragraph" w:styleId="Title">
    <w:name w:val="Title"/>
    <w:basedOn w:val="Normal"/>
    <w:next w:val="Normal"/>
    <w:link w:val="TitleChar"/>
    <w:uiPriority w:val="10"/>
    <w:qFormat/>
    <w:rsid w:val="00D54C6D"/>
    <w:pPr>
      <w:spacing w:after="0" w:line="240" w:lineRule="auto"/>
    </w:pPr>
    <w:rPr>
      <w:rFonts w:asciiTheme="majorHAnsi" w:eastAsiaTheme="majorEastAsia" w:hAnsiTheme="majorHAnsi" w:cstheme="majorBidi"/>
      <w:b/>
      <w:spacing w:val="-10"/>
      <w:kern w:val="28"/>
      <w:sz w:val="56"/>
      <w:szCs w:val="56"/>
    </w:rPr>
  </w:style>
  <w:style w:type="character" w:customStyle="1" w:styleId="TitleChar">
    <w:name w:val="Title Char"/>
    <w:basedOn w:val="DefaultParagraphFont"/>
    <w:link w:val="Title"/>
    <w:uiPriority w:val="10"/>
    <w:rsid w:val="00D54C6D"/>
    <w:rPr>
      <w:rFonts w:asciiTheme="majorHAnsi" w:eastAsiaTheme="majorEastAsia" w:hAnsiTheme="majorHAnsi" w:cstheme="majorBidi"/>
      <w:b/>
      <w:spacing w:val="-10"/>
      <w:kern w:val="28"/>
      <w:sz w:val="56"/>
      <w:szCs w:val="56"/>
    </w:rPr>
  </w:style>
  <w:style w:type="paragraph" w:styleId="Subtitle">
    <w:name w:val="Subtitle"/>
    <w:basedOn w:val="Normal"/>
    <w:next w:val="Normal"/>
    <w:link w:val="SubtitleChar"/>
    <w:uiPriority w:val="11"/>
    <w:qFormat/>
    <w:rsid w:val="00B80DD2"/>
    <w:pPr>
      <w:numPr>
        <w:ilvl w:val="1"/>
      </w:numPr>
      <w:spacing w:before="240"/>
    </w:pPr>
    <w:rPr>
      <w:sz w:val="36"/>
      <w:szCs w:val="36"/>
    </w:rPr>
  </w:style>
  <w:style w:type="character" w:customStyle="1" w:styleId="SubtitleChar">
    <w:name w:val="Subtitle Char"/>
    <w:basedOn w:val="DefaultParagraphFont"/>
    <w:link w:val="Subtitle"/>
    <w:uiPriority w:val="11"/>
    <w:rsid w:val="00B80DD2"/>
    <w:rPr>
      <w:sz w:val="36"/>
      <w:szCs w:val="36"/>
    </w:rPr>
  </w:style>
  <w:style w:type="paragraph" w:customStyle="1" w:styleId="SmallheadingInsidecover">
    <w:name w:val="Small heading (Inside cover)"/>
    <w:basedOn w:val="BodyCopyBodycopy"/>
    <w:uiPriority w:val="99"/>
    <w:rsid w:val="001B2A51"/>
    <w:pPr>
      <w:widowControl/>
      <w:spacing w:before="113"/>
    </w:pPr>
    <w:rPr>
      <w:rFonts w:ascii="VIC SemiBold" w:hAnsi="VIC SemiBold" w:cs="VIC SemiBold"/>
      <w:b/>
      <w:bCs/>
    </w:rPr>
  </w:style>
  <w:style w:type="paragraph" w:customStyle="1" w:styleId="SmallbodycopyInsidecover">
    <w:name w:val="Small body copy (Inside cover)"/>
    <w:basedOn w:val="NoParagraphStyle"/>
    <w:uiPriority w:val="99"/>
    <w:rsid w:val="001B2A51"/>
    <w:pPr>
      <w:widowControl/>
      <w:suppressAutoHyphens/>
      <w:spacing w:after="57" w:line="200" w:lineRule="atLeast"/>
    </w:pPr>
    <w:rPr>
      <w:rFonts w:ascii="VIC (OTF) Light" w:hAnsi="VIC (OTF) Light" w:cs="VIC (OTF) Light"/>
      <w:sz w:val="16"/>
      <w:szCs w:val="16"/>
      <w:lang w:val="en-GB"/>
    </w:rPr>
  </w:style>
  <w:style w:type="paragraph" w:customStyle="1" w:styleId="Boldheader">
    <w:name w:val="Bold header"/>
    <w:basedOn w:val="SmallheadingInsidecover"/>
    <w:qFormat/>
    <w:rsid w:val="00B14FBE"/>
    <w:pPr>
      <w:keepNext/>
      <w:keepLines/>
      <w:spacing w:before="120" w:after="120"/>
    </w:pPr>
    <w:rPr>
      <w:rFonts w:asciiTheme="minorHAnsi" w:hAnsiTheme="minorHAnsi" w:cstheme="minorHAnsi"/>
      <w:color w:val="auto"/>
      <w:sz w:val="24"/>
      <w:szCs w:val="26"/>
    </w:rPr>
  </w:style>
  <w:style w:type="paragraph" w:customStyle="1" w:styleId="ImprintbodycopyInsidecover">
    <w:name w:val="Imprint body copy (Inside cover)"/>
    <w:basedOn w:val="Normal"/>
    <w:uiPriority w:val="99"/>
    <w:rsid w:val="001B2A51"/>
    <w:pPr>
      <w:autoSpaceDE w:val="0"/>
      <w:autoSpaceDN w:val="0"/>
      <w:adjustRightInd w:val="0"/>
      <w:spacing w:after="57" w:line="200" w:lineRule="atLeast"/>
      <w:textAlignment w:val="center"/>
    </w:pPr>
    <w:rPr>
      <w:rFonts w:ascii="VIC" w:hAnsi="VIC" w:cs="VIC"/>
      <w:color w:val="000000"/>
      <w:sz w:val="16"/>
      <w:szCs w:val="16"/>
      <w:lang w:val="en-US"/>
    </w:rPr>
  </w:style>
  <w:style w:type="paragraph" w:customStyle="1" w:styleId="ImprintheadingInsidecover">
    <w:name w:val="Imprint heading (Inside cover)"/>
    <w:basedOn w:val="ImprintbodycopyInsidecover"/>
    <w:uiPriority w:val="99"/>
    <w:rsid w:val="001B2A51"/>
    <w:pPr>
      <w:spacing w:after="0" w:line="220" w:lineRule="atLeast"/>
    </w:pPr>
    <w:rPr>
      <w:rFonts w:ascii="VIC (OTF) SemiBold" w:hAnsi="VIC (OTF) SemiBold" w:cs="VIC (OTF) SemiBold"/>
      <w:b/>
      <w:bCs/>
      <w:sz w:val="18"/>
      <w:szCs w:val="18"/>
    </w:rPr>
  </w:style>
  <w:style w:type="paragraph" w:customStyle="1" w:styleId="Normalbeforebullets">
    <w:name w:val="Normal before bullets"/>
    <w:basedOn w:val="Normal"/>
    <w:qFormat/>
    <w:rsid w:val="002848F0"/>
    <w:pPr>
      <w:keepNext/>
      <w:spacing w:after="120"/>
    </w:pPr>
  </w:style>
  <w:style w:type="character" w:customStyle="1" w:styleId="Heading1Char">
    <w:name w:val="Heading 1 Char"/>
    <w:basedOn w:val="DefaultParagraphFont"/>
    <w:link w:val="Heading1"/>
    <w:uiPriority w:val="9"/>
    <w:rsid w:val="00404F0E"/>
    <w:rPr>
      <w:rFonts w:asciiTheme="majorHAnsi" w:eastAsiaTheme="majorEastAsia" w:hAnsiTheme="majorHAnsi" w:cs="Times New Roman (Headings CS)"/>
      <w:b/>
      <w:bCs/>
      <w:sz w:val="40"/>
      <w:szCs w:val="36"/>
    </w:rPr>
  </w:style>
  <w:style w:type="paragraph" w:customStyle="1" w:styleId="FiguretitleFiguresImages">
    <w:name w:val="Figure title (Figures/Images)"/>
    <w:basedOn w:val="BodyText"/>
    <w:uiPriority w:val="99"/>
    <w:rsid w:val="00620098"/>
    <w:pPr>
      <w:keepNext/>
      <w:spacing w:before="120" w:after="240" w:line="220" w:lineRule="atLeast"/>
    </w:pPr>
    <w:rPr>
      <w:rFonts w:cstheme="minorHAnsi"/>
      <w:b/>
      <w:bCs/>
      <w:color w:val="000000" w:themeColor="text1"/>
    </w:rPr>
  </w:style>
  <w:style w:type="paragraph" w:customStyle="1" w:styleId="Source">
    <w:name w:val="Source"/>
    <w:basedOn w:val="Boldheader"/>
    <w:qFormat/>
    <w:rsid w:val="00FE53F9"/>
    <w:pPr>
      <w:keepNext w:val="0"/>
      <w:spacing w:after="200"/>
    </w:pPr>
    <w:rPr>
      <w:b w:val="0"/>
      <w:bCs w:val="0"/>
      <w:color w:val="000000"/>
      <w:sz w:val="18"/>
      <w:szCs w:val="20"/>
    </w:rPr>
  </w:style>
  <w:style w:type="paragraph" w:customStyle="1" w:styleId="FiguresourceFiguresImages">
    <w:name w:val="Figure source (Figures/Images)"/>
    <w:basedOn w:val="NoParagraphStyle"/>
    <w:uiPriority w:val="99"/>
    <w:rsid w:val="007A261A"/>
    <w:pPr>
      <w:widowControl/>
      <w:suppressAutoHyphens/>
      <w:spacing w:after="57" w:line="180" w:lineRule="atLeast"/>
    </w:pPr>
    <w:rPr>
      <w:rFonts w:ascii="VIC" w:hAnsi="VIC" w:cs="VIC"/>
      <w:sz w:val="14"/>
      <w:szCs w:val="14"/>
    </w:rPr>
  </w:style>
  <w:style w:type="paragraph" w:styleId="ListParagraph">
    <w:name w:val="List Paragraph"/>
    <w:basedOn w:val="Normal"/>
    <w:uiPriority w:val="34"/>
    <w:qFormat/>
    <w:rsid w:val="00750D1B"/>
    <w:pPr>
      <w:ind w:left="720"/>
      <w:contextualSpacing/>
    </w:pPr>
  </w:style>
  <w:style w:type="paragraph" w:customStyle="1" w:styleId="Listparagraphi">
    <w:name w:val="List paragraph (i.)"/>
    <w:basedOn w:val="ListParagraph"/>
    <w:qFormat/>
    <w:rsid w:val="00320E94"/>
    <w:pPr>
      <w:numPr>
        <w:numId w:val="18"/>
      </w:numPr>
      <w:spacing w:after="120" w:line="288" w:lineRule="auto"/>
      <w:contextualSpacing w:val="0"/>
    </w:pPr>
    <w:rPr>
      <w:lang w:val="en-GB"/>
    </w:rPr>
  </w:style>
  <w:style w:type="paragraph" w:customStyle="1" w:styleId="Bullet1last">
    <w:name w:val="Bullet 1 last"/>
    <w:basedOn w:val="ListBullet"/>
    <w:qFormat/>
    <w:rsid w:val="00E00C8A"/>
    <w:pPr>
      <w:spacing w:after="240"/>
    </w:pPr>
  </w:style>
  <w:style w:type="paragraph" w:customStyle="1" w:styleId="Heading1numbered">
    <w:name w:val="Heading 1 (numbered)"/>
    <w:basedOn w:val="Heading1"/>
    <w:qFormat/>
    <w:rsid w:val="00E6112B"/>
    <w:pPr>
      <w:numPr>
        <w:numId w:val="2"/>
      </w:numPr>
    </w:pPr>
  </w:style>
  <w:style w:type="character" w:customStyle="1" w:styleId="Heading2Char">
    <w:name w:val="Heading 2 Char"/>
    <w:basedOn w:val="DefaultParagraphFont"/>
    <w:link w:val="Heading2"/>
    <w:uiPriority w:val="9"/>
    <w:rsid w:val="007B509C"/>
    <w:rPr>
      <w:rFonts w:asciiTheme="majorHAnsi" w:eastAsiaTheme="majorEastAsia" w:hAnsiTheme="majorHAnsi" w:cstheme="majorBidi"/>
      <w:b/>
      <w:bCs/>
      <w:color w:val="000000" w:themeColor="text1"/>
      <w:sz w:val="32"/>
      <w:szCs w:val="30"/>
      <w:lang w:val="en-GB"/>
    </w:rPr>
  </w:style>
  <w:style w:type="character" w:customStyle="1" w:styleId="Heading3Char">
    <w:name w:val="Heading 3 Char"/>
    <w:basedOn w:val="DefaultParagraphFont"/>
    <w:link w:val="Heading3"/>
    <w:uiPriority w:val="9"/>
    <w:rsid w:val="007B509C"/>
    <w:rPr>
      <w:rFonts w:asciiTheme="majorHAnsi" w:eastAsiaTheme="majorEastAsia" w:hAnsiTheme="majorHAnsi" w:cstheme="majorBidi"/>
      <w:b/>
      <w:bCs/>
      <w:sz w:val="28"/>
      <w:szCs w:val="26"/>
      <w:lang w:val="en-GB"/>
    </w:rPr>
  </w:style>
  <w:style w:type="paragraph" w:customStyle="1" w:styleId="Heading2numbered">
    <w:name w:val="Heading 2 (numbered)"/>
    <w:basedOn w:val="Heading2"/>
    <w:qFormat/>
    <w:rsid w:val="00BE09DE"/>
    <w:pPr>
      <w:numPr>
        <w:ilvl w:val="1"/>
        <w:numId w:val="2"/>
      </w:numPr>
    </w:pPr>
  </w:style>
  <w:style w:type="paragraph" w:customStyle="1" w:styleId="Heading3numbered">
    <w:name w:val="Heading 3 (numbered)"/>
    <w:basedOn w:val="Heading3"/>
    <w:qFormat/>
    <w:rsid w:val="00BE09DE"/>
    <w:pPr>
      <w:numPr>
        <w:ilvl w:val="2"/>
        <w:numId w:val="2"/>
      </w:numPr>
    </w:pPr>
  </w:style>
  <w:style w:type="character" w:customStyle="1" w:styleId="Heading4Char">
    <w:name w:val="Heading 4 Char"/>
    <w:basedOn w:val="DefaultParagraphFont"/>
    <w:link w:val="Heading4"/>
    <w:uiPriority w:val="9"/>
    <w:semiHidden/>
    <w:rsid w:val="007D58CB"/>
    <w:rPr>
      <w:rFonts w:asciiTheme="majorHAnsi" w:eastAsiaTheme="majorEastAsia" w:hAnsiTheme="majorHAnsi" w:cstheme="majorBidi"/>
      <w:i/>
      <w:iCs/>
      <w:color w:val="000000" w:themeColor="text1"/>
      <w:sz w:val="24"/>
    </w:rPr>
  </w:style>
  <w:style w:type="character" w:customStyle="1" w:styleId="Heading5Char">
    <w:name w:val="Heading 5 Char"/>
    <w:basedOn w:val="DefaultParagraphFont"/>
    <w:link w:val="Heading5"/>
    <w:uiPriority w:val="9"/>
    <w:semiHidden/>
    <w:rsid w:val="00BE09DE"/>
    <w:rPr>
      <w:rFonts w:asciiTheme="majorHAnsi" w:eastAsiaTheme="majorEastAsia" w:hAnsiTheme="majorHAnsi" w:cstheme="majorBidi"/>
      <w:color w:val="2F5496" w:themeColor="accent1" w:themeShade="BF"/>
      <w:sz w:val="24"/>
    </w:rPr>
  </w:style>
  <w:style w:type="character" w:customStyle="1" w:styleId="Heading6Char">
    <w:name w:val="Heading 6 Char"/>
    <w:basedOn w:val="DefaultParagraphFont"/>
    <w:link w:val="Heading6"/>
    <w:uiPriority w:val="9"/>
    <w:semiHidden/>
    <w:rsid w:val="00BE09DE"/>
    <w:rPr>
      <w:rFonts w:asciiTheme="majorHAnsi" w:eastAsiaTheme="majorEastAsia" w:hAnsiTheme="majorHAnsi" w:cstheme="majorBidi"/>
      <w:color w:val="1F3763" w:themeColor="accent1" w:themeShade="7F"/>
      <w:sz w:val="24"/>
    </w:rPr>
  </w:style>
  <w:style w:type="character" w:customStyle="1" w:styleId="Heading7Char">
    <w:name w:val="Heading 7 Char"/>
    <w:basedOn w:val="DefaultParagraphFont"/>
    <w:link w:val="Heading7"/>
    <w:uiPriority w:val="9"/>
    <w:semiHidden/>
    <w:rsid w:val="00BE09DE"/>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
    <w:semiHidden/>
    <w:rsid w:val="00BE09D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E09DE"/>
    <w:rPr>
      <w:rFonts w:asciiTheme="majorHAnsi" w:eastAsiaTheme="majorEastAsia" w:hAnsiTheme="majorHAnsi" w:cstheme="majorBidi"/>
      <w:i/>
      <w:iCs/>
      <w:color w:val="272727" w:themeColor="text1" w:themeTint="D8"/>
      <w:sz w:val="21"/>
      <w:szCs w:val="21"/>
    </w:rPr>
  </w:style>
  <w:style w:type="paragraph" w:customStyle="1" w:styleId="TabletitleTables">
    <w:name w:val="Table title (Tables)"/>
    <w:basedOn w:val="NoParagraphStyle"/>
    <w:uiPriority w:val="99"/>
    <w:rsid w:val="00252B69"/>
    <w:pPr>
      <w:widowControl/>
      <w:suppressAutoHyphens/>
      <w:spacing w:before="57" w:after="113" w:line="240" w:lineRule="atLeast"/>
    </w:pPr>
    <w:rPr>
      <w:rFonts w:ascii="VIC (OTF) SemiBold" w:hAnsi="VIC (OTF) SemiBold" w:cs="VIC (OTF) SemiBold"/>
      <w:b/>
      <w:bCs/>
      <w:color w:val="100149"/>
      <w:sz w:val="20"/>
      <w:szCs w:val="20"/>
    </w:rPr>
  </w:style>
  <w:style w:type="paragraph" w:customStyle="1" w:styleId="TableheadingrightTables">
    <w:name w:val="Table heading_right (Tables)"/>
    <w:basedOn w:val="NoParagraphStyle"/>
    <w:uiPriority w:val="99"/>
    <w:rsid w:val="00A56B9D"/>
    <w:pPr>
      <w:widowControl/>
      <w:suppressAutoHyphens/>
      <w:spacing w:before="113" w:after="113" w:line="220" w:lineRule="atLeast"/>
      <w:jc w:val="right"/>
    </w:pPr>
    <w:rPr>
      <w:rFonts w:ascii="VIC SemiBold" w:hAnsi="VIC SemiBold" w:cstheme="minorBidi"/>
      <w:b/>
      <w:bCs/>
      <w:color w:val="FFFFFF"/>
      <w:sz w:val="18"/>
      <w:szCs w:val="18"/>
      <w:lang w:val="en-GB"/>
    </w:rPr>
  </w:style>
  <w:style w:type="table" w:styleId="TableGrid">
    <w:name w:val="Table Grid"/>
    <w:basedOn w:val="TableNormal"/>
    <w:uiPriority w:val="39"/>
    <w:rsid w:val="00A56B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ings">
    <w:name w:val="Table Column Headings"/>
    <w:basedOn w:val="Normal"/>
    <w:qFormat/>
    <w:rsid w:val="00A56B9D"/>
    <w:pPr>
      <w:spacing w:before="60" w:after="60" w:line="240" w:lineRule="auto"/>
    </w:pPr>
    <w:rPr>
      <w:b/>
      <w:bCs/>
      <w:lang w:val="en-GB"/>
    </w:rPr>
  </w:style>
  <w:style w:type="paragraph" w:customStyle="1" w:styleId="Tabletext">
    <w:name w:val="Table text"/>
    <w:basedOn w:val="BodyText"/>
    <w:qFormat/>
    <w:rsid w:val="00A56B9D"/>
    <w:pPr>
      <w:spacing w:before="60" w:after="60" w:line="240" w:lineRule="auto"/>
    </w:pPr>
    <w:rPr>
      <w:lang w:val="en-GB"/>
    </w:rPr>
  </w:style>
  <w:style w:type="character" w:styleId="UnresolvedMention">
    <w:name w:val="Unresolved Mention"/>
    <w:basedOn w:val="DefaultParagraphFont"/>
    <w:uiPriority w:val="99"/>
    <w:semiHidden/>
    <w:unhideWhenUsed/>
    <w:rsid w:val="00CD2217"/>
    <w:rPr>
      <w:color w:val="605E5C"/>
      <w:shd w:val="clear" w:color="auto" w:fill="E1DFDD"/>
    </w:rPr>
  </w:style>
  <w:style w:type="paragraph" w:customStyle="1" w:styleId="Bullet1Lists">
    <w:name w:val="Bullet 1 (Lists)"/>
    <w:basedOn w:val="BodyCopyBodycopy"/>
    <w:uiPriority w:val="99"/>
    <w:rsid w:val="005B593D"/>
    <w:pPr>
      <w:widowControl/>
      <w:spacing w:before="0" w:after="57"/>
      <w:ind w:left="170" w:hanging="170"/>
    </w:pPr>
  </w:style>
  <w:style w:type="paragraph" w:customStyle="1" w:styleId="Bullet2">
    <w:name w:val="Bullet 2"/>
    <w:basedOn w:val="Bullet1"/>
    <w:qFormat/>
    <w:rsid w:val="0068129E"/>
    <w:pPr>
      <w:numPr>
        <w:numId w:val="3"/>
      </w:numPr>
      <w:ind w:left="680" w:hanging="340"/>
    </w:pPr>
  </w:style>
  <w:style w:type="paragraph" w:customStyle="1" w:styleId="Listparagrapha">
    <w:name w:val="List paragraph (a.)"/>
    <w:basedOn w:val="BodyText"/>
    <w:qFormat/>
    <w:rsid w:val="00C20D01"/>
    <w:pPr>
      <w:numPr>
        <w:numId w:val="11"/>
      </w:numPr>
    </w:pPr>
  </w:style>
  <w:style w:type="paragraph" w:styleId="Header">
    <w:name w:val="header"/>
    <w:basedOn w:val="Normal"/>
    <w:link w:val="HeaderChar"/>
    <w:uiPriority w:val="99"/>
    <w:unhideWhenUsed/>
    <w:rsid w:val="007F6B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6BDB"/>
  </w:style>
  <w:style w:type="paragraph" w:styleId="Footer">
    <w:name w:val="footer"/>
    <w:basedOn w:val="Normal"/>
    <w:link w:val="FooterChar"/>
    <w:uiPriority w:val="99"/>
    <w:unhideWhenUsed/>
    <w:rsid w:val="007F6B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6BDB"/>
  </w:style>
  <w:style w:type="paragraph" w:styleId="TOC1">
    <w:name w:val="toc 1"/>
    <w:basedOn w:val="Normal"/>
    <w:next w:val="Normal"/>
    <w:uiPriority w:val="39"/>
    <w:unhideWhenUsed/>
    <w:rsid w:val="001500AB"/>
    <w:pPr>
      <w:spacing w:before="120" w:after="120"/>
    </w:pPr>
    <w:rPr>
      <w:rFonts w:cs="Arial (Body)"/>
      <w:bCs/>
      <w:szCs w:val="20"/>
    </w:rPr>
  </w:style>
  <w:style w:type="paragraph" w:styleId="TOC2">
    <w:name w:val="toc 2"/>
    <w:basedOn w:val="Normal"/>
    <w:next w:val="Normal"/>
    <w:uiPriority w:val="39"/>
    <w:unhideWhenUsed/>
    <w:rsid w:val="004A0E5A"/>
    <w:pPr>
      <w:spacing w:after="0"/>
      <w:ind w:left="240"/>
    </w:pPr>
    <w:rPr>
      <w:rFonts w:cstheme="minorHAnsi"/>
      <w:smallCaps/>
      <w:sz w:val="20"/>
      <w:szCs w:val="20"/>
    </w:rPr>
  </w:style>
  <w:style w:type="paragraph" w:styleId="TOC3">
    <w:name w:val="toc 3"/>
    <w:basedOn w:val="Normal"/>
    <w:next w:val="Normal"/>
    <w:uiPriority w:val="39"/>
    <w:unhideWhenUsed/>
    <w:rsid w:val="004A0E5A"/>
    <w:pPr>
      <w:spacing w:after="0"/>
      <w:ind w:left="480"/>
    </w:pPr>
    <w:rPr>
      <w:rFonts w:cstheme="minorHAnsi"/>
      <w:i/>
      <w:iCs/>
      <w:sz w:val="20"/>
      <w:szCs w:val="20"/>
    </w:rPr>
  </w:style>
  <w:style w:type="paragraph" w:styleId="BodyText">
    <w:name w:val="Body Text"/>
    <w:basedOn w:val="Normal"/>
    <w:link w:val="BodyTextChar"/>
    <w:uiPriority w:val="99"/>
    <w:unhideWhenUsed/>
    <w:rsid w:val="00320E94"/>
    <w:pPr>
      <w:spacing w:after="120" w:line="288" w:lineRule="auto"/>
    </w:pPr>
    <w:rPr>
      <w:rFonts w:cs="Times New Roman (Body CS)"/>
      <w:kern w:val="24"/>
    </w:rPr>
  </w:style>
  <w:style w:type="character" w:customStyle="1" w:styleId="BodyTextChar">
    <w:name w:val="Body Text Char"/>
    <w:basedOn w:val="DefaultParagraphFont"/>
    <w:link w:val="BodyText"/>
    <w:uiPriority w:val="99"/>
    <w:rsid w:val="00320E94"/>
    <w:rPr>
      <w:rFonts w:cs="Times New Roman (Body CS)"/>
      <w:kern w:val="24"/>
      <w:sz w:val="24"/>
    </w:rPr>
  </w:style>
  <w:style w:type="paragraph" w:styleId="ListBullet">
    <w:name w:val="List Bullet"/>
    <w:basedOn w:val="BodyText"/>
    <w:uiPriority w:val="99"/>
    <w:unhideWhenUsed/>
    <w:rsid w:val="00404F0E"/>
    <w:pPr>
      <w:numPr>
        <w:numId w:val="4"/>
      </w:numPr>
    </w:pPr>
  </w:style>
  <w:style w:type="paragraph" w:customStyle="1" w:styleId="FootnoteBody">
    <w:name w:val="Footnote (Body)"/>
    <w:basedOn w:val="NoParagraphStyle"/>
    <w:uiPriority w:val="99"/>
    <w:rsid w:val="00F1500A"/>
    <w:pPr>
      <w:widowControl/>
      <w:tabs>
        <w:tab w:val="left" w:pos="227"/>
      </w:tabs>
      <w:suppressAutoHyphens/>
      <w:spacing w:after="113" w:line="200" w:lineRule="atLeast"/>
      <w:ind w:left="227" w:hanging="227"/>
    </w:pPr>
    <w:rPr>
      <w:rFonts w:ascii="VIC Light" w:hAnsi="VIC Light" w:cs="VIC Light"/>
      <w:sz w:val="16"/>
      <w:szCs w:val="16"/>
      <w:lang w:val="en-GB"/>
    </w:rPr>
  </w:style>
  <w:style w:type="paragraph" w:customStyle="1" w:styleId="HeadingFOUR">
    <w:name w:val="Heading FOUR"/>
    <w:basedOn w:val="Heading3"/>
    <w:qFormat/>
    <w:rsid w:val="007B509C"/>
    <w:pPr>
      <w:spacing w:before="120"/>
    </w:pPr>
    <w:rPr>
      <w:color w:val="000000" w:themeColor="text1"/>
      <w:sz w:val="26"/>
    </w:rPr>
  </w:style>
  <w:style w:type="paragraph" w:styleId="List2">
    <w:name w:val="List 2"/>
    <w:basedOn w:val="Normal"/>
    <w:uiPriority w:val="99"/>
    <w:unhideWhenUsed/>
    <w:rsid w:val="00A10D57"/>
    <w:pPr>
      <w:spacing w:after="120"/>
      <w:ind w:left="568" w:hanging="284"/>
      <w:contextualSpacing/>
    </w:pPr>
  </w:style>
  <w:style w:type="paragraph" w:styleId="ListBullet2">
    <w:name w:val="List Bullet 2"/>
    <w:basedOn w:val="BodyText"/>
    <w:uiPriority w:val="99"/>
    <w:unhideWhenUsed/>
    <w:rsid w:val="00A10D57"/>
    <w:pPr>
      <w:numPr>
        <w:numId w:val="5"/>
      </w:numPr>
      <w:spacing w:line="264" w:lineRule="auto"/>
      <w:ind w:left="714" w:hanging="357"/>
    </w:pPr>
  </w:style>
  <w:style w:type="paragraph" w:customStyle="1" w:styleId="ChartSourceStyle">
    <w:name w:val="Chart Source Style"/>
    <w:basedOn w:val="BodyText"/>
    <w:qFormat/>
    <w:rsid w:val="00B14FBE"/>
    <w:pPr>
      <w:spacing w:before="60" w:after="240"/>
    </w:pPr>
  </w:style>
  <w:style w:type="paragraph" w:customStyle="1" w:styleId="Style1">
    <w:name w:val="Style1"/>
    <w:basedOn w:val="ChartSourceStyle"/>
    <w:qFormat/>
    <w:rsid w:val="00620098"/>
    <w:pPr>
      <w:spacing w:before="120"/>
    </w:pPr>
  </w:style>
  <w:style w:type="paragraph" w:styleId="TOCHeading">
    <w:name w:val="TOC Heading"/>
    <w:basedOn w:val="Heading1"/>
    <w:next w:val="Normal"/>
    <w:uiPriority w:val="39"/>
    <w:unhideWhenUsed/>
    <w:qFormat/>
    <w:rsid w:val="000C4B11"/>
    <w:pPr>
      <w:spacing w:after="0"/>
      <w:outlineLvl w:val="9"/>
    </w:pPr>
    <w:rPr>
      <w:bCs w:val="0"/>
      <w:color w:val="000000" w:themeColor="text1"/>
      <w:szCs w:val="32"/>
    </w:rPr>
  </w:style>
  <w:style w:type="character" w:styleId="FollowedHyperlink">
    <w:name w:val="FollowedHyperlink"/>
    <w:basedOn w:val="DefaultParagraphFont"/>
    <w:uiPriority w:val="99"/>
    <w:semiHidden/>
    <w:unhideWhenUsed/>
    <w:rsid w:val="00B66945"/>
    <w:rPr>
      <w:color w:val="954F72" w:themeColor="followedHyperlink"/>
      <w:u w:val="single"/>
    </w:rPr>
  </w:style>
  <w:style w:type="paragraph" w:styleId="ListNumber">
    <w:name w:val="List Number"/>
    <w:basedOn w:val="BodyText"/>
    <w:uiPriority w:val="99"/>
    <w:unhideWhenUsed/>
    <w:rsid w:val="00404F0E"/>
    <w:pPr>
      <w:numPr>
        <w:numId w:val="6"/>
      </w:numPr>
      <w:ind w:left="357" w:hanging="357"/>
    </w:pPr>
  </w:style>
  <w:style w:type="paragraph" w:customStyle="1" w:styleId="BodyCopy">
    <w:name w:val="BodyCopy"/>
    <w:basedOn w:val="NoParagraphStyle"/>
    <w:uiPriority w:val="99"/>
    <w:rsid w:val="00E00C8A"/>
    <w:pPr>
      <w:widowControl/>
      <w:suppressAutoHyphens/>
      <w:spacing w:after="113" w:line="260" w:lineRule="atLeast"/>
    </w:pPr>
    <w:rPr>
      <w:rFonts w:ascii="VIC Light" w:hAnsi="VIC Light" w:cs="VIC Light"/>
      <w:sz w:val="19"/>
      <w:szCs w:val="19"/>
      <w:lang w:val="en-GB"/>
    </w:rPr>
  </w:style>
  <w:style w:type="paragraph" w:customStyle="1" w:styleId="BODY">
    <w:name w:val="BODY"/>
    <w:basedOn w:val="NoParagraphStyle"/>
    <w:uiPriority w:val="99"/>
    <w:rsid w:val="00281939"/>
    <w:pPr>
      <w:widowControl/>
      <w:suppressAutoHyphens/>
      <w:spacing w:after="85" w:line="220" w:lineRule="atLeast"/>
    </w:pPr>
    <w:rPr>
      <w:rFonts w:ascii="VIC Light" w:hAnsi="VIC Light" w:cs="VIC Light"/>
      <w:sz w:val="18"/>
      <w:szCs w:val="18"/>
      <w:lang w:val="en-GB"/>
    </w:rPr>
  </w:style>
  <w:style w:type="paragraph" w:styleId="Caption">
    <w:name w:val="caption"/>
    <w:basedOn w:val="Normal"/>
    <w:next w:val="Normal"/>
    <w:uiPriority w:val="35"/>
    <w:unhideWhenUsed/>
    <w:qFormat/>
    <w:rsid w:val="00281939"/>
    <w:pPr>
      <w:spacing w:before="120" w:after="120" w:line="240" w:lineRule="auto"/>
    </w:pPr>
    <w:rPr>
      <w:b/>
      <w:iCs/>
      <w:color w:val="000000" w:themeColor="text1"/>
      <w:szCs w:val="18"/>
    </w:rPr>
  </w:style>
  <w:style w:type="numbering" w:customStyle="1" w:styleId="CurrentList1">
    <w:name w:val="Current List1"/>
    <w:uiPriority w:val="99"/>
    <w:rsid w:val="007B211D"/>
    <w:pPr>
      <w:numPr>
        <w:numId w:val="8"/>
      </w:numPr>
    </w:pPr>
  </w:style>
  <w:style w:type="numbering" w:customStyle="1" w:styleId="CurrentList2">
    <w:name w:val="Current List2"/>
    <w:uiPriority w:val="99"/>
    <w:rsid w:val="00E11A71"/>
    <w:pPr>
      <w:numPr>
        <w:numId w:val="10"/>
      </w:numPr>
    </w:pPr>
  </w:style>
  <w:style w:type="numbering" w:customStyle="1" w:styleId="CurrentList3">
    <w:name w:val="Current List3"/>
    <w:uiPriority w:val="99"/>
    <w:rsid w:val="00E11A71"/>
    <w:pPr>
      <w:numPr>
        <w:numId w:val="12"/>
      </w:numPr>
    </w:pPr>
  </w:style>
  <w:style w:type="numbering" w:customStyle="1" w:styleId="CurrentList4">
    <w:name w:val="Current List4"/>
    <w:uiPriority w:val="99"/>
    <w:rsid w:val="00E11A71"/>
    <w:pPr>
      <w:numPr>
        <w:numId w:val="13"/>
      </w:numPr>
    </w:pPr>
  </w:style>
  <w:style w:type="numbering" w:customStyle="1" w:styleId="CurrentList5">
    <w:name w:val="Current List5"/>
    <w:uiPriority w:val="99"/>
    <w:rsid w:val="00E11A71"/>
    <w:pPr>
      <w:numPr>
        <w:numId w:val="16"/>
      </w:numPr>
    </w:pPr>
  </w:style>
  <w:style w:type="paragraph" w:styleId="TOC4">
    <w:name w:val="toc 4"/>
    <w:basedOn w:val="Normal"/>
    <w:next w:val="Normal"/>
    <w:autoRedefine/>
    <w:uiPriority w:val="39"/>
    <w:unhideWhenUsed/>
    <w:rsid w:val="005E3F95"/>
    <w:pPr>
      <w:spacing w:after="0"/>
      <w:ind w:left="720"/>
    </w:pPr>
    <w:rPr>
      <w:rFonts w:cstheme="minorHAnsi"/>
      <w:sz w:val="18"/>
      <w:szCs w:val="18"/>
    </w:rPr>
  </w:style>
  <w:style w:type="paragraph" w:styleId="TOC5">
    <w:name w:val="toc 5"/>
    <w:basedOn w:val="Normal"/>
    <w:next w:val="Normal"/>
    <w:autoRedefine/>
    <w:uiPriority w:val="39"/>
    <w:unhideWhenUsed/>
    <w:rsid w:val="005E3F95"/>
    <w:pPr>
      <w:spacing w:after="0"/>
      <w:ind w:left="960"/>
    </w:pPr>
    <w:rPr>
      <w:rFonts w:cstheme="minorHAnsi"/>
      <w:sz w:val="18"/>
      <w:szCs w:val="18"/>
    </w:rPr>
  </w:style>
  <w:style w:type="paragraph" w:styleId="TOC6">
    <w:name w:val="toc 6"/>
    <w:basedOn w:val="Normal"/>
    <w:next w:val="Normal"/>
    <w:autoRedefine/>
    <w:uiPriority w:val="39"/>
    <w:unhideWhenUsed/>
    <w:rsid w:val="005E3F95"/>
    <w:pPr>
      <w:spacing w:after="0"/>
      <w:ind w:left="1200"/>
    </w:pPr>
    <w:rPr>
      <w:rFonts w:cstheme="minorHAnsi"/>
      <w:sz w:val="18"/>
      <w:szCs w:val="18"/>
    </w:rPr>
  </w:style>
  <w:style w:type="paragraph" w:styleId="TOC7">
    <w:name w:val="toc 7"/>
    <w:basedOn w:val="Normal"/>
    <w:next w:val="Normal"/>
    <w:autoRedefine/>
    <w:uiPriority w:val="39"/>
    <w:unhideWhenUsed/>
    <w:rsid w:val="005E3F95"/>
    <w:pPr>
      <w:spacing w:after="0"/>
      <w:ind w:left="1440"/>
    </w:pPr>
    <w:rPr>
      <w:rFonts w:cstheme="minorHAnsi"/>
      <w:sz w:val="18"/>
      <w:szCs w:val="18"/>
    </w:rPr>
  </w:style>
  <w:style w:type="paragraph" w:styleId="TOC8">
    <w:name w:val="toc 8"/>
    <w:basedOn w:val="Normal"/>
    <w:next w:val="Normal"/>
    <w:autoRedefine/>
    <w:uiPriority w:val="39"/>
    <w:unhideWhenUsed/>
    <w:rsid w:val="005E3F95"/>
    <w:pPr>
      <w:spacing w:after="0"/>
      <w:ind w:left="1680"/>
    </w:pPr>
    <w:rPr>
      <w:rFonts w:cstheme="minorHAnsi"/>
      <w:sz w:val="18"/>
      <w:szCs w:val="18"/>
    </w:rPr>
  </w:style>
  <w:style w:type="paragraph" w:styleId="TOC9">
    <w:name w:val="toc 9"/>
    <w:basedOn w:val="Normal"/>
    <w:next w:val="Normal"/>
    <w:autoRedefine/>
    <w:uiPriority w:val="39"/>
    <w:unhideWhenUsed/>
    <w:rsid w:val="005E3F95"/>
    <w:pPr>
      <w:spacing w:after="0"/>
      <w:ind w:left="1920"/>
    </w:pPr>
    <w:rPr>
      <w:rFonts w:cstheme="minorHAnsi"/>
      <w:sz w:val="18"/>
      <w:szCs w:val="18"/>
    </w:rPr>
  </w:style>
  <w:style w:type="paragraph" w:styleId="TOAHeading">
    <w:name w:val="toa heading"/>
    <w:basedOn w:val="Normal"/>
    <w:next w:val="Normal"/>
    <w:uiPriority w:val="99"/>
    <w:unhideWhenUsed/>
    <w:rsid w:val="001500AB"/>
    <w:pPr>
      <w:spacing w:before="120"/>
    </w:pPr>
    <w:rPr>
      <w:rFonts w:asciiTheme="majorHAnsi" w:eastAsiaTheme="majorEastAsia" w:hAnsiTheme="majorHAnsi" w:cstheme="majorBidi"/>
      <w:b/>
      <w:bCs/>
      <w:szCs w:val="24"/>
    </w:rPr>
  </w:style>
  <w:style w:type="numbering" w:customStyle="1" w:styleId="CurrentList6">
    <w:name w:val="Current List6"/>
    <w:uiPriority w:val="99"/>
    <w:rsid w:val="00904039"/>
    <w:pPr>
      <w:numPr>
        <w:numId w:val="25"/>
      </w:numPr>
    </w:pPr>
  </w:style>
  <w:style w:type="numbering" w:customStyle="1" w:styleId="CurrentList7">
    <w:name w:val="Current List7"/>
    <w:uiPriority w:val="99"/>
    <w:rsid w:val="00904039"/>
    <w:pPr>
      <w:numPr>
        <w:numId w:val="26"/>
      </w:numPr>
    </w:pPr>
  </w:style>
  <w:style w:type="numbering" w:customStyle="1" w:styleId="CurrentList8">
    <w:name w:val="Current List8"/>
    <w:uiPriority w:val="99"/>
    <w:rsid w:val="00241796"/>
    <w:pPr>
      <w:numPr>
        <w:numId w:val="27"/>
      </w:numPr>
    </w:pPr>
  </w:style>
  <w:style w:type="paragraph" w:styleId="Revision">
    <w:name w:val="Revision"/>
    <w:hidden/>
    <w:uiPriority w:val="99"/>
    <w:semiHidden/>
    <w:rsid w:val="008D6873"/>
    <w:pPr>
      <w:spacing w:after="0" w:line="240" w:lineRule="auto"/>
    </w:pPr>
    <w:rPr>
      <w:sz w:val="24"/>
    </w:rPr>
  </w:style>
  <w:style w:type="character" w:styleId="CommentReference">
    <w:name w:val="annotation reference"/>
    <w:basedOn w:val="DefaultParagraphFont"/>
    <w:uiPriority w:val="99"/>
    <w:semiHidden/>
    <w:unhideWhenUsed/>
    <w:rsid w:val="000D7224"/>
    <w:rPr>
      <w:sz w:val="16"/>
      <w:szCs w:val="16"/>
    </w:rPr>
  </w:style>
  <w:style w:type="paragraph" w:styleId="CommentText">
    <w:name w:val="annotation text"/>
    <w:basedOn w:val="Normal"/>
    <w:link w:val="CommentTextChar"/>
    <w:uiPriority w:val="99"/>
    <w:unhideWhenUsed/>
    <w:rsid w:val="000D7224"/>
    <w:pPr>
      <w:spacing w:line="240" w:lineRule="auto"/>
    </w:pPr>
    <w:rPr>
      <w:sz w:val="20"/>
      <w:szCs w:val="20"/>
    </w:rPr>
  </w:style>
  <w:style w:type="character" w:customStyle="1" w:styleId="CommentTextChar">
    <w:name w:val="Comment Text Char"/>
    <w:basedOn w:val="DefaultParagraphFont"/>
    <w:link w:val="CommentText"/>
    <w:uiPriority w:val="99"/>
    <w:rsid w:val="000D7224"/>
    <w:rPr>
      <w:sz w:val="20"/>
      <w:szCs w:val="20"/>
    </w:rPr>
  </w:style>
  <w:style w:type="paragraph" w:styleId="CommentSubject">
    <w:name w:val="annotation subject"/>
    <w:basedOn w:val="CommentText"/>
    <w:next w:val="CommentText"/>
    <w:link w:val="CommentSubjectChar"/>
    <w:uiPriority w:val="99"/>
    <w:semiHidden/>
    <w:unhideWhenUsed/>
    <w:rsid w:val="000D7224"/>
    <w:rPr>
      <w:b/>
      <w:bCs/>
    </w:rPr>
  </w:style>
  <w:style w:type="character" w:customStyle="1" w:styleId="CommentSubjectChar">
    <w:name w:val="Comment Subject Char"/>
    <w:basedOn w:val="CommentTextChar"/>
    <w:link w:val="CommentSubject"/>
    <w:uiPriority w:val="99"/>
    <w:semiHidden/>
    <w:rsid w:val="000D7224"/>
    <w:rPr>
      <w:b/>
      <w:bCs/>
      <w:sz w:val="20"/>
      <w:szCs w:val="20"/>
    </w:rPr>
  </w:style>
  <w:style w:type="character" w:styleId="Mention">
    <w:name w:val="Mention"/>
    <w:basedOn w:val="DefaultParagraphFont"/>
    <w:uiPriority w:val="99"/>
    <w:unhideWhenUsed/>
    <w:rsid w:val="0069000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mailto:foi.unit@delwp.vic.gov.au" TargetMode="External"/><Relationship Id="rId26" Type="http://schemas.openxmlformats.org/officeDocument/2006/relationships/hyperlink" Target="mailto:forestrytransition@deeca.vic.gov.au" TargetMode="External"/><Relationship Id="rId3" Type="http://schemas.openxmlformats.org/officeDocument/2006/relationships/customXml" Target="../customXml/item3.xml"/><Relationship Id="rId21" Type="http://schemas.openxmlformats.org/officeDocument/2006/relationships/hyperlink" Target="mailto:foi.unit@delwp.vic.gov.au" TargetMode="External"/><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deeca.vic.gov.au/privacy" TargetMode="External"/><Relationship Id="rId25" Type="http://schemas.openxmlformats.org/officeDocument/2006/relationships/hyperlink" Target="https://www.deeca.vic.gov.au/forestry"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communityforestry@deeca.vic.gov.au" TargetMode="External"/><Relationship Id="rId20" Type="http://schemas.openxmlformats.org/officeDocument/2006/relationships/hyperlink" Target="https://www.deeca.vic.gov.au/forestry/forestry-transition-program"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deeca.vic.gov.au/forestry/grants" TargetMode="External"/><Relationship Id="rId32"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mailto:kara.zdrzalka@deeca.vic.gov.au" TargetMode="External"/><Relationship Id="rId23" Type="http://schemas.openxmlformats.org/officeDocument/2006/relationships/hyperlink" Target="mailto:forestrytransition@deeca.vic.gov.au" TargetMode="External"/><Relationship Id="rId28"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hyperlink" Target="https://forestworks.com.au/victorian-forestry-worker-support-program/"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deeca.vic.gov.au/forestry/grants/community-forestry-support-package" TargetMode="External"/><Relationship Id="rId22" Type="http://schemas.openxmlformats.org/officeDocument/2006/relationships/hyperlink" Target="mailto:communityforestry@deeca.vic.gov.au" TargetMode="External"/><Relationship Id="rId27" Type="http://schemas.openxmlformats.org/officeDocument/2006/relationships/hyperlink" Target="https://www.deeca.vic.gov.au/forestry/forestry-transition-program"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797aeec6-0273-40f2-ab3e-beee73212332" ContentTypeId="0x0101" PreviousValue="false" LastSyncTimeStamp="2018-05-31T04:53:04.507Z"/>
</file>

<file path=customXml/item3.xml><?xml version="1.0" encoding="utf-8"?>
<ct:contentTypeSchema xmlns:ct="http://schemas.microsoft.com/office/2006/metadata/contentType" xmlns:ma="http://schemas.microsoft.com/office/2006/metadata/properties/metaAttributes" ct:_="" ma:_="" ma:contentTypeName="Attachment Document" ma:contentTypeID="0x010100ADB6A493CB944449B507A6E62846B95F002EB0E475DD81D64DBB3002BA4A59C5F6" ma:contentTypeVersion="10" ma:contentTypeDescription="Attachment Document" ma:contentTypeScope="" ma:versionID="bdcad70c1395c408271e9af9f0441997">
  <xsd:schema xmlns:xsd="http://www.w3.org/2001/XMLSchema" xmlns:xs="http://www.w3.org/2001/XMLSchema" xmlns:p="http://schemas.microsoft.com/office/2006/metadata/properties" xmlns:ns2="cae37ace-7a49-4147-b024-43561a7a3263" xmlns:ns3="a5f32de4-e402-4188-b034-e71ca7d22e54" xmlns:ns4="070f0bf6-d185-4fa3-bad9-6277061d78bd" targetNamespace="http://schemas.microsoft.com/office/2006/metadata/properties" ma:root="true" ma:fieldsID="918fd6781f0693607aa11ca2d8243189" ns2:_="" ns3:_="" ns4:_="">
    <xsd:import namespace="cae37ace-7a49-4147-b024-43561a7a3263"/>
    <xsd:import namespace="a5f32de4-e402-4188-b034-e71ca7d22e54"/>
    <xsd:import namespace="070f0bf6-d185-4fa3-bad9-6277061d78bd"/>
    <xsd:element name="properties">
      <xsd:complexType>
        <xsd:sequence>
          <xsd:element name="documentManagement">
            <xsd:complexType>
              <xsd:all>
                <xsd:element ref="ns2:ABCSignatureRequired" minOccurs="0"/>
                <xsd:element ref="ns2:ABCSignatureInstructions" minOccurs="0"/>
                <xsd:element ref="ns3:_dlc_DocId" minOccurs="0"/>
                <xsd:element ref="ns3:_dlc_DocIdUrl" minOccurs="0"/>
                <xsd:element ref="ns3:_dlc_DocIdPersistId"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e37ace-7a49-4147-b024-43561a7a3263" elementFormDefault="qualified">
    <xsd:import namespace="http://schemas.microsoft.com/office/2006/documentManagement/types"/>
    <xsd:import namespace="http://schemas.microsoft.com/office/infopath/2007/PartnerControls"/>
    <xsd:element name="ABCSignatureRequired" ma:index="1" nillable="true" ma:displayName="Signature Required" ma:default="0" ma:internalName="ABCSignatureRequired">
      <xsd:simpleType>
        <xsd:restriction base="dms:Boolean"/>
      </xsd:simpleType>
    </xsd:element>
    <xsd:element name="ABCSignatureInstructions" ma:index="2" nillable="true" ma:displayName="Signature Instructions" ma:internalName="ABCSignatureInstruction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70f0bf6-d185-4fa3-bad9-6277061d78bd" elementFormDefault="qualified">
    <xsd:import namespace="http://schemas.microsoft.com/office/2006/documentManagement/types"/>
    <xsd:import namespace="http://schemas.microsoft.com/office/infopath/2007/PartnerControls"/>
    <xsd:element name="lcf76f155ced4ddcb4097134ff3c332f" ma:index="13" nillable="true" ma:displayName="Image Tags_0" ma:hidden="true" ma:internalName="lcf76f155ced4ddcb4097134ff3c332f">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5.xml><?xml version="1.0" encoding="utf-8"?>
<p:properties xmlns:p="http://schemas.microsoft.com/office/2006/metadata/properties" xmlns:xsi="http://www.w3.org/2001/XMLSchema-instance" xmlns:pc="http://schemas.microsoft.com/office/infopath/2007/PartnerControls">
  <documentManagement>
    <ABCSignatureRequired xmlns="cae37ace-7a49-4147-b024-43561a7a3263">false</ABCSignatureRequired>
    <ABCSignatureInstructions xmlns="cae37ace-7a49-4147-b024-43561a7a3263" xsi:nil="true"/>
    <lcf76f155ced4ddcb4097134ff3c332f xmlns="070f0bf6-d185-4fa3-bad9-6277061d78bd" xsi:nil="tru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1 6 " ? > < p r o p e r t i e s   x m l n s = " h t t p : / / w w w . i m a n a g e . c o m / w o r k / x m l s c h e m a " >  
     < d o c u m e n t i d > A U S ! 6 9 3 6 2 7 5 6 1 . 2 < / d o c u m e n t i d >  
     < s e n d e r i d > S O W E < / s e n d e r i d >  
     < s e n d e r e m a i l > S O P H I E . W E S T L A N D @ A S H U R S T . C O M < / s e n d e r e m a i l >  
     < l a s t m o d i f i e d > 2 0 2 4 - 0 2 - 1 5 T 1 7 : 1 4 : 0 0 . 0 0 0 0 0 0 0 + 1 1 : 0 0 < / l a s t m o d i f i e d >  
     < d a t a b a s e > A U S < / d a t a b a s e >  
 < / p r o p e r t i e s > 
</file>

<file path=customXml/itemProps1.xml><?xml version="1.0" encoding="utf-8"?>
<ds:datastoreItem xmlns:ds="http://schemas.openxmlformats.org/officeDocument/2006/customXml" ds:itemID="{44541486-58A9-4CE1-A10C-FC6181F44C94}">
  <ds:schemaRefs>
    <ds:schemaRef ds:uri="http://schemas.microsoft.com/sharepoint/v3/contenttype/forms"/>
  </ds:schemaRefs>
</ds:datastoreItem>
</file>

<file path=customXml/itemProps2.xml><?xml version="1.0" encoding="utf-8"?>
<ds:datastoreItem xmlns:ds="http://schemas.openxmlformats.org/officeDocument/2006/customXml" ds:itemID="{A19AA080-6643-4FB8-B750-BADEAF10FF99}">
  <ds:schemaRefs>
    <ds:schemaRef ds:uri="Microsoft.SharePoint.Taxonomy.ContentTypeSync"/>
  </ds:schemaRefs>
</ds:datastoreItem>
</file>

<file path=customXml/itemProps3.xml><?xml version="1.0" encoding="utf-8"?>
<ds:datastoreItem xmlns:ds="http://schemas.openxmlformats.org/officeDocument/2006/customXml" ds:itemID="{70018954-16FD-4FC7-97D3-50A5A21B18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e37ace-7a49-4147-b024-43561a7a3263"/>
    <ds:schemaRef ds:uri="a5f32de4-e402-4188-b034-e71ca7d22e54"/>
    <ds:schemaRef ds:uri="070f0bf6-d185-4fa3-bad9-6277061d78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7078D2-2D7D-415F-9F6A-27C871D4DFD8}">
  <ds:schemaRefs>
    <ds:schemaRef ds:uri="http://schemas.microsoft.com/sharepoint/events"/>
  </ds:schemaRefs>
</ds:datastoreItem>
</file>

<file path=customXml/itemProps5.xml><?xml version="1.0" encoding="utf-8"?>
<ds:datastoreItem xmlns:ds="http://schemas.openxmlformats.org/officeDocument/2006/customXml" ds:itemID="{038C9580-1F1D-420E-81EA-7AC2D1DFE3B1}">
  <ds:schemaRefs>
    <ds:schemaRef ds:uri="http://schemas.microsoft.com/office/2006/metadata/properties"/>
    <ds:schemaRef ds:uri="http://schemas.microsoft.com/office/infopath/2007/PartnerControls"/>
    <ds:schemaRef ds:uri="cae37ace-7a49-4147-b024-43561a7a3263"/>
    <ds:schemaRef ds:uri="070f0bf6-d185-4fa3-bad9-6277061d78bd"/>
  </ds:schemaRefs>
</ds:datastoreItem>
</file>

<file path=customXml/itemProps6.xml><?xml version="1.0" encoding="utf-8"?>
<ds:datastoreItem xmlns:ds="http://schemas.openxmlformats.org/officeDocument/2006/customXml" ds:itemID="{6D4E1028-9B50-4285-8CE8-22A50796B151}">
  <ds:schemaRefs>
    <ds:schemaRef ds:uri="http://schemas.openxmlformats.org/officeDocument/2006/bibliography"/>
  </ds:schemaRefs>
</ds:datastoreItem>
</file>

<file path=customXml/itemProps7.xml><?xml version="1.0" encoding="utf-8"?>
<ds:datastoreItem xmlns:ds="http://schemas.openxmlformats.org/officeDocument/2006/customXml" ds:itemID="{CA565ACC-BA24-4496-BE69-B8CF3C005408}">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17</Pages>
  <Words>5060</Words>
  <Characters>28847</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Att. 2 - Community Forestry Support Package - guidelines - May 2024 - clean.docx</vt:lpstr>
    </vt:vector>
  </TitlesOfParts>
  <Company/>
  <LinksUpToDate>false</LinksUpToDate>
  <CharactersWithSpaces>33840</CharactersWithSpaces>
  <SharedDoc>false</SharedDoc>
  <HLinks>
    <vt:vector size="210" baseType="variant">
      <vt:variant>
        <vt:i4>655434</vt:i4>
      </vt:variant>
      <vt:variant>
        <vt:i4>153</vt:i4>
      </vt:variant>
      <vt:variant>
        <vt:i4>0</vt:i4>
      </vt:variant>
      <vt:variant>
        <vt:i4>5</vt:i4>
      </vt:variant>
      <vt:variant>
        <vt:lpwstr>https://www.deeca.vic.gov.au/forestry/forestry-transition-program</vt:lpwstr>
      </vt:variant>
      <vt:variant>
        <vt:lpwstr/>
      </vt:variant>
      <vt:variant>
        <vt:i4>1114170</vt:i4>
      </vt:variant>
      <vt:variant>
        <vt:i4>150</vt:i4>
      </vt:variant>
      <vt:variant>
        <vt:i4>0</vt:i4>
      </vt:variant>
      <vt:variant>
        <vt:i4>5</vt:i4>
      </vt:variant>
      <vt:variant>
        <vt:lpwstr>mailto:forestrytransition@deeca.vic.gov.au</vt:lpwstr>
      </vt:variant>
      <vt:variant>
        <vt:lpwstr/>
      </vt:variant>
      <vt:variant>
        <vt:i4>393236</vt:i4>
      </vt:variant>
      <vt:variant>
        <vt:i4>147</vt:i4>
      </vt:variant>
      <vt:variant>
        <vt:i4>0</vt:i4>
      </vt:variant>
      <vt:variant>
        <vt:i4>5</vt:i4>
      </vt:variant>
      <vt:variant>
        <vt:lpwstr>https://www.deeca.vic.gov.au/forestry</vt:lpwstr>
      </vt:variant>
      <vt:variant>
        <vt:lpwstr/>
      </vt:variant>
      <vt:variant>
        <vt:i4>4587551</vt:i4>
      </vt:variant>
      <vt:variant>
        <vt:i4>144</vt:i4>
      </vt:variant>
      <vt:variant>
        <vt:i4>0</vt:i4>
      </vt:variant>
      <vt:variant>
        <vt:i4>5</vt:i4>
      </vt:variant>
      <vt:variant>
        <vt:lpwstr>https://www.deeca.vic.gov.au/forestry/grants</vt:lpwstr>
      </vt:variant>
      <vt:variant>
        <vt:lpwstr/>
      </vt:variant>
      <vt:variant>
        <vt:i4>1114170</vt:i4>
      </vt:variant>
      <vt:variant>
        <vt:i4>141</vt:i4>
      </vt:variant>
      <vt:variant>
        <vt:i4>0</vt:i4>
      </vt:variant>
      <vt:variant>
        <vt:i4>5</vt:i4>
      </vt:variant>
      <vt:variant>
        <vt:lpwstr>mailto:forestrytransition@deeca.vic.gov.au</vt:lpwstr>
      </vt:variant>
      <vt:variant>
        <vt:lpwstr/>
      </vt:variant>
      <vt:variant>
        <vt:i4>720937</vt:i4>
      </vt:variant>
      <vt:variant>
        <vt:i4>138</vt:i4>
      </vt:variant>
      <vt:variant>
        <vt:i4>0</vt:i4>
      </vt:variant>
      <vt:variant>
        <vt:i4>5</vt:i4>
      </vt:variant>
      <vt:variant>
        <vt:lpwstr>mailto:communityforestry@deeca.vic.gov.au</vt:lpwstr>
      </vt:variant>
      <vt:variant>
        <vt:lpwstr/>
      </vt:variant>
      <vt:variant>
        <vt:i4>8257548</vt:i4>
      </vt:variant>
      <vt:variant>
        <vt:i4>135</vt:i4>
      </vt:variant>
      <vt:variant>
        <vt:i4>0</vt:i4>
      </vt:variant>
      <vt:variant>
        <vt:i4>5</vt:i4>
      </vt:variant>
      <vt:variant>
        <vt:lpwstr>mailto:foi.unit@delwp.vic.gov.au</vt:lpwstr>
      </vt:variant>
      <vt:variant>
        <vt:lpwstr/>
      </vt:variant>
      <vt:variant>
        <vt:i4>655434</vt:i4>
      </vt:variant>
      <vt:variant>
        <vt:i4>132</vt:i4>
      </vt:variant>
      <vt:variant>
        <vt:i4>0</vt:i4>
      </vt:variant>
      <vt:variant>
        <vt:i4>5</vt:i4>
      </vt:variant>
      <vt:variant>
        <vt:lpwstr>https://www.deeca.vic.gov.au/forestry/forestry-transition-program</vt:lpwstr>
      </vt:variant>
      <vt:variant>
        <vt:lpwstr/>
      </vt:variant>
      <vt:variant>
        <vt:i4>5898326</vt:i4>
      </vt:variant>
      <vt:variant>
        <vt:i4>129</vt:i4>
      </vt:variant>
      <vt:variant>
        <vt:i4>0</vt:i4>
      </vt:variant>
      <vt:variant>
        <vt:i4>5</vt:i4>
      </vt:variant>
      <vt:variant>
        <vt:lpwstr>https://forestworks.com.au/victorian-forestry-worker-support-program/</vt:lpwstr>
      </vt:variant>
      <vt:variant>
        <vt:lpwstr/>
      </vt:variant>
      <vt:variant>
        <vt:i4>8257548</vt:i4>
      </vt:variant>
      <vt:variant>
        <vt:i4>126</vt:i4>
      </vt:variant>
      <vt:variant>
        <vt:i4>0</vt:i4>
      </vt:variant>
      <vt:variant>
        <vt:i4>5</vt:i4>
      </vt:variant>
      <vt:variant>
        <vt:lpwstr>mailto:foi.unit@delwp.vic.gov.au</vt:lpwstr>
      </vt:variant>
      <vt:variant>
        <vt:lpwstr/>
      </vt:variant>
      <vt:variant>
        <vt:i4>1179661</vt:i4>
      </vt:variant>
      <vt:variant>
        <vt:i4>123</vt:i4>
      </vt:variant>
      <vt:variant>
        <vt:i4>0</vt:i4>
      </vt:variant>
      <vt:variant>
        <vt:i4>5</vt:i4>
      </vt:variant>
      <vt:variant>
        <vt:lpwstr>https://www.deeca.vic.gov.au/privacy</vt:lpwstr>
      </vt:variant>
      <vt:variant>
        <vt:lpwstr/>
      </vt:variant>
      <vt:variant>
        <vt:i4>720937</vt:i4>
      </vt:variant>
      <vt:variant>
        <vt:i4>120</vt:i4>
      </vt:variant>
      <vt:variant>
        <vt:i4>0</vt:i4>
      </vt:variant>
      <vt:variant>
        <vt:i4>5</vt:i4>
      </vt:variant>
      <vt:variant>
        <vt:lpwstr>mailto:communityforestry@deeca.vic.gov.au</vt:lpwstr>
      </vt:variant>
      <vt:variant>
        <vt:lpwstr/>
      </vt:variant>
      <vt:variant>
        <vt:i4>4390950</vt:i4>
      </vt:variant>
      <vt:variant>
        <vt:i4>117</vt:i4>
      </vt:variant>
      <vt:variant>
        <vt:i4>0</vt:i4>
      </vt:variant>
      <vt:variant>
        <vt:i4>5</vt:i4>
      </vt:variant>
      <vt:variant>
        <vt:lpwstr>mailto:kara.zdrzalka@deeca.vic.gov.au</vt:lpwstr>
      </vt:variant>
      <vt:variant>
        <vt:lpwstr/>
      </vt:variant>
      <vt:variant>
        <vt:i4>2228328</vt:i4>
      </vt:variant>
      <vt:variant>
        <vt:i4>114</vt:i4>
      </vt:variant>
      <vt:variant>
        <vt:i4>0</vt:i4>
      </vt:variant>
      <vt:variant>
        <vt:i4>5</vt:i4>
      </vt:variant>
      <vt:variant>
        <vt:lpwstr>https://www.deeca.vic.gov.au/forestry/grants/community-forestry-support-package</vt:lpwstr>
      </vt:variant>
      <vt:variant>
        <vt:lpwstr/>
      </vt:variant>
      <vt:variant>
        <vt:i4>1638452</vt:i4>
      </vt:variant>
      <vt:variant>
        <vt:i4>98</vt:i4>
      </vt:variant>
      <vt:variant>
        <vt:i4>0</vt:i4>
      </vt:variant>
      <vt:variant>
        <vt:i4>5</vt:i4>
      </vt:variant>
      <vt:variant>
        <vt:lpwstr/>
      </vt:variant>
      <vt:variant>
        <vt:lpwstr>_Toc150956048</vt:lpwstr>
      </vt:variant>
      <vt:variant>
        <vt:i4>1638452</vt:i4>
      </vt:variant>
      <vt:variant>
        <vt:i4>92</vt:i4>
      </vt:variant>
      <vt:variant>
        <vt:i4>0</vt:i4>
      </vt:variant>
      <vt:variant>
        <vt:i4>5</vt:i4>
      </vt:variant>
      <vt:variant>
        <vt:lpwstr/>
      </vt:variant>
      <vt:variant>
        <vt:lpwstr>_Toc150956047</vt:lpwstr>
      </vt:variant>
      <vt:variant>
        <vt:i4>1638452</vt:i4>
      </vt:variant>
      <vt:variant>
        <vt:i4>86</vt:i4>
      </vt:variant>
      <vt:variant>
        <vt:i4>0</vt:i4>
      </vt:variant>
      <vt:variant>
        <vt:i4>5</vt:i4>
      </vt:variant>
      <vt:variant>
        <vt:lpwstr/>
      </vt:variant>
      <vt:variant>
        <vt:lpwstr>_Toc150956046</vt:lpwstr>
      </vt:variant>
      <vt:variant>
        <vt:i4>1638452</vt:i4>
      </vt:variant>
      <vt:variant>
        <vt:i4>80</vt:i4>
      </vt:variant>
      <vt:variant>
        <vt:i4>0</vt:i4>
      </vt:variant>
      <vt:variant>
        <vt:i4>5</vt:i4>
      </vt:variant>
      <vt:variant>
        <vt:lpwstr/>
      </vt:variant>
      <vt:variant>
        <vt:lpwstr>_Toc150956045</vt:lpwstr>
      </vt:variant>
      <vt:variant>
        <vt:i4>1638452</vt:i4>
      </vt:variant>
      <vt:variant>
        <vt:i4>74</vt:i4>
      </vt:variant>
      <vt:variant>
        <vt:i4>0</vt:i4>
      </vt:variant>
      <vt:variant>
        <vt:i4>5</vt:i4>
      </vt:variant>
      <vt:variant>
        <vt:lpwstr/>
      </vt:variant>
      <vt:variant>
        <vt:lpwstr>_Toc150956044</vt:lpwstr>
      </vt:variant>
      <vt:variant>
        <vt:i4>1638452</vt:i4>
      </vt:variant>
      <vt:variant>
        <vt:i4>68</vt:i4>
      </vt:variant>
      <vt:variant>
        <vt:i4>0</vt:i4>
      </vt:variant>
      <vt:variant>
        <vt:i4>5</vt:i4>
      </vt:variant>
      <vt:variant>
        <vt:lpwstr/>
      </vt:variant>
      <vt:variant>
        <vt:lpwstr>_Toc150956043</vt:lpwstr>
      </vt:variant>
      <vt:variant>
        <vt:i4>1638452</vt:i4>
      </vt:variant>
      <vt:variant>
        <vt:i4>62</vt:i4>
      </vt:variant>
      <vt:variant>
        <vt:i4>0</vt:i4>
      </vt:variant>
      <vt:variant>
        <vt:i4>5</vt:i4>
      </vt:variant>
      <vt:variant>
        <vt:lpwstr/>
      </vt:variant>
      <vt:variant>
        <vt:lpwstr>_Toc150956042</vt:lpwstr>
      </vt:variant>
      <vt:variant>
        <vt:i4>1638452</vt:i4>
      </vt:variant>
      <vt:variant>
        <vt:i4>56</vt:i4>
      </vt:variant>
      <vt:variant>
        <vt:i4>0</vt:i4>
      </vt:variant>
      <vt:variant>
        <vt:i4>5</vt:i4>
      </vt:variant>
      <vt:variant>
        <vt:lpwstr/>
      </vt:variant>
      <vt:variant>
        <vt:lpwstr>_Toc150956041</vt:lpwstr>
      </vt:variant>
      <vt:variant>
        <vt:i4>1638452</vt:i4>
      </vt:variant>
      <vt:variant>
        <vt:i4>50</vt:i4>
      </vt:variant>
      <vt:variant>
        <vt:i4>0</vt:i4>
      </vt:variant>
      <vt:variant>
        <vt:i4>5</vt:i4>
      </vt:variant>
      <vt:variant>
        <vt:lpwstr/>
      </vt:variant>
      <vt:variant>
        <vt:lpwstr>_Toc150956040</vt:lpwstr>
      </vt:variant>
      <vt:variant>
        <vt:i4>1966132</vt:i4>
      </vt:variant>
      <vt:variant>
        <vt:i4>44</vt:i4>
      </vt:variant>
      <vt:variant>
        <vt:i4>0</vt:i4>
      </vt:variant>
      <vt:variant>
        <vt:i4>5</vt:i4>
      </vt:variant>
      <vt:variant>
        <vt:lpwstr/>
      </vt:variant>
      <vt:variant>
        <vt:lpwstr>_Toc150956039</vt:lpwstr>
      </vt:variant>
      <vt:variant>
        <vt:i4>1966132</vt:i4>
      </vt:variant>
      <vt:variant>
        <vt:i4>38</vt:i4>
      </vt:variant>
      <vt:variant>
        <vt:i4>0</vt:i4>
      </vt:variant>
      <vt:variant>
        <vt:i4>5</vt:i4>
      </vt:variant>
      <vt:variant>
        <vt:lpwstr/>
      </vt:variant>
      <vt:variant>
        <vt:lpwstr>_Toc150956038</vt:lpwstr>
      </vt:variant>
      <vt:variant>
        <vt:i4>1966132</vt:i4>
      </vt:variant>
      <vt:variant>
        <vt:i4>32</vt:i4>
      </vt:variant>
      <vt:variant>
        <vt:i4>0</vt:i4>
      </vt:variant>
      <vt:variant>
        <vt:i4>5</vt:i4>
      </vt:variant>
      <vt:variant>
        <vt:lpwstr/>
      </vt:variant>
      <vt:variant>
        <vt:lpwstr>_Toc150956037</vt:lpwstr>
      </vt:variant>
      <vt:variant>
        <vt:i4>1966132</vt:i4>
      </vt:variant>
      <vt:variant>
        <vt:i4>26</vt:i4>
      </vt:variant>
      <vt:variant>
        <vt:i4>0</vt:i4>
      </vt:variant>
      <vt:variant>
        <vt:i4>5</vt:i4>
      </vt:variant>
      <vt:variant>
        <vt:lpwstr/>
      </vt:variant>
      <vt:variant>
        <vt:lpwstr>_Toc150956036</vt:lpwstr>
      </vt:variant>
      <vt:variant>
        <vt:i4>1966132</vt:i4>
      </vt:variant>
      <vt:variant>
        <vt:i4>20</vt:i4>
      </vt:variant>
      <vt:variant>
        <vt:i4>0</vt:i4>
      </vt:variant>
      <vt:variant>
        <vt:i4>5</vt:i4>
      </vt:variant>
      <vt:variant>
        <vt:lpwstr/>
      </vt:variant>
      <vt:variant>
        <vt:lpwstr>_Toc150956035</vt:lpwstr>
      </vt:variant>
      <vt:variant>
        <vt:i4>1966132</vt:i4>
      </vt:variant>
      <vt:variant>
        <vt:i4>14</vt:i4>
      </vt:variant>
      <vt:variant>
        <vt:i4>0</vt:i4>
      </vt:variant>
      <vt:variant>
        <vt:i4>5</vt:i4>
      </vt:variant>
      <vt:variant>
        <vt:lpwstr/>
      </vt:variant>
      <vt:variant>
        <vt:lpwstr>_Toc150956034</vt:lpwstr>
      </vt:variant>
      <vt:variant>
        <vt:i4>1966132</vt:i4>
      </vt:variant>
      <vt:variant>
        <vt:i4>8</vt:i4>
      </vt:variant>
      <vt:variant>
        <vt:i4>0</vt:i4>
      </vt:variant>
      <vt:variant>
        <vt:i4>5</vt:i4>
      </vt:variant>
      <vt:variant>
        <vt:lpwstr/>
      </vt:variant>
      <vt:variant>
        <vt:lpwstr>_Toc150956033</vt:lpwstr>
      </vt:variant>
      <vt:variant>
        <vt:i4>1966132</vt:i4>
      </vt:variant>
      <vt:variant>
        <vt:i4>2</vt:i4>
      </vt:variant>
      <vt:variant>
        <vt:i4>0</vt:i4>
      </vt:variant>
      <vt:variant>
        <vt:i4>5</vt:i4>
      </vt:variant>
      <vt:variant>
        <vt:lpwstr/>
      </vt:variant>
      <vt:variant>
        <vt:lpwstr>_Toc150956032</vt:lpwstr>
      </vt:variant>
      <vt:variant>
        <vt:i4>5636145</vt:i4>
      </vt:variant>
      <vt:variant>
        <vt:i4>9</vt:i4>
      </vt:variant>
      <vt:variant>
        <vt:i4>0</vt:i4>
      </vt:variant>
      <vt:variant>
        <vt:i4>5</vt:i4>
      </vt:variant>
      <vt:variant>
        <vt:lpwstr>mailto:andrew.waller@deeca.vic.gov.au</vt:lpwstr>
      </vt:variant>
      <vt:variant>
        <vt:lpwstr/>
      </vt:variant>
      <vt:variant>
        <vt:i4>2162777</vt:i4>
      </vt:variant>
      <vt:variant>
        <vt:i4>6</vt:i4>
      </vt:variant>
      <vt:variant>
        <vt:i4>0</vt:i4>
      </vt:variant>
      <vt:variant>
        <vt:i4>5</vt:i4>
      </vt:variant>
      <vt:variant>
        <vt:lpwstr>mailto:ross.potter@deeca.vic.gov.au</vt:lpwstr>
      </vt:variant>
      <vt:variant>
        <vt:lpwstr/>
      </vt:variant>
      <vt:variant>
        <vt:i4>5636145</vt:i4>
      </vt:variant>
      <vt:variant>
        <vt:i4>3</vt:i4>
      </vt:variant>
      <vt:variant>
        <vt:i4>0</vt:i4>
      </vt:variant>
      <vt:variant>
        <vt:i4>5</vt:i4>
      </vt:variant>
      <vt:variant>
        <vt:lpwstr>mailto:andrew.waller@deeca.vic.gov.au</vt:lpwstr>
      </vt:variant>
      <vt:variant>
        <vt:lpwstr/>
      </vt:variant>
      <vt:variant>
        <vt:i4>2162777</vt:i4>
      </vt:variant>
      <vt:variant>
        <vt:i4>0</vt:i4>
      </vt:variant>
      <vt:variant>
        <vt:i4>0</vt:i4>
      </vt:variant>
      <vt:variant>
        <vt:i4>5</vt:i4>
      </vt:variant>
      <vt:variant>
        <vt:lpwstr>mailto:ross.potter@deeca.vic.gov.au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 2 - Community Forestry Support Package - guidelines - May 2024 - clean.docx</dc:title>
  <dc:subject/>
  <dc:creator>Samaa Kirby</dc:creator>
  <cp:keywords/>
  <dc:description/>
  <cp:lastModifiedBy>Kathryn A Parker (DEECA)</cp:lastModifiedBy>
  <cp:revision>4</cp:revision>
  <dcterms:created xsi:type="dcterms:W3CDTF">2024-05-31T02:42:00Z</dcterms:created>
  <dcterms:modified xsi:type="dcterms:W3CDTF">2024-06-04T07:36:00Z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257e2ab-f512-40e2-9c9a-c64247360765_Enabled">
    <vt:lpwstr>true</vt:lpwstr>
  </property>
  <property fmtid="{D5CDD505-2E9C-101B-9397-08002B2CF9AE}" pid="3" name="MSIP_Label_4257e2ab-f512-40e2-9c9a-c64247360765_SetDate">
    <vt:lpwstr>2022-09-20T23:29:16Z</vt:lpwstr>
  </property>
  <property fmtid="{D5CDD505-2E9C-101B-9397-08002B2CF9AE}" pid="4" name="MSIP_Label_4257e2ab-f512-40e2-9c9a-c64247360765_Method">
    <vt:lpwstr>Privileged</vt:lpwstr>
  </property>
  <property fmtid="{D5CDD505-2E9C-101B-9397-08002B2CF9AE}" pid="5" name="MSIP_Label_4257e2ab-f512-40e2-9c9a-c64247360765_Name">
    <vt:lpwstr>OFFICIAL</vt:lpwstr>
  </property>
  <property fmtid="{D5CDD505-2E9C-101B-9397-08002B2CF9AE}" pid="6" name="MSIP_Label_4257e2ab-f512-40e2-9c9a-c64247360765_SiteId">
    <vt:lpwstr>e8bdd6f7-fc18-4e48-a554-7f547927223b</vt:lpwstr>
  </property>
  <property fmtid="{D5CDD505-2E9C-101B-9397-08002B2CF9AE}" pid="7" name="MSIP_Label_4257e2ab-f512-40e2-9c9a-c64247360765_ActionId">
    <vt:lpwstr>e5bb7520-2aea-48aa-81c7-1c8f860860fb</vt:lpwstr>
  </property>
  <property fmtid="{D5CDD505-2E9C-101B-9397-08002B2CF9AE}" pid="8" name="MSIP_Label_4257e2ab-f512-40e2-9c9a-c64247360765_ContentBits">
    <vt:lpwstr>2</vt:lpwstr>
  </property>
  <property fmtid="{D5CDD505-2E9C-101B-9397-08002B2CF9AE}" pid="9" name="ContentTypeId">
    <vt:lpwstr>0x010100ADB6A493CB944449B507A6E62846B95F002EB0E475DD81D64DBB3002BA4A59C5F6</vt:lpwstr>
  </property>
  <property fmtid="{D5CDD505-2E9C-101B-9397-08002B2CF9AE}" pid="10" name="MediaServiceImageTags">
    <vt:lpwstr/>
  </property>
  <property fmtid="{D5CDD505-2E9C-101B-9397-08002B2CF9AE}" pid="11" name="ABCBriefingType">
    <vt:lpwstr/>
  </property>
  <property fmtid="{D5CDD505-2E9C-101B-9397-08002B2CF9AE}" pid="12" name="ABCTimingTimeframe_0">
    <vt:lpwstr/>
  </property>
  <property fmtid="{D5CDD505-2E9C-101B-9397-08002B2CF9AE}" pid="13" name="ABCDecisionCategory">
    <vt:lpwstr/>
  </property>
  <property fmtid="{D5CDD505-2E9C-101B-9397-08002B2CF9AE}" pid="14" name="ABCRequestFrom_0">
    <vt:lpwstr/>
  </property>
  <property fmtid="{D5CDD505-2E9C-101B-9397-08002B2CF9AE}" pid="15" name="ABCAccessCaveats_0">
    <vt:lpwstr/>
  </property>
  <property fmtid="{D5CDD505-2E9C-101B-9397-08002B2CF9AE}" pid="16" name="ABCStage">
    <vt:lpwstr/>
  </property>
  <property fmtid="{D5CDD505-2E9C-101B-9397-08002B2CF9AE}" pid="17" name="ABCSecurityClassification">
    <vt:lpwstr/>
  </property>
  <property fmtid="{D5CDD505-2E9C-101B-9397-08002B2CF9AE}" pid="18" name="ABCDecisionCategory_0">
    <vt:lpwstr/>
  </property>
  <property fmtid="{D5CDD505-2E9C-101B-9397-08002B2CF9AE}" pid="19" name="ABCRequestFrom">
    <vt:lpwstr/>
  </property>
  <property fmtid="{D5CDD505-2E9C-101B-9397-08002B2CF9AE}" pid="20" name="ABCTasks">
    <vt:lpwstr/>
  </property>
  <property fmtid="{D5CDD505-2E9C-101B-9397-08002B2CF9AE}" pid="21" name="ABCStage_0">
    <vt:lpwstr/>
  </property>
  <property fmtid="{D5CDD505-2E9C-101B-9397-08002B2CF9AE}" pid="22" name="ABCRecordFlags_0">
    <vt:lpwstr/>
  </property>
  <property fmtid="{D5CDD505-2E9C-101B-9397-08002B2CF9AE}" pid="23" name="ABCRecordFlags">
    <vt:lpwstr/>
  </property>
  <property fmtid="{D5CDD505-2E9C-101B-9397-08002B2CF9AE}" pid="24" name="ABCTimeframe">
    <vt:lpwstr/>
  </property>
  <property fmtid="{D5CDD505-2E9C-101B-9397-08002B2CF9AE}" pid="25" name="ABCBriefingType_0">
    <vt:lpwstr/>
  </property>
  <property fmtid="{D5CDD505-2E9C-101B-9397-08002B2CF9AE}" pid="26" name="ABCTimeframe_0">
    <vt:lpwstr/>
  </property>
  <property fmtid="{D5CDD505-2E9C-101B-9397-08002B2CF9AE}" pid="27" name="ABCSecurityClassification_0">
    <vt:lpwstr/>
  </property>
  <property fmtid="{D5CDD505-2E9C-101B-9397-08002B2CF9AE}" pid="28" name="ABCAccessCaveats">
    <vt:lpwstr/>
  </property>
  <property fmtid="{D5CDD505-2E9C-101B-9397-08002B2CF9AE}" pid="29" name="ABCTasks_0">
    <vt:lpwstr/>
  </property>
  <property fmtid="{D5CDD505-2E9C-101B-9397-08002B2CF9AE}" pid="30" name="TaxCatchAll">
    <vt:lpwstr/>
  </property>
  <property fmtid="{D5CDD505-2E9C-101B-9397-08002B2CF9AE}" pid="31" name="ABCTimingTimeframe">
    <vt:lpwstr/>
  </property>
</Properties>
</file>