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79E" w:rsidRPr="0012760D" w:rsidRDefault="00075FC8" w:rsidP="00350F71">
      <w:pPr>
        <w:pStyle w:val="Heading1"/>
      </w:pPr>
      <w:bookmarkStart w:id="0" w:name="_GoBack"/>
      <w:bookmarkEnd w:id="0"/>
      <w:r>
        <w:t>Sustainability Victoria</w:t>
      </w:r>
      <w:r>
        <w:br/>
      </w:r>
      <w:r w:rsidR="0078679E" w:rsidRPr="0012760D">
        <w:t>Annual Report 2012 to 13</w:t>
      </w:r>
      <w:r w:rsidR="00350F71">
        <w:br/>
      </w:r>
      <w:r w:rsidR="0078679E" w:rsidRPr="0012760D">
        <w:t>F</w:t>
      </w:r>
      <w:r w:rsidR="006E6F1C" w:rsidRPr="0012760D">
        <w:t>rom the ground up</w:t>
      </w:r>
    </w:p>
    <w:p w:rsidR="00350F71" w:rsidRDefault="00350F71" w:rsidP="009D41D9">
      <w:pPr>
        <w:rPr>
          <w:sz w:val="24"/>
          <w:szCs w:val="24"/>
        </w:rPr>
      </w:pPr>
    </w:p>
    <w:p w:rsidR="009D41D9" w:rsidRPr="0012760D" w:rsidRDefault="009D41D9" w:rsidP="009D41D9">
      <w:pPr>
        <w:rPr>
          <w:sz w:val="24"/>
          <w:szCs w:val="24"/>
        </w:rPr>
      </w:pPr>
      <w:r w:rsidRPr="0012760D">
        <w:rPr>
          <w:sz w:val="24"/>
          <w:szCs w:val="24"/>
        </w:rPr>
        <w:t>Published September 2013 by Sustainability Victoria</w:t>
      </w:r>
    </w:p>
    <w:p w:rsidR="009D41D9" w:rsidRPr="0012760D" w:rsidRDefault="009D41D9" w:rsidP="009D41D9">
      <w:pPr>
        <w:rPr>
          <w:sz w:val="24"/>
          <w:szCs w:val="24"/>
        </w:rPr>
      </w:pPr>
      <w:r w:rsidRPr="0012760D">
        <w:rPr>
          <w:sz w:val="24"/>
          <w:szCs w:val="24"/>
        </w:rPr>
        <w:t>ABN 6</w:t>
      </w:r>
      <w:r w:rsidR="00236A13">
        <w:rPr>
          <w:sz w:val="24"/>
          <w:szCs w:val="24"/>
        </w:rPr>
        <w:t xml:space="preserve"> </w:t>
      </w:r>
      <w:r w:rsidRPr="0012760D">
        <w:rPr>
          <w:sz w:val="24"/>
          <w:szCs w:val="24"/>
        </w:rPr>
        <w:t>2 0</w:t>
      </w:r>
      <w:r w:rsidR="00236A13">
        <w:rPr>
          <w:sz w:val="24"/>
          <w:szCs w:val="24"/>
        </w:rPr>
        <w:t xml:space="preserve"> </w:t>
      </w:r>
      <w:r w:rsidRPr="0012760D">
        <w:rPr>
          <w:sz w:val="24"/>
          <w:szCs w:val="24"/>
        </w:rPr>
        <w:t>1</w:t>
      </w:r>
      <w:r w:rsidR="00236A13">
        <w:rPr>
          <w:sz w:val="24"/>
          <w:szCs w:val="24"/>
        </w:rPr>
        <w:t xml:space="preserve"> </w:t>
      </w:r>
      <w:r w:rsidRPr="0012760D">
        <w:rPr>
          <w:sz w:val="24"/>
          <w:szCs w:val="24"/>
        </w:rPr>
        <w:t>9 8</w:t>
      </w:r>
      <w:r w:rsidR="00236A13">
        <w:rPr>
          <w:sz w:val="24"/>
          <w:szCs w:val="24"/>
        </w:rPr>
        <w:t xml:space="preserve"> </w:t>
      </w:r>
      <w:r w:rsidRPr="0012760D">
        <w:rPr>
          <w:sz w:val="24"/>
          <w:szCs w:val="24"/>
        </w:rPr>
        <w:t>5</w:t>
      </w:r>
      <w:r w:rsidR="00236A13">
        <w:rPr>
          <w:sz w:val="24"/>
          <w:szCs w:val="24"/>
        </w:rPr>
        <w:t xml:space="preserve"> </w:t>
      </w:r>
      <w:r w:rsidRPr="0012760D">
        <w:rPr>
          <w:sz w:val="24"/>
          <w:szCs w:val="24"/>
        </w:rPr>
        <w:t>4 0</w:t>
      </w:r>
      <w:r w:rsidR="00236A13">
        <w:rPr>
          <w:sz w:val="24"/>
          <w:szCs w:val="24"/>
        </w:rPr>
        <w:t xml:space="preserve"> </w:t>
      </w:r>
      <w:r w:rsidRPr="0012760D">
        <w:rPr>
          <w:sz w:val="24"/>
          <w:szCs w:val="24"/>
        </w:rPr>
        <w:t>6</w:t>
      </w:r>
      <w:r w:rsidR="00236A13">
        <w:rPr>
          <w:sz w:val="24"/>
          <w:szCs w:val="24"/>
        </w:rPr>
        <w:t xml:space="preserve"> </w:t>
      </w:r>
      <w:r w:rsidRPr="0012760D">
        <w:rPr>
          <w:sz w:val="24"/>
          <w:szCs w:val="24"/>
        </w:rPr>
        <w:t>7</w:t>
      </w:r>
    </w:p>
    <w:p w:rsidR="009D41D9" w:rsidRPr="0012760D" w:rsidRDefault="009D41D9" w:rsidP="009D41D9">
      <w:pPr>
        <w:rPr>
          <w:sz w:val="24"/>
          <w:szCs w:val="24"/>
        </w:rPr>
      </w:pPr>
      <w:r w:rsidRPr="0012760D">
        <w:rPr>
          <w:sz w:val="24"/>
          <w:szCs w:val="24"/>
        </w:rPr>
        <w:t>Level 28, Urban Workshop</w:t>
      </w:r>
    </w:p>
    <w:p w:rsidR="009D41D9" w:rsidRPr="0012760D" w:rsidRDefault="009D41D9" w:rsidP="009D41D9">
      <w:pPr>
        <w:rPr>
          <w:sz w:val="24"/>
          <w:szCs w:val="24"/>
        </w:rPr>
      </w:pPr>
      <w:r w:rsidRPr="0012760D">
        <w:rPr>
          <w:sz w:val="24"/>
          <w:szCs w:val="24"/>
        </w:rPr>
        <w:t>50 Lonsdale Street, Melbourne</w:t>
      </w:r>
    </w:p>
    <w:p w:rsidR="009D41D9" w:rsidRPr="0012760D" w:rsidRDefault="009D41D9" w:rsidP="009D41D9">
      <w:pPr>
        <w:rPr>
          <w:sz w:val="24"/>
          <w:szCs w:val="24"/>
        </w:rPr>
      </w:pPr>
      <w:r w:rsidRPr="0012760D">
        <w:rPr>
          <w:sz w:val="24"/>
          <w:szCs w:val="24"/>
        </w:rPr>
        <w:t>Victoria 3000 Australia</w:t>
      </w:r>
    </w:p>
    <w:p w:rsidR="009D41D9" w:rsidRDefault="009D41D9" w:rsidP="009D41D9">
      <w:pPr>
        <w:rPr>
          <w:sz w:val="24"/>
          <w:szCs w:val="24"/>
        </w:rPr>
      </w:pPr>
      <w:r w:rsidRPr="0012760D">
        <w:rPr>
          <w:sz w:val="24"/>
          <w:szCs w:val="24"/>
        </w:rPr>
        <w:t>ISSN: 1836-3571</w:t>
      </w:r>
    </w:p>
    <w:p w:rsidR="00FE5268" w:rsidRPr="0012760D" w:rsidRDefault="00FE5268" w:rsidP="009D41D9">
      <w:pPr>
        <w:rPr>
          <w:sz w:val="24"/>
          <w:szCs w:val="24"/>
        </w:rPr>
      </w:pPr>
    </w:p>
    <w:p w:rsidR="009D41D9" w:rsidRPr="0012760D" w:rsidRDefault="009D41D9" w:rsidP="009D41D9">
      <w:pPr>
        <w:rPr>
          <w:sz w:val="24"/>
          <w:szCs w:val="24"/>
        </w:rPr>
      </w:pPr>
      <w:r w:rsidRPr="0012760D">
        <w:rPr>
          <w:sz w:val="24"/>
          <w:szCs w:val="24"/>
        </w:rPr>
        <w:t xml:space="preserve">Also available on </w:t>
      </w:r>
      <w:hyperlink r:id="rId6" w:history="1">
        <w:r w:rsidRPr="0012760D">
          <w:rPr>
            <w:bCs/>
            <w:sz w:val="24"/>
            <w:szCs w:val="24"/>
          </w:rPr>
          <w:t>www.sustainability.vic.gov.au</w:t>
        </w:r>
      </w:hyperlink>
    </w:p>
    <w:p w:rsidR="00FE5268" w:rsidRDefault="00FE5268" w:rsidP="009D41D9">
      <w:pPr>
        <w:rPr>
          <w:sz w:val="24"/>
          <w:szCs w:val="24"/>
        </w:rPr>
      </w:pPr>
    </w:p>
    <w:p w:rsidR="009D41D9" w:rsidRPr="0012760D" w:rsidRDefault="009D41D9" w:rsidP="009D41D9">
      <w:pPr>
        <w:rPr>
          <w:sz w:val="24"/>
          <w:szCs w:val="24"/>
        </w:rPr>
      </w:pPr>
      <w:r w:rsidRPr="0012760D">
        <w:rPr>
          <w:sz w:val="24"/>
          <w:szCs w:val="24"/>
        </w:rPr>
        <w:t>Sustainability Victoria Annual Report 2012 to 13</w:t>
      </w:r>
    </w:p>
    <w:p w:rsidR="009D41D9" w:rsidRDefault="009D41D9" w:rsidP="009D41D9">
      <w:pPr>
        <w:rPr>
          <w:sz w:val="24"/>
          <w:szCs w:val="24"/>
        </w:rPr>
      </w:pPr>
      <w:r w:rsidRPr="0012760D">
        <w:rPr>
          <w:sz w:val="24"/>
          <w:szCs w:val="24"/>
        </w:rPr>
        <w:t>© State of Victoria, Sustainability Victoria 2013</w:t>
      </w:r>
    </w:p>
    <w:p w:rsidR="00FE5268" w:rsidRPr="0012760D" w:rsidRDefault="00FE5268" w:rsidP="009D41D9">
      <w:pPr>
        <w:rPr>
          <w:sz w:val="24"/>
          <w:szCs w:val="24"/>
        </w:rPr>
      </w:pPr>
    </w:p>
    <w:p w:rsidR="009D41D9" w:rsidRDefault="009D41D9" w:rsidP="009D41D9">
      <w:pPr>
        <w:rPr>
          <w:sz w:val="24"/>
          <w:szCs w:val="24"/>
        </w:rPr>
      </w:pPr>
      <w:r w:rsidRPr="0012760D">
        <w:rPr>
          <w:sz w:val="24"/>
          <w:szCs w:val="24"/>
        </w:rPr>
        <w:t>This publication is copyright. No part may be reproduced by any process except in accordance with the provisions of the Copyright Act 1968.</w:t>
      </w:r>
    </w:p>
    <w:p w:rsidR="00FE5268" w:rsidRPr="0012760D" w:rsidRDefault="00FE5268" w:rsidP="009D41D9">
      <w:pPr>
        <w:rPr>
          <w:sz w:val="24"/>
          <w:szCs w:val="24"/>
        </w:rPr>
      </w:pPr>
    </w:p>
    <w:p w:rsidR="009D41D9" w:rsidRDefault="009D41D9" w:rsidP="009D41D9">
      <w:pPr>
        <w:rPr>
          <w:sz w:val="24"/>
          <w:szCs w:val="24"/>
        </w:rPr>
      </w:pPr>
      <w:r w:rsidRPr="0012760D">
        <w:rPr>
          <w:sz w:val="24"/>
          <w:szCs w:val="24"/>
        </w:rPr>
        <w:t>Authorised by Sustainability Victoria, Level 28, Urban Workshop, 50 Lonsdale Street, Melbourne Victoria 3000 Australia. Designed by Wellmark.</w:t>
      </w:r>
    </w:p>
    <w:p w:rsidR="00FE5268" w:rsidRPr="0012760D" w:rsidRDefault="00FE5268" w:rsidP="009D41D9">
      <w:pPr>
        <w:rPr>
          <w:sz w:val="24"/>
          <w:szCs w:val="24"/>
        </w:rPr>
      </w:pPr>
    </w:p>
    <w:p w:rsidR="009D41D9" w:rsidRDefault="009D41D9" w:rsidP="009D41D9">
      <w:pPr>
        <w:rPr>
          <w:sz w:val="24"/>
          <w:szCs w:val="24"/>
        </w:rPr>
      </w:pPr>
      <w:r w:rsidRPr="0012760D">
        <w:rPr>
          <w:sz w:val="24"/>
          <w:szCs w:val="24"/>
        </w:rPr>
        <w:t>While reasonable efforts have been made to ensure that the contents of this publication are factually correct, Sustainability Victoria gives no warranty regarding its accuracy, completeness, currency or suitability for any particular purpose and to the extent permitted by law, does not accept any liability for loss or damages incurred as a result of reliance placed upon the content of this publication. This publication is provided on the basis that all persons accessing it undertake responsibility for assessing the relevance and accuracy of its content.</w:t>
      </w:r>
    </w:p>
    <w:p w:rsidR="00FE5268" w:rsidRPr="0012760D" w:rsidRDefault="00FE5268" w:rsidP="009D41D9">
      <w:pPr>
        <w:rPr>
          <w:sz w:val="24"/>
          <w:szCs w:val="24"/>
        </w:rPr>
      </w:pPr>
    </w:p>
    <w:p w:rsidR="009D41D9" w:rsidRDefault="009D41D9" w:rsidP="009D41D9">
      <w:pPr>
        <w:rPr>
          <w:sz w:val="24"/>
          <w:szCs w:val="24"/>
        </w:rPr>
      </w:pPr>
      <w:r w:rsidRPr="0012760D">
        <w:rPr>
          <w:sz w:val="24"/>
          <w:szCs w:val="24"/>
        </w:rPr>
        <w:t>Sustainability Victoria Annual Report 2012 to 13 should be attributed to Sustainability Victoria.</w:t>
      </w:r>
    </w:p>
    <w:p w:rsidR="00FE5268" w:rsidRPr="0012760D" w:rsidRDefault="00FE5268" w:rsidP="009D41D9">
      <w:pPr>
        <w:rPr>
          <w:sz w:val="24"/>
          <w:szCs w:val="24"/>
        </w:rPr>
      </w:pPr>
    </w:p>
    <w:p w:rsidR="009D41D9" w:rsidRPr="0012760D" w:rsidRDefault="009D41D9" w:rsidP="009D41D9">
      <w:pPr>
        <w:rPr>
          <w:sz w:val="24"/>
          <w:szCs w:val="24"/>
        </w:rPr>
      </w:pPr>
      <w:r w:rsidRPr="0012760D">
        <w:rPr>
          <w:sz w:val="24"/>
          <w:szCs w:val="24"/>
        </w:rPr>
        <w:t xml:space="preserve">Sustainability Victoria Annual Report 2012 to 13 (excluding all case studies) is licensed under a Creative Commons Attribution 3.0 Australia licence. In essence, you are free to copy, distribute and adapt the work, as long as you attribute the work and abide by the other licence terms. To view a copy of this licence, visit: </w:t>
      </w:r>
      <w:hyperlink r:id="rId7" w:history="1">
        <w:r w:rsidRPr="0012760D">
          <w:rPr>
            <w:bCs/>
            <w:sz w:val="24"/>
            <w:szCs w:val="24"/>
          </w:rPr>
          <w:t>http://creativecommons.org/licenses/by/3.0.au/</w:t>
        </w:r>
      </w:hyperlink>
    </w:p>
    <w:p w:rsidR="00F53B08" w:rsidRDefault="00F53B08" w:rsidP="00F53B08">
      <w:pPr>
        <w:rPr>
          <w:bCs/>
          <w:sz w:val="24"/>
          <w:szCs w:val="24"/>
        </w:rPr>
      </w:pPr>
      <w:r w:rsidRPr="0012760D">
        <w:rPr>
          <w:bCs/>
          <w:sz w:val="24"/>
          <w:szCs w:val="24"/>
        </w:rPr>
        <w:t>&lt;pp&gt; 1</w:t>
      </w:r>
    </w:p>
    <w:p w:rsidR="00FE5268" w:rsidRDefault="00FE5268" w:rsidP="00F53B08">
      <w:pPr>
        <w:rPr>
          <w:bCs/>
          <w:sz w:val="24"/>
          <w:szCs w:val="24"/>
        </w:rPr>
      </w:pPr>
    </w:p>
    <w:p w:rsidR="00FE5268" w:rsidRPr="0012760D" w:rsidRDefault="00FE5268" w:rsidP="00F53B08">
      <w:pPr>
        <w:rPr>
          <w:sz w:val="24"/>
          <w:szCs w:val="24"/>
        </w:rPr>
      </w:pPr>
    </w:p>
    <w:p w:rsidR="00F53B08" w:rsidRDefault="00F53B08" w:rsidP="00FE5268">
      <w:pPr>
        <w:pStyle w:val="Heading1"/>
      </w:pPr>
      <w:r w:rsidRPr="0012760D">
        <w:t>Table of Contents</w:t>
      </w:r>
    </w:p>
    <w:p w:rsidR="00FE5268" w:rsidRPr="0012760D" w:rsidRDefault="00FE5268" w:rsidP="00F53B08">
      <w:pPr>
        <w:rPr>
          <w:sz w:val="24"/>
          <w:szCs w:val="24"/>
        </w:rPr>
      </w:pPr>
    </w:p>
    <w:p w:rsidR="00F53B08" w:rsidRPr="0012760D" w:rsidRDefault="00F53B08" w:rsidP="00F53B08">
      <w:pPr>
        <w:rPr>
          <w:sz w:val="24"/>
          <w:szCs w:val="24"/>
        </w:rPr>
      </w:pPr>
      <w:r w:rsidRPr="0012760D">
        <w:rPr>
          <w:bCs/>
          <w:sz w:val="24"/>
          <w:szCs w:val="24"/>
        </w:rPr>
        <w:t xml:space="preserve">Part 1 </w:t>
      </w:r>
      <w:r w:rsidRPr="0012760D">
        <w:rPr>
          <w:sz w:val="24"/>
          <w:szCs w:val="24"/>
        </w:rPr>
        <w:t>Foreword from the Chair and CEO 2</w:t>
      </w:r>
    </w:p>
    <w:p w:rsidR="00F53B08" w:rsidRPr="0012760D" w:rsidRDefault="00F53B08" w:rsidP="00F53B08">
      <w:pPr>
        <w:rPr>
          <w:sz w:val="24"/>
          <w:szCs w:val="24"/>
        </w:rPr>
      </w:pPr>
      <w:r w:rsidRPr="0012760D">
        <w:rPr>
          <w:bCs/>
          <w:sz w:val="24"/>
          <w:szCs w:val="24"/>
        </w:rPr>
        <w:t xml:space="preserve">Part 2 </w:t>
      </w:r>
      <w:r w:rsidRPr="0012760D">
        <w:rPr>
          <w:sz w:val="24"/>
          <w:szCs w:val="24"/>
        </w:rPr>
        <w:t>About Sustainability Victoria 4</w:t>
      </w:r>
    </w:p>
    <w:p w:rsidR="00F53B08" w:rsidRPr="0012760D" w:rsidRDefault="00F53B08" w:rsidP="00F53B08">
      <w:pPr>
        <w:rPr>
          <w:sz w:val="24"/>
          <w:szCs w:val="24"/>
        </w:rPr>
      </w:pPr>
      <w:r w:rsidRPr="0012760D">
        <w:rPr>
          <w:bCs/>
          <w:sz w:val="24"/>
          <w:szCs w:val="24"/>
        </w:rPr>
        <w:t xml:space="preserve">Part 3 </w:t>
      </w:r>
      <w:r w:rsidRPr="0012760D">
        <w:rPr>
          <w:sz w:val="24"/>
          <w:szCs w:val="24"/>
        </w:rPr>
        <w:t>Our Board and Executive Team 6</w:t>
      </w:r>
    </w:p>
    <w:p w:rsidR="00F53B08" w:rsidRPr="0012760D" w:rsidRDefault="00F53B08" w:rsidP="00F53B08">
      <w:pPr>
        <w:rPr>
          <w:sz w:val="24"/>
          <w:szCs w:val="24"/>
        </w:rPr>
      </w:pPr>
      <w:r w:rsidRPr="0012760D">
        <w:rPr>
          <w:bCs/>
          <w:sz w:val="24"/>
          <w:szCs w:val="24"/>
        </w:rPr>
        <w:t xml:space="preserve">Part 4 </w:t>
      </w:r>
      <w:r w:rsidRPr="0012760D">
        <w:rPr>
          <w:sz w:val="24"/>
          <w:szCs w:val="24"/>
        </w:rPr>
        <w:t>Our Performance 7</w:t>
      </w:r>
    </w:p>
    <w:p w:rsidR="00F53B08" w:rsidRPr="0012760D" w:rsidRDefault="00F53B08" w:rsidP="00F53B08">
      <w:pPr>
        <w:rPr>
          <w:sz w:val="24"/>
          <w:szCs w:val="24"/>
        </w:rPr>
      </w:pPr>
      <w:r w:rsidRPr="0012760D">
        <w:rPr>
          <w:sz w:val="24"/>
          <w:szCs w:val="24"/>
        </w:rPr>
        <w:t>Integrated Waste Management 8</w:t>
      </w:r>
    </w:p>
    <w:p w:rsidR="00F53B08" w:rsidRPr="0012760D" w:rsidRDefault="00F53B08" w:rsidP="00F53B08">
      <w:pPr>
        <w:rPr>
          <w:sz w:val="24"/>
          <w:szCs w:val="24"/>
        </w:rPr>
      </w:pPr>
      <w:r w:rsidRPr="0012760D">
        <w:rPr>
          <w:sz w:val="24"/>
          <w:szCs w:val="24"/>
        </w:rPr>
        <w:lastRenderedPageBreak/>
        <w:t>Resource Efficiency 19</w:t>
      </w:r>
    </w:p>
    <w:p w:rsidR="00F53B08" w:rsidRPr="0012760D" w:rsidRDefault="00F53B08" w:rsidP="00F53B08">
      <w:pPr>
        <w:rPr>
          <w:sz w:val="24"/>
          <w:szCs w:val="24"/>
        </w:rPr>
      </w:pPr>
      <w:r w:rsidRPr="0012760D">
        <w:rPr>
          <w:sz w:val="24"/>
          <w:szCs w:val="24"/>
        </w:rPr>
        <w:t>Building our Capabilities 25</w:t>
      </w:r>
    </w:p>
    <w:p w:rsidR="00F53B08" w:rsidRPr="0012760D" w:rsidRDefault="00F53B08" w:rsidP="00F53B08">
      <w:pPr>
        <w:rPr>
          <w:sz w:val="24"/>
          <w:szCs w:val="24"/>
        </w:rPr>
      </w:pPr>
      <w:r w:rsidRPr="0012760D">
        <w:rPr>
          <w:bCs/>
          <w:sz w:val="24"/>
          <w:szCs w:val="24"/>
        </w:rPr>
        <w:t xml:space="preserve">Part 5 </w:t>
      </w:r>
      <w:r w:rsidRPr="0012760D">
        <w:rPr>
          <w:sz w:val="24"/>
          <w:szCs w:val="24"/>
        </w:rPr>
        <w:t>Summary of Financial Performance 30</w:t>
      </w:r>
    </w:p>
    <w:p w:rsidR="00F53B08" w:rsidRPr="0012760D" w:rsidRDefault="00F53B08" w:rsidP="00F53B08">
      <w:pPr>
        <w:rPr>
          <w:sz w:val="24"/>
          <w:szCs w:val="24"/>
        </w:rPr>
      </w:pPr>
      <w:r w:rsidRPr="0012760D">
        <w:rPr>
          <w:bCs/>
          <w:sz w:val="24"/>
          <w:szCs w:val="24"/>
        </w:rPr>
        <w:t xml:space="preserve">Part 6 </w:t>
      </w:r>
      <w:r w:rsidRPr="0012760D">
        <w:rPr>
          <w:sz w:val="24"/>
          <w:szCs w:val="24"/>
        </w:rPr>
        <w:t>Annual Financial Statements 32</w:t>
      </w:r>
    </w:p>
    <w:p w:rsidR="00F53B08" w:rsidRPr="0012760D" w:rsidRDefault="00F53B08" w:rsidP="00F53B08">
      <w:pPr>
        <w:rPr>
          <w:sz w:val="24"/>
          <w:szCs w:val="24"/>
        </w:rPr>
      </w:pPr>
      <w:r w:rsidRPr="0012760D">
        <w:rPr>
          <w:bCs/>
          <w:sz w:val="24"/>
          <w:szCs w:val="24"/>
        </w:rPr>
        <w:t xml:space="preserve">Part 7 </w:t>
      </w:r>
      <w:r w:rsidRPr="0012760D">
        <w:rPr>
          <w:sz w:val="24"/>
          <w:szCs w:val="24"/>
        </w:rPr>
        <w:t>Notes to the Financial Statements 35</w:t>
      </w:r>
    </w:p>
    <w:p w:rsidR="00F53B08" w:rsidRPr="0012760D" w:rsidRDefault="00F53B08" w:rsidP="00F53B08">
      <w:pPr>
        <w:rPr>
          <w:sz w:val="24"/>
          <w:szCs w:val="24"/>
        </w:rPr>
      </w:pPr>
      <w:r w:rsidRPr="0012760D">
        <w:rPr>
          <w:bCs/>
          <w:sz w:val="24"/>
          <w:szCs w:val="24"/>
        </w:rPr>
        <w:t xml:space="preserve">Part 8 </w:t>
      </w:r>
      <w:r w:rsidRPr="0012760D">
        <w:rPr>
          <w:sz w:val="24"/>
          <w:szCs w:val="24"/>
        </w:rPr>
        <w:t>Legislative Compliance 55</w:t>
      </w:r>
    </w:p>
    <w:p w:rsidR="00F53B08" w:rsidRPr="0012760D" w:rsidRDefault="00F53B08" w:rsidP="00F53B08">
      <w:pPr>
        <w:rPr>
          <w:sz w:val="24"/>
          <w:szCs w:val="24"/>
        </w:rPr>
      </w:pPr>
      <w:r w:rsidRPr="0012760D">
        <w:rPr>
          <w:bCs/>
          <w:sz w:val="24"/>
          <w:szCs w:val="24"/>
        </w:rPr>
        <w:t xml:space="preserve">Part 9 </w:t>
      </w:r>
      <w:r w:rsidRPr="0012760D">
        <w:rPr>
          <w:sz w:val="24"/>
          <w:szCs w:val="24"/>
        </w:rPr>
        <w:t>Disclosure Index 58</w:t>
      </w:r>
    </w:p>
    <w:p w:rsidR="00F53B08" w:rsidRPr="0012760D" w:rsidRDefault="00F53B08" w:rsidP="00F53B08">
      <w:pPr>
        <w:rPr>
          <w:sz w:val="24"/>
          <w:szCs w:val="24"/>
        </w:rPr>
      </w:pPr>
      <w:r w:rsidRPr="0012760D">
        <w:rPr>
          <w:bCs/>
          <w:sz w:val="24"/>
          <w:szCs w:val="24"/>
        </w:rPr>
        <w:t xml:space="preserve">Part 10 </w:t>
      </w:r>
      <w:r w:rsidRPr="0012760D">
        <w:rPr>
          <w:sz w:val="24"/>
          <w:szCs w:val="24"/>
        </w:rPr>
        <w:t>Landfill Levy 60</w:t>
      </w:r>
    </w:p>
    <w:p w:rsidR="00F53B08" w:rsidRPr="0012760D" w:rsidRDefault="00F53B08" w:rsidP="00F53B08">
      <w:pPr>
        <w:rPr>
          <w:sz w:val="24"/>
          <w:szCs w:val="24"/>
        </w:rPr>
      </w:pPr>
      <w:r w:rsidRPr="0012760D">
        <w:rPr>
          <w:bCs/>
          <w:sz w:val="24"/>
          <w:szCs w:val="24"/>
        </w:rPr>
        <w:t xml:space="preserve">Part 11 </w:t>
      </w:r>
      <w:r w:rsidRPr="0012760D">
        <w:rPr>
          <w:sz w:val="24"/>
          <w:szCs w:val="24"/>
        </w:rPr>
        <w:t>Sustainability Fund 61</w:t>
      </w:r>
    </w:p>
    <w:p w:rsidR="00F53B08" w:rsidRPr="0012760D" w:rsidRDefault="00F53B08" w:rsidP="00F53B08">
      <w:pPr>
        <w:rPr>
          <w:sz w:val="24"/>
          <w:szCs w:val="24"/>
        </w:rPr>
      </w:pPr>
      <w:r w:rsidRPr="0012760D">
        <w:rPr>
          <w:bCs/>
          <w:sz w:val="24"/>
          <w:szCs w:val="24"/>
        </w:rPr>
        <w:t xml:space="preserve">Appendix 1 </w:t>
      </w:r>
      <w:r w:rsidRPr="0012760D">
        <w:rPr>
          <w:sz w:val="24"/>
          <w:szCs w:val="24"/>
        </w:rPr>
        <w:t>Board Member and Operations 62</w:t>
      </w:r>
    </w:p>
    <w:p w:rsidR="00F53B08" w:rsidRPr="0012760D" w:rsidRDefault="00F53B08" w:rsidP="00F53B08">
      <w:pPr>
        <w:rPr>
          <w:sz w:val="24"/>
          <w:szCs w:val="24"/>
        </w:rPr>
      </w:pPr>
      <w:r w:rsidRPr="0012760D">
        <w:rPr>
          <w:bCs/>
          <w:sz w:val="24"/>
          <w:szCs w:val="24"/>
        </w:rPr>
        <w:t xml:space="preserve">Appendix 2 </w:t>
      </w:r>
      <w:r w:rsidRPr="0012760D">
        <w:rPr>
          <w:sz w:val="24"/>
          <w:szCs w:val="24"/>
        </w:rPr>
        <w:t>Greenhouse Gas Inventory Statement 66</w:t>
      </w:r>
    </w:p>
    <w:p w:rsidR="00F53B08" w:rsidRPr="0012760D" w:rsidRDefault="00F53B08" w:rsidP="00F53B08">
      <w:pPr>
        <w:rPr>
          <w:sz w:val="24"/>
          <w:szCs w:val="24"/>
        </w:rPr>
      </w:pPr>
      <w:r w:rsidRPr="0012760D">
        <w:rPr>
          <w:bCs/>
          <w:sz w:val="24"/>
          <w:szCs w:val="24"/>
        </w:rPr>
        <w:t xml:space="preserve">Appendix 3 </w:t>
      </w:r>
      <w:r w:rsidRPr="0012760D">
        <w:rPr>
          <w:sz w:val="24"/>
          <w:szCs w:val="24"/>
        </w:rPr>
        <w:t>Our Workforce 67</w:t>
      </w:r>
    </w:p>
    <w:p w:rsidR="00F53B08" w:rsidRPr="0012760D" w:rsidRDefault="00F53B08" w:rsidP="00F53B08">
      <w:pPr>
        <w:rPr>
          <w:sz w:val="24"/>
          <w:szCs w:val="24"/>
        </w:rPr>
      </w:pPr>
      <w:r w:rsidRPr="0012760D">
        <w:rPr>
          <w:bCs/>
          <w:sz w:val="24"/>
          <w:szCs w:val="24"/>
        </w:rPr>
        <w:t xml:space="preserve">Appendix 4 </w:t>
      </w:r>
      <w:r w:rsidRPr="0012760D">
        <w:rPr>
          <w:sz w:val="24"/>
          <w:szCs w:val="24"/>
        </w:rPr>
        <w:t>Our Executive Officers 68</w:t>
      </w:r>
    </w:p>
    <w:p w:rsidR="00F53B08" w:rsidRPr="0012760D" w:rsidRDefault="00F53B08" w:rsidP="00F53B08">
      <w:pPr>
        <w:rPr>
          <w:sz w:val="24"/>
          <w:szCs w:val="24"/>
        </w:rPr>
      </w:pPr>
      <w:r w:rsidRPr="0012760D">
        <w:rPr>
          <w:bCs/>
          <w:sz w:val="24"/>
          <w:szCs w:val="24"/>
        </w:rPr>
        <w:t xml:space="preserve">Appendix 5 </w:t>
      </w:r>
      <w:r w:rsidRPr="0012760D">
        <w:rPr>
          <w:sz w:val="24"/>
          <w:szCs w:val="24"/>
        </w:rPr>
        <w:t xml:space="preserve">Occupational Health </w:t>
      </w:r>
      <w:r w:rsidR="00236A13">
        <w:rPr>
          <w:sz w:val="24"/>
          <w:szCs w:val="24"/>
        </w:rPr>
        <w:t>and</w:t>
      </w:r>
      <w:r w:rsidRPr="0012760D">
        <w:rPr>
          <w:sz w:val="24"/>
          <w:szCs w:val="24"/>
        </w:rPr>
        <w:t xml:space="preserve"> Safety Statement 69</w:t>
      </w:r>
    </w:p>
    <w:p w:rsidR="00F53B08" w:rsidRPr="0012760D" w:rsidRDefault="00F53B08" w:rsidP="00F53B08">
      <w:pPr>
        <w:rPr>
          <w:sz w:val="24"/>
          <w:szCs w:val="24"/>
        </w:rPr>
      </w:pPr>
      <w:r w:rsidRPr="0012760D">
        <w:rPr>
          <w:bCs/>
          <w:sz w:val="24"/>
          <w:szCs w:val="24"/>
        </w:rPr>
        <w:t xml:space="preserve">Appendix 6 </w:t>
      </w:r>
      <w:r w:rsidRPr="0012760D">
        <w:rPr>
          <w:sz w:val="24"/>
          <w:szCs w:val="24"/>
        </w:rPr>
        <w:t xml:space="preserve">Occupational Health </w:t>
      </w:r>
      <w:r w:rsidR="00236A13">
        <w:rPr>
          <w:sz w:val="24"/>
          <w:szCs w:val="24"/>
        </w:rPr>
        <w:t>and</w:t>
      </w:r>
      <w:r w:rsidRPr="0012760D">
        <w:rPr>
          <w:sz w:val="24"/>
          <w:szCs w:val="24"/>
        </w:rPr>
        <w:t xml:space="preserve"> Safety Performance 70</w:t>
      </w:r>
    </w:p>
    <w:p w:rsidR="00F53B08" w:rsidRPr="0012760D" w:rsidRDefault="00F53B08" w:rsidP="00F53B08">
      <w:pPr>
        <w:rPr>
          <w:sz w:val="24"/>
          <w:szCs w:val="24"/>
        </w:rPr>
      </w:pPr>
      <w:r w:rsidRPr="0012760D">
        <w:rPr>
          <w:bCs/>
          <w:sz w:val="24"/>
          <w:szCs w:val="24"/>
        </w:rPr>
        <w:t xml:space="preserve">Appendix 7 </w:t>
      </w:r>
      <w:r w:rsidRPr="0012760D">
        <w:rPr>
          <w:sz w:val="24"/>
          <w:szCs w:val="24"/>
        </w:rPr>
        <w:t>Our Office-Based Environmental Performance 71</w:t>
      </w:r>
    </w:p>
    <w:p w:rsidR="00F53B08" w:rsidRPr="0012760D" w:rsidRDefault="00F53B08" w:rsidP="00F53B08">
      <w:pPr>
        <w:rPr>
          <w:sz w:val="24"/>
          <w:szCs w:val="24"/>
        </w:rPr>
      </w:pPr>
      <w:r w:rsidRPr="0012760D">
        <w:rPr>
          <w:bCs/>
          <w:sz w:val="24"/>
          <w:szCs w:val="24"/>
        </w:rPr>
        <w:t xml:space="preserve">Appendix 8 </w:t>
      </w:r>
      <w:r w:rsidRPr="0012760D">
        <w:rPr>
          <w:sz w:val="24"/>
          <w:szCs w:val="24"/>
        </w:rPr>
        <w:t>Whistleblower 74</w:t>
      </w:r>
    </w:p>
    <w:p w:rsidR="00F53B08" w:rsidRPr="0012760D" w:rsidRDefault="00F53B08" w:rsidP="00F53B08">
      <w:pPr>
        <w:rPr>
          <w:sz w:val="24"/>
          <w:szCs w:val="24"/>
        </w:rPr>
      </w:pPr>
      <w:r w:rsidRPr="0012760D">
        <w:rPr>
          <w:bCs/>
          <w:sz w:val="24"/>
          <w:szCs w:val="24"/>
        </w:rPr>
        <w:t xml:space="preserve">Appendix 9 </w:t>
      </w:r>
      <w:r w:rsidRPr="0012760D">
        <w:rPr>
          <w:sz w:val="24"/>
          <w:szCs w:val="24"/>
        </w:rPr>
        <w:t>Sustainability Fund Allocations 83</w:t>
      </w:r>
    </w:p>
    <w:p w:rsidR="00F53B08" w:rsidRPr="0012760D" w:rsidRDefault="00F53B08" w:rsidP="00F53B08">
      <w:pPr>
        <w:rPr>
          <w:sz w:val="24"/>
          <w:szCs w:val="24"/>
        </w:rPr>
      </w:pPr>
      <w:r w:rsidRPr="0012760D">
        <w:rPr>
          <w:bCs/>
          <w:sz w:val="24"/>
          <w:szCs w:val="24"/>
        </w:rPr>
        <w:t xml:space="preserve">Appendix 10 </w:t>
      </w:r>
      <w:r w:rsidRPr="0012760D">
        <w:rPr>
          <w:sz w:val="24"/>
          <w:szCs w:val="24"/>
        </w:rPr>
        <w:t>Insurance Attestation 88</w:t>
      </w:r>
    </w:p>
    <w:p w:rsidR="00F53B08" w:rsidRPr="0012760D" w:rsidRDefault="00F53B08" w:rsidP="00F53B08">
      <w:pPr>
        <w:rPr>
          <w:sz w:val="24"/>
          <w:szCs w:val="24"/>
        </w:rPr>
      </w:pPr>
      <w:r w:rsidRPr="0012760D">
        <w:rPr>
          <w:bCs/>
          <w:sz w:val="24"/>
          <w:szCs w:val="24"/>
        </w:rPr>
        <w:t xml:space="preserve">Appendix 11 </w:t>
      </w:r>
      <w:r w:rsidRPr="0012760D">
        <w:rPr>
          <w:sz w:val="24"/>
          <w:szCs w:val="24"/>
        </w:rPr>
        <w:t>Chair</w:t>
      </w:r>
      <w:r w:rsidR="00234778" w:rsidRPr="0012760D">
        <w:rPr>
          <w:sz w:val="24"/>
          <w:szCs w:val="24"/>
        </w:rPr>
        <w:t>'</w:t>
      </w:r>
      <w:r w:rsidRPr="0012760D">
        <w:rPr>
          <w:sz w:val="24"/>
          <w:szCs w:val="24"/>
        </w:rPr>
        <w:t>s Attestation 89</w:t>
      </w:r>
    </w:p>
    <w:p w:rsidR="00234778" w:rsidRDefault="00234778" w:rsidP="00234778">
      <w:pPr>
        <w:rPr>
          <w:bCs/>
          <w:sz w:val="24"/>
          <w:szCs w:val="24"/>
        </w:rPr>
      </w:pPr>
      <w:r w:rsidRPr="0012760D">
        <w:rPr>
          <w:bCs/>
          <w:sz w:val="24"/>
          <w:szCs w:val="24"/>
        </w:rPr>
        <w:t>&lt;pp&gt; 2</w:t>
      </w:r>
    </w:p>
    <w:p w:rsidR="00FE5268" w:rsidRDefault="00FE5268" w:rsidP="00234778">
      <w:pPr>
        <w:rPr>
          <w:bCs/>
          <w:sz w:val="24"/>
          <w:szCs w:val="24"/>
        </w:rPr>
      </w:pPr>
    </w:p>
    <w:p w:rsidR="00FE5268" w:rsidRPr="0012760D" w:rsidRDefault="00FE5268" w:rsidP="00234778">
      <w:pPr>
        <w:rPr>
          <w:sz w:val="24"/>
          <w:szCs w:val="24"/>
        </w:rPr>
      </w:pPr>
    </w:p>
    <w:p w:rsidR="00234778" w:rsidRDefault="00234778" w:rsidP="00FE5268">
      <w:pPr>
        <w:pStyle w:val="Heading1"/>
      </w:pPr>
      <w:r w:rsidRPr="0012760D">
        <w:t>Part 1</w:t>
      </w:r>
      <w:r w:rsidR="00FE5268">
        <w:br/>
      </w:r>
      <w:r w:rsidRPr="0012760D">
        <w:t>Foreword from the Chair and CEO</w:t>
      </w:r>
    </w:p>
    <w:p w:rsidR="00FE5268" w:rsidRPr="0012760D" w:rsidRDefault="00FE5268" w:rsidP="00234778">
      <w:pPr>
        <w:rPr>
          <w:sz w:val="24"/>
          <w:szCs w:val="24"/>
        </w:rPr>
      </w:pPr>
    </w:p>
    <w:p w:rsidR="00234778" w:rsidRDefault="00234778" w:rsidP="00234778">
      <w:pPr>
        <w:rPr>
          <w:bCs/>
          <w:sz w:val="24"/>
          <w:szCs w:val="24"/>
        </w:rPr>
      </w:pPr>
      <w:r w:rsidRPr="0012760D">
        <w:rPr>
          <w:bCs/>
          <w:sz w:val="24"/>
          <w:szCs w:val="24"/>
        </w:rPr>
        <w:t>In 2012, we commenced our transformation to an organisation more focused on outcomes and stakeholder needs. Through the efforts of our dedicated people and the input from our many stakeholders</w:t>
      </w:r>
      <w:r w:rsidR="00FE5268">
        <w:rPr>
          <w:bCs/>
          <w:sz w:val="24"/>
          <w:szCs w:val="24"/>
        </w:rPr>
        <w:t>, we now have a new strategy - S</w:t>
      </w:r>
      <w:r w:rsidRPr="0012760D">
        <w:rPr>
          <w:bCs/>
          <w:sz w:val="24"/>
          <w:szCs w:val="24"/>
        </w:rPr>
        <w:t>V2015 - our organisation's keystone, which ensures we have a clear focus and a business model designed to enable delivery.</w:t>
      </w:r>
    </w:p>
    <w:p w:rsidR="00FE5268" w:rsidRPr="0012760D" w:rsidRDefault="00FE5268" w:rsidP="00234778">
      <w:pPr>
        <w:rPr>
          <w:sz w:val="24"/>
          <w:szCs w:val="24"/>
        </w:rPr>
      </w:pPr>
    </w:p>
    <w:p w:rsidR="00234778" w:rsidRDefault="00234778" w:rsidP="00234778">
      <w:pPr>
        <w:rPr>
          <w:sz w:val="24"/>
          <w:szCs w:val="24"/>
        </w:rPr>
      </w:pPr>
      <w:r w:rsidRPr="0012760D">
        <w:rPr>
          <w:sz w:val="24"/>
          <w:szCs w:val="24"/>
        </w:rPr>
        <w:t>To ensure our success, we welcomed three new members to our executive leadership team and implemented significant governance reforms to optimise board processes. With a strong board and executive team in place and a clear strategy for the future, the organisation is now set up for success.</w:t>
      </w:r>
    </w:p>
    <w:p w:rsidR="00FE5268" w:rsidRPr="0012760D" w:rsidRDefault="00FE5268" w:rsidP="00234778">
      <w:pPr>
        <w:rPr>
          <w:sz w:val="24"/>
          <w:szCs w:val="24"/>
        </w:rPr>
      </w:pPr>
    </w:p>
    <w:p w:rsidR="00234778" w:rsidRDefault="00234778" w:rsidP="00234778">
      <w:pPr>
        <w:rPr>
          <w:sz w:val="24"/>
          <w:szCs w:val="24"/>
        </w:rPr>
      </w:pPr>
      <w:r w:rsidRPr="0012760D">
        <w:rPr>
          <w:sz w:val="24"/>
          <w:szCs w:val="24"/>
        </w:rPr>
        <w:t>SV is now fully engaged in statewide waste planning, the development of critical waste and recycling infrastructure, and the development of new markets for recycled materials. We have also continued to promote the sustainable use of resources across all sectors of the economy, with a particular focus on the business sector.</w:t>
      </w:r>
    </w:p>
    <w:p w:rsidR="00FE5268" w:rsidRPr="0012760D" w:rsidRDefault="00FE5268" w:rsidP="00234778">
      <w:pPr>
        <w:rPr>
          <w:sz w:val="24"/>
          <w:szCs w:val="24"/>
        </w:rPr>
      </w:pPr>
    </w:p>
    <w:p w:rsidR="00234778" w:rsidRDefault="00234778" w:rsidP="00234778">
      <w:pPr>
        <w:rPr>
          <w:sz w:val="24"/>
          <w:szCs w:val="24"/>
        </w:rPr>
      </w:pPr>
      <w:r w:rsidRPr="0012760D">
        <w:rPr>
          <w:sz w:val="24"/>
          <w:szCs w:val="24"/>
        </w:rPr>
        <w:t>Coupling waste reduction with an efficient use of resources, including materials and energy, is fundamental to Victoria's liveability and prosperity. Better management of waste and resources also has strong advantages for Victoria's productivity and competitiveness.</w:t>
      </w:r>
    </w:p>
    <w:p w:rsidR="00FE5268" w:rsidRPr="0012760D" w:rsidRDefault="00FE5268" w:rsidP="00234778">
      <w:pPr>
        <w:rPr>
          <w:sz w:val="24"/>
          <w:szCs w:val="24"/>
        </w:rPr>
      </w:pPr>
    </w:p>
    <w:p w:rsidR="00234778" w:rsidRDefault="00234778" w:rsidP="00234778">
      <w:pPr>
        <w:rPr>
          <w:sz w:val="24"/>
          <w:szCs w:val="24"/>
        </w:rPr>
      </w:pPr>
      <w:r w:rsidRPr="0012760D">
        <w:rPr>
          <w:sz w:val="24"/>
          <w:szCs w:val="24"/>
        </w:rPr>
        <w:t xml:space="preserve">Through our statewide regional engagement team, we have continually looked for opportunities for regional Victorians to access programs that deliver integrated waste </w:t>
      </w:r>
      <w:r w:rsidRPr="0012760D">
        <w:rPr>
          <w:sz w:val="24"/>
          <w:szCs w:val="24"/>
        </w:rPr>
        <w:lastRenderedPageBreak/>
        <w:t>management and resource efficiency outcomes. We launched a new program called SV @ your doorstep, which focuses on delivering sustainable initiatives to rural areas and provincial cities. To ensure excellence in service delivery and to maximise access, we have provided better, more practical guidance and improved services to stakeholders.</w:t>
      </w:r>
    </w:p>
    <w:p w:rsidR="00FE5268" w:rsidRPr="0012760D" w:rsidRDefault="00FE5268" w:rsidP="00234778">
      <w:pPr>
        <w:rPr>
          <w:sz w:val="24"/>
          <w:szCs w:val="24"/>
        </w:rPr>
      </w:pPr>
    </w:p>
    <w:p w:rsidR="00234778" w:rsidRDefault="00234778" w:rsidP="00234778">
      <w:pPr>
        <w:rPr>
          <w:sz w:val="24"/>
          <w:szCs w:val="24"/>
        </w:rPr>
      </w:pPr>
      <w:r w:rsidRPr="0012760D">
        <w:rPr>
          <w:sz w:val="24"/>
          <w:szCs w:val="24"/>
        </w:rPr>
        <w:t>We have also continued our commitment to equipping Victoria's future leaders for a more sustainable future, through our ResourceSmart AuSSI Vic program. This year, 221 new Victorian schools joined the program, which has increased the total number of participants to more than 900 schools.</w:t>
      </w:r>
    </w:p>
    <w:p w:rsidR="00FE5268" w:rsidRPr="0012760D" w:rsidRDefault="00FE5268" w:rsidP="00234778">
      <w:pPr>
        <w:rPr>
          <w:sz w:val="24"/>
          <w:szCs w:val="24"/>
        </w:rPr>
      </w:pPr>
    </w:p>
    <w:p w:rsidR="00234778" w:rsidRDefault="00234778" w:rsidP="00234778">
      <w:pPr>
        <w:rPr>
          <w:sz w:val="24"/>
          <w:szCs w:val="24"/>
        </w:rPr>
      </w:pPr>
      <w:r w:rsidRPr="0012760D">
        <w:rPr>
          <w:sz w:val="24"/>
          <w:szCs w:val="24"/>
        </w:rPr>
        <w:t>Considering our programs more broadly, all of those we have put in place in 2012 to 13 are aligned to our strategic priorities of integrated waste management and resource and energy efficiency.</w:t>
      </w:r>
    </w:p>
    <w:p w:rsidR="00FE5268" w:rsidRPr="0012760D" w:rsidRDefault="00FE5268" w:rsidP="00234778">
      <w:pPr>
        <w:rPr>
          <w:sz w:val="24"/>
          <w:szCs w:val="24"/>
        </w:rPr>
      </w:pPr>
    </w:p>
    <w:p w:rsidR="00234778" w:rsidRPr="0012760D" w:rsidRDefault="00234778" w:rsidP="00234778">
      <w:pPr>
        <w:rPr>
          <w:sz w:val="24"/>
          <w:szCs w:val="24"/>
        </w:rPr>
      </w:pPr>
      <w:r w:rsidRPr="0012760D">
        <w:rPr>
          <w:sz w:val="24"/>
          <w:szCs w:val="24"/>
        </w:rPr>
        <w:t xml:space="preserve">In April 2013, the Victorian Government released </w:t>
      </w:r>
      <w:r w:rsidRPr="0012760D">
        <w:rPr>
          <w:i/>
          <w:iCs/>
          <w:sz w:val="24"/>
          <w:szCs w:val="24"/>
        </w:rPr>
        <w:t>Getting full value: Victorian Waste and Resource Recovery Policy</w:t>
      </w:r>
      <w:r w:rsidRPr="0012760D">
        <w:rPr>
          <w:sz w:val="24"/>
          <w:szCs w:val="24"/>
        </w:rPr>
        <w:t>. The policy sets a 30-year vision for Victoria and policy priorities for the next 10 years, providing the context to the work we commenced in 2012, such as the development of a statewide waste and resource recovery and infrastructure plan. Preparation of the plan had already commenced under SV2015 and will be released for consultation in late 2013.</w:t>
      </w:r>
    </w:p>
    <w:p w:rsidR="00991AAF" w:rsidRDefault="00991AAF" w:rsidP="00991AAF">
      <w:pPr>
        <w:rPr>
          <w:bCs/>
          <w:sz w:val="24"/>
          <w:szCs w:val="24"/>
        </w:rPr>
      </w:pPr>
      <w:r w:rsidRPr="0012760D">
        <w:rPr>
          <w:bCs/>
          <w:sz w:val="24"/>
          <w:szCs w:val="24"/>
        </w:rPr>
        <w:t>&lt;pp&gt; 3</w:t>
      </w:r>
    </w:p>
    <w:p w:rsidR="00FE5268" w:rsidRPr="0012760D" w:rsidRDefault="00FE5268" w:rsidP="00991AAF">
      <w:pPr>
        <w:rPr>
          <w:sz w:val="24"/>
          <w:szCs w:val="24"/>
        </w:rPr>
      </w:pPr>
    </w:p>
    <w:p w:rsidR="00991AAF" w:rsidRDefault="00991AAF" w:rsidP="00991AAF">
      <w:pPr>
        <w:rPr>
          <w:sz w:val="24"/>
          <w:szCs w:val="24"/>
        </w:rPr>
      </w:pPr>
      <w:r w:rsidRPr="0012760D">
        <w:rPr>
          <w:sz w:val="24"/>
          <w:szCs w:val="24"/>
        </w:rPr>
        <w:t xml:space="preserve">Most of our existing programs align well with </w:t>
      </w:r>
      <w:r w:rsidRPr="0012760D">
        <w:rPr>
          <w:i/>
          <w:iCs/>
          <w:sz w:val="24"/>
          <w:szCs w:val="24"/>
        </w:rPr>
        <w:t xml:space="preserve">Getting full value. </w:t>
      </w:r>
      <w:r w:rsidRPr="0012760D">
        <w:rPr>
          <w:sz w:val="24"/>
          <w:szCs w:val="24"/>
        </w:rPr>
        <w:t xml:space="preserve">To ensure that our ongoing and future programs strongly reflect the priorities of </w:t>
      </w:r>
      <w:r w:rsidRPr="0012760D">
        <w:rPr>
          <w:i/>
          <w:iCs/>
          <w:sz w:val="24"/>
          <w:szCs w:val="24"/>
        </w:rPr>
        <w:t xml:space="preserve">Getting full value, </w:t>
      </w:r>
      <w:r w:rsidRPr="0012760D">
        <w:rPr>
          <w:sz w:val="24"/>
          <w:szCs w:val="24"/>
        </w:rPr>
        <w:t>our business plans for financial years 2013 to 14 and 2014 to 15 will be directed towards reinforcing governmental policy.</w:t>
      </w:r>
    </w:p>
    <w:p w:rsidR="00FE5268" w:rsidRPr="0012760D" w:rsidRDefault="00FE5268" w:rsidP="00991AAF">
      <w:pPr>
        <w:rPr>
          <w:sz w:val="24"/>
          <w:szCs w:val="24"/>
        </w:rPr>
      </w:pPr>
    </w:p>
    <w:p w:rsidR="00991AAF" w:rsidRDefault="00991AAF" w:rsidP="00991AAF">
      <w:pPr>
        <w:rPr>
          <w:sz w:val="24"/>
          <w:szCs w:val="24"/>
        </w:rPr>
      </w:pPr>
      <w:r w:rsidRPr="0012760D">
        <w:rPr>
          <w:sz w:val="24"/>
          <w:szCs w:val="24"/>
        </w:rPr>
        <w:t>As part of the Victorian Government's Conserve, Invest and Save strategy, we launched the $6.5 million Resource Recovery Infrastructure (RRI) fund to assist the development of major infrastructure to recycle and recover commercial and industrial waste and boost jobs in this sector. This complemented the Driving Investment in New Recycling (DINR) program, and the $10 million Smarter Resources, Smarter Business program that will help provide Victorian businesses the support they need to implement resource-efficiency solutions that will help boost their bottom line and lessen their impact on the environment.</w:t>
      </w:r>
    </w:p>
    <w:p w:rsidR="00FE5268" w:rsidRPr="0012760D" w:rsidRDefault="00FE5268" w:rsidP="00991AAF">
      <w:pPr>
        <w:rPr>
          <w:sz w:val="24"/>
          <w:szCs w:val="24"/>
        </w:rPr>
      </w:pPr>
    </w:p>
    <w:p w:rsidR="00991AAF" w:rsidRDefault="00991AAF" w:rsidP="00991AAF">
      <w:pPr>
        <w:rPr>
          <w:sz w:val="24"/>
          <w:szCs w:val="24"/>
        </w:rPr>
      </w:pPr>
      <w:r w:rsidRPr="0012760D">
        <w:rPr>
          <w:sz w:val="24"/>
          <w:szCs w:val="24"/>
        </w:rPr>
        <w:t>The year also saw a review of existing programs to determine their effectiveness and relevance to the Victorian community and refocus our efforts on new priorities. For instance, our introduction of a hot-water system rebate more than a decade ago has been successful in fostering a sustainable and well-established industry, allowing culmination of this program. We are pleased to report that, by the conclusion of the program in June 2013, more than 39,000 Victorian households have accessed the solar hot-water rebate, representing a combined saving in excess of $10 million per year. More than half of new homes in Victoria now install solar hot water, and 90% of solar hot-water systems are installed in new homes.</w:t>
      </w:r>
    </w:p>
    <w:p w:rsidR="00FE5268" w:rsidRPr="0012760D" w:rsidRDefault="00FE5268" w:rsidP="00991AAF">
      <w:pPr>
        <w:rPr>
          <w:sz w:val="24"/>
          <w:szCs w:val="24"/>
        </w:rPr>
      </w:pPr>
    </w:p>
    <w:p w:rsidR="00991AAF" w:rsidRDefault="00991AAF" w:rsidP="00991AAF">
      <w:pPr>
        <w:rPr>
          <w:sz w:val="24"/>
          <w:szCs w:val="24"/>
        </w:rPr>
      </w:pPr>
      <w:r w:rsidRPr="0012760D">
        <w:rPr>
          <w:sz w:val="24"/>
          <w:szCs w:val="24"/>
        </w:rPr>
        <w:t>It is with pleasure and pride that as Chair and CEO, respectively, we present this Annual Report 2012 to 13 as the official record of a year of significant change and achievement for Sustainability Victoria.</w:t>
      </w:r>
    </w:p>
    <w:p w:rsidR="00FE5268" w:rsidRPr="0012760D" w:rsidRDefault="00FE5268" w:rsidP="00991AAF">
      <w:pPr>
        <w:rPr>
          <w:sz w:val="24"/>
          <w:szCs w:val="24"/>
        </w:rPr>
      </w:pPr>
    </w:p>
    <w:p w:rsidR="00991AAF" w:rsidRPr="0012760D" w:rsidRDefault="00991AAF" w:rsidP="00991AAF">
      <w:pPr>
        <w:rPr>
          <w:sz w:val="24"/>
          <w:szCs w:val="24"/>
        </w:rPr>
      </w:pPr>
      <w:r w:rsidRPr="0012760D">
        <w:rPr>
          <w:sz w:val="24"/>
          <w:szCs w:val="24"/>
        </w:rPr>
        <w:t>Doctor Gillian Sparkes</w:t>
      </w:r>
    </w:p>
    <w:p w:rsidR="00991AAF" w:rsidRDefault="00991AAF" w:rsidP="00991AAF">
      <w:pPr>
        <w:rPr>
          <w:sz w:val="24"/>
          <w:szCs w:val="24"/>
        </w:rPr>
      </w:pPr>
      <w:r w:rsidRPr="0012760D">
        <w:rPr>
          <w:sz w:val="24"/>
          <w:szCs w:val="24"/>
        </w:rPr>
        <w:t>Chair</w:t>
      </w:r>
    </w:p>
    <w:p w:rsidR="00FE5268" w:rsidRPr="0012760D" w:rsidRDefault="00FE5268" w:rsidP="00991AAF">
      <w:pPr>
        <w:rPr>
          <w:sz w:val="24"/>
          <w:szCs w:val="24"/>
        </w:rPr>
      </w:pPr>
    </w:p>
    <w:p w:rsidR="00991AAF" w:rsidRPr="0012760D" w:rsidRDefault="00991AAF" w:rsidP="00991AAF">
      <w:pPr>
        <w:rPr>
          <w:sz w:val="24"/>
          <w:szCs w:val="24"/>
        </w:rPr>
      </w:pPr>
      <w:r w:rsidRPr="0012760D">
        <w:rPr>
          <w:sz w:val="24"/>
          <w:szCs w:val="24"/>
        </w:rPr>
        <w:t>Stan Krpan</w:t>
      </w:r>
    </w:p>
    <w:p w:rsidR="00991AAF" w:rsidRDefault="00991AAF" w:rsidP="00991AAF">
      <w:pPr>
        <w:rPr>
          <w:sz w:val="24"/>
          <w:szCs w:val="24"/>
        </w:rPr>
      </w:pPr>
      <w:r w:rsidRPr="0012760D">
        <w:rPr>
          <w:sz w:val="24"/>
          <w:szCs w:val="24"/>
        </w:rPr>
        <w:t>Chief Executive Officer</w:t>
      </w:r>
    </w:p>
    <w:p w:rsidR="00FE5268" w:rsidRPr="0012760D" w:rsidRDefault="00FE5268" w:rsidP="00991AAF">
      <w:pPr>
        <w:rPr>
          <w:sz w:val="24"/>
          <w:szCs w:val="24"/>
        </w:rPr>
      </w:pPr>
    </w:p>
    <w:p w:rsidR="00991AAF" w:rsidRPr="0012760D" w:rsidRDefault="00991AAF" w:rsidP="00991AAF">
      <w:pPr>
        <w:rPr>
          <w:sz w:val="24"/>
          <w:szCs w:val="24"/>
        </w:rPr>
      </w:pPr>
      <w:r w:rsidRPr="0012760D">
        <w:rPr>
          <w:sz w:val="24"/>
          <w:szCs w:val="24"/>
        </w:rPr>
        <w:t>Photo: Doctor Gillian Sparkes</w:t>
      </w:r>
    </w:p>
    <w:p w:rsidR="00991AAF" w:rsidRPr="0012760D" w:rsidRDefault="00991AAF" w:rsidP="00991AAF">
      <w:pPr>
        <w:rPr>
          <w:sz w:val="24"/>
          <w:szCs w:val="24"/>
        </w:rPr>
      </w:pPr>
      <w:r w:rsidRPr="0012760D">
        <w:rPr>
          <w:sz w:val="24"/>
          <w:szCs w:val="24"/>
        </w:rPr>
        <w:t>Chair</w:t>
      </w:r>
    </w:p>
    <w:p w:rsidR="00FE5268" w:rsidRDefault="00FE5268" w:rsidP="00991AAF">
      <w:pPr>
        <w:rPr>
          <w:sz w:val="24"/>
          <w:szCs w:val="24"/>
        </w:rPr>
      </w:pPr>
    </w:p>
    <w:p w:rsidR="00991AAF" w:rsidRPr="0012760D" w:rsidRDefault="00991AAF" w:rsidP="00991AAF">
      <w:pPr>
        <w:rPr>
          <w:sz w:val="24"/>
          <w:szCs w:val="24"/>
        </w:rPr>
      </w:pPr>
      <w:r w:rsidRPr="0012760D">
        <w:rPr>
          <w:sz w:val="24"/>
          <w:szCs w:val="24"/>
        </w:rPr>
        <w:t>Photo: Stan Krpan</w:t>
      </w:r>
    </w:p>
    <w:p w:rsidR="00991AAF" w:rsidRPr="0012760D" w:rsidRDefault="00991AAF" w:rsidP="00991AAF">
      <w:pPr>
        <w:rPr>
          <w:sz w:val="24"/>
          <w:szCs w:val="24"/>
        </w:rPr>
      </w:pPr>
      <w:r w:rsidRPr="0012760D">
        <w:rPr>
          <w:sz w:val="24"/>
          <w:szCs w:val="24"/>
        </w:rPr>
        <w:t>Chief Executive Officer</w:t>
      </w:r>
    </w:p>
    <w:p w:rsidR="00C645AF" w:rsidRDefault="00C645AF" w:rsidP="00C645AF">
      <w:pPr>
        <w:rPr>
          <w:bCs/>
          <w:sz w:val="24"/>
          <w:szCs w:val="24"/>
        </w:rPr>
      </w:pPr>
      <w:r w:rsidRPr="0012760D">
        <w:rPr>
          <w:bCs/>
          <w:sz w:val="24"/>
          <w:szCs w:val="24"/>
        </w:rPr>
        <w:t>&lt;pp&gt; 4</w:t>
      </w:r>
    </w:p>
    <w:p w:rsidR="00FE5268" w:rsidRDefault="00FE5268" w:rsidP="00C645AF">
      <w:pPr>
        <w:rPr>
          <w:bCs/>
          <w:sz w:val="24"/>
          <w:szCs w:val="24"/>
        </w:rPr>
      </w:pPr>
    </w:p>
    <w:p w:rsidR="00FE5268" w:rsidRPr="0012760D" w:rsidRDefault="00FE5268" w:rsidP="00C645AF">
      <w:pPr>
        <w:rPr>
          <w:sz w:val="24"/>
          <w:szCs w:val="24"/>
        </w:rPr>
      </w:pPr>
    </w:p>
    <w:p w:rsidR="00C645AF" w:rsidRDefault="00C645AF" w:rsidP="00FE5268">
      <w:pPr>
        <w:pStyle w:val="Heading1"/>
      </w:pPr>
      <w:r w:rsidRPr="0012760D">
        <w:t>Part 2</w:t>
      </w:r>
      <w:r w:rsidR="00FE5268">
        <w:br/>
      </w:r>
      <w:r w:rsidRPr="0012760D">
        <w:t>About Sustainability Victoria</w:t>
      </w:r>
    </w:p>
    <w:p w:rsidR="00FE5268" w:rsidRPr="0012760D" w:rsidRDefault="00FE5268" w:rsidP="00C645AF">
      <w:pPr>
        <w:rPr>
          <w:sz w:val="24"/>
          <w:szCs w:val="24"/>
        </w:rPr>
      </w:pPr>
    </w:p>
    <w:p w:rsidR="00C645AF" w:rsidRDefault="00C645AF" w:rsidP="00C645AF">
      <w:pPr>
        <w:rPr>
          <w:bCs/>
          <w:sz w:val="24"/>
          <w:szCs w:val="24"/>
        </w:rPr>
      </w:pPr>
      <w:r w:rsidRPr="0012760D">
        <w:rPr>
          <w:bCs/>
          <w:sz w:val="24"/>
          <w:szCs w:val="24"/>
        </w:rPr>
        <w:t xml:space="preserve">Sustainability Victoria (SV) is a Victorian Government Statutory Authority established under the </w:t>
      </w:r>
      <w:r w:rsidRPr="0012760D">
        <w:rPr>
          <w:bCs/>
          <w:i/>
          <w:iCs/>
          <w:sz w:val="24"/>
          <w:szCs w:val="24"/>
        </w:rPr>
        <w:t xml:space="preserve">Sustainability Victoria Act 2005 </w:t>
      </w:r>
      <w:r w:rsidRPr="0012760D">
        <w:rPr>
          <w:bCs/>
          <w:sz w:val="24"/>
          <w:szCs w:val="24"/>
        </w:rPr>
        <w:t>(Vic).</w:t>
      </w:r>
    </w:p>
    <w:p w:rsidR="00FE5268" w:rsidRPr="0012760D" w:rsidRDefault="00FE5268" w:rsidP="00C645AF">
      <w:pPr>
        <w:rPr>
          <w:sz w:val="24"/>
          <w:szCs w:val="24"/>
        </w:rPr>
      </w:pPr>
    </w:p>
    <w:p w:rsidR="00C645AF" w:rsidRDefault="00C645AF" w:rsidP="00C645AF">
      <w:pPr>
        <w:rPr>
          <w:sz w:val="24"/>
          <w:szCs w:val="24"/>
        </w:rPr>
      </w:pPr>
      <w:r w:rsidRPr="0012760D">
        <w:rPr>
          <w:sz w:val="24"/>
          <w:szCs w:val="24"/>
        </w:rPr>
        <w:t>The responsible Minister for the period from 1 July 2012 to 30 June 2013 was the Hon. Ryan Smith MP, Minister for Environment and Climate Change.</w:t>
      </w:r>
    </w:p>
    <w:p w:rsidR="00FE5268" w:rsidRPr="0012760D" w:rsidRDefault="00FE5268" w:rsidP="00C645AF">
      <w:pPr>
        <w:rPr>
          <w:sz w:val="24"/>
          <w:szCs w:val="24"/>
        </w:rPr>
      </w:pPr>
    </w:p>
    <w:p w:rsidR="00C645AF" w:rsidRDefault="00C645AF" w:rsidP="00C645AF">
      <w:pPr>
        <w:rPr>
          <w:sz w:val="24"/>
          <w:szCs w:val="24"/>
        </w:rPr>
      </w:pPr>
      <w:r w:rsidRPr="0012760D">
        <w:rPr>
          <w:sz w:val="24"/>
          <w:szCs w:val="24"/>
        </w:rPr>
        <w:t>Through practical programs, investment and support, SV helps households and businesses adopt more sustainable practices to ensure a healthy environment, community and economy, now and for the future.</w:t>
      </w:r>
    </w:p>
    <w:p w:rsidR="00FE5268" w:rsidRDefault="00FE5268" w:rsidP="00C645AF">
      <w:pPr>
        <w:rPr>
          <w:sz w:val="24"/>
          <w:szCs w:val="24"/>
        </w:rPr>
      </w:pPr>
    </w:p>
    <w:p w:rsidR="00FE5268" w:rsidRPr="0012760D" w:rsidRDefault="00FE5268" w:rsidP="00C645AF">
      <w:pPr>
        <w:rPr>
          <w:sz w:val="24"/>
          <w:szCs w:val="24"/>
        </w:rPr>
      </w:pPr>
    </w:p>
    <w:p w:rsidR="00C645AF" w:rsidRDefault="00C645AF" w:rsidP="00FE5268">
      <w:pPr>
        <w:pStyle w:val="Heading2"/>
      </w:pPr>
      <w:r w:rsidRPr="0012760D">
        <w:t>Objectives, Functions and Powers</w:t>
      </w:r>
    </w:p>
    <w:p w:rsidR="00FE5268" w:rsidRPr="0012760D" w:rsidRDefault="00FE5268" w:rsidP="00C645AF">
      <w:pPr>
        <w:rPr>
          <w:sz w:val="24"/>
          <w:szCs w:val="24"/>
        </w:rPr>
      </w:pPr>
    </w:p>
    <w:p w:rsidR="00C645AF" w:rsidRDefault="00C645AF" w:rsidP="00C645AF">
      <w:pPr>
        <w:rPr>
          <w:sz w:val="24"/>
          <w:szCs w:val="24"/>
        </w:rPr>
      </w:pPr>
      <w:r w:rsidRPr="0012760D">
        <w:rPr>
          <w:sz w:val="24"/>
          <w:szCs w:val="24"/>
        </w:rPr>
        <w:t>Our Objectives are to facilitate and promote environmental sustainability in the use of resources.</w:t>
      </w:r>
    </w:p>
    <w:p w:rsidR="00FE5268" w:rsidRPr="0012760D" w:rsidRDefault="00FE5268" w:rsidP="00C645AF">
      <w:pPr>
        <w:rPr>
          <w:sz w:val="24"/>
          <w:szCs w:val="24"/>
        </w:rPr>
      </w:pPr>
    </w:p>
    <w:p w:rsidR="00C645AF" w:rsidRDefault="00C645AF" w:rsidP="00C645AF">
      <w:pPr>
        <w:rPr>
          <w:sz w:val="24"/>
          <w:szCs w:val="24"/>
        </w:rPr>
      </w:pPr>
      <w:r w:rsidRPr="0012760D">
        <w:rPr>
          <w:sz w:val="24"/>
          <w:szCs w:val="24"/>
        </w:rPr>
        <w:t>Our functions are contained in the Sustainability Victoria Act 2005, Part 2(7).</w:t>
      </w:r>
    </w:p>
    <w:p w:rsidR="00FE5268" w:rsidRPr="0012760D" w:rsidRDefault="00FE5268" w:rsidP="00C645AF">
      <w:pPr>
        <w:rPr>
          <w:sz w:val="24"/>
          <w:szCs w:val="24"/>
        </w:rPr>
      </w:pPr>
    </w:p>
    <w:p w:rsidR="00C645AF" w:rsidRDefault="00C645AF" w:rsidP="00C645AF">
      <w:pPr>
        <w:rPr>
          <w:sz w:val="24"/>
          <w:szCs w:val="24"/>
        </w:rPr>
      </w:pPr>
      <w:r w:rsidRPr="0012760D">
        <w:rPr>
          <w:sz w:val="24"/>
          <w:szCs w:val="24"/>
        </w:rPr>
        <w:t>Our powers are contained in the Sustainability Victoria Act 2005, Part 2(8).</w:t>
      </w:r>
    </w:p>
    <w:p w:rsidR="00FE5268" w:rsidRDefault="00FE5268" w:rsidP="00C645AF">
      <w:pPr>
        <w:rPr>
          <w:sz w:val="24"/>
          <w:szCs w:val="24"/>
        </w:rPr>
      </w:pPr>
    </w:p>
    <w:p w:rsidR="00FE5268" w:rsidRPr="0012760D" w:rsidRDefault="00FE5268" w:rsidP="00C645AF">
      <w:pPr>
        <w:rPr>
          <w:sz w:val="24"/>
          <w:szCs w:val="24"/>
        </w:rPr>
      </w:pPr>
    </w:p>
    <w:p w:rsidR="00C645AF" w:rsidRDefault="00C645AF" w:rsidP="00FE5268">
      <w:pPr>
        <w:pStyle w:val="Heading2"/>
      </w:pPr>
      <w:r w:rsidRPr="0012760D">
        <w:t>Our Role</w:t>
      </w:r>
    </w:p>
    <w:p w:rsidR="00FE5268" w:rsidRPr="0012760D" w:rsidRDefault="00FE5268" w:rsidP="00C645AF">
      <w:pPr>
        <w:rPr>
          <w:sz w:val="24"/>
          <w:szCs w:val="24"/>
        </w:rPr>
      </w:pPr>
    </w:p>
    <w:p w:rsidR="00C645AF" w:rsidRDefault="00C645AF" w:rsidP="00C645AF">
      <w:pPr>
        <w:rPr>
          <w:sz w:val="24"/>
          <w:szCs w:val="24"/>
        </w:rPr>
      </w:pPr>
      <w:r w:rsidRPr="0012760D">
        <w:rPr>
          <w:sz w:val="24"/>
          <w:szCs w:val="24"/>
        </w:rPr>
        <w:t>SV implements government policies and initiatives through targeted programs with a measurable impact in integrated waste management and resource efficiency (energy and materials).</w:t>
      </w:r>
    </w:p>
    <w:p w:rsidR="00FE5268" w:rsidRDefault="00FE5268" w:rsidP="00C645AF">
      <w:pPr>
        <w:rPr>
          <w:sz w:val="24"/>
          <w:szCs w:val="24"/>
        </w:rPr>
      </w:pPr>
    </w:p>
    <w:p w:rsidR="00FE5268" w:rsidRPr="0012760D" w:rsidRDefault="00FE5268" w:rsidP="00C645AF">
      <w:pPr>
        <w:rPr>
          <w:sz w:val="24"/>
          <w:szCs w:val="24"/>
        </w:rPr>
      </w:pPr>
    </w:p>
    <w:p w:rsidR="00C645AF" w:rsidRDefault="00C645AF" w:rsidP="00FE5268">
      <w:pPr>
        <w:pStyle w:val="Heading2"/>
      </w:pPr>
      <w:r w:rsidRPr="0012760D">
        <w:t>Our Vision</w:t>
      </w:r>
    </w:p>
    <w:p w:rsidR="00FE5268" w:rsidRPr="0012760D" w:rsidRDefault="00FE5268" w:rsidP="00C645AF">
      <w:pPr>
        <w:rPr>
          <w:sz w:val="24"/>
          <w:szCs w:val="24"/>
        </w:rPr>
      </w:pPr>
    </w:p>
    <w:p w:rsidR="00C645AF" w:rsidRDefault="00C645AF" w:rsidP="00C645AF">
      <w:pPr>
        <w:rPr>
          <w:sz w:val="24"/>
          <w:szCs w:val="24"/>
        </w:rPr>
      </w:pPr>
      <w:r w:rsidRPr="0012760D">
        <w:rPr>
          <w:sz w:val="24"/>
          <w:szCs w:val="24"/>
        </w:rPr>
        <w:t>To maximise value from resources to support a liveable and prosperous Victoria.</w:t>
      </w:r>
    </w:p>
    <w:p w:rsidR="00FE5268" w:rsidRPr="0012760D" w:rsidRDefault="00FE5268" w:rsidP="00C645AF">
      <w:pPr>
        <w:rPr>
          <w:sz w:val="24"/>
          <w:szCs w:val="24"/>
        </w:rPr>
      </w:pPr>
    </w:p>
    <w:p w:rsidR="00C645AF" w:rsidRPr="0012760D" w:rsidRDefault="00C645AF" w:rsidP="00C645AF">
      <w:pPr>
        <w:rPr>
          <w:sz w:val="24"/>
          <w:szCs w:val="24"/>
        </w:rPr>
      </w:pPr>
      <w:r w:rsidRPr="0012760D">
        <w:rPr>
          <w:sz w:val="24"/>
          <w:szCs w:val="24"/>
        </w:rPr>
        <w:t>SV:</w:t>
      </w:r>
    </w:p>
    <w:p w:rsidR="00C645AF" w:rsidRPr="0012760D" w:rsidRDefault="00C645AF" w:rsidP="00C645AF">
      <w:pPr>
        <w:rPr>
          <w:sz w:val="24"/>
          <w:szCs w:val="24"/>
        </w:rPr>
      </w:pPr>
      <w:r w:rsidRPr="0012760D">
        <w:rPr>
          <w:sz w:val="24"/>
          <w:szCs w:val="24"/>
        </w:rPr>
        <w:t>• provides statewide leadership in waste management</w:t>
      </w:r>
    </w:p>
    <w:p w:rsidR="00C645AF" w:rsidRPr="0012760D" w:rsidRDefault="00C645AF" w:rsidP="00C645AF">
      <w:pPr>
        <w:rPr>
          <w:sz w:val="24"/>
          <w:szCs w:val="24"/>
        </w:rPr>
      </w:pPr>
      <w:r w:rsidRPr="0012760D">
        <w:rPr>
          <w:sz w:val="24"/>
          <w:szCs w:val="24"/>
        </w:rPr>
        <w:t xml:space="preserve">• implements key aspects of the current waste strategy </w:t>
      </w:r>
      <w:r w:rsidRPr="0012760D">
        <w:rPr>
          <w:i/>
          <w:iCs/>
          <w:sz w:val="24"/>
          <w:szCs w:val="24"/>
        </w:rPr>
        <w:t>Getting full value: Victorian Waste and Resource Recovery Policy</w:t>
      </w:r>
    </w:p>
    <w:p w:rsidR="00C645AF" w:rsidRPr="0012760D" w:rsidRDefault="00C645AF" w:rsidP="00C645AF">
      <w:pPr>
        <w:rPr>
          <w:sz w:val="24"/>
          <w:szCs w:val="24"/>
        </w:rPr>
      </w:pPr>
      <w:r w:rsidRPr="0012760D">
        <w:rPr>
          <w:sz w:val="24"/>
          <w:szCs w:val="24"/>
        </w:rPr>
        <w:t>• works closely with agencies in the environment portfolio (Department of Envi</w:t>
      </w:r>
      <w:r w:rsidR="00FE5268">
        <w:rPr>
          <w:sz w:val="24"/>
          <w:szCs w:val="24"/>
        </w:rPr>
        <w:t>ronment and Primary Industries (</w:t>
      </w:r>
      <w:r w:rsidRPr="0012760D">
        <w:rPr>
          <w:sz w:val="24"/>
          <w:szCs w:val="24"/>
        </w:rPr>
        <w:t>D</w:t>
      </w:r>
      <w:r w:rsidR="00236A13">
        <w:rPr>
          <w:sz w:val="24"/>
          <w:szCs w:val="24"/>
        </w:rPr>
        <w:t xml:space="preserve"> </w:t>
      </w:r>
      <w:r w:rsidRPr="0012760D">
        <w:rPr>
          <w:sz w:val="24"/>
          <w:szCs w:val="24"/>
        </w:rPr>
        <w:t>E</w:t>
      </w:r>
      <w:r w:rsidR="00236A13">
        <w:rPr>
          <w:sz w:val="24"/>
          <w:szCs w:val="24"/>
        </w:rPr>
        <w:t xml:space="preserve"> </w:t>
      </w:r>
      <w:r w:rsidRPr="0012760D">
        <w:rPr>
          <w:sz w:val="24"/>
          <w:szCs w:val="24"/>
        </w:rPr>
        <w:t>P</w:t>
      </w:r>
      <w:r w:rsidR="00236A13">
        <w:rPr>
          <w:sz w:val="24"/>
          <w:szCs w:val="24"/>
        </w:rPr>
        <w:t xml:space="preserve"> </w:t>
      </w:r>
      <w:r w:rsidRPr="0012760D">
        <w:rPr>
          <w:sz w:val="24"/>
          <w:szCs w:val="24"/>
        </w:rPr>
        <w:t>I</w:t>
      </w:r>
      <w:r w:rsidR="00FE5268">
        <w:rPr>
          <w:sz w:val="24"/>
          <w:szCs w:val="24"/>
        </w:rPr>
        <w:t>)</w:t>
      </w:r>
      <w:r w:rsidRPr="0012760D">
        <w:rPr>
          <w:sz w:val="24"/>
          <w:szCs w:val="24"/>
        </w:rPr>
        <w:t>, Environment</w:t>
      </w:r>
      <w:r w:rsidR="00FE5268">
        <w:rPr>
          <w:sz w:val="24"/>
          <w:szCs w:val="24"/>
        </w:rPr>
        <w:t xml:space="preserve"> Protection Authority Victoria (</w:t>
      </w:r>
      <w:r w:rsidRPr="0012760D">
        <w:rPr>
          <w:sz w:val="24"/>
          <w:szCs w:val="24"/>
        </w:rPr>
        <w:t>EPA</w:t>
      </w:r>
      <w:r w:rsidR="00FE5268">
        <w:rPr>
          <w:sz w:val="24"/>
          <w:szCs w:val="24"/>
        </w:rPr>
        <w:t>)</w:t>
      </w:r>
      <w:r w:rsidRPr="0012760D">
        <w:rPr>
          <w:sz w:val="24"/>
          <w:szCs w:val="24"/>
        </w:rPr>
        <w:t xml:space="preserve">, Metropolitan Waste Management Group </w:t>
      </w:r>
      <w:r w:rsidR="00FE5268">
        <w:rPr>
          <w:sz w:val="24"/>
          <w:szCs w:val="24"/>
        </w:rPr>
        <w:t>(</w:t>
      </w:r>
      <w:r w:rsidRPr="0012760D">
        <w:rPr>
          <w:sz w:val="24"/>
          <w:szCs w:val="24"/>
        </w:rPr>
        <w:t>MWMG</w:t>
      </w:r>
      <w:r w:rsidR="00FE5268">
        <w:rPr>
          <w:sz w:val="24"/>
          <w:szCs w:val="24"/>
        </w:rPr>
        <w:t>)</w:t>
      </w:r>
      <w:r w:rsidRPr="0012760D">
        <w:rPr>
          <w:sz w:val="24"/>
          <w:szCs w:val="24"/>
        </w:rPr>
        <w:t xml:space="preserve"> and Regional Waste Managem</w:t>
      </w:r>
      <w:r w:rsidR="00FE5268">
        <w:rPr>
          <w:sz w:val="24"/>
          <w:szCs w:val="24"/>
        </w:rPr>
        <w:t>ent Groups (</w:t>
      </w:r>
      <w:r w:rsidRPr="0012760D">
        <w:rPr>
          <w:sz w:val="24"/>
          <w:szCs w:val="24"/>
        </w:rPr>
        <w:t>RWMGs</w:t>
      </w:r>
      <w:r w:rsidR="00FE5268">
        <w:rPr>
          <w:sz w:val="24"/>
          <w:szCs w:val="24"/>
        </w:rPr>
        <w:t>)</w:t>
      </w:r>
      <w:r w:rsidRPr="0012760D">
        <w:rPr>
          <w:sz w:val="24"/>
          <w:szCs w:val="24"/>
        </w:rPr>
        <w:t>) to reduce waste and increase resource recovery</w:t>
      </w:r>
    </w:p>
    <w:p w:rsidR="00C645AF" w:rsidRDefault="00C645AF" w:rsidP="00C645AF">
      <w:pPr>
        <w:rPr>
          <w:sz w:val="24"/>
          <w:szCs w:val="24"/>
        </w:rPr>
      </w:pPr>
      <w:r w:rsidRPr="0012760D">
        <w:rPr>
          <w:sz w:val="24"/>
          <w:szCs w:val="24"/>
        </w:rPr>
        <w:t>• works to improve materials and energy efficiency in selected sectors to help achieve the Victorian Government</w:t>
      </w:r>
      <w:r w:rsidR="00907E0B" w:rsidRPr="0012760D">
        <w:rPr>
          <w:sz w:val="24"/>
          <w:szCs w:val="24"/>
        </w:rPr>
        <w:t>'</w:t>
      </w:r>
      <w:r w:rsidRPr="0012760D">
        <w:rPr>
          <w:sz w:val="24"/>
          <w:szCs w:val="24"/>
        </w:rPr>
        <w:t>s policy objectives. These objectives are to reduce pressures on the costs of living and of doing business, to ensure a secure and reliable energy supply and reduce greenhouse gases.</w:t>
      </w:r>
    </w:p>
    <w:p w:rsidR="00FE5268" w:rsidRDefault="00FE5268" w:rsidP="00C645AF">
      <w:pPr>
        <w:rPr>
          <w:sz w:val="24"/>
          <w:szCs w:val="24"/>
        </w:rPr>
      </w:pPr>
    </w:p>
    <w:p w:rsidR="00FE5268" w:rsidRPr="0012760D" w:rsidRDefault="00FE5268" w:rsidP="00C645AF">
      <w:pPr>
        <w:rPr>
          <w:sz w:val="24"/>
          <w:szCs w:val="24"/>
        </w:rPr>
      </w:pPr>
    </w:p>
    <w:p w:rsidR="00C645AF" w:rsidRDefault="00C645AF" w:rsidP="00FE5268">
      <w:pPr>
        <w:pStyle w:val="Heading2"/>
      </w:pPr>
      <w:r w:rsidRPr="0012760D">
        <w:t>Our Stakeholders</w:t>
      </w:r>
    </w:p>
    <w:p w:rsidR="00FE5268" w:rsidRPr="0012760D" w:rsidRDefault="00FE5268" w:rsidP="00C645AF">
      <w:pPr>
        <w:rPr>
          <w:sz w:val="24"/>
          <w:szCs w:val="24"/>
        </w:rPr>
      </w:pPr>
    </w:p>
    <w:p w:rsidR="00C645AF" w:rsidRDefault="00C645AF" w:rsidP="00C645AF">
      <w:pPr>
        <w:rPr>
          <w:sz w:val="24"/>
          <w:szCs w:val="24"/>
        </w:rPr>
      </w:pPr>
      <w:r w:rsidRPr="0012760D">
        <w:rPr>
          <w:sz w:val="24"/>
          <w:szCs w:val="24"/>
        </w:rPr>
        <w:t>Providing a positive and responsive customer-focused culture is crucial to the way we communicate with our stakeholders.</w:t>
      </w:r>
    </w:p>
    <w:p w:rsidR="00FE5268" w:rsidRPr="0012760D" w:rsidRDefault="00FE5268" w:rsidP="00C645AF">
      <w:pPr>
        <w:rPr>
          <w:sz w:val="24"/>
          <w:szCs w:val="24"/>
        </w:rPr>
      </w:pPr>
    </w:p>
    <w:p w:rsidR="00C645AF" w:rsidRDefault="00C645AF" w:rsidP="00C645AF">
      <w:pPr>
        <w:rPr>
          <w:sz w:val="24"/>
          <w:szCs w:val="24"/>
        </w:rPr>
      </w:pPr>
      <w:r w:rsidRPr="0012760D">
        <w:rPr>
          <w:sz w:val="24"/>
          <w:szCs w:val="24"/>
        </w:rPr>
        <w:t>We are committed to improving access to our programs and services statewide, and to engaging with regional and metropolitan stakeholders to improve how these programs are delivered.</w:t>
      </w:r>
    </w:p>
    <w:p w:rsidR="00FE5268" w:rsidRPr="0012760D" w:rsidRDefault="00FE5268" w:rsidP="00C645AF">
      <w:pPr>
        <w:rPr>
          <w:sz w:val="24"/>
          <w:szCs w:val="24"/>
        </w:rPr>
      </w:pPr>
    </w:p>
    <w:p w:rsidR="00C645AF" w:rsidRPr="0012760D" w:rsidRDefault="00C645AF" w:rsidP="00C645AF">
      <w:pPr>
        <w:rPr>
          <w:sz w:val="24"/>
          <w:szCs w:val="24"/>
        </w:rPr>
      </w:pPr>
      <w:r w:rsidRPr="0012760D">
        <w:rPr>
          <w:sz w:val="24"/>
          <w:szCs w:val="24"/>
        </w:rPr>
        <w:t>Our board, executive and staff recognise, appreciate and thank all the partners and stakeholders who work with us to improve Victoria</w:t>
      </w:r>
      <w:r w:rsidR="00907E0B" w:rsidRPr="0012760D">
        <w:rPr>
          <w:sz w:val="24"/>
          <w:szCs w:val="24"/>
        </w:rPr>
        <w:t>'</w:t>
      </w:r>
      <w:r w:rsidRPr="0012760D">
        <w:rPr>
          <w:sz w:val="24"/>
          <w:szCs w:val="24"/>
        </w:rPr>
        <w:t>s liveability. The stakeholder groups with which we engage to deliver the SV2015 Strategic Plan include:</w:t>
      </w:r>
    </w:p>
    <w:p w:rsidR="00C645AF" w:rsidRPr="0012760D" w:rsidRDefault="00C645AF" w:rsidP="00C645AF">
      <w:pPr>
        <w:rPr>
          <w:sz w:val="24"/>
          <w:szCs w:val="24"/>
        </w:rPr>
      </w:pPr>
      <w:r w:rsidRPr="0012760D">
        <w:rPr>
          <w:sz w:val="24"/>
          <w:szCs w:val="24"/>
        </w:rPr>
        <w:t>• government departments and agencies, both state and Commonwealth</w:t>
      </w:r>
    </w:p>
    <w:p w:rsidR="00C645AF" w:rsidRPr="0012760D" w:rsidRDefault="00C645AF" w:rsidP="00C645AF">
      <w:pPr>
        <w:rPr>
          <w:sz w:val="24"/>
          <w:szCs w:val="24"/>
        </w:rPr>
      </w:pPr>
      <w:r w:rsidRPr="0012760D">
        <w:rPr>
          <w:sz w:val="24"/>
          <w:szCs w:val="24"/>
        </w:rPr>
        <w:t>• metropolitan and regional waste management groups</w:t>
      </w:r>
    </w:p>
    <w:p w:rsidR="00C645AF" w:rsidRPr="0012760D" w:rsidRDefault="00C645AF" w:rsidP="00C645AF">
      <w:pPr>
        <w:rPr>
          <w:sz w:val="24"/>
          <w:szCs w:val="24"/>
        </w:rPr>
      </w:pPr>
      <w:r w:rsidRPr="0012760D">
        <w:rPr>
          <w:sz w:val="24"/>
          <w:szCs w:val="24"/>
        </w:rPr>
        <w:t>• local governments</w:t>
      </w:r>
    </w:p>
    <w:p w:rsidR="00C645AF" w:rsidRPr="0012760D" w:rsidRDefault="00C645AF" w:rsidP="00C645AF">
      <w:pPr>
        <w:rPr>
          <w:sz w:val="24"/>
          <w:szCs w:val="24"/>
        </w:rPr>
      </w:pPr>
      <w:r w:rsidRPr="0012760D">
        <w:rPr>
          <w:sz w:val="24"/>
          <w:szCs w:val="24"/>
        </w:rPr>
        <w:t>• peak business and industry councils and associations</w:t>
      </w:r>
    </w:p>
    <w:p w:rsidR="00C645AF" w:rsidRPr="0012760D" w:rsidRDefault="00C645AF" w:rsidP="00C645AF">
      <w:pPr>
        <w:rPr>
          <w:sz w:val="24"/>
          <w:szCs w:val="24"/>
        </w:rPr>
      </w:pPr>
      <w:r w:rsidRPr="0012760D">
        <w:rPr>
          <w:sz w:val="24"/>
          <w:szCs w:val="24"/>
        </w:rPr>
        <w:t>• the commercial building sector</w:t>
      </w:r>
    </w:p>
    <w:p w:rsidR="00C645AF" w:rsidRPr="0012760D" w:rsidRDefault="00C645AF" w:rsidP="00C645AF">
      <w:pPr>
        <w:rPr>
          <w:sz w:val="24"/>
          <w:szCs w:val="24"/>
        </w:rPr>
      </w:pPr>
      <w:r w:rsidRPr="0012760D">
        <w:rPr>
          <w:sz w:val="24"/>
          <w:szCs w:val="24"/>
        </w:rPr>
        <w:t>• the construction sector</w:t>
      </w:r>
    </w:p>
    <w:p w:rsidR="00C645AF" w:rsidRPr="0012760D" w:rsidRDefault="00C645AF" w:rsidP="00C645AF">
      <w:pPr>
        <w:rPr>
          <w:sz w:val="24"/>
          <w:szCs w:val="24"/>
        </w:rPr>
      </w:pPr>
      <w:r w:rsidRPr="0012760D">
        <w:rPr>
          <w:sz w:val="24"/>
          <w:szCs w:val="24"/>
        </w:rPr>
        <w:t>• waste management and recycling businesses</w:t>
      </w:r>
    </w:p>
    <w:p w:rsidR="00C645AF" w:rsidRPr="0012760D" w:rsidRDefault="00C645AF" w:rsidP="00C645AF">
      <w:pPr>
        <w:rPr>
          <w:sz w:val="24"/>
          <w:szCs w:val="24"/>
        </w:rPr>
      </w:pPr>
      <w:r w:rsidRPr="0012760D">
        <w:rPr>
          <w:sz w:val="24"/>
          <w:szCs w:val="24"/>
        </w:rPr>
        <w:t>• primary and secondary schools</w:t>
      </w:r>
    </w:p>
    <w:p w:rsidR="00C645AF" w:rsidRPr="0012760D" w:rsidRDefault="00C645AF" w:rsidP="00C645AF">
      <w:pPr>
        <w:rPr>
          <w:sz w:val="24"/>
          <w:szCs w:val="24"/>
        </w:rPr>
      </w:pPr>
      <w:r w:rsidRPr="0012760D">
        <w:rPr>
          <w:sz w:val="24"/>
          <w:szCs w:val="24"/>
        </w:rPr>
        <w:t>• retailers and service providers.</w:t>
      </w:r>
    </w:p>
    <w:p w:rsidR="006B72E0" w:rsidRDefault="006B72E0" w:rsidP="006B72E0">
      <w:pPr>
        <w:rPr>
          <w:bCs/>
          <w:sz w:val="24"/>
          <w:szCs w:val="24"/>
        </w:rPr>
      </w:pPr>
      <w:r w:rsidRPr="0012760D">
        <w:rPr>
          <w:bCs/>
          <w:sz w:val="24"/>
          <w:szCs w:val="24"/>
        </w:rPr>
        <w:t>&lt;pp&gt; 5</w:t>
      </w:r>
    </w:p>
    <w:p w:rsidR="00FE5268" w:rsidRDefault="00FE5268" w:rsidP="006B72E0">
      <w:pPr>
        <w:rPr>
          <w:bCs/>
          <w:sz w:val="24"/>
          <w:szCs w:val="24"/>
        </w:rPr>
      </w:pPr>
    </w:p>
    <w:p w:rsidR="00FE5268" w:rsidRPr="0012760D" w:rsidRDefault="00FE5268" w:rsidP="006B72E0">
      <w:pPr>
        <w:rPr>
          <w:sz w:val="24"/>
          <w:szCs w:val="24"/>
        </w:rPr>
      </w:pPr>
    </w:p>
    <w:p w:rsidR="006B72E0" w:rsidRDefault="006B72E0" w:rsidP="00FE5268">
      <w:pPr>
        <w:pStyle w:val="Heading2"/>
      </w:pPr>
      <w:r w:rsidRPr="0012760D">
        <w:t>Our Strategic Plan</w:t>
      </w:r>
    </w:p>
    <w:p w:rsidR="00FE5268" w:rsidRPr="0012760D" w:rsidRDefault="00FE5268" w:rsidP="006B72E0">
      <w:pPr>
        <w:rPr>
          <w:sz w:val="24"/>
          <w:szCs w:val="24"/>
        </w:rPr>
      </w:pPr>
    </w:p>
    <w:p w:rsidR="006B72E0" w:rsidRPr="0012760D" w:rsidRDefault="006B72E0" w:rsidP="006B72E0">
      <w:pPr>
        <w:rPr>
          <w:sz w:val="24"/>
          <w:szCs w:val="24"/>
        </w:rPr>
      </w:pPr>
      <w:r w:rsidRPr="0012760D">
        <w:rPr>
          <w:sz w:val="24"/>
          <w:szCs w:val="24"/>
        </w:rPr>
        <w:t>SV2015 outlines a practical, economic approach to achieving environmental outcomes by:</w:t>
      </w:r>
    </w:p>
    <w:p w:rsidR="006B72E0" w:rsidRPr="0012760D" w:rsidRDefault="006B72E0" w:rsidP="006B72E0">
      <w:pPr>
        <w:rPr>
          <w:sz w:val="24"/>
          <w:szCs w:val="24"/>
        </w:rPr>
      </w:pPr>
      <w:r w:rsidRPr="0012760D">
        <w:rPr>
          <w:bCs/>
          <w:sz w:val="24"/>
          <w:szCs w:val="24"/>
        </w:rPr>
        <w:t xml:space="preserve">• </w:t>
      </w:r>
      <w:r w:rsidRPr="0012760D">
        <w:rPr>
          <w:sz w:val="24"/>
          <w:szCs w:val="24"/>
        </w:rPr>
        <w:t>helping businesses and households use resources more efficiently</w:t>
      </w:r>
    </w:p>
    <w:p w:rsidR="006B72E0" w:rsidRDefault="006B72E0" w:rsidP="006B72E0">
      <w:pPr>
        <w:rPr>
          <w:sz w:val="24"/>
          <w:szCs w:val="24"/>
        </w:rPr>
      </w:pPr>
      <w:r w:rsidRPr="0012760D">
        <w:rPr>
          <w:bCs/>
          <w:sz w:val="24"/>
          <w:szCs w:val="24"/>
        </w:rPr>
        <w:t xml:space="preserve">• </w:t>
      </w:r>
      <w:r w:rsidRPr="0012760D">
        <w:rPr>
          <w:sz w:val="24"/>
          <w:szCs w:val="24"/>
        </w:rPr>
        <w:t>viewing waste as a resource by developing markets for waste products and materials.</w:t>
      </w:r>
    </w:p>
    <w:p w:rsidR="00FE5268" w:rsidRPr="0012760D" w:rsidRDefault="00FE5268" w:rsidP="006B72E0">
      <w:pPr>
        <w:rPr>
          <w:sz w:val="24"/>
          <w:szCs w:val="24"/>
        </w:rPr>
      </w:pPr>
    </w:p>
    <w:p w:rsidR="006B72E0" w:rsidRDefault="006B72E0" w:rsidP="006B72E0">
      <w:pPr>
        <w:rPr>
          <w:sz w:val="24"/>
          <w:szCs w:val="24"/>
        </w:rPr>
      </w:pPr>
      <w:r w:rsidRPr="0012760D">
        <w:rPr>
          <w:sz w:val="24"/>
          <w:szCs w:val="24"/>
        </w:rPr>
        <w:t>Our strategic framework for SV2015 is represented below.</w:t>
      </w:r>
    </w:p>
    <w:p w:rsidR="00FE5268" w:rsidRDefault="00FE5268" w:rsidP="006B72E0">
      <w:pPr>
        <w:rPr>
          <w:sz w:val="24"/>
          <w:szCs w:val="24"/>
        </w:rPr>
      </w:pPr>
    </w:p>
    <w:p w:rsidR="00FE5268" w:rsidRPr="0012760D" w:rsidRDefault="00FE5268" w:rsidP="006B72E0">
      <w:pPr>
        <w:rPr>
          <w:sz w:val="24"/>
          <w:szCs w:val="24"/>
        </w:rPr>
      </w:pPr>
    </w:p>
    <w:p w:rsidR="006B72E0" w:rsidRDefault="006B72E0" w:rsidP="00FE5268">
      <w:pPr>
        <w:pStyle w:val="Heading3"/>
      </w:pPr>
      <w:r w:rsidRPr="0012760D">
        <w:t>Priorities 2012 to 2015</w:t>
      </w:r>
    </w:p>
    <w:p w:rsidR="00FE5268" w:rsidRPr="0012760D" w:rsidRDefault="00FE5268" w:rsidP="006B72E0">
      <w:pPr>
        <w:rPr>
          <w:sz w:val="24"/>
          <w:szCs w:val="24"/>
        </w:rPr>
      </w:pPr>
    </w:p>
    <w:p w:rsidR="006B72E0" w:rsidRPr="0012760D" w:rsidRDefault="006B72E0" w:rsidP="006B72E0">
      <w:pPr>
        <w:rPr>
          <w:sz w:val="24"/>
          <w:szCs w:val="24"/>
        </w:rPr>
      </w:pPr>
      <w:r w:rsidRPr="0012760D">
        <w:rPr>
          <w:sz w:val="24"/>
          <w:szCs w:val="24"/>
        </w:rPr>
        <w:t>Integrated waste management</w:t>
      </w:r>
    </w:p>
    <w:p w:rsidR="006B72E0" w:rsidRPr="0012760D" w:rsidRDefault="006B72E0" w:rsidP="006B72E0">
      <w:pPr>
        <w:rPr>
          <w:sz w:val="24"/>
          <w:szCs w:val="24"/>
        </w:rPr>
      </w:pPr>
      <w:r w:rsidRPr="0012760D">
        <w:rPr>
          <w:sz w:val="24"/>
          <w:szCs w:val="24"/>
        </w:rPr>
        <w:t>Resource efficiency</w:t>
      </w:r>
    </w:p>
    <w:p w:rsidR="006B72E0" w:rsidRDefault="006B72E0" w:rsidP="006B72E0">
      <w:pPr>
        <w:rPr>
          <w:sz w:val="24"/>
          <w:szCs w:val="24"/>
        </w:rPr>
      </w:pPr>
    </w:p>
    <w:p w:rsidR="00FE5268" w:rsidRPr="0012760D" w:rsidRDefault="00FE5268" w:rsidP="006B72E0">
      <w:pPr>
        <w:rPr>
          <w:sz w:val="24"/>
          <w:szCs w:val="24"/>
        </w:rPr>
      </w:pPr>
    </w:p>
    <w:p w:rsidR="006B72E0" w:rsidRDefault="006B72E0" w:rsidP="00FE5268">
      <w:pPr>
        <w:pStyle w:val="Heading3"/>
      </w:pPr>
      <w:r w:rsidRPr="0012760D">
        <w:t>Capabilities</w:t>
      </w:r>
    </w:p>
    <w:p w:rsidR="00FE5268" w:rsidRPr="0012760D" w:rsidRDefault="00FE5268" w:rsidP="006B72E0">
      <w:pPr>
        <w:rPr>
          <w:sz w:val="24"/>
          <w:szCs w:val="24"/>
        </w:rPr>
      </w:pPr>
    </w:p>
    <w:p w:rsidR="006B72E0" w:rsidRPr="0012760D" w:rsidRDefault="006B72E0" w:rsidP="006B72E0">
      <w:pPr>
        <w:rPr>
          <w:sz w:val="24"/>
          <w:szCs w:val="24"/>
        </w:rPr>
      </w:pPr>
      <w:r w:rsidRPr="0012760D">
        <w:rPr>
          <w:sz w:val="24"/>
          <w:szCs w:val="24"/>
        </w:rPr>
        <w:t>Statewide engagement</w:t>
      </w:r>
    </w:p>
    <w:p w:rsidR="006B72E0" w:rsidRPr="0012760D" w:rsidRDefault="006B72E0" w:rsidP="006B72E0">
      <w:pPr>
        <w:rPr>
          <w:sz w:val="24"/>
          <w:szCs w:val="24"/>
        </w:rPr>
      </w:pPr>
      <w:r w:rsidRPr="0012760D">
        <w:rPr>
          <w:sz w:val="24"/>
          <w:szCs w:val="24"/>
        </w:rPr>
        <w:t>Evidence-based investment and outcomes</w:t>
      </w:r>
    </w:p>
    <w:p w:rsidR="006B72E0" w:rsidRPr="0012760D" w:rsidRDefault="006B72E0" w:rsidP="006B72E0">
      <w:pPr>
        <w:rPr>
          <w:sz w:val="24"/>
          <w:szCs w:val="24"/>
        </w:rPr>
      </w:pPr>
      <w:r w:rsidRPr="0012760D">
        <w:rPr>
          <w:sz w:val="24"/>
          <w:szCs w:val="24"/>
        </w:rPr>
        <w:t>People and leadership</w:t>
      </w:r>
    </w:p>
    <w:p w:rsidR="006B72E0" w:rsidRPr="0012760D" w:rsidRDefault="006B72E0" w:rsidP="006B72E0">
      <w:pPr>
        <w:rPr>
          <w:sz w:val="24"/>
          <w:szCs w:val="24"/>
        </w:rPr>
      </w:pPr>
      <w:r w:rsidRPr="0012760D">
        <w:rPr>
          <w:sz w:val="24"/>
          <w:szCs w:val="24"/>
        </w:rPr>
        <w:t>Governance and coordination</w:t>
      </w:r>
    </w:p>
    <w:p w:rsidR="006B72E0" w:rsidRPr="0012760D" w:rsidRDefault="006B72E0" w:rsidP="006B72E0">
      <w:pPr>
        <w:rPr>
          <w:sz w:val="24"/>
          <w:szCs w:val="24"/>
        </w:rPr>
      </w:pPr>
      <w:r w:rsidRPr="0012760D">
        <w:rPr>
          <w:sz w:val="24"/>
          <w:szCs w:val="24"/>
        </w:rPr>
        <w:t>Administration of the Sustainability Fund</w:t>
      </w:r>
    </w:p>
    <w:p w:rsidR="006B72E0" w:rsidRPr="0012760D" w:rsidRDefault="006B72E0" w:rsidP="006B72E0">
      <w:pPr>
        <w:rPr>
          <w:sz w:val="24"/>
          <w:szCs w:val="24"/>
        </w:rPr>
      </w:pPr>
    </w:p>
    <w:p w:rsidR="006B72E0" w:rsidRDefault="006B72E0" w:rsidP="006B72E0">
      <w:pPr>
        <w:rPr>
          <w:bCs/>
          <w:sz w:val="24"/>
          <w:szCs w:val="24"/>
        </w:rPr>
      </w:pPr>
      <w:r w:rsidRPr="0012760D">
        <w:rPr>
          <w:bCs/>
          <w:sz w:val="24"/>
          <w:szCs w:val="24"/>
        </w:rPr>
        <w:t>Delivering on our strategy will achieve eight key outcomes.</w:t>
      </w:r>
    </w:p>
    <w:p w:rsidR="00FE5268" w:rsidRPr="0012760D" w:rsidRDefault="00FE5268" w:rsidP="006B72E0">
      <w:pPr>
        <w:rPr>
          <w:sz w:val="24"/>
          <w:szCs w:val="24"/>
        </w:rPr>
      </w:pPr>
    </w:p>
    <w:p w:rsidR="006B72E0" w:rsidRPr="0012760D" w:rsidRDefault="006B72E0" w:rsidP="006B72E0">
      <w:pPr>
        <w:rPr>
          <w:sz w:val="24"/>
          <w:szCs w:val="24"/>
        </w:rPr>
      </w:pPr>
      <w:r w:rsidRPr="0012760D">
        <w:rPr>
          <w:bCs/>
          <w:sz w:val="24"/>
          <w:szCs w:val="24"/>
        </w:rPr>
        <w:t>Integrated waste management outcomes:</w:t>
      </w:r>
    </w:p>
    <w:p w:rsidR="006B72E0" w:rsidRPr="0012760D" w:rsidRDefault="006B72E0" w:rsidP="006B72E0">
      <w:pPr>
        <w:rPr>
          <w:sz w:val="24"/>
          <w:szCs w:val="24"/>
        </w:rPr>
      </w:pPr>
      <w:r w:rsidRPr="0012760D">
        <w:rPr>
          <w:bCs/>
          <w:sz w:val="24"/>
          <w:szCs w:val="24"/>
        </w:rPr>
        <w:t xml:space="preserve">1. </w:t>
      </w:r>
      <w:r w:rsidRPr="0012760D">
        <w:rPr>
          <w:sz w:val="24"/>
          <w:szCs w:val="24"/>
        </w:rPr>
        <w:t>development of new or expanded markets for recycled products that pose a risk and/or are a valuable resource</w:t>
      </w:r>
    </w:p>
    <w:p w:rsidR="006B72E0" w:rsidRPr="0012760D" w:rsidRDefault="006B72E0" w:rsidP="006B72E0">
      <w:pPr>
        <w:rPr>
          <w:sz w:val="24"/>
          <w:szCs w:val="24"/>
        </w:rPr>
      </w:pPr>
      <w:r w:rsidRPr="0012760D">
        <w:rPr>
          <w:bCs/>
          <w:sz w:val="24"/>
          <w:szCs w:val="24"/>
        </w:rPr>
        <w:t xml:space="preserve">2. </w:t>
      </w:r>
      <w:r w:rsidRPr="0012760D">
        <w:rPr>
          <w:sz w:val="24"/>
          <w:szCs w:val="24"/>
        </w:rPr>
        <w:t>increased recovery of priority products and materials that contribute weight, that pose a risk and/or are a valuable resource</w:t>
      </w:r>
    </w:p>
    <w:p w:rsidR="006B72E0" w:rsidRPr="0012760D" w:rsidRDefault="006B72E0" w:rsidP="006B72E0">
      <w:pPr>
        <w:rPr>
          <w:sz w:val="24"/>
          <w:szCs w:val="24"/>
        </w:rPr>
      </w:pPr>
      <w:r w:rsidRPr="0012760D">
        <w:rPr>
          <w:bCs/>
          <w:sz w:val="24"/>
          <w:szCs w:val="24"/>
        </w:rPr>
        <w:t xml:space="preserve">3. </w:t>
      </w:r>
      <w:r w:rsidRPr="0012760D">
        <w:rPr>
          <w:sz w:val="24"/>
          <w:szCs w:val="24"/>
        </w:rPr>
        <w:t>improved standard of infrastructure and its development</w:t>
      </w:r>
    </w:p>
    <w:p w:rsidR="006B72E0" w:rsidRPr="0012760D" w:rsidRDefault="006B72E0" w:rsidP="006B72E0">
      <w:pPr>
        <w:rPr>
          <w:sz w:val="24"/>
          <w:szCs w:val="24"/>
        </w:rPr>
      </w:pPr>
      <w:r w:rsidRPr="0012760D">
        <w:rPr>
          <w:bCs/>
          <w:sz w:val="24"/>
          <w:szCs w:val="24"/>
        </w:rPr>
        <w:t xml:space="preserve">4. </w:t>
      </w:r>
      <w:r w:rsidRPr="0012760D">
        <w:rPr>
          <w:sz w:val="24"/>
          <w:szCs w:val="24"/>
        </w:rPr>
        <w:t>increased uptake of waste minimisation practices in targeted sectors for maximum gain</w:t>
      </w:r>
    </w:p>
    <w:p w:rsidR="006B72E0" w:rsidRPr="0012760D" w:rsidRDefault="006B72E0" w:rsidP="006B72E0">
      <w:pPr>
        <w:rPr>
          <w:sz w:val="24"/>
          <w:szCs w:val="24"/>
        </w:rPr>
      </w:pPr>
      <w:r w:rsidRPr="0012760D">
        <w:rPr>
          <w:bCs/>
          <w:sz w:val="24"/>
          <w:szCs w:val="24"/>
        </w:rPr>
        <w:t xml:space="preserve">5. </w:t>
      </w:r>
      <w:r w:rsidRPr="0012760D">
        <w:rPr>
          <w:sz w:val="24"/>
          <w:szCs w:val="24"/>
        </w:rPr>
        <w:t xml:space="preserve">reduced littering behaviour and litter. </w:t>
      </w:r>
      <w:r w:rsidRPr="0012760D">
        <w:rPr>
          <w:bCs/>
          <w:sz w:val="24"/>
          <w:szCs w:val="24"/>
        </w:rPr>
        <w:t>resource efficiency outcomes:</w:t>
      </w:r>
    </w:p>
    <w:p w:rsidR="006B72E0" w:rsidRPr="0012760D" w:rsidRDefault="006B72E0" w:rsidP="006B72E0">
      <w:pPr>
        <w:rPr>
          <w:sz w:val="24"/>
          <w:szCs w:val="24"/>
        </w:rPr>
      </w:pPr>
      <w:r w:rsidRPr="0012760D">
        <w:rPr>
          <w:bCs/>
          <w:sz w:val="24"/>
          <w:szCs w:val="24"/>
        </w:rPr>
        <w:t xml:space="preserve">6. </w:t>
      </w:r>
      <w:r w:rsidRPr="0012760D">
        <w:rPr>
          <w:sz w:val="24"/>
          <w:szCs w:val="24"/>
        </w:rPr>
        <w:t>increased energy efficiency of selected sectors in commercial office buildings and households</w:t>
      </w:r>
    </w:p>
    <w:p w:rsidR="006B72E0" w:rsidRPr="0012760D" w:rsidRDefault="006B72E0" w:rsidP="006B72E0">
      <w:pPr>
        <w:rPr>
          <w:sz w:val="24"/>
          <w:szCs w:val="24"/>
        </w:rPr>
      </w:pPr>
      <w:r w:rsidRPr="0012760D">
        <w:rPr>
          <w:bCs/>
          <w:sz w:val="24"/>
          <w:szCs w:val="24"/>
        </w:rPr>
        <w:t xml:space="preserve">7. </w:t>
      </w:r>
      <w:r w:rsidRPr="0012760D">
        <w:rPr>
          <w:sz w:val="24"/>
          <w:szCs w:val="24"/>
        </w:rPr>
        <w:t>increased energy and materials efficiency of selected stakeholders in medium enterprises and schools</w:t>
      </w:r>
    </w:p>
    <w:p w:rsidR="006B72E0" w:rsidRDefault="006B72E0" w:rsidP="006B72E0">
      <w:pPr>
        <w:rPr>
          <w:sz w:val="24"/>
          <w:szCs w:val="24"/>
        </w:rPr>
      </w:pPr>
      <w:r w:rsidRPr="0012760D">
        <w:rPr>
          <w:bCs/>
          <w:sz w:val="24"/>
          <w:szCs w:val="24"/>
        </w:rPr>
        <w:t xml:space="preserve">8. </w:t>
      </w:r>
      <w:r w:rsidRPr="0012760D">
        <w:rPr>
          <w:sz w:val="24"/>
          <w:szCs w:val="24"/>
        </w:rPr>
        <w:t>increased uptake of technologies that reduce environmental impacts, as part of an integrated approach to energy efficiency in targeted sectors.</w:t>
      </w:r>
    </w:p>
    <w:p w:rsidR="00FE5268" w:rsidRPr="0012760D" w:rsidRDefault="00FE5268" w:rsidP="006B72E0">
      <w:pPr>
        <w:rPr>
          <w:sz w:val="24"/>
          <w:szCs w:val="24"/>
        </w:rPr>
      </w:pPr>
    </w:p>
    <w:p w:rsidR="006B72E0" w:rsidRPr="0012760D" w:rsidRDefault="006B72E0" w:rsidP="006B72E0">
      <w:pPr>
        <w:rPr>
          <w:sz w:val="24"/>
          <w:szCs w:val="24"/>
        </w:rPr>
      </w:pPr>
      <w:r w:rsidRPr="0012760D">
        <w:rPr>
          <w:sz w:val="24"/>
          <w:szCs w:val="24"/>
        </w:rPr>
        <w:t>SV2015 also set an agenda to transform us into an efficient and evidence-based organisation that puts engagement with our partners and stakeholders at the heart of our operations. This transformation will be achieved by developing capabilities in five key areas that will enable us to deliver our programs and services:</w:t>
      </w:r>
    </w:p>
    <w:p w:rsidR="006B72E0" w:rsidRPr="0012760D" w:rsidRDefault="006B72E0" w:rsidP="006B72E0">
      <w:pPr>
        <w:rPr>
          <w:sz w:val="24"/>
          <w:szCs w:val="24"/>
        </w:rPr>
      </w:pPr>
      <w:r w:rsidRPr="0012760D">
        <w:rPr>
          <w:bCs/>
          <w:sz w:val="24"/>
          <w:szCs w:val="24"/>
        </w:rPr>
        <w:t xml:space="preserve">• </w:t>
      </w:r>
      <w:r w:rsidRPr="0012760D">
        <w:rPr>
          <w:sz w:val="24"/>
          <w:szCs w:val="24"/>
        </w:rPr>
        <w:t>statewide engagement</w:t>
      </w:r>
    </w:p>
    <w:p w:rsidR="006B72E0" w:rsidRPr="0012760D" w:rsidRDefault="006B72E0" w:rsidP="006B72E0">
      <w:pPr>
        <w:rPr>
          <w:sz w:val="24"/>
          <w:szCs w:val="24"/>
        </w:rPr>
      </w:pPr>
      <w:r w:rsidRPr="0012760D">
        <w:rPr>
          <w:bCs/>
          <w:sz w:val="24"/>
          <w:szCs w:val="24"/>
        </w:rPr>
        <w:t xml:space="preserve">• </w:t>
      </w:r>
      <w:r w:rsidRPr="0012760D">
        <w:rPr>
          <w:sz w:val="24"/>
          <w:szCs w:val="24"/>
        </w:rPr>
        <w:t>evidence-based investment and outcomes</w:t>
      </w:r>
    </w:p>
    <w:p w:rsidR="006B72E0" w:rsidRPr="0012760D" w:rsidRDefault="006B72E0" w:rsidP="006B72E0">
      <w:pPr>
        <w:rPr>
          <w:sz w:val="24"/>
          <w:szCs w:val="24"/>
        </w:rPr>
      </w:pPr>
      <w:r w:rsidRPr="0012760D">
        <w:rPr>
          <w:bCs/>
          <w:sz w:val="24"/>
          <w:szCs w:val="24"/>
        </w:rPr>
        <w:t xml:space="preserve">• </w:t>
      </w:r>
      <w:r w:rsidRPr="0012760D">
        <w:rPr>
          <w:sz w:val="24"/>
          <w:szCs w:val="24"/>
        </w:rPr>
        <w:t>people and leadership</w:t>
      </w:r>
    </w:p>
    <w:p w:rsidR="006B72E0" w:rsidRPr="0012760D" w:rsidRDefault="006B72E0" w:rsidP="006B72E0">
      <w:pPr>
        <w:rPr>
          <w:sz w:val="24"/>
          <w:szCs w:val="24"/>
        </w:rPr>
      </w:pPr>
      <w:r w:rsidRPr="0012760D">
        <w:rPr>
          <w:bCs/>
          <w:sz w:val="24"/>
          <w:szCs w:val="24"/>
        </w:rPr>
        <w:t xml:space="preserve">• </w:t>
      </w:r>
      <w:r w:rsidRPr="0012760D">
        <w:rPr>
          <w:sz w:val="24"/>
          <w:szCs w:val="24"/>
        </w:rPr>
        <w:t>governance and coordination</w:t>
      </w:r>
    </w:p>
    <w:p w:rsidR="006B72E0" w:rsidRDefault="006B72E0" w:rsidP="006B72E0">
      <w:pPr>
        <w:rPr>
          <w:sz w:val="24"/>
          <w:szCs w:val="24"/>
        </w:rPr>
      </w:pPr>
      <w:r w:rsidRPr="0012760D">
        <w:rPr>
          <w:bCs/>
          <w:sz w:val="24"/>
          <w:szCs w:val="24"/>
        </w:rPr>
        <w:t xml:space="preserve">• </w:t>
      </w:r>
      <w:r w:rsidRPr="0012760D">
        <w:rPr>
          <w:sz w:val="24"/>
          <w:szCs w:val="24"/>
        </w:rPr>
        <w:t>administration of the Sustainability Fund.</w:t>
      </w:r>
    </w:p>
    <w:p w:rsidR="00FE5268" w:rsidRPr="0012760D" w:rsidRDefault="00FE5268" w:rsidP="006B72E0">
      <w:pPr>
        <w:rPr>
          <w:sz w:val="24"/>
          <w:szCs w:val="24"/>
        </w:rPr>
      </w:pPr>
    </w:p>
    <w:p w:rsidR="006B72E0" w:rsidRPr="0012760D" w:rsidRDefault="006B72E0" w:rsidP="006B72E0">
      <w:pPr>
        <w:rPr>
          <w:sz w:val="24"/>
          <w:szCs w:val="24"/>
        </w:rPr>
      </w:pPr>
      <w:r w:rsidRPr="0012760D">
        <w:rPr>
          <w:sz w:val="24"/>
          <w:szCs w:val="24"/>
        </w:rPr>
        <w:t>This annual report reflects on the first year of our three-year strategy and the steps we have taken to achieve our strategic priorities.</w:t>
      </w:r>
    </w:p>
    <w:p w:rsidR="001C0456" w:rsidRDefault="001C0456" w:rsidP="001C0456">
      <w:pPr>
        <w:rPr>
          <w:bCs/>
          <w:sz w:val="24"/>
          <w:szCs w:val="24"/>
        </w:rPr>
      </w:pPr>
      <w:r w:rsidRPr="0012760D">
        <w:rPr>
          <w:bCs/>
          <w:sz w:val="24"/>
          <w:szCs w:val="24"/>
        </w:rPr>
        <w:t>&lt;pp&gt; 6</w:t>
      </w:r>
    </w:p>
    <w:p w:rsidR="00FE5268" w:rsidRDefault="00FE5268" w:rsidP="001C0456">
      <w:pPr>
        <w:rPr>
          <w:bCs/>
          <w:sz w:val="24"/>
          <w:szCs w:val="24"/>
        </w:rPr>
      </w:pPr>
    </w:p>
    <w:p w:rsidR="00FE5268" w:rsidRPr="0012760D" w:rsidRDefault="00FE5268" w:rsidP="001C0456">
      <w:pPr>
        <w:rPr>
          <w:sz w:val="24"/>
          <w:szCs w:val="24"/>
        </w:rPr>
      </w:pPr>
    </w:p>
    <w:p w:rsidR="001C0456" w:rsidRDefault="001C0456" w:rsidP="00FE5268">
      <w:pPr>
        <w:pStyle w:val="Heading1"/>
      </w:pPr>
      <w:r w:rsidRPr="0012760D">
        <w:t>Part 3</w:t>
      </w:r>
      <w:r w:rsidR="00FE5268">
        <w:br/>
      </w:r>
      <w:r w:rsidRPr="0012760D">
        <w:lastRenderedPageBreak/>
        <w:t>Our Board and Executive Team</w:t>
      </w:r>
    </w:p>
    <w:p w:rsidR="00FE5268" w:rsidRPr="0012760D" w:rsidRDefault="00FE5268" w:rsidP="001C0456">
      <w:pPr>
        <w:rPr>
          <w:sz w:val="24"/>
          <w:szCs w:val="24"/>
        </w:rPr>
      </w:pPr>
    </w:p>
    <w:p w:rsidR="001C0456" w:rsidRDefault="001C0456" w:rsidP="00FE5268">
      <w:pPr>
        <w:pStyle w:val="Heading2"/>
      </w:pPr>
      <w:r w:rsidRPr="0012760D">
        <w:t>Our Board</w:t>
      </w:r>
    </w:p>
    <w:p w:rsidR="00FE5268" w:rsidRPr="0012760D" w:rsidRDefault="00FE5268" w:rsidP="001C0456">
      <w:pPr>
        <w:rPr>
          <w:sz w:val="24"/>
          <w:szCs w:val="24"/>
        </w:rPr>
      </w:pPr>
    </w:p>
    <w:p w:rsidR="001C0456" w:rsidRDefault="001C0456" w:rsidP="001C0456">
      <w:pPr>
        <w:rPr>
          <w:sz w:val="24"/>
          <w:szCs w:val="24"/>
        </w:rPr>
      </w:pPr>
      <w:r w:rsidRPr="0012760D">
        <w:rPr>
          <w:sz w:val="24"/>
          <w:szCs w:val="24"/>
        </w:rPr>
        <w:t xml:space="preserve">Our board comprises seven non-executive members appointed in accordance with the </w:t>
      </w:r>
      <w:r w:rsidRPr="0012760D">
        <w:rPr>
          <w:i/>
          <w:iCs/>
          <w:sz w:val="24"/>
          <w:szCs w:val="24"/>
        </w:rPr>
        <w:t>Sustainability Victoria Act 2005</w:t>
      </w:r>
      <w:r w:rsidRPr="0012760D">
        <w:rPr>
          <w:sz w:val="24"/>
          <w:szCs w:val="24"/>
        </w:rPr>
        <w:t>. The Minister for Environment and Climate Change is responsible for all board appointments, ensuring that members have the relevant skills, experience and knowledge to oversee our strategy and functions. The Minister for Energy and Resources and the Minister for Water each nominate one board member to the Minister for Environment and Climate Change.</w:t>
      </w:r>
    </w:p>
    <w:p w:rsidR="00FE5268" w:rsidRDefault="00FE5268" w:rsidP="001C0456">
      <w:pPr>
        <w:rPr>
          <w:sz w:val="24"/>
          <w:szCs w:val="24"/>
        </w:rPr>
      </w:pPr>
    </w:p>
    <w:p w:rsidR="00FE5268" w:rsidRPr="0012760D" w:rsidRDefault="00FE5268" w:rsidP="001C0456">
      <w:pPr>
        <w:rPr>
          <w:sz w:val="24"/>
          <w:szCs w:val="24"/>
        </w:rPr>
      </w:pPr>
    </w:p>
    <w:p w:rsidR="001C0456" w:rsidRDefault="001C0456" w:rsidP="00FE5268">
      <w:pPr>
        <w:pStyle w:val="Heading2"/>
      </w:pPr>
      <w:r w:rsidRPr="0012760D">
        <w:t>Role of the Board</w:t>
      </w:r>
    </w:p>
    <w:p w:rsidR="00FE5268" w:rsidRPr="0012760D" w:rsidRDefault="00FE5268" w:rsidP="001C0456">
      <w:pPr>
        <w:rPr>
          <w:sz w:val="24"/>
          <w:szCs w:val="24"/>
        </w:rPr>
      </w:pPr>
    </w:p>
    <w:p w:rsidR="001C0456" w:rsidRPr="0012760D" w:rsidRDefault="001C0456" w:rsidP="001C0456">
      <w:pPr>
        <w:rPr>
          <w:sz w:val="24"/>
          <w:szCs w:val="24"/>
        </w:rPr>
      </w:pPr>
      <w:r w:rsidRPr="0012760D">
        <w:rPr>
          <w:sz w:val="24"/>
          <w:szCs w:val="24"/>
        </w:rPr>
        <w:t>To meet its responsibility for good governance and effective leadership, the board:</w:t>
      </w:r>
    </w:p>
    <w:p w:rsidR="001C0456" w:rsidRPr="0012760D" w:rsidRDefault="001C0456" w:rsidP="001C0456">
      <w:pPr>
        <w:rPr>
          <w:sz w:val="24"/>
          <w:szCs w:val="24"/>
        </w:rPr>
      </w:pPr>
      <w:r w:rsidRPr="0012760D">
        <w:rPr>
          <w:sz w:val="24"/>
          <w:szCs w:val="24"/>
        </w:rPr>
        <w:t>• sets our strategic direction, objectives and performance targets</w:t>
      </w:r>
    </w:p>
    <w:p w:rsidR="001C0456" w:rsidRPr="0012760D" w:rsidRDefault="001C0456" w:rsidP="001C0456">
      <w:pPr>
        <w:rPr>
          <w:sz w:val="24"/>
          <w:szCs w:val="24"/>
        </w:rPr>
      </w:pPr>
      <w:r w:rsidRPr="0012760D">
        <w:rPr>
          <w:sz w:val="24"/>
          <w:szCs w:val="24"/>
        </w:rPr>
        <w:t>• appoints the Chief Executive Officer (CEO)</w:t>
      </w:r>
    </w:p>
    <w:p w:rsidR="001C0456" w:rsidRPr="0012760D" w:rsidRDefault="001C0456" w:rsidP="001C0456">
      <w:pPr>
        <w:rPr>
          <w:sz w:val="24"/>
          <w:szCs w:val="24"/>
        </w:rPr>
      </w:pPr>
      <w:r w:rsidRPr="0012760D">
        <w:rPr>
          <w:sz w:val="24"/>
          <w:szCs w:val="24"/>
        </w:rPr>
        <w:t>• monitors operational and financial performance</w:t>
      </w:r>
    </w:p>
    <w:p w:rsidR="001C0456" w:rsidRPr="0012760D" w:rsidRDefault="001C0456" w:rsidP="001C0456">
      <w:pPr>
        <w:rPr>
          <w:sz w:val="24"/>
          <w:szCs w:val="24"/>
        </w:rPr>
      </w:pPr>
      <w:r w:rsidRPr="0012760D">
        <w:rPr>
          <w:sz w:val="24"/>
          <w:szCs w:val="24"/>
        </w:rPr>
        <w:t>• oversees compliance with laws, regulations and other obligations</w:t>
      </w:r>
    </w:p>
    <w:p w:rsidR="001C0456" w:rsidRPr="0012760D" w:rsidRDefault="001C0456" w:rsidP="001C0456">
      <w:pPr>
        <w:rPr>
          <w:sz w:val="24"/>
          <w:szCs w:val="24"/>
        </w:rPr>
      </w:pPr>
      <w:r w:rsidRPr="0012760D">
        <w:rPr>
          <w:sz w:val="24"/>
          <w:szCs w:val="24"/>
        </w:rPr>
        <w:t>• sets and monitors internal controls to manage risks</w:t>
      </w:r>
    </w:p>
    <w:p w:rsidR="001C0456" w:rsidRPr="0012760D" w:rsidRDefault="001C0456" w:rsidP="001C0456">
      <w:pPr>
        <w:rPr>
          <w:sz w:val="24"/>
          <w:szCs w:val="24"/>
        </w:rPr>
      </w:pPr>
      <w:r w:rsidRPr="0012760D">
        <w:rPr>
          <w:sz w:val="24"/>
          <w:szCs w:val="24"/>
        </w:rPr>
        <w:t>• ensures good conduct and stakeholder relationships</w:t>
      </w:r>
    </w:p>
    <w:p w:rsidR="001C0456" w:rsidRDefault="001C0456" w:rsidP="001C0456">
      <w:pPr>
        <w:rPr>
          <w:sz w:val="24"/>
          <w:szCs w:val="24"/>
        </w:rPr>
      </w:pPr>
      <w:r w:rsidRPr="0012760D">
        <w:rPr>
          <w:sz w:val="24"/>
          <w:szCs w:val="24"/>
        </w:rPr>
        <w:t>• manages and monitors board and committee conduct and performance.</w:t>
      </w:r>
    </w:p>
    <w:p w:rsidR="00FE5268" w:rsidRDefault="00FE5268" w:rsidP="001C0456">
      <w:pPr>
        <w:rPr>
          <w:sz w:val="24"/>
          <w:szCs w:val="24"/>
        </w:rPr>
      </w:pPr>
    </w:p>
    <w:p w:rsidR="00FE5268" w:rsidRPr="0012760D" w:rsidRDefault="00FE5268" w:rsidP="001C0456">
      <w:pPr>
        <w:rPr>
          <w:sz w:val="24"/>
          <w:szCs w:val="24"/>
        </w:rPr>
      </w:pPr>
    </w:p>
    <w:p w:rsidR="001C0456" w:rsidRDefault="001C0456" w:rsidP="00FE5268">
      <w:pPr>
        <w:pStyle w:val="Heading2"/>
      </w:pPr>
      <w:r w:rsidRPr="0012760D">
        <w:t>Board Members</w:t>
      </w:r>
    </w:p>
    <w:p w:rsidR="00FE5268" w:rsidRPr="0012760D" w:rsidRDefault="00FE5268" w:rsidP="001C0456">
      <w:pPr>
        <w:rPr>
          <w:sz w:val="24"/>
          <w:szCs w:val="24"/>
        </w:rPr>
      </w:pPr>
    </w:p>
    <w:p w:rsidR="001C0456" w:rsidRDefault="00913227" w:rsidP="001C0456">
      <w:pPr>
        <w:rPr>
          <w:sz w:val="24"/>
          <w:szCs w:val="24"/>
        </w:rPr>
      </w:pPr>
      <w:r w:rsidRPr="0012760D">
        <w:rPr>
          <w:sz w:val="24"/>
          <w:szCs w:val="24"/>
        </w:rPr>
        <w:t xml:space="preserve">Doctor </w:t>
      </w:r>
      <w:r w:rsidR="001C0456" w:rsidRPr="0012760D">
        <w:rPr>
          <w:sz w:val="24"/>
          <w:szCs w:val="24"/>
        </w:rPr>
        <w:t>Gillian Sparkes is the Chair of the Board, and Mike Hill the Deputy Chair. Other members are Cheryl Batagol, Suzanne Evans, Ross McCann, Tony Hinton and Ron Lovett.</w:t>
      </w:r>
    </w:p>
    <w:p w:rsidR="00E320AB" w:rsidRPr="0012760D" w:rsidRDefault="00E320AB" w:rsidP="001C0456">
      <w:pPr>
        <w:rPr>
          <w:sz w:val="24"/>
          <w:szCs w:val="24"/>
        </w:rPr>
      </w:pPr>
    </w:p>
    <w:p w:rsidR="001C0456" w:rsidRDefault="001C0456" w:rsidP="001C0456">
      <w:pPr>
        <w:rPr>
          <w:sz w:val="24"/>
          <w:szCs w:val="24"/>
        </w:rPr>
      </w:pPr>
      <w:r w:rsidRPr="0012760D">
        <w:rPr>
          <w:sz w:val="24"/>
          <w:szCs w:val="24"/>
        </w:rPr>
        <w:t>See Appendix 1 for more information about board members and details of the operations of the board and its committees.</w:t>
      </w:r>
    </w:p>
    <w:p w:rsidR="00E320AB" w:rsidRDefault="00E320AB" w:rsidP="001C0456">
      <w:pPr>
        <w:rPr>
          <w:sz w:val="24"/>
          <w:szCs w:val="24"/>
        </w:rPr>
      </w:pPr>
    </w:p>
    <w:p w:rsidR="00E320AB" w:rsidRPr="0012760D" w:rsidRDefault="00E320AB" w:rsidP="001C0456">
      <w:pPr>
        <w:rPr>
          <w:sz w:val="24"/>
          <w:szCs w:val="24"/>
        </w:rPr>
      </w:pPr>
    </w:p>
    <w:p w:rsidR="001C0456" w:rsidRDefault="001C0456" w:rsidP="00E320AB">
      <w:pPr>
        <w:pStyle w:val="Heading2"/>
      </w:pPr>
      <w:r w:rsidRPr="0012760D">
        <w:t>Our Executive Team</w:t>
      </w:r>
    </w:p>
    <w:p w:rsidR="00E320AB" w:rsidRPr="0012760D" w:rsidRDefault="00E320AB" w:rsidP="001C0456">
      <w:pPr>
        <w:rPr>
          <w:sz w:val="24"/>
          <w:szCs w:val="24"/>
        </w:rPr>
      </w:pPr>
    </w:p>
    <w:p w:rsidR="001C0456" w:rsidRDefault="001C0456" w:rsidP="001C0456">
      <w:pPr>
        <w:rPr>
          <w:sz w:val="24"/>
          <w:szCs w:val="24"/>
        </w:rPr>
      </w:pPr>
      <w:r w:rsidRPr="0012760D">
        <w:rPr>
          <w:sz w:val="24"/>
          <w:szCs w:val="24"/>
        </w:rPr>
        <w:t>The team comprises the CEO, supported by four Directors who are accountable for line management, key organisational functions and program delivery.</w:t>
      </w:r>
    </w:p>
    <w:p w:rsidR="00E320AB" w:rsidRPr="0012760D" w:rsidRDefault="00E320AB" w:rsidP="001C0456">
      <w:pPr>
        <w:rPr>
          <w:sz w:val="24"/>
          <w:szCs w:val="24"/>
        </w:rPr>
      </w:pPr>
    </w:p>
    <w:p w:rsidR="001C0456" w:rsidRPr="0012760D" w:rsidRDefault="001C0456" w:rsidP="001C0456">
      <w:pPr>
        <w:rPr>
          <w:sz w:val="24"/>
          <w:szCs w:val="24"/>
        </w:rPr>
      </w:pPr>
      <w:r w:rsidRPr="0012760D">
        <w:rPr>
          <w:sz w:val="24"/>
          <w:szCs w:val="24"/>
        </w:rPr>
        <w:t>Our executive team as at 1 July 2013:</w:t>
      </w:r>
    </w:p>
    <w:p w:rsidR="001C0456" w:rsidRPr="0012760D" w:rsidRDefault="001C0456" w:rsidP="001C0456">
      <w:pPr>
        <w:rPr>
          <w:sz w:val="24"/>
          <w:szCs w:val="24"/>
        </w:rPr>
      </w:pPr>
    </w:p>
    <w:p w:rsidR="001C0456" w:rsidRPr="0012760D" w:rsidRDefault="001C0456" w:rsidP="001C0456">
      <w:pPr>
        <w:rPr>
          <w:sz w:val="24"/>
          <w:szCs w:val="24"/>
        </w:rPr>
      </w:pPr>
    </w:p>
    <w:p w:rsidR="001C0456" w:rsidRPr="0012760D" w:rsidRDefault="001C0456" w:rsidP="00E320AB">
      <w:pPr>
        <w:pStyle w:val="Heading2"/>
      </w:pPr>
      <w:r w:rsidRPr="0012760D">
        <w:t>Sustainability Victoria</w:t>
      </w:r>
      <w:r w:rsidRPr="0012760D">
        <w:br/>
        <w:t>Stan Krpan Chief Executive Officer</w:t>
      </w:r>
    </w:p>
    <w:p w:rsidR="001C0456" w:rsidRPr="0012760D" w:rsidRDefault="001C0456" w:rsidP="001C0456">
      <w:pPr>
        <w:rPr>
          <w:sz w:val="24"/>
          <w:szCs w:val="24"/>
        </w:rPr>
      </w:pPr>
    </w:p>
    <w:p w:rsidR="001C0456" w:rsidRPr="0012760D" w:rsidRDefault="001C0456" w:rsidP="001C0456">
      <w:pPr>
        <w:rPr>
          <w:sz w:val="24"/>
          <w:szCs w:val="24"/>
        </w:rPr>
      </w:pPr>
    </w:p>
    <w:p w:rsidR="001C0456" w:rsidRPr="0012760D" w:rsidRDefault="001C0456" w:rsidP="00E320AB">
      <w:pPr>
        <w:pStyle w:val="Heading3"/>
      </w:pPr>
      <w:r w:rsidRPr="0012760D">
        <w:t>Suzanne Knight</w:t>
      </w:r>
      <w:r w:rsidRPr="0012760D">
        <w:br/>
        <w:t>Manager Executive Office</w:t>
      </w:r>
    </w:p>
    <w:p w:rsidR="001C0456" w:rsidRPr="0012760D" w:rsidRDefault="001C0456" w:rsidP="001C0456">
      <w:pPr>
        <w:rPr>
          <w:sz w:val="24"/>
          <w:szCs w:val="24"/>
        </w:rPr>
      </w:pPr>
    </w:p>
    <w:p w:rsidR="001C0456" w:rsidRPr="0012760D" w:rsidRDefault="001C0456" w:rsidP="001C0456">
      <w:pPr>
        <w:pStyle w:val="Heading3"/>
        <w:rPr>
          <w:rFonts w:cs="Arial"/>
          <w:szCs w:val="24"/>
        </w:rPr>
      </w:pPr>
      <w:r w:rsidRPr="0012760D">
        <w:rPr>
          <w:rFonts w:cs="Arial"/>
          <w:szCs w:val="24"/>
        </w:rPr>
        <w:t>Jenny Pickles</w:t>
      </w:r>
      <w:r w:rsidRPr="0012760D">
        <w:rPr>
          <w:rFonts w:cs="Arial"/>
          <w:szCs w:val="24"/>
        </w:rPr>
        <w:br/>
      </w:r>
      <w:r w:rsidRPr="0012760D">
        <w:rPr>
          <w:rFonts w:cs="Arial"/>
          <w:szCs w:val="24"/>
        </w:rPr>
        <w:lastRenderedPageBreak/>
        <w:t>Director</w:t>
      </w:r>
      <w:r w:rsidRPr="0012760D">
        <w:rPr>
          <w:rFonts w:cs="Arial"/>
          <w:szCs w:val="24"/>
        </w:rPr>
        <w:br/>
        <w:t>Integrated Waste Management</w:t>
      </w:r>
    </w:p>
    <w:p w:rsidR="001C0456" w:rsidRPr="0012760D" w:rsidRDefault="001C0456" w:rsidP="001C0456">
      <w:pPr>
        <w:rPr>
          <w:sz w:val="24"/>
          <w:szCs w:val="24"/>
        </w:rPr>
      </w:pPr>
    </w:p>
    <w:p w:rsidR="001C0456" w:rsidRPr="0012760D" w:rsidRDefault="001C0456" w:rsidP="001C0456">
      <w:pPr>
        <w:rPr>
          <w:sz w:val="24"/>
          <w:szCs w:val="24"/>
        </w:rPr>
      </w:pPr>
      <w:r w:rsidRPr="0012760D">
        <w:rPr>
          <w:sz w:val="24"/>
          <w:szCs w:val="24"/>
        </w:rPr>
        <w:t>• Waste Strategy</w:t>
      </w:r>
    </w:p>
    <w:p w:rsidR="001C0456" w:rsidRPr="0012760D" w:rsidRDefault="001C0456" w:rsidP="001C0456">
      <w:pPr>
        <w:rPr>
          <w:sz w:val="24"/>
          <w:szCs w:val="24"/>
        </w:rPr>
      </w:pPr>
      <w:r w:rsidRPr="0012760D">
        <w:rPr>
          <w:sz w:val="24"/>
          <w:szCs w:val="24"/>
        </w:rPr>
        <w:t>• Resource Recovery</w:t>
      </w:r>
    </w:p>
    <w:p w:rsidR="001C0456" w:rsidRPr="0012760D" w:rsidRDefault="001C0456" w:rsidP="001C0456">
      <w:pPr>
        <w:rPr>
          <w:sz w:val="24"/>
          <w:szCs w:val="24"/>
        </w:rPr>
      </w:pPr>
      <w:r w:rsidRPr="0012760D">
        <w:rPr>
          <w:sz w:val="24"/>
          <w:szCs w:val="24"/>
        </w:rPr>
        <w:t>• Waste Infrastructure</w:t>
      </w:r>
    </w:p>
    <w:p w:rsidR="001C0456" w:rsidRPr="0012760D" w:rsidRDefault="001C0456" w:rsidP="001C0456">
      <w:pPr>
        <w:rPr>
          <w:sz w:val="24"/>
          <w:szCs w:val="24"/>
        </w:rPr>
      </w:pPr>
    </w:p>
    <w:p w:rsidR="001C0456" w:rsidRPr="0012760D" w:rsidRDefault="001C0456" w:rsidP="001C0456">
      <w:pPr>
        <w:rPr>
          <w:sz w:val="24"/>
          <w:szCs w:val="24"/>
        </w:rPr>
      </w:pPr>
    </w:p>
    <w:p w:rsidR="001C0456" w:rsidRPr="0012760D" w:rsidRDefault="001C0456" w:rsidP="001C0456">
      <w:pPr>
        <w:pStyle w:val="Heading3"/>
        <w:rPr>
          <w:rFonts w:cs="Arial"/>
          <w:szCs w:val="24"/>
        </w:rPr>
      </w:pPr>
      <w:r w:rsidRPr="0012760D">
        <w:rPr>
          <w:rFonts w:cs="Arial"/>
          <w:szCs w:val="24"/>
        </w:rPr>
        <w:t>Stefan Preuss</w:t>
      </w:r>
      <w:r w:rsidRPr="0012760D">
        <w:rPr>
          <w:rFonts w:cs="Arial"/>
          <w:szCs w:val="24"/>
        </w:rPr>
        <w:br/>
        <w:t>Director Resource Efficiency</w:t>
      </w:r>
    </w:p>
    <w:p w:rsidR="001C0456" w:rsidRPr="0012760D" w:rsidRDefault="001C0456" w:rsidP="001C0456">
      <w:pPr>
        <w:rPr>
          <w:sz w:val="24"/>
          <w:szCs w:val="24"/>
        </w:rPr>
      </w:pPr>
    </w:p>
    <w:p w:rsidR="001C0456" w:rsidRPr="0012760D" w:rsidRDefault="001C0456" w:rsidP="001C0456">
      <w:pPr>
        <w:rPr>
          <w:sz w:val="24"/>
          <w:szCs w:val="24"/>
        </w:rPr>
      </w:pPr>
      <w:r w:rsidRPr="0012760D">
        <w:rPr>
          <w:sz w:val="24"/>
          <w:szCs w:val="24"/>
        </w:rPr>
        <w:t xml:space="preserve">• Built Environment </w:t>
      </w:r>
      <w:r w:rsidR="00236A13">
        <w:rPr>
          <w:sz w:val="24"/>
          <w:szCs w:val="24"/>
        </w:rPr>
        <w:t>and</w:t>
      </w:r>
      <w:r w:rsidRPr="0012760D">
        <w:rPr>
          <w:sz w:val="24"/>
          <w:szCs w:val="24"/>
        </w:rPr>
        <w:t xml:space="preserve"> Energy</w:t>
      </w:r>
    </w:p>
    <w:p w:rsidR="001C0456" w:rsidRPr="0012760D" w:rsidRDefault="001C0456" w:rsidP="001C0456">
      <w:pPr>
        <w:rPr>
          <w:sz w:val="24"/>
          <w:szCs w:val="24"/>
        </w:rPr>
      </w:pPr>
      <w:r w:rsidRPr="0012760D">
        <w:rPr>
          <w:sz w:val="24"/>
          <w:szCs w:val="24"/>
        </w:rPr>
        <w:t>• Households</w:t>
      </w:r>
    </w:p>
    <w:p w:rsidR="001C0456" w:rsidRPr="0012760D" w:rsidRDefault="001C0456" w:rsidP="001C0456">
      <w:pPr>
        <w:rPr>
          <w:sz w:val="24"/>
          <w:szCs w:val="24"/>
        </w:rPr>
      </w:pPr>
      <w:r w:rsidRPr="0012760D">
        <w:rPr>
          <w:sz w:val="24"/>
          <w:szCs w:val="24"/>
        </w:rPr>
        <w:t>• Business Productivity</w:t>
      </w:r>
    </w:p>
    <w:p w:rsidR="001C0456" w:rsidRPr="0012760D" w:rsidRDefault="001C0456" w:rsidP="001C0456">
      <w:pPr>
        <w:rPr>
          <w:sz w:val="24"/>
          <w:szCs w:val="24"/>
        </w:rPr>
      </w:pPr>
    </w:p>
    <w:p w:rsidR="001C0456" w:rsidRPr="0012760D" w:rsidRDefault="001C0456" w:rsidP="001C0456">
      <w:pPr>
        <w:rPr>
          <w:sz w:val="24"/>
          <w:szCs w:val="24"/>
        </w:rPr>
      </w:pPr>
    </w:p>
    <w:p w:rsidR="001C0456" w:rsidRPr="0012760D" w:rsidRDefault="001C0456" w:rsidP="00E320AB">
      <w:pPr>
        <w:pStyle w:val="Heading3"/>
      </w:pPr>
      <w:r w:rsidRPr="0012760D">
        <w:t>Karen Barnes</w:t>
      </w:r>
      <w:r w:rsidRPr="0012760D">
        <w:br/>
        <w:t>Executive Assistant to CEO</w:t>
      </w:r>
    </w:p>
    <w:p w:rsidR="001C0456" w:rsidRPr="0012760D" w:rsidRDefault="001C0456" w:rsidP="001C0456">
      <w:pPr>
        <w:rPr>
          <w:sz w:val="24"/>
          <w:szCs w:val="24"/>
        </w:rPr>
      </w:pPr>
    </w:p>
    <w:p w:rsidR="001C0456" w:rsidRPr="0012760D" w:rsidRDefault="001C0456" w:rsidP="001C0456">
      <w:pPr>
        <w:rPr>
          <w:sz w:val="24"/>
          <w:szCs w:val="24"/>
        </w:rPr>
      </w:pPr>
    </w:p>
    <w:p w:rsidR="001C0456" w:rsidRPr="0012760D" w:rsidRDefault="001C0456" w:rsidP="001C0456">
      <w:pPr>
        <w:pStyle w:val="Heading3"/>
        <w:rPr>
          <w:rFonts w:cs="Arial"/>
          <w:szCs w:val="24"/>
        </w:rPr>
      </w:pPr>
      <w:r w:rsidRPr="0012760D">
        <w:rPr>
          <w:rFonts w:cs="Arial"/>
          <w:szCs w:val="24"/>
        </w:rPr>
        <w:t>Vera Lubczenko</w:t>
      </w:r>
      <w:r w:rsidRPr="0012760D">
        <w:rPr>
          <w:rFonts w:cs="Arial"/>
          <w:szCs w:val="24"/>
        </w:rPr>
        <w:br/>
        <w:t>Director</w:t>
      </w:r>
      <w:r w:rsidRPr="0012760D">
        <w:rPr>
          <w:rFonts w:cs="Arial"/>
          <w:szCs w:val="24"/>
        </w:rPr>
        <w:br/>
        <w:t>Engagement</w:t>
      </w:r>
    </w:p>
    <w:p w:rsidR="001C0456" w:rsidRPr="0012760D" w:rsidRDefault="001C0456" w:rsidP="001C0456">
      <w:pPr>
        <w:rPr>
          <w:sz w:val="24"/>
          <w:szCs w:val="24"/>
        </w:rPr>
      </w:pPr>
    </w:p>
    <w:p w:rsidR="001C0456" w:rsidRPr="0012760D" w:rsidRDefault="001C0456" w:rsidP="001C0456">
      <w:pPr>
        <w:rPr>
          <w:sz w:val="24"/>
          <w:szCs w:val="24"/>
        </w:rPr>
      </w:pPr>
      <w:r w:rsidRPr="0012760D">
        <w:rPr>
          <w:sz w:val="24"/>
          <w:szCs w:val="24"/>
        </w:rPr>
        <w:t>• Statewide Engagement</w:t>
      </w:r>
    </w:p>
    <w:p w:rsidR="001C0456" w:rsidRPr="0012760D" w:rsidRDefault="001C0456" w:rsidP="001C0456">
      <w:pPr>
        <w:rPr>
          <w:sz w:val="24"/>
          <w:szCs w:val="24"/>
        </w:rPr>
      </w:pPr>
      <w:r w:rsidRPr="0012760D">
        <w:rPr>
          <w:sz w:val="24"/>
          <w:szCs w:val="24"/>
        </w:rPr>
        <w:t>• Litter</w:t>
      </w:r>
    </w:p>
    <w:p w:rsidR="001C0456" w:rsidRPr="0012760D" w:rsidRDefault="001C0456" w:rsidP="001C0456">
      <w:pPr>
        <w:rPr>
          <w:sz w:val="24"/>
          <w:szCs w:val="24"/>
        </w:rPr>
      </w:pPr>
      <w:r w:rsidRPr="0012760D">
        <w:rPr>
          <w:sz w:val="24"/>
          <w:szCs w:val="24"/>
        </w:rPr>
        <w:t>• Education</w:t>
      </w:r>
    </w:p>
    <w:p w:rsidR="001C0456" w:rsidRPr="0012760D" w:rsidRDefault="001C0456" w:rsidP="001C0456">
      <w:pPr>
        <w:rPr>
          <w:sz w:val="24"/>
          <w:szCs w:val="24"/>
        </w:rPr>
      </w:pPr>
      <w:r w:rsidRPr="0012760D">
        <w:rPr>
          <w:sz w:val="24"/>
          <w:szCs w:val="24"/>
        </w:rPr>
        <w:t xml:space="preserve">• Comms </w:t>
      </w:r>
      <w:r w:rsidR="00236A13">
        <w:rPr>
          <w:sz w:val="24"/>
          <w:szCs w:val="24"/>
        </w:rPr>
        <w:t>and</w:t>
      </w:r>
      <w:r w:rsidRPr="0012760D">
        <w:rPr>
          <w:sz w:val="24"/>
          <w:szCs w:val="24"/>
        </w:rPr>
        <w:t xml:space="preserve"> Marketing</w:t>
      </w:r>
    </w:p>
    <w:p w:rsidR="001C0456" w:rsidRPr="0012760D" w:rsidRDefault="001C0456" w:rsidP="001C0456">
      <w:pPr>
        <w:rPr>
          <w:sz w:val="24"/>
          <w:szCs w:val="24"/>
        </w:rPr>
      </w:pPr>
      <w:r w:rsidRPr="0012760D">
        <w:rPr>
          <w:sz w:val="24"/>
          <w:szCs w:val="24"/>
        </w:rPr>
        <w:t xml:space="preserve">• People </w:t>
      </w:r>
      <w:r w:rsidR="00236A13">
        <w:rPr>
          <w:sz w:val="24"/>
          <w:szCs w:val="24"/>
        </w:rPr>
        <w:t>and</w:t>
      </w:r>
      <w:r w:rsidRPr="0012760D">
        <w:rPr>
          <w:sz w:val="24"/>
          <w:szCs w:val="24"/>
        </w:rPr>
        <w:t xml:space="preserve"> Culture</w:t>
      </w:r>
    </w:p>
    <w:p w:rsidR="001C0456" w:rsidRPr="0012760D" w:rsidRDefault="001C0456" w:rsidP="001C0456">
      <w:pPr>
        <w:rPr>
          <w:sz w:val="24"/>
          <w:szCs w:val="24"/>
        </w:rPr>
      </w:pPr>
    </w:p>
    <w:p w:rsidR="001C0456" w:rsidRPr="0012760D" w:rsidRDefault="001C0456" w:rsidP="001C0456">
      <w:pPr>
        <w:rPr>
          <w:sz w:val="24"/>
          <w:szCs w:val="24"/>
        </w:rPr>
      </w:pPr>
    </w:p>
    <w:p w:rsidR="001C0456" w:rsidRPr="0012760D" w:rsidRDefault="001C0456" w:rsidP="001C0456">
      <w:pPr>
        <w:pStyle w:val="Heading3"/>
        <w:rPr>
          <w:rFonts w:cs="Arial"/>
          <w:szCs w:val="24"/>
        </w:rPr>
      </w:pPr>
      <w:r w:rsidRPr="0012760D">
        <w:rPr>
          <w:rFonts w:cs="Arial"/>
          <w:szCs w:val="24"/>
        </w:rPr>
        <w:t>Carl Muller</w:t>
      </w:r>
      <w:r w:rsidRPr="0012760D">
        <w:rPr>
          <w:rFonts w:cs="Arial"/>
          <w:szCs w:val="24"/>
        </w:rPr>
        <w:br/>
        <w:t>Director</w:t>
      </w:r>
      <w:r w:rsidRPr="0012760D">
        <w:rPr>
          <w:rFonts w:cs="Arial"/>
          <w:szCs w:val="24"/>
        </w:rPr>
        <w:br/>
        <w:t>Corporate Services</w:t>
      </w:r>
    </w:p>
    <w:p w:rsidR="001C0456" w:rsidRPr="0012760D" w:rsidRDefault="001C0456" w:rsidP="001C0456">
      <w:pPr>
        <w:rPr>
          <w:sz w:val="24"/>
          <w:szCs w:val="24"/>
        </w:rPr>
      </w:pPr>
    </w:p>
    <w:p w:rsidR="001C0456" w:rsidRPr="0012760D" w:rsidRDefault="001C0456" w:rsidP="001C0456">
      <w:pPr>
        <w:rPr>
          <w:sz w:val="24"/>
          <w:szCs w:val="24"/>
        </w:rPr>
      </w:pPr>
      <w:r w:rsidRPr="0012760D">
        <w:rPr>
          <w:sz w:val="24"/>
          <w:szCs w:val="24"/>
        </w:rPr>
        <w:t xml:space="preserve">• Legal </w:t>
      </w:r>
      <w:r w:rsidR="00236A13">
        <w:rPr>
          <w:sz w:val="24"/>
          <w:szCs w:val="24"/>
        </w:rPr>
        <w:t>and</w:t>
      </w:r>
      <w:r w:rsidRPr="0012760D">
        <w:rPr>
          <w:sz w:val="24"/>
          <w:szCs w:val="24"/>
        </w:rPr>
        <w:t xml:space="preserve"> Governance</w:t>
      </w:r>
    </w:p>
    <w:p w:rsidR="001C0456" w:rsidRPr="0012760D" w:rsidRDefault="001C0456" w:rsidP="001C0456">
      <w:pPr>
        <w:rPr>
          <w:sz w:val="24"/>
          <w:szCs w:val="24"/>
        </w:rPr>
      </w:pPr>
      <w:r w:rsidRPr="0012760D">
        <w:rPr>
          <w:sz w:val="24"/>
          <w:szCs w:val="24"/>
        </w:rPr>
        <w:t>• CFO/Finance</w:t>
      </w:r>
    </w:p>
    <w:p w:rsidR="001C0456" w:rsidRPr="0012760D" w:rsidRDefault="001C0456" w:rsidP="001C0456">
      <w:pPr>
        <w:rPr>
          <w:sz w:val="24"/>
          <w:szCs w:val="24"/>
        </w:rPr>
      </w:pPr>
      <w:r w:rsidRPr="0012760D">
        <w:rPr>
          <w:sz w:val="24"/>
          <w:szCs w:val="24"/>
        </w:rPr>
        <w:t xml:space="preserve">• Strategy </w:t>
      </w:r>
      <w:r w:rsidR="00236A13">
        <w:rPr>
          <w:sz w:val="24"/>
          <w:szCs w:val="24"/>
        </w:rPr>
        <w:t>and</w:t>
      </w:r>
      <w:r w:rsidRPr="0012760D">
        <w:rPr>
          <w:sz w:val="24"/>
          <w:szCs w:val="24"/>
        </w:rPr>
        <w:t xml:space="preserve"> Planning</w:t>
      </w:r>
    </w:p>
    <w:p w:rsidR="001C0456" w:rsidRPr="0012760D" w:rsidRDefault="001C0456" w:rsidP="001C0456">
      <w:pPr>
        <w:rPr>
          <w:sz w:val="24"/>
          <w:szCs w:val="24"/>
        </w:rPr>
      </w:pPr>
      <w:r w:rsidRPr="0012760D">
        <w:rPr>
          <w:sz w:val="24"/>
          <w:szCs w:val="24"/>
        </w:rPr>
        <w:t>• Incentives</w:t>
      </w:r>
    </w:p>
    <w:p w:rsidR="001C0456" w:rsidRPr="0012760D" w:rsidRDefault="001C0456" w:rsidP="001C0456">
      <w:pPr>
        <w:rPr>
          <w:sz w:val="24"/>
          <w:szCs w:val="24"/>
        </w:rPr>
      </w:pPr>
      <w:r w:rsidRPr="0012760D">
        <w:rPr>
          <w:sz w:val="24"/>
          <w:szCs w:val="24"/>
        </w:rPr>
        <w:t xml:space="preserve">• Information Systems </w:t>
      </w:r>
      <w:r w:rsidR="00236A13">
        <w:rPr>
          <w:sz w:val="24"/>
          <w:szCs w:val="24"/>
        </w:rPr>
        <w:t>and</w:t>
      </w:r>
      <w:r w:rsidRPr="0012760D">
        <w:rPr>
          <w:sz w:val="24"/>
          <w:szCs w:val="24"/>
        </w:rPr>
        <w:t xml:space="preserve"> Web</w:t>
      </w:r>
    </w:p>
    <w:p w:rsidR="001C0456" w:rsidRPr="0012760D" w:rsidRDefault="001C0456" w:rsidP="001C0456">
      <w:pPr>
        <w:rPr>
          <w:sz w:val="24"/>
          <w:szCs w:val="24"/>
        </w:rPr>
      </w:pPr>
    </w:p>
    <w:p w:rsidR="001C0456" w:rsidRPr="0012760D" w:rsidRDefault="001C0456" w:rsidP="001C0456">
      <w:pPr>
        <w:pStyle w:val="Heading3"/>
        <w:rPr>
          <w:rFonts w:cs="Arial"/>
          <w:szCs w:val="24"/>
        </w:rPr>
      </w:pPr>
      <w:r w:rsidRPr="0012760D">
        <w:rPr>
          <w:rFonts w:cs="Arial"/>
          <w:szCs w:val="24"/>
        </w:rPr>
        <w:t>Jonathan Leake</w:t>
      </w:r>
      <w:r w:rsidRPr="0012760D">
        <w:rPr>
          <w:rFonts w:cs="Arial"/>
          <w:szCs w:val="24"/>
        </w:rPr>
        <w:br/>
        <w:t>Manager</w:t>
      </w:r>
      <w:r w:rsidRPr="0012760D">
        <w:rPr>
          <w:rFonts w:cs="Arial"/>
          <w:szCs w:val="24"/>
        </w:rPr>
        <w:br/>
        <w:t>Sustainability Fund</w:t>
      </w:r>
    </w:p>
    <w:p w:rsidR="00A2471A" w:rsidRDefault="00A2471A" w:rsidP="00A2471A">
      <w:pPr>
        <w:rPr>
          <w:bCs/>
          <w:sz w:val="24"/>
          <w:szCs w:val="24"/>
        </w:rPr>
      </w:pPr>
      <w:r w:rsidRPr="0012760D">
        <w:rPr>
          <w:bCs/>
          <w:sz w:val="24"/>
          <w:szCs w:val="24"/>
        </w:rPr>
        <w:t>&lt;pp&gt; 7</w:t>
      </w:r>
    </w:p>
    <w:p w:rsidR="00E320AB" w:rsidRDefault="00E320AB" w:rsidP="00A2471A">
      <w:pPr>
        <w:rPr>
          <w:bCs/>
          <w:sz w:val="24"/>
          <w:szCs w:val="24"/>
        </w:rPr>
      </w:pPr>
    </w:p>
    <w:p w:rsidR="00E320AB" w:rsidRPr="0012760D" w:rsidRDefault="00E320AB" w:rsidP="00A2471A">
      <w:pPr>
        <w:rPr>
          <w:sz w:val="24"/>
          <w:szCs w:val="24"/>
        </w:rPr>
      </w:pPr>
    </w:p>
    <w:p w:rsidR="00A2471A" w:rsidRDefault="00A2471A" w:rsidP="00E320AB">
      <w:pPr>
        <w:pStyle w:val="Heading1"/>
      </w:pPr>
      <w:r w:rsidRPr="0012760D">
        <w:lastRenderedPageBreak/>
        <w:t>Part 4</w:t>
      </w:r>
      <w:r w:rsidR="00E320AB">
        <w:br/>
      </w:r>
      <w:r w:rsidRPr="0012760D">
        <w:t>Our Performance</w:t>
      </w:r>
    </w:p>
    <w:p w:rsidR="00E320AB" w:rsidRPr="0012760D" w:rsidRDefault="00E320AB" w:rsidP="00A2471A">
      <w:pPr>
        <w:rPr>
          <w:sz w:val="24"/>
          <w:szCs w:val="24"/>
        </w:rPr>
      </w:pPr>
    </w:p>
    <w:p w:rsidR="00A2471A" w:rsidRDefault="00A2471A" w:rsidP="00A2471A">
      <w:pPr>
        <w:rPr>
          <w:bCs/>
          <w:sz w:val="24"/>
          <w:szCs w:val="24"/>
        </w:rPr>
      </w:pPr>
      <w:r w:rsidRPr="0012760D">
        <w:rPr>
          <w:bCs/>
          <w:sz w:val="24"/>
          <w:szCs w:val="24"/>
        </w:rPr>
        <w:t xml:space="preserve">In 2012 to 13, the first year of our </w:t>
      </w:r>
      <w:r w:rsidR="00E320AB">
        <w:rPr>
          <w:bCs/>
          <w:sz w:val="24"/>
          <w:szCs w:val="24"/>
        </w:rPr>
        <w:t>SV</w:t>
      </w:r>
      <w:r w:rsidRPr="0012760D">
        <w:rPr>
          <w:bCs/>
          <w:sz w:val="24"/>
          <w:szCs w:val="24"/>
        </w:rPr>
        <w:t xml:space="preserve">2015 </w:t>
      </w:r>
      <w:r w:rsidR="00E320AB" w:rsidRPr="0012760D">
        <w:rPr>
          <w:bCs/>
          <w:sz w:val="24"/>
          <w:szCs w:val="24"/>
        </w:rPr>
        <w:t xml:space="preserve">Strategic </w:t>
      </w:r>
      <w:r w:rsidRPr="0012760D">
        <w:rPr>
          <w:bCs/>
          <w:sz w:val="24"/>
          <w:szCs w:val="24"/>
        </w:rPr>
        <w:t>Plan, we have been preparing for our future as a more outcomes-driven and stakeholder-focused organisation.</w:t>
      </w:r>
    </w:p>
    <w:p w:rsidR="00E320AB" w:rsidRPr="0012760D" w:rsidRDefault="00E320AB" w:rsidP="00A2471A">
      <w:pPr>
        <w:rPr>
          <w:sz w:val="24"/>
          <w:szCs w:val="24"/>
        </w:rPr>
      </w:pPr>
    </w:p>
    <w:p w:rsidR="00A2471A" w:rsidRDefault="00A2471A" w:rsidP="00A2471A">
      <w:pPr>
        <w:rPr>
          <w:sz w:val="24"/>
          <w:szCs w:val="24"/>
        </w:rPr>
      </w:pPr>
      <w:r w:rsidRPr="0012760D">
        <w:rPr>
          <w:sz w:val="24"/>
          <w:szCs w:val="24"/>
        </w:rPr>
        <w:t>We have aligned our organisational structure, with a focus on developing our core capabilities and internal culture to reflect our new strategic intent, and commenced delivery across a range of program areas.</w:t>
      </w:r>
    </w:p>
    <w:p w:rsidR="00E320AB" w:rsidRPr="0012760D" w:rsidRDefault="00E320AB" w:rsidP="00A2471A">
      <w:pPr>
        <w:rPr>
          <w:sz w:val="24"/>
          <w:szCs w:val="24"/>
        </w:rPr>
      </w:pPr>
    </w:p>
    <w:p w:rsidR="00A2471A" w:rsidRPr="0012760D" w:rsidRDefault="00A2471A" w:rsidP="00A2471A">
      <w:pPr>
        <w:rPr>
          <w:sz w:val="24"/>
          <w:szCs w:val="24"/>
        </w:rPr>
      </w:pPr>
      <w:r w:rsidRPr="0012760D">
        <w:rPr>
          <w:sz w:val="24"/>
          <w:szCs w:val="24"/>
        </w:rPr>
        <w:t>The following table provides an overview of the main programs and initiatives discussed in this report, classified according to their SV2015 outcomes.</w:t>
      </w:r>
    </w:p>
    <w:p w:rsidR="00A2471A" w:rsidRPr="0012760D" w:rsidRDefault="00A2471A" w:rsidP="00A2471A">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4505"/>
        <w:gridCol w:w="4604"/>
      </w:tblGrid>
      <w:tr w:rsidR="00A2471A" w:rsidRPr="0012760D" w:rsidTr="00552B7D">
        <w:tblPrEx>
          <w:tblCellMar>
            <w:top w:w="0" w:type="dxa"/>
            <w:bottom w:w="0" w:type="dxa"/>
          </w:tblCellMar>
        </w:tblPrEx>
        <w:tc>
          <w:tcPr>
            <w:tcW w:w="2473" w:type="pct"/>
            <w:shd w:val="clear" w:color="auto" w:fill="auto"/>
          </w:tcPr>
          <w:p w:rsidR="00A2471A" w:rsidRPr="0012760D" w:rsidRDefault="00A2471A" w:rsidP="006E6F1C">
            <w:pPr>
              <w:rPr>
                <w:sz w:val="24"/>
                <w:szCs w:val="24"/>
              </w:rPr>
            </w:pPr>
            <w:r w:rsidRPr="0012760D">
              <w:rPr>
                <w:bCs/>
                <w:sz w:val="24"/>
                <w:szCs w:val="24"/>
              </w:rPr>
              <w:t>Outcome</w:t>
            </w:r>
          </w:p>
        </w:tc>
        <w:tc>
          <w:tcPr>
            <w:tcW w:w="2527" w:type="pct"/>
            <w:shd w:val="clear" w:color="auto" w:fill="auto"/>
          </w:tcPr>
          <w:p w:rsidR="00A2471A" w:rsidRPr="0012760D" w:rsidRDefault="00A2471A" w:rsidP="006E6F1C">
            <w:pPr>
              <w:rPr>
                <w:sz w:val="24"/>
                <w:szCs w:val="24"/>
              </w:rPr>
            </w:pPr>
            <w:r w:rsidRPr="0012760D">
              <w:rPr>
                <w:bCs/>
                <w:sz w:val="24"/>
                <w:szCs w:val="24"/>
              </w:rPr>
              <w:t>Program/initiative</w:t>
            </w:r>
          </w:p>
        </w:tc>
      </w:tr>
      <w:tr w:rsidR="00A2471A" w:rsidRPr="0012760D" w:rsidTr="00552B7D">
        <w:tblPrEx>
          <w:tblCellMar>
            <w:top w:w="0" w:type="dxa"/>
            <w:bottom w:w="0" w:type="dxa"/>
          </w:tblCellMar>
        </w:tblPrEx>
        <w:tc>
          <w:tcPr>
            <w:tcW w:w="2473" w:type="pct"/>
            <w:shd w:val="clear" w:color="auto" w:fill="auto"/>
          </w:tcPr>
          <w:p w:rsidR="00A2471A" w:rsidRPr="0012760D" w:rsidRDefault="00A2471A" w:rsidP="006E6F1C">
            <w:pPr>
              <w:rPr>
                <w:sz w:val="24"/>
                <w:szCs w:val="24"/>
              </w:rPr>
            </w:pPr>
            <w:r w:rsidRPr="0012760D">
              <w:rPr>
                <w:bCs/>
                <w:sz w:val="24"/>
                <w:szCs w:val="24"/>
              </w:rPr>
              <w:t>Integrated waste management</w:t>
            </w:r>
          </w:p>
        </w:tc>
        <w:tc>
          <w:tcPr>
            <w:tcW w:w="2527" w:type="pct"/>
            <w:shd w:val="clear" w:color="auto" w:fill="auto"/>
          </w:tcPr>
          <w:p w:rsidR="00A2471A" w:rsidRPr="0012760D" w:rsidRDefault="00A2471A" w:rsidP="006E6F1C">
            <w:pPr>
              <w:rPr>
                <w:sz w:val="24"/>
                <w:szCs w:val="24"/>
              </w:rPr>
            </w:pPr>
          </w:p>
        </w:tc>
      </w:tr>
      <w:tr w:rsidR="00A2471A" w:rsidRPr="0012760D" w:rsidTr="00552B7D">
        <w:tblPrEx>
          <w:tblCellMar>
            <w:top w:w="0" w:type="dxa"/>
            <w:bottom w:w="0" w:type="dxa"/>
          </w:tblCellMar>
        </w:tblPrEx>
        <w:tc>
          <w:tcPr>
            <w:tcW w:w="2473" w:type="pct"/>
            <w:shd w:val="clear" w:color="auto" w:fill="auto"/>
          </w:tcPr>
          <w:p w:rsidR="00A2471A" w:rsidRPr="0012760D" w:rsidRDefault="00A2471A" w:rsidP="006E6F1C">
            <w:pPr>
              <w:rPr>
                <w:sz w:val="24"/>
                <w:szCs w:val="24"/>
              </w:rPr>
            </w:pPr>
            <w:r w:rsidRPr="0012760D">
              <w:rPr>
                <w:sz w:val="24"/>
                <w:szCs w:val="24"/>
              </w:rPr>
              <w:t>Increased recovery of priority products and materials that contribute weight, that pose a risk and/or are a valuable resource</w:t>
            </w:r>
          </w:p>
        </w:tc>
        <w:tc>
          <w:tcPr>
            <w:tcW w:w="2527" w:type="pct"/>
            <w:shd w:val="clear" w:color="auto" w:fill="auto"/>
          </w:tcPr>
          <w:p w:rsidR="00A2471A" w:rsidRPr="0012760D" w:rsidRDefault="00A2471A" w:rsidP="006E6F1C">
            <w:pPr>
              <w:rPr>
                <w:sz w:val="24"/>
                <w:szCs w:val="24"/>
              </w:rPr>
            </w:pPr>
            <w:r w:rsidRPr="0012760D">
              <w:rPr>
                <w:sz w:val="24"/>
                <w:szCs w:val="24"/>
              </w:rPr>
              <w:t>Batteryback</w:t>
            </w:r>
          </w:p>
          <w:p w:rsidR="00A2471A" w:rsidRPr="0012760D" w:rsidRDefault="00A2471A" w:rsidP="006E6F1C">
            <w:pPr>
              <w:rPr>
                <w:sz w:val="24"/>
                <w:szCs w:val="24"/>
              </w:rPr>
            </w:pPr>
            <w:r w:rsidRPr="0012760D">
              <w:rPr>
                <w:sz w:val="24"/>
                <w:szCs w:val="24"/>
              </w:rPr>
              <w:t>Paintcare</w:t>
            </w:r>
          </w:p>
          <w:p w:rsidR="00A2471A" w:rsidRPr="0012760D" w:rsidRDefault="00A2471A" w:rsidP="006E6F1C">
            <w:pPr>
              <w:rPr>
                <w:sz w:val="24"/>
                <w:szCs w:val="24"/>
              </w:rPr>
            </w:pPr>
            <w:r w:rsidRPr="0012760D">
              <w:rPr>
                <w:sz w:val="24"/>
                <w:szCs w:val="24"/>
              </w:rPr>
              <w:t>Detox Your Home</w:t>
            </w:r>
          </w:p>
          <w:p w:rsidR="00A2471A" w:rsidRPr="0012760D" w:rsidRDefault="00A2471A" w:rsidP="006E6F1C">
            <w:pPr>
              <w:rPr>
                <w:sz w:val="24"/>
                <w:szCs w:val="24"/>
              </w:rPr>
            </w:pPr>
            <w:r w:rsidRPr="0012760D">
              <w:rPr>
                <w:sz w:val="24"/>
                <w:szCs w:val="24"/>
              </w:rPr>
              <w:t>Get it Right on Bin Night</w:t>
            </w:r>
          </w:p>
          <w:p w:rsidR="00A2471A" w:rsidRPr="0012760D" w:rsidRDefault="00A2471A" w:rsidP="006E6F1C">
            <w:pPr>
              <w:rPr>
                <w:sz w:val="24"/>
                <w:szCs w:val="24"/>
              </w:rPr>
            </w:pPr>
            <w:r w:rsidRPr="0012760D">
              <w:rPr>
                <w:sz w:val="24"/>
                <w:szCs w:val="24"/>
              </w:rPr>
              <w:t>Increased source separation and recycling (commercial and industrial)</w:t>
            </w:r>
          </w:p>
        </w:tc>
      </w:tr>
      <w:tr w:rsidR="00A2471A" w:rsidRPr="0012760D" w:rsidTr="00552B7D">
        <w:tblPrEx>
          <w:tblCellMar>
            <w:top w:w="0" w:type="dxa"/>
            <w:bottom w:w="0" w:type="dxa"/>
          </w:tblCellMar>
        </w:tblPrEx>
        <w:tc>
          <w:tcPr>
            <w:tcW w:w="2473" w:type="pct"/>
            <w:shd w:val="clear" w:color="auto" w:fill="auto"/>
          </w:tcPr>
          <w:p w:rsidR="00A2471A" w:rsidRPr="0012760D" w:rsidRDefault="00A2471A" w:rsidP="006E6F1C">
            <w:pPr>
              <w:rPr>
                <w:sz w:val="24"/>
                <w:szCs w:val="24"/>
              </w:rPr>
            </w:pPr>
            <w:r w:rsidRPr="0012760D">
              <w:rPr>
                <w:sz w:val="24"/>
                <w:szCs w:val="24"/>
              </w:rPr>
              <w:t>Improved standard of infrastructure and its development</w:t>
            </w:r>
          </w:p>
          <w:p w:rsidR="00A2471A" w:rsidRPr="0012760D" w:rsidRDefault="00A2471A" w:rsidP="006E6F1C">
            <w:pPr>
              <w:rPr>
                <w:sz w:val="24"/>
                <w:szCs w:val="24"/>
              </w:rPr>
            </w:pPr>
            <w:r w:rsidRPr="0012760D">
              <w:rPr>
                <w:sz w:val="24"/>
                <w:szCs w:val="24"/>
              </w:rPr>
              <w:t>Increased uptake of waste minimisation practices in targeted sectors for maximum gain</w:t>
            </w:r>
          </w:p>
          <w:p w:rsidR="00A2471A" w:rsidRPr="0012760D" w:rsidRDefault="00A2471A" w:rsidP="006E6F1C">
            <w:pPr>
              <w:rPr>
                <w:sz w:val="24"/>
                <w:szCs w:val="24"/>
              </w:rPr>
            </w:pPr>
            <w:r w:rsidRPr="0012760D">
              <w:rPr>
                <w:sz w:val="24"/>
                <w:szCs w:val="24"/>
              </w:rPr>
              <w:t>Reduced littering behaviour and litter</w:t>
            </w:r>
          </w:p>
          <w:p w:rsidR="00A2471A" w:rsidRPr="0012760D" w:rsidRDefault="00A2471A" w:rsidP="006E6F1C">
            <w:pPr>
              <w:rPr>
                <w:sz w:val="24"/>
                <w:szCs w:val="24"/>
              </w:rPr>
            </w:pPr>
            <w:r w:rsidRPr="0012760D">
              <w:rPr>
                <w:sz w:val="24"/>
                <w:szCs w:val="24"/>
              </w:rPr>
              <w:t>Waste strategy, statewide planning and support to waste management groups</w:t>
            </w:r>
          </w:p>
        </w:tc>
        <w:tc>
          <w:tcPr>
            <w:tcW w:w="2527" w:type="pct"/>
            <w:shd w:val="clear" w:color="auto" w:fill="auto"/>
          </w:tcPr>
          <w:p w:rsidR="00A2471A" w:rsidRPr="0012760D" w:rsidRDefault="00A2471A" w:rsidP="006E6F1C">
            <w:pPr>
              <w:rPr>
                <w:sz w:val="24"/>
                <w:szCs w:val="24"/>
              </w:rPr>
            </w:pPr>
            <w:r w:rsidRPr="0012760D">
              <w:rPr>
                <w:sz w:val="24"/>
                <w:szCs w:val="24"/>
              </w:rPr>
              <w:t>Driving Investment in New Recycling (DINR) Resource Recovery Infrastructure (RRI) Building Victoria</w:t>
            </w:r>
            <w:r w:rsidR="00907E0B" w:rsidRPr="0012760D">
              <w:rPr>
                <w:sz w:val="24"/>
                <w:szCs w:val="24"/>
              </w:rPr>
              <w:t>'</w:t>
            </w:r>
            <w:r w:rsidRPr="0012760D">
              <w:rPr>
                <w:sz w:val="24"/>
                <w:szCs w:val="24"/>
              </w:rPr>
              <w:t>s Organics Recovery (BVOR) Beyond Waste</w:t>
            </w:r>
          </w:p>
          <w:p w:rsidR="00A2471A" w:rsidRPr="0012760D" w:rsidRDefault="00A2471A" w:rsidP="006E6F1C">
            <w:pPr>
              <w:rPr>
                <w:sz w:val="24"/>
                <w:szCs w:val="24"/>
              </w:rPr>
            </w:pPr>
            <w:r w:rsidRPr="0012760D">
              <w:rPr>
                <w:sz w:val="24"/>
                <w:szCs w:val="24"/>
              </w:rPr>
              <w:t>Roadside Litter</w:t>
            </w:r>
          </w:p>
          <w:p w:rsidR="00A2471A" w:rsidRPr="0012760D" w:rsidRDefault="00A2471A" w:rsidP="006E6F1C">
            <w:pPr>
              <w:rPr>
                <w:sz w:val="24"/>
                <w:szCs w:val="24"/>
              </w:rPr>
            </w:pPr>
            <w:r w:rsidRPr="0012760D">
              <w:rPr>
                <w:sz w:val="24"/>
                <w:szCs w:val="24"/>
              </w:rPr>
              <w:t>Public Place Recycling grants</w:t>
            </w:r>
          </w:p>
          <w:p w:rsidR="00A2471A" w:rsidRPr="0012760D" w:rsidRDefault="00A2471A" w:rsidP="006E6F1C">
            <w:pPr>
              <w:rPr>
                <w:sz w:val="24"/>
                <w:szCs w:val="24"/>
              </w:rPr>
            </w:pPr>
            <w:r w:rsidRPr="0012760D">
              <w:rPr>
                <w:sz w:val="24"/>
                <w:szCs w:val="24"/>
              </w:rPr>
              <w:t>Draft Statewide Waste and Resource Recovery Infrastructure Plan (SWRRIP)</w:t>
            </w:r>
          </w:p>
        </w:tc>
      </w:tr>
      <w:tr w:rsidR="00A2471A" w:rsidRPr="0012760D" w:rsidTr="00552B7D">
        <w:tblPrEx>
          <w:tblCellMar>
            <w:top w:w="0" w:type="dxa"/>
            <w:bottom w:w="0" w:type="dxa"/>
          </w:tblCellMar>
        </w:tblPrEx>
        <w:tc>
          <w:tcPr>
            <w:tcW w:w="2473" w:type="pct"/>
            <w:shd w:val="clear" w:color="auto" w:fill="auto"/>
          </w:tcPr>
          <w:p w:rsidR="00A2471A" w:rsidRPr="0012760D" w:rsidRDefault="00A2471A" w:rsidP="006E6F1C">
            <w:pPr>
              <w:rPr>
                <w:sz w:val="24"/>
                <w:szCs w:val="24"/>
              </w:rPr>
            </w:pPr>
            <w:r w:rsidRPr="0012760D">
              <w:rPr>
                <w:bCs/>
                <w:sz w:val="24"/>
                <w:szCs w:val="24"/>
              </w:rPr>
              <w:t>Resource efficiency</w:t>
            </w:r>
          </w:p>
        </w:tc>
        <w:tc>
          <w:tcPr>
            <w:tcW w:w="2527" w:type="pct"/>
            <w:shd w:val="clear" w:color="auto" w:fill="auto"/>
          </w:tcPr>
          <w:p w:rsidR="00A2471A" w:rsidRPr="0012760D" w:rsidRDefault="00A2471A" w:rsidP="006E6F1C">
            <w:pPr>
              <w:rPr>
                <w:sz w:val="24"/>
                <w:szCs w:val="24"/>
              </w:rPr>
            </w:pPr>
          </w:p>
        </w:tc>
      </w:tr>
      <w:tr w:rsidR="00A2471A" w:rsidRPr="0012760D" w:rsidTr="00552B7D">
        <w:tblPrEx>
          <w:tblCellMar>
            <w:top w:w="0" w:type="dxa"/>
            <w:bottom w:w="0" w:type="dxa"/>
          </w:tblCellMar>
        </w:tblPrEx>
        <w:tc>
          <w:tcPr>
            <w:tcW w:w="2473" w:type="pct"/>
            <w:shd w:val="clear" w:color="auto" w:fill="auto"/>
          </w:tcPr>
          <w:p w:rsidR="00A2471A" w:rsidRPr="0012760D" w:rsidRDefault="00A2471A" w:rsidP="006E6F1C">
            <w:pPr>
              <w:rPr>
                <w:sz w:val="24"/>
                <w:szCs w:val="24"/>
              </w:rPr>
            </w:pPr>
            <w:r w:rsidRPr="0012760D">
              <w:rPr>
                <w:sz w:val="24"/>
                <w:szCs w:val="24"/>
              </w:rPr>
              <w:t>Increased energy efficiency of selected stakeholders in commercial office buildings and households sectors</w:t>
            </w:r>
          </w:p>
          <w:p w:rsidR="00A2471A" w:rsidRPr="0012760D" w:rsidRDefault="00A2471A" w:rsidP="006E6F1C">
            <w:pPr>
              <w:rPr>
                <w:sz w:val="24"/>
                <w:szCs w:val="24"/>
              </w:rPr>
            </w:pPr>
            <w:r w:rsidRPr="0012760D">
              <w:rPr>
                <w:sz w:val="24"/>
                <w:szCs w:val="24"/>
              </w:rPr>
              <w:t>Increased energy and materials efficiency of selected stakeholders in small to medium enterprises and schools</w:t>
            </w:r>
          </w:p>
          <w:p w:rsidR="00A2471A" w:rsidRPr="0012760D" w:rsidRDefault="00A2471A" w:rsidP="006E6F1C">
            <w:pPr>
              <w:rPr>
                <w:sz w:val="24"/>
                <w:szCs w:val="24"/>
              </w:rPr>
            </w:pPr>
            <w:r w:rsidRPr="0012760D">
              <w:rPr>
                <w:sz w:val="24"/>
                <w:szCs w:val="24"/>
              </w:rPr>
              <w:t>Increased uptake of technologies that reduce environmental impacts as part of an integrated approach to energy efficiency in targeted sectors</w:t>
            </w:r>
          </w:p>
        </w:tc>
        <w:tc>
          <w:tcPr>
            <w:tcW w:w="2527" w:type="pct"/>
            <w:shd w:val="clear" w:color="auto" w:fill="auto"/>
          </w:tcPr>
          <w:p w:rsidR="00A2471A" w:rsidRPr="0012760D" w:rsidRDefault="00A2471A" w:rsidP="006E6F1C">
            <w:pPr>
              <w:rPr>
                <w:sz w:val="24"/>
                <w:szCs w:val="24"/>
              </w:rPr>
            </w:pPr>
            <w:r w:rsidRPr="0012760D">
              <w:rPr>
                <w:sz w:val="24"/>
                <w:szCs w:val="24"/>
              </w:rPr>
              <w:t>Smarter Choice</w:t>
            </w:r>
          </w:p>
          <w:p w:rsidR="00A2471A" w:rsidRPr="0012760D" w:rsidRDefault="00A2471A" w:rsidP="006E6F1C">
            <w:pPr>
              <w:rPr>
                <w:sz w:val="24"/>
                <w:szCs w:val="24"/>
              </w:rPr>
            </w:pPr>
            <w:r w:rsidRPr="0012760D">
              <w:rPr>
                <w:sz w:val="24"/>
                <w:szCs w:val="24"/>
              </w:rPr>
              <w:t>Energy and Water Taskforce</w:t>
            </w:r>
          </w:p>
          <w:p w:rsidR="00A2471A" w:rsidRPr="0012760D" w:rsidRDefault="00A2471A" w:rsidP="006E6F1C">
            <w:pPr>
              <w:rPr>
                <w:sz w:val="24"/>
                <w:szCs w:val="24"/>
              </w:rPr>
            </w:pPr>
            <w:r w:rsidRPr="0012760D">
              <w:rPr>
                <w:sz w:val="24"/>
                <w:szCs w:val="24"/>
              </w:rPr>
              <w:t>Solar hot-water, gas-heater, whitegoods and rainwater-tank rebates</w:t>
            </w:r>
          </w:p>
          <w:p w:rsidR="00A2471A" w:rsidRPr="0012760D" w:rsidRDefault="00A2471A" w:rsidP="006E6F1C">
            <w:pPr>
              <w:rPr>
                <w:sz w:val="24"/>
                <w:szCs w:val="24"/>
              </w:rPr>
            </w:pPr>
            <w:r w:rsidRPr="0012760D">
              <w:rPr>
                <w:sz w:val="24"/>
                <w:szCs w:val="24"/>
              </w:rPr>
              <w:t>ResourceSmart Australian Sustainable Schools Initiative Victoria (AuSSI Vic)</w:t>
            </w:r>
          </w:p>
          <w:p w:rsidR="00A2471A" w:rsidRPr="0012760D" w:rsidRDefault="00A2471A" w:rsidP="006E6F1C">
            <w:pPr>
              <w:rPr>
                <w:sz w:val="24"/>
                <w:szCs w:val="24"/>
              </w:rPr>
            </w:pPr>
            <w:r w:rsidRPr="0012760D">
              <w:rPr>
                <w:sz w:val="24"/>
                <w:szCs w:val="24"/>
              </w:rPr>
              <w:t>Smarter Resources Smarter Business</w:t>
            </w:r>
          </w:p>
          <w:p w:rsidR="00A2471A" w:rsidRPr="0012760D" w:rsidRDefault="00A2471A" w:rsidP="006E6F1C">
            <w:pPr>
              <w:rPr>
                <w:sz w:val="24"/>
                <w:szCs w:val="24"/>
              </w:rPr>
            </w:pPr>
            <w:r w:rsidRPr="0012760D">
              <w:rPr>
                <w:sz w:val="24"/>
                <w:szCs w:val="24"/>
              </w:rPr>
              <w:t>Smart Energy Zones (</w:t>
            </w:r>
            <w:r w:rsidR="00236A13">
              <w:rPr>
                <w:sz w:val="24"/>
                <w:szCs w:val="24"/>
              </w:rPr>
              <w:t>S E Z</w:t>
            </w:r>
            <w:r w:rsidRPr="0012760D">
              <w:rPr>
                <w:sz w:val="24"/>
                <w:szCs w:val="24"/>
              </w:rPr>
              <w:t>)</w:t>
            </w:r>
          </w:p>
        </w:tc>
      </w:tr>
      <w:tr w:rsidR="00A2471A" w:rsidRPr="0012760D" w:rsidTr="00552B7D">
        <w:tblPrEx>
          <w:tblCellMar>
            <w:top w:w="0" w:type="dxa"/>
            <w:bottom w:w="0" w:type="dxa"/>
          </w:tblCellMar>
        </w:tblPrEx>
        <w:tc>
          <w:tcPr>
            <w:tcW w:w="2473" w:type="pct"/>
            <w:shd w:val="clear" w:color="auto" w:fill="auto"/>
          </w:tcPr>
          <w:p w:rsidR="00A2471A" w:rsidRPr="0012760D" w:rsidRDefault="00A2471A" w:rsidP="006E6F1C">
            <w:pPr>
              <w:rPr>
                <w:sz w:val="24"/>
                <w:szCs w:val="24"/>
              </w:rPr>
            </w:pPr>
            <w:r w:rsidRPr="0012760D">
              <w:rPr>
                <w:bCs/>
                <w:sz w:val="24"/>
                <w:szCs w:val="24"/>
              </w:rPr>
              <w:t>Business plan outcomes</w:t>
            </w:r>
          </w:p>
        </w:tc>
        <w:tc>
          <w:tcPr>
            <w:tcW w:w="2527" w:type="pct"/>
            <w:shd w:val="clear" w:color="auto" w:fill="auto"/>
          </w:tcPr>
          <w:p w:rsidR="00A2471A" w:rsidRPr="0012760D" w:rsidRDefault="00A2471A" w:rsidP="006E6F1C">
            <w:pPr>
              <w:rPr>
                <w:sz w:val="24"/>
                <w:szCs w:val="24"/>
              </w:rPr>
            </w:pPr>
          </w:p>
        </w:tc>
      </w:tr>
      <w:tr w:rsidR="00A2471A" w:rsidRPr="0012760D" w:rsidTr="00552B7D">
        <w:tblPrEx>
          <w:tblCellMar>
            <w:top w:w="0" w:type="dxa"/>
            <w:bottom w:w="0" w:type="dxa"/>
          </w:tblCellMar>
        </w:tblPrEx>
        <w:tc>
          <w:tcPr>
            <w:tcW w:w="2473" w:type="pct"/>
            <w:shd w:val="clear" w:color="auto" w:fill="auto"/>
          </w:tcPr>
          <w:p w:rsidR="00A2471A" w:rsidRPr="0012760D" w:rsidRDefault="00A2471A" w:rsidP="006E6F1C">
            <w:pPr>
              <w:rPr>
                <w:sz w:val="24"/>
                <w:szCs w:val="24"/>
              </w:rPr>
            </w:pPr>
            <w:r w:rsidRPr="0012760D">
              <w:rPr>
                <w:sz w:val="24"/>
                <w:szCs w:val="24"/>
              </w:rPr>
              <w:t>Statewide engagement</w:t>
            </w:r>
          </w:p>
        </w:tc>
        <w:tc>
          <w:tcPr>
            <w:tcW w:w="2527" w:type="pct"/>
            <w:shd w:val="clear" w:color="auto" w:fill="auto"/>
          </w:tcPr>
          <w:p w:rsidR="00A2471A" w:rsidRPr="0012760D" w:rsidRDefault="00A2471A" w:rsidP="006E6F1C">
            <w:pPr>
              <w:rPr>
                <w:sz w:val="24"/>
                <w:szCs w:val="24"/>
              </w:rPr>
            </w:pPr>
            <w:r w:rsidRPr="0012760D">
              <w:rPr>
                <w:sz w:val="24"/>
                <w:szCs w:val="24"/>
              </w:rPr>
              <w:t>Premier</w:t>
            </w:r>
            <w:r w:rsidR="00907E0B" w:rsidRPr="0012760D">
              <w:rPr>
                <w:sz w:val="24"/>
                <w:szCs w:val="24"/>
              </w:rPr>
              <w:t>'</w:t>
            </w:r>
            <w:r w:rsidRPr="0012760D">
              <w:rPr>
                <w:sz w:val="24"/>
                <w:szCs w:val="24"/>
              </w:rPr>
              <w:t>s Sustainability Awards SV @ your doorstep</w:t>
            </w:r>
          </w:p>
        </w:tc>
      </w:tr>
    </w:tbl>
    <w:p w:rsidR="00A2471A" w:rsidRPr="0012760D" w:rsidRDefault="00A2471A" w:rsidP="00A2471A">
      <w:pPr>
        <w:rPr>
          <w:sz w:val="24"/>
          <w:szCs w:val="24"/>
        </w:rPr>
      </w:pPr>
    </w:p>
    <w:p w:rsidR="00A2471A" w:rsidRPr="0012760D" w:rsidRDefault="00A2471A" w:rsidP="00A2471A">
      <w:pPr>
        <w:rPr>
          <w:sz w:val="24"/>
          <w:szCs w:val="24"/>
        </w:rPr>
      </w:pPr>
      <w:r w:rsidRPr="0012760D">
        <w:rPr>
          <w:sz w:val="24"/>
          <w:szCs w:val="24"/>
        </w:rPr>
        <w:t>This section of the report details the outcomes we achieved over the year, according to our current strategic priorities in leading Victoria towards better integrated waste management and resource efficiency. It also describes how our organisation has delivered on its four core capabilities, namely statewide engagement, evidence-</w:t>
      </w:r>
      <w:r w:rsidRPr="0012760D">
        <w:rPr>
          <w:sz w:val="24"/>
          <w:szCs w:val="24"/>
        </w:rPr>
        <w:lastRenderedPageBreak/>
        <w:t>based investment and outcomes, people and leadership, governance and coordination, as well as administration of the Sustainability Fund.</w:t>
      </w:r>
    </w:p>
    <w:p w:rsidR="00552B7D" w:rsidRDefault="00552B7D" w:rsidP="00552B7D">
      <w:pPr>
        <w:rPr>
          <w:bCs/>
          <w:sz w:val="24"/>
          <w:szCs w:val="24"/>
        </w:rPr>
      </w:pPr>
      <w:r w:rsidRPr="0012760D">
        <w:rPr>
          <w:bCs/>
          <w:sz w:val="24"/>
          <w:szCs w:val="24"/>
        </w:rPr>
        <w:t>&lt;pp&gt; 8</w:t>
      </w:r>
    </w:p>
    <w:p w:rsidR="00E320AB" w:rsidRDefault="00E320AB" w:rsidP="00552B7D">
      <w:pPr>
        <w:rPr>
          <w:bCs/>
          <w:sz w:val="24"/>
          <w:szCs w:val="24"/>
        </w:rPr>
      </w:pPr>
    </w:p>
    <w:p w:rsidR="00E320AB" w:rsidRPr="0012760D" w:rsidRDefault="00E320AB" w:rsidP="00552B7D">
      <w:pPr>
        <w:rPr>
          <w:sz w:val="24"/>
          <w:szCs w:val="24"/>
        </w:rPr>
      </w:pPr>
    </w:p>
    <w:p w:rsidR="00552B7D" w:rsidRDefault="00552B7D" w:rsidP="00E320AB">
      <w:pPr>
        <w:pStyle w:val="Heading1"/>
      </w:pPr>
      <w:r w:rsidRPr="0012760D">
        <w:t>Integrated Waste Management</w:t>
      </w:r>
    </w:p>
    <w:p w:rsidR="00E320AB" w:rsidRPr="0012760D" w:rsidRDefault="00E320AB" w:rsidP="00552B7D">
      <w:pPr>
        <w:rPr>
          <w:sz w:val="24"/>
          <w:szCs w:val="24"/>
        </w:rPr>
      </w:pPr>
    </w:p>
    <w:p w:rsidR="00552B7D" w:rsidRDefault="00552B7D" w:rsidP="00552B7D">
      <w:pPr>
        <w:rPr>
          <w:sz w:val="24"/>
          <w:szCs w:val="24"/>
        </w:rPr>
      </w:pPr>
      <w:r w:rsidRPr="0012760D">
        <w:rPr>
          <w:sz w:val="24"/>
          <w:szCs w:val="24"/>
        </w:rPr>
        <w:t xml:space="preserve">Victoria faces a number of challenges and opportunities for waste and resource recovery over the next 30 years. Our population is growing and with that comes a need to be even smarter about the way we manage our waste. Waste sent to landfill often contains products and materials that can be used to make new products. Our waste is an asset with the potential for positive economic, environmental and social outcomes. This is the driving principle behind </w:t>
      </w:r>
      <w:r w:rsidRPr="0012760D">
        <w:rPr>
          <w:i/>
          <w:iCs/>
          <w:sz w:val="24"/>
          <w:szCs w:val="24"/>
        </w:rPr>
        <w:t>Getting full value: Victorian Waste and Resource Recovery Policy</w:t>
      </w:r>
      <w:r w:rsidRPr="0012760D">
        <w:rPr>
          <w:sz w:val="24"/>
          <w:szCs w:val="24"/>
        </w:rPr>
        <w:t>.</w:t>
      </w:r>
    </w:p>
    <w:p w:rsidR="00E320AB" w:rsidRPr="0012760D" w:rsidRDefault="00E320AB" w:rsidP="00552B7D">
      <w:pPr>
        <w:rPr>
          <w:sz w:val="24"/>
          <w:szCs w:val="24"/>
        </w:rPr>
      </w:pPr>
    </w:p>
    <w:p w:rsidR="00552B7D" w:rsidRPr="0012760D" w:rsidRDefault="00552B7D" w:rsidP="00552B7D">
      <w:pPr>
        <w:rPr>
          <w:sz w:val="24"/>
          <w:szCs w:val="24"/>
        </w:rPr>
      </w:pPr>
      <w:r w:rsidRPr="0012760D">
        <w:rPr>
          <w:sz w:val="24"/>
          <w:szCs w:val="24"/>
        </w:rPr>
        <w:t>Our integrated waste management programs focus across the entire waste management lifecycle, including waste avoidance, generation, collection, recovery, reuse, treatment and disposal.</w:t>
      </w:r>
    </w:p>
    <w:p w:rsidR="00552B7D" w:rsidRPr="0012760D" w:rsidRDefault="00552B7D" w:rsidP="00552B7D">
      <w:pPr>
        <w:rPr>
          <w:sz w:val="24"/>
          <w:szCs w:val="24"/>
        </w:rPr>
      </w:pPr>
    </w:p>
    <w:p w:rsidR="00552B7D" w:rsidRPr="0012760D" w:rsidRDefault="00552B7D" w:rsidP="00552B7D">
      <w:pPr>
        <w:rPr>
          <w:sz w:val="24"/>
          <w:szCs w:val="24"/>
        </w:rPr>
      </w:pPr>
    </w:p>
    <w:p w:rsidR="00552B7D" w:rsidRPr="0012760D" w:rsidRDefault="00552B7D" w:rsidP="00E320AB">
      <w:pPr>
        <w:pStyle w:val="Heading2"/>
      </w:pPr>
      <w:r w:rsidRPr="0012760D">
        <w:t>Lifecycle of waste system</w:t>
      </w:r>
    </w:p>
    <w:p w:rsidR="00552B7D" w:rsidRPr="0012760D" w:rsidRDefault="00552B7D" w:rsidP="00552B7D">
      <w:pPr>
        <w:rPr>
          <w:sz w:val="24"/>
          <w:szCs w:val="24"/>
        </w:rPr>
      </w:pPr>
    </w:p>
    <w:p w:rsidR="00552B7D" w:rsidRPr="0012760D" w:rsidRDefault="00552B7D" w:rsidP="00552B7D">
      <w:pPr>
        <w:rPr>
          <w:sz w:val="24"/>
          <w:szCs w:val="24"/>
        </w:rPr>
      </w:pPr>
      <w:r w:rsidRPr="0012760D">
        <w:rPr>
          <w:sz w:val="24"/>
          <w:szCs w:val="24"/>
        </w:rPr>
        <w:t>Avoidance</w:t>
      </w:r>
    </w:p>
    <w:p w:rsidR="00552B7D" w:rsidRPr="0012760D" w:rsidRDefault="00552B7D" w:rsidP="00552B7D">
      <w:pPr>
        <w:rPr>
          <w:sz w:val="24"/>
          <w:szCs w:val="24"/>
        </w:rPr>
      </w:pPr>
      <w:r w:rsidRPr="0012760D">
        <w:rPr>
          <w:sz w:val="24"/>
          <w:szCs w:val="24"/>
        </w:rPr>
        <w:t>Generation</w:t>
      </w:r>
    </w:p>
    <w:p w:rsidR="00552B7D" w:rsidRPr="0012760D" w:rsidRDefault="00552B7D" w:rsidP="00552B7D">
      <w:pPr>
        <w:rPr>
          <w:sz w:val="24"/>
          <w:szCs w:val="24"/>
        </w:rPr>
      </w:pPr>
      <w:r w:rsidRPr="0012760D">
        <w:rPr>
          <w:sz w:val="24"/>
          <w:szCs w:val="24"/>
        </w:rPr>
        <w:t>Collection</w:t>
      </w:r>
    </w:p>
    <w:p w:rsidR="00552B7D" w:rsidRPr="0012760D" w:rsidRDefault="00552B7D" w:rsidP="00552B7D">
      <w:pPr>
        <w:rPr>
          <w:sz w:val="24"/>
          <w:szCs w:val="24"/>
        </w:rPr>
      </w:pPr>
      <w:r w:rsidRPr="0012760D">
        <w:rPr>
          <w:sz w:val="24"/>
          <w:szCs w:val="24"/>
        </w:rPr>
        <w:t>Recovery</w:t>
      </w:r>
    </w:p>
    <w:p w:rsidR="00552B7D" w:rsidRPr="0012760D" w:rsidRDefault="00552B7D" w:rsidP="00552B7D">
      <w:pPr>
        <w:rPr>
          <w:sz w:val="24"/>
          <w:szCs w:val="24"/>
        </w:rPr>
      </w:pPr>
      <w:r w:rsidRPr="0012760D">
        <w:rPr>
          <w:sz w:val="24"/>
          <w:szCs w:val="24"/>
        </w:rPr>
        <w:t>Reuse</w:t>
      </w:r>
    </w:p>
    <w:p w:rsidR="00552B7D" w:rsidRPr="0012760D" w:rsidRDefault="00552B7D" w:rsidP="00552B7D">
      <w:pPr>
        <w:rPr>
          <w:sz w:val="24"/>
          <w:szCs w:val="24"/>
        </w:rPr>
      </w:pPr>
      <w:r w:rsidRPr="0012760D">
        <w:rPr>
          <w:sz w:val="24"/>
          <w:szCs w:val="24"/>
        </w:rPr>
        <w:t>Treatment</w:t>
      </w:r>
    </w:p>
    <w:p w:rsidR="00552B7D" w:rsidRPr="0012760D" w:rsidRDefault="00552B7D" w:rsidP="00552B7D">
      <w:pPr>
        <w:rPr>
          <w:sz w:val="24"/>
          <w:szCs w:val="24"/>
        </w:rPr>
      </w:pPr>
      <w:r w:rsidRPr="0012760D">
        <w:rPr>
          <w:sz w:val="24"/>
          <w:szCs w:val="24"/>
        </w:rPr>
        <w:t>Disposal</w:t>
      </w:r>
    </w:p>
    <w:p w:rsidR="00552B7D" w:rsidRPr="0012760D" w:rsidRDefault="00552B7D" w:rsidP="00552B7D">
      <w:pPr>
        <w:rPr>
          <w:sz w:val="24"/>
          <w:szCs w:val="24"/>
        </w:rPr>
      </w:pPr>
    </w:p>
    <w:p w:rsidR="00552B7D" w:rsidRDefault="00552B7D" w:rsidP="00552B7D">
      <w:pPr>
        <w:rPr>
          <w:sz w:val="24"/>
          <w:szCs w:val="24"/>
        </w:rPr>
      </w:pPr>
      <w:r w:rsidRPr="0012760D">
        <w:rPr>
          <w:sz w:val="24"/>
          <w:szCs w:val="24"/>
        </w:rPr>
        <w:t>Through the Victorian Government</w:t>
      </w:r>
      <w:r w:rsidR="00907E0B" w:rsidRPr="0012760D">
        <w:rPr>
          <w:sz w:val="24"/>
          <w:szCs w:val="24"/>
        </w:rPr>
        <w:t>'</w:t>
      </w:r>
      <w:r w:rsidRPr="0012760D">
        <w:rPr>
          <w:sz w:val="24"/>
          <w:szCs w:val="24"/>
        </w:rPr>
        <w:t>s Conserve, Invest and Save strategy, we have been partnering with local governments and the waste and resource recovery industry to improve waste infrastructure and increase recovery and recycling, which includes targeting organics in the waste stream.</w:t>
      </w:r>
    </w:p>
    <w:p w:rsidR="00E320AB" w:rsidRPr="0012760D" w:rsidRDefault="00E320AB" w:rsidP="00552B7D">
      <w:pPr>
        <w:rPr>
          <w:sz w:val="24"/>
          <w:szCs w:val="24"/>
        </w:rPr>
      </w:pPr>
    </w:p>
    <w:p w:rsidR="00552B7D" w:rsidRDefault="00552B7D" w:rsidP="00552B7D">
      <w:pPr>
        <w:rPr>
          <w:sz w:val="24"/>
          <w:szCs w:val="24"/>
        </w:rPr>
      </w:pPr>
      <w:r w:rsidRPr="0012760D">
        <w:rPr>
          <w:sz w:val="24"/>
          <w:szCs w:val="24"/>
        </w:rPr>
        <w:t xml:space="preserve">Since the release of </w:t>
      </w:r>
      <w:r w:rsidRPr="0012760D">
        <w:rPr>
          <w:i/>
          <w:iCs/>
          <w:sz w:val="24"/>
          <w:szCs w:val="24"/>
        </w:rPr>
        <w:t xml:space="preserve">Getting full value </w:t>
      </w:r>
      <w:r w:rsidRPr="0012760D">
        <w:rPr>
          <w:sz w:val="24"/>
          <w:szCs w:val="24"/>
        </w:rPr>
        <w:t>on 16 April 2013, we have been reviewing our business plan to ensure alignment with the policy. As a consequence, we are no longer reporting against the targets established in the former Towards Zero Waste strategy.</w:t>
      </w:r>
    </w:p>
    <w:p w:rsidR="00E320AB" w:rsidRPr="0012760D" w:rsidRDefault="00E320AB" w:rsidP="00552B7D">
      <w:pPr>
        <w:rPr>
          <w:sz w:val="24"/>
          <w:szCs w:val="24"/>
        </w:rPr>
      </w:pPr>
    </w:p>
    <w:p w:rsidR="00552B7D" w:rsidRPr="0012760D" w:rsidRDefault="00552B7D" w:rsidP="00552B7D">
      <w:pPr>
        <w:rPr>
          <w:sz w:val="24"/>
          <w:szCs w:val="24"/>
        </w:rPr>
      </w:pPr>
      <w:r w:rsidRPr="0012760D">
        <w:rPr>
          <w:sz w:val="24"/>
          <w:szCs w:val="24"/>
        </w:rPr>
        <w:t>In working to deliver against the policy outcomes, our areas of focus during the year were:</w:t>
      </w:r>
    </w:p>
    <w:p w:rsidR="00552B7D" w:rsidRPr="0012760D" w:rsidRDefault="00552B7D" w:rsidP="00552B7D">
      <w:pPr>
        <w:rPr>
          <w:sz w:val="24"/>
          <w:szCs w:val="24"/>
        </w:rPr>
      </w:pPr>
      <w:r w:rsidRPr="0012760D">
        <w:rPr>
          <w:sz w:val="24"/>
          <w:szCs w:val="24"/>
        </w:rPr>
        <w:t>• developing new or expanded markets for recycled products and materials that pose a risk and/or are a valuable resource</w:t>
      </w:r>
    </w:p>
    <w:p w:rsidR="00552B7D" w:rsidRPr="0012760D" w:rsidRDefault="00552B7D" w:rsidP="00552B7D">
      <w:pPr>
        <w:rPr>
          <w:sz w:val="24"/>
          <w:szCs w:val="24"/>
        </w:rPr>
      </w:pPr>
      <w:r w:rsidRPr="0012760D">
        <w:rPr>
          <w:sz w:val="24"/>
          <w:szCs w:val="24"/>
        </w:rPr>
        <w:t>• increasing recovery of priority products and materials that contribute weight to landfill, pose a risk and/or are a valuable resource</w:t>
      </w:r>
    </w:p>
    <w:p w:rsidR="00552B7D" w:rsidRPr="0012760D" w:rsidRDefault="00552B7D" w:rsidP="00552B7D">
      <w:pPr>
        <w:rPr>
          <w:sz w:val="24"/>
          <w:szCs w:val="24"/>
        </w:rPr>
      </w:pPr>
      <w:r w:rsidRPr="0012760D">
        <w:rPr>
          <w:sz w:val="24"/>
          <w:szCs w:val="24"/>
        </w:rPr>
        <w:t>• improving the standard of infrastructure and its development</w:t>
      </w:r>
    </w:p>
    <w:p w:rsidR="00552B7D" w:rsidRPr="0012760D" w:rsidRDefault="00552B7D" w:rsidP="00552B7D">
      <w:pPr>
        <w:rPr>
          <w:sz w:val="24"/>
          <w:szCs w:val="24"/>
        </w:rPr>
      </w:pPr>
      <w:r w:rsidRPr="0012760D">
        <w:rPr>
          <w:sz w:val="24"/>
          <w:szCs w:val="24"/>
        </w:rPr>
        <w:t>• increasing uptake of waste minimisation practices in targeted sectors for maximum gain</w:t>
      </w:r>
    </w:p>
    <w:p w:rsidR="00552B7D" w:rsidRDefault="00552B7D" w:rsidP="00552B7D">
      <w:pPr>
        <w:rPr>
          <w:sz w:val="24"/>
          <w:szCs w:val="24"/>
        </w:rPr>
      </w:pPr>
      <w:r w:rsidRPr="0012760D">
        <w:rPr>
          <w:sz w:val="24"/>
          <w:szCs w:val="24"/>
        </w:rPr>
        <w:lastRenderedPageBreak/>
        <w:t>• reducing littering behaviour and litter.</w:t>
      </w:r>
    </w:p>
    <w:p w:rsidR="00E320AB" w:rsidRPr="0012760D" w:rsidRDefault="00E320AB" w:rsidP="00552B7D">
      <w:pPr>
        <w:rPr>
          <w:sz w:val="24"/>
          <w:szCs w:val="24"/>
        </w:rPr>
      </w:pPr>
    </w:p>
    <w:p w:rsidR="00552B7D" w:rsidRDefault="00552B7D" w:rsidP="00552B7D">
      <w:pPr>
        <w:rPr>
          <w:sz w:val="24"/>
          <w:szCs w:val="24"/>
        </w:rPr>
      </w:pPr>
      <w:r w:rsidRPr="0012760D">
        <w:rPr>
          <w:sz w:val="24"/>
          <w:szCs w:val="24"/>
        </w:rPr>
        <w:t>Our performance in each of these areas is outlined on the following pages.</w:t>
      </w:r>
    </w:p>
    <w:p w:rsidR="00E320AB" w:rsidRDefault="00E320AB" w:rsidP="00552B7D">
      <w:pPr>
        <w:rPr>
          <w:sz w:val="24"/>
          <w:szCs w:val="24"/>
        </w:rPr>
      </w:pPr>
    </w:p>
    <w:p w:rsidR="00E320AB" w:rsidRPr="0012760D" w:rsidRDefault="00E320AB" w:rsidP="00552B7D">
      <w:pPr>
        <w:rPr>
          <w:sz w:val="24"/>
          <w:szCs w:val="24"/>
        </w:rPr>
      </w:pPr>
    </w:p>
    <w:p w:rsidR="00552B7D" w:rsidRDefault="00552B7D" w:rsidP="00E320AB">
      <w:pPr>
        <w:pStyle w:val="Heading2"/>
      </w:pPr>
      <w:r w:rsidRPr="0012760D">
        <w:t>1. Market Development for Waste Products</w:t>
      </w:r>
    </w:p>
    <w:p w:rsidR="00E320AB" w:rsidRPr="0012760D" w:rsidRDefault="00E320AB" w:rsidP="00552B7D">
      <w:pPr>
        <w:rPr>
          <w:sz w:val="24"/>
          <w:szCs w:val="24"/>
        </w:rPr>
      </w:pPr>
    </w:p>
    <w:p w:rsidR="00552B7D" w:rsidRPr="00E320AB" w:rsidRDefault="00552B7D" w:rsidP="00552B7D">
      <w:pPr>
        <w:rPr>
          <w:b/>
          <w:sz w:val="24"/>
          <w:szCs w:val="24"/>
        </w:rPr>
      </w:pPr>
      <w:r w:rsidRPr="00E320AB">
        <w:rPr>
          <w:b/>
          <w:sz w:val="24"/>
          <w:szCs w:val="24"/>
        </w:rPr>
        <w:t>Developing new or expanded markets for recycled products and materials that pose a risk and/or are a valuable resource.</w:t>
      </w:r>
    </w:p>
    <w:p w:rsidR="00E320AB" w:rsidRDefault="00E320AB" w:rsidP="00552B7D">
      <w:pPr>
        <w:rPr>
          <w:sz w:val="24"/>
          <w:szCs w:val="24"/>
        </w:rPr>
      </w:pPr>
    </w:p>
    <w:p w:rsidR="00E320AB" w:rsidRPr="0012760D" w:rsidRDefault="00E320AB" w:rsidP="00552B7D">
      <w:pPr>
        <w:rPr>
          <w:sz w:val="24"/>
          <w:szCs w:val="24"/>
        </w:rPr>
      </w:pPr>
    </w:p>
    <w:p w:rsidR="00552B7D" w:rsidRDefault="00552B7D" w:rsidP="00E320AB">
      <w:pPr>
        <w:pStyle w:val="Heading3"/>
      </w:pPr>
      <w:r w:rsidRPr="0012760D">
        <w:t>Current Focus</w:t>
      </w:r>
    </w:p>
    <w:p w:rsidR="00E320AB" w:rsidRPr="0012760D" w:rsidRDefault="00E320AB" w:rsidP="00552B7D">
      <w:pPr>
        <w:rPr>
          <w:sz w:val="24"/>
          <w:szCs w:val="24"/>
        </w:rPr>
      </w:pPr>
    </w:p>
    <w:p w:rsidR="00552B7D" w:rsidRDefault="00552B7D" w:rsidP="00552B7D">
      <w:pPr>
        <w:rPr>
          <w:sz w:val="24"/>
          <w:szCs w:val="24"/>
        </w:rPr>
      </w:pPr>
      <w:r w:rsidRPr="0012760D">
        <w:rPr>
          <w:sz w:val="24"/>
          <w:szCs w:val="24"/>
        </w:rPr>
        <w:t>Supporting the development of commercial markets for waste products and their derivatives will help Victoria realise the full economic potential of its waste stream.</w:t>
      </w:r>
    </w:p>
    <w:p w:rsidR="00E320AB" w:rsidRPr="0012760D" w:rsidRDefault="00E320AB" w:rsidP="00552B7D">
      <w:pPr>
        <w:rPr>
          <w:sz w:val="24"/>
          <w:szCs w:val="24"/>
        </w:rPr>
      </w:pPr>
    </w:p>
    <w:p w:rsidR="00552B7D" w:rsidRPr="0012760D" w:rsidRDefault="00552B7D" w:rsidP="00552B7D">
      <w:pPr>
        <w:rPr>
          <w:sz w:val="24"/>
          <w:szCs w:val="24"/>
        </w:rPr>
      </w:pPr>
      <w:r w:rsidRPr="0012760D">
        <w:rPr>
          <w:sz w:val="24"/>
          <w:szCs w:val="24"/>
        </w:rPr>
        <w:t>However, these are young and emerging markets with specific challenges, including:</w:t>
      </w:r>
    </w:p>
    <w:p w:rsidR="00552B7D" w:rsidRPr="0012760D" w:rsidRDefault="00552B7D" w:rsidP="00552B7D">
      <w:pPr>
        <w:rPr>
          <w:sz w:val="24"/>
          <w:szCs w:val="24"/>
        </w:rPr>
      </w:pPr>
      <w:r w:rsidRPr="0012760D">
        <w:rPr>
          <w:sz w:val="24"/>
          <w:szCs w:val="24"/>
        </w:rPr>
        <w:t>• lower market value often being assigned to recovered materials due to contamination reducing the perceived or actual quality of waste-derived products (including recycled organic products)</w:t>
      </w:r>
    </w:p>
    <w:p w:rsidR="00552B7D" w:rsidRPr="0012760D" w:rsidRDefault="00552B7D" w:rsidP="00552B7D">
      <w:pPr>
        <w:rPr>
          <w:sz w:val="24"/>
          <w:szCs w:val="24"/>
        </w:rPr>
      </w:pPr>
      <w:r w:rsidRPr="0012760D">
        <w:rPr>
          <w:sz w:val="24"/>
          <w:szCs w:val="24"/>
        </w:rPr>
        <w:t>• inconsistent supply and quality of recycled products, resulting in consumer preference for alternative products</w:t>
      </w:r>
    </w:p>
    <w:p w:rsidR="00552B7D" w:rsidRPr="0012760D" w:rsidRDefault="00552B7D" w:rsidP="00552B7D">
      <w:pPr>
        <w:rPr>
          <w:sz w:val="24"/>
          <w:szCs w:val="24"/>
        </w:rPr>
      </w:pPr>
      <w:r w:rsidRPr="0012760D">
        <w:rPr>
          <w:sz w:val="24"/>
          <w:szCs w:val="24"/>
        </w:rPr>
        <w:t>• availability of low-cost alternatives as direct competitors to recycled products</w:t>
      </w:r>
    </w:p>
    <w:p w:rsidR="00552B7D" w:rsidRPr="0012760D" w:rsidRDefault="00552B7D" w:rsidP="00552B7D">
      <w:pPr>
        <w:rPr>
          <w:sz w:val="24"/>
          <w:szCs w:val="24"/>
        </w:rPr>
      </w:pPr>
      <w:r w:rsidRPr="0012760D">
        <w:rPr>
          <w:sz w:val="24"/>
          <w:szCs w:val="24"/>
        </w:rPr>
        <w:t>• difficulty in understanding and demonstrating the true value of recycled organics products compared to alternatives</w:t>
      </w:r>
    </w:p>
    <w:p w:rsidR="00552B7D" w:rsidRDefault="00552B7D" w:rsidP="00552B7D">
      <w:pPr>
        <w:rPr>
          <w:sz w:val="24"/>
          <w:szCs w:val="24"/>
        </w:rPr>
      </w:pPr>
      <w:r w:rsidRPr="0012760D">
        <w:rPr>
          <w:sz w:val="24"/>
          <w:szCs w:val="24"/>
        </w:rPr>
        <w:t>• recovery of some materials being supply-driven and not demand-driven, leading to low-value commodity streams and stockpiling.</w:t>
      </w:r>
    </w:p>
    <w:p w:rsidR="00E320AB" w:rsidRDefault="00E320AB" w:rsidP="00552B7D">
      <w:pPr>
        <w:rPr>
          <w:sz w:val="24"/>
          <w:szCs w:val="24"/>
        </w:rPr>
      </w:pPr>
    </w:p>
    <w:p w:rsidR="00E320AB" w:rsidRPr="0012760D" w:rsidRDefault="00E320AB" w:rsidP="00552B7D">
      <w:pPr>
        <w:rPr>
          <w:sz w:val="24"/>
          <w:szCs w:val="24"/>
        </w:rPr>
      </w:pPr>
    </w:p>
    <w:p w:rsidR="00552B7D" w:rsidRDefault="00552B7D" w:rsidP="00E320AB">
      <w:pPr>
        <w:pStyle w:val="Heading3"/>
      </w:pPr>
      <w:r w:rsidRPr="0012760D">
        <w:t>Key achievements</w:t>
      </w:r>
    </w:p>
    <w:p w:rsidR="00E320AB" w:rsidRPr="0012760D" w:rsidRDefault="00E320AB" w:rsidP="00552B7D">
      <w:pPr>
        <w:rPr>
          <w:sz w:val="24"/>
          <w:szCs w:val="24"/>
        </w:rPr>
      </w:pPr>
    </w:p>
    <w:p w:rsidR="00552B7D" w:rsidRPr="0012760D" w:rsidRDefault="00552B7D" w:rsidP="00552B7D">
      <w:pPr>
        <w:rPr>
          <w:sz w:val="24"/>
          <w:szCs w:val="24"/>
        </w:rPr>
      </w:pPr>
      <w:r w:rsidRPr="0012760D">
        <w:rPr>
          <w:sz w:val="24"/>
          <w:szCs w:val="24"/>
        </w:rPr>
        <w:t>In 2012 to 13, we worked closely with the recycled organics industry to support long-term strategic field trials of compost in the Victorian Mallee region and to identify new markets for these types of products. We also worked to improve the evidence base informing future market development for organics, timber, aggregates and glass. Our research identified opportunities to reduce contamination within the waste stream and to influence current industry standards.</w:t>
      </w:r>
    </w:p>
    <w:p w:rsidR="001D2FFC" w:rsidRDefault="001D2FFC" w:rsidP="001D2FFC">
      <w:pPr>
        <w:rPr>
          <w:bCs/>
          <w:sz w:val="24"/>
          <w:szCs w:val="24"/>
        </w:rPr>
      </w:pPr>
      <w:r w:rsidRPr="0012760D">
        <w:rPr>
          <w:bCs/>
          <w:sz w:val="24"/>
          <w:szCs w:val="24"/>
        </w:rPr>
        <w:t>&lt;pp&gt; 9</w:t>
      </w:r>
    </w:p>
    <w:p w:rsidR="00E320AB" w:rsidRDefault="00E320AB" w:rsidP="001D2FFC">
      <w:pPr>
        <w:rPr>
          <w:bCs/>
          <w:sz w:val="24"/>
          <w:szCs w:val="24"/>
        </w:rPr>
      </w:pPr>
    </w:p>
    <w:p w:rsidR="00E320AB" w:rsidRDefault="00E320AB" w:rsidP="001D2FFC">
      <w:pPr>
        <w:rPr>
          <w:bCs/>
          <w:sz w:val="24"/>
          <w:szCs w:val="24"/>
        </w:rPr>
      </w:pPr>
      <w:r>
        <w:rPr>
          <w:bCs/>
          <w:sz w:val="24"/>
          <w:szCs w:val="24"/>
        </w:rPr>
        <w:t>&lt;box&gt;</w:t>
      </w:r>
    </w:p>
    <w:p w:rsidR="00E320AB" w:rsidRDefault="00E320AB" w:rsidP="001D2FFC">
      <w:pPr>
        <w:rPr>
          <w:bCs/>
          <w:sz w:val="24"/>
          <w:szCs w:val="24"/>
        </w:rPr>
      </w:pPr>
    </w:p>
    <w:p w:rsidR="00E320AB" w:rsidRPr="0012760D" w:rsidRDefault="00E320AB" w:rsidP="001D2FFC">
      <w:pPr>
        <w:rPr>
          <w:sz w:val="24"/>
          <w:szCs w:val="24"/>
        </w:rPr>
      </w:pPr>
    </w:p>
    <w:p w:rsidR="001D2FFC" w:rsidRPr="0012760D" w:rsidRDefault="001D2FFC" w:rsidP="00E320AB">
      <w:pPr>
        <w:pStyle w:val="Heading3"/>
      </w:pPr>
      <w:r w:rsidRPr="0012760D">
        <w:t>Market snapshot: organics</w:t>
      </w:r>
    </w:p>
    <w:p w:rsidR="00E320AB" w:rsidRDefault="00E320AB" w:rsidP="001D2FFC">
      <w:pPr>
        <w:rPr>
          <w:sz w:val="24"/>
          <w:szCs w:val="24"/>
        </w:rPr>
      </w:pPr>
    </w:p>
    <w:p w:rsidR="001D2FFC" w:rsidRDefault="001D2FFC" w:rsidP="001D2FFC">
      <w:pPr>
        <w:rPr>
          <w:sz w:val="24"/>
          <w:szCs w:val="24"/>
        </w:rPr>
      </w:pPr>
      <w:r w:rsidRPr="0012760D">
        <w:rPr>
          <w:sz w:val="24"/>
          <w:szCs w:val="24"/>
        </w:rPr>
        <w:t>The organics market analysis was completed. This evidence will help guide and inform a five-year industry market development strategy and accompanying training program to implement the agreed strategy.</w:t>
      </w:r>
    </w:p>
    <w:p w:rsidR="00E320AB" w:rsidRPr="0012760D" w:rsidRDefault="00E320AB" w:rsidP="001D2FFC">
      <w:pPr>
        <w:rPr>
          <w:sz w:val="24"/>
          <w:szCs w:val="24"/>
        </w:rPr>
      </w:pPr>
    </w:p>
    <w:p w:rsidR="001D2FFC" w:rsidRPr="0012760D" w:rsidRDefault="001D2FFC" w:rsidP="001D2FFC">
      <w:pPr>
        <w:rPr>
          <w:sz w:val="24"/>
          <w:szCs w:val="24"/>
        </w:rPr>
      </w:pPr>
      <w:r w:rsidRPr="0012760D">
        <w:rPr>
          <w:sz w:val="24"/>
          <w:szCs w:val="24"/>
        </w:rPr>
        <w:t>With our support, the Compost Victoria (CV) Market and Industry Development Officer (M</w:t>
      </w:r>
      <w:r w:rsidR="00932E3A">
        <w:rPr>
          <w:sz w:val="24"/>
          <w:szCs w:val="24"/>
        </w:rPr>
        <w:t xml:space="preserve"> </w:t>
      </w:r>
      <w:r w:rsidRPr="0012760D">
        <w:rPr>
          <w:sz w:val="24"/>
          <w:szCs w:val="24"/>
        </w:rPr>
        <w:t>I</w:t>
      </w:r>
      <w:r w:rsidR="00932E3A">
        <w:rPr>
          <w:sz w:val="24"/>
          <w:szCs w:val="24"/>
        </w:rPr>
        <w:t xml:space="preserve">  </w:t>
      </w:r>
      <w:r w:rsidRPr="0012760D">
        <w:rPr>
          <w:sz w:val="24"/>
          <w:szCs w:val="24"/>
        </w:rPr>
        <w:t>D</w:t>
      </w:r>
      <w:r w:rsidR="00932E3A">
        <w:rPr>
          <w:sz w:val="24"/>
          <w:szCs w:val="24"/>
        </w:rPr>
        <w:t xml:space="preserve"> </w:t>
      </w:r>
      <w:r w:rsidRPr="0012760D">
        <w:rPr>
          <w:sz w:val="24"/>
          <w:szCs w:val="24"/>
        </w:rPr>
        <w:t>O) achieved some key milestones, including:</w:t>
      </w:r>
    </w:p>
    <w:p w:rsidR="001D2FFC" w:rsidRPr="0012760D" w:rsidRDefault="001D2FFC" w:rsidP="001D2FFC">
      <w:pPr>
        <w:rPr>
          <w:sz w:val="24"/>
          <w:szCs w:val="24"/>
        </w:rPr>
      </w:pPr>
      <w:r w:rsidRPr="0012760D">
        <w:rPr>
          <w:sz w:val="24"/>
          <w:szCs w:val="24"/>
        </w:rPr>
        <w:lastRenderedPageBreak/>
        <w:t>• establishing five compost demonstration trials in strawberry, blueberry, blackberry and raspberry farms. Growers were satisfied with the organic material produced and reported clear visual differences between plots with compost and those without</w:t>
      </w:r>
    </w:p>
    <w:p w:rsidR="001D2FFC" w:rsidRDefault="001D2FFC" w:rsidP="001D2FFC">
      <w:pPr>
        <w:rPr>
          <w:sz w:val="24"/>
          <w:szCs w:val="24"/>
        </w:rPr>
      </w:pPr>
      <w:r w:rsidRPr="0012760D">
        <w:rPr>
          <w:sz w:val="24"/>
          <w:szCs w:val="24"/>
        </w:rPr>
        <w:t>• learning opportunities for CV members, including training on compost certification and a study tour to visit leading composters in South Australia.</w:t>
      </w:r>
    </w:p>
    <w:p w:rsidR="00E320AB" w:rsidRDefault="00E320AB" w:rsidP="001D2FFC">
      <w:pPr>
        <w:rPr>
          <w:sz w:val="24"/>
          <w:szCs w:val="24"/>
        </w:rPr>
      </w:pPr>
      <w:r>
        <w:rPr>
          <w:sz w:val="24"/>
          <w:szCs w:val="24"/>
        </w:rPr>
        <w:t>&lt;/box&gt;</w:t>
      </w:r>
    </w:p>
    <w:p w:rsidR="00E320AB" w:rsidRDefault="00E320AB" w:rsidP="001D2FFC">
      <w:pPr>
        <w:rPr>
          <w:sz w:val="24"/>
          <w:szCs w:val="24"/>
        </w:rPr>
      </w:pPr>
    </w:p>
    <w:p w:rsidR="00E320AB" w:rsidRPr="0012760D" w:rsidRDefault="00E320AB" w:rsidP="001D2FFC">
      <w:pPr>
        <w:rPr>
          <w:sz w:val="24"/>
          <w:szCs w:val="24"/>
        </w:rPr>
      </w:pPr>
    </w:p>
    <w:p w:rsidR="001D2FFC" w:rsidRDefault="001D2FFC" w:rsidP="00E320AB">
      <w:pPr>
        <w:pStyle w:val="Heading2"/>
      </w:pPr>
      <w:r w:rsidRPr="0012760D">
        <w:t>2. Products and Materials</w:t>
      </w:r>
    </w:p>
    <w:p w:rsidR="00E320AB" w:rsidRPr="0012760D" w:rsidRDefault="00E320AB" w:rsidP="001D2FFC">
      <w:pPr>
        <w:rPr>
          <w:sz w:val="24"/>
          <w:szCs w:val="24"/>
        </w:rPr>
      </w:pPr>
    </w:p>
    <w:p w:rsidR="001D2FFC" w:rsidRPr="00E320AB" w:rsidRDefault="001D2FFC" w:rsidP="001D2FFC">
      <w:pPr>
        <w:rPr>
          <w:b/>
          <w:sz w:val="24"/>
          <w:szCs w:val="24"/>
        </w:rPr>
      </w:pPr>
      <w:r w:rsidRPr="00E320AB">
        <w:rPr>
          <w:b/>
          <w:sz w:val="24"/>
          <w:szCs w:val="24"/>
        </w:rPr>
        <w:t>Increasing recovery of priority products and materials that contribute weight to landfill, pose a risk and/or are a valuable resource.</w:t>
      </w:r>
    </w:p>
    <w:p w:rsidR="00E320AB" w:rsidRDefault="00E320AB" w:rsidP="001D2FFC">
      <w:pPr>
        <w:rPr>
          <w:sz w:val="24"/>
          <w:szCs w:val="24"/>
        </w:rPr>
      </w:pPr>
    </w:p>
    <w:p w:rsidR="00E320AB" w:rsidRPr="0012760D" w:rsidRDefault="00E320AB" w:rsidP="001D2FFC">
      <w:pPr>
        <w:rPr>
          <w:sz w:val="24"/>
          <w:szCs w:val="24"/>
        </w:rPr>
      </w:pPr>
    </w:p>
    <w:p w:rsidR="001D2FFC" w:rsidRDefault="001D2FFC" w:rsidP="00E320AB">
      <w:pPr>
        <w:pStyle w:val="Heading3"/>
      </w:pPr>
      <w:r w:rsidRPr="0012760D">
        <w:t>Current Focus</w:t>
      </w:r>
    </w:p>
    <w:p w:rsidR="00E320AB" w:rsidRPr="0012760D" w:rsidRDefault="00E320AB" w:rsidP="001D2FFC">
      <w:pPr>
        <w:rPr>
          <w:sz w:val="24"/>
          <w:szCs w:val="24"/>
        </w:rPr>
      </w:pPr>
    </w:p>
    <w:p w:rsidR="001D2FFC" w:rsidRDefault="001D2FFC" w:rsidP="001D2FFC">
      <w:pPr>
        <w:rPr>
          <w:sz w:val="24"/>
          <w:szCs w:val="24"/>
        </w:rPr>
      </w:pPr>
      <w:r w:rsidRPr="0012760D">
        <w:rPr>
          <w:sz w:val="24"/>
          <w:szCs w:val="24"/>
        </w:rPr>
        <w:t>The recovery of resources in Victoria is not yet at world's best practice and the resulting waste is a missed economic opportunity for business, strains the waste management system in parts of the state, increases costs to Victorians and poses a threat to the environment.</w:t>
      </w:r>
    </w:p>
    <w:p w:rsidR="00E320AB" w:rsidRPr="0012760D" w:rsidRDefault="00E320AB" w:rsidP="001D2FFC">
      <w:pPr>
        <w:rPr>
          <w:sz w:val="24"/>
          <w:szCs w:val="24"/>
        </w:rPr>
      </w:pPr>
    </w:p>
    <w:p w:rsidR="001D2FFC" w:rsidRDefault="001D2FFC" w:rsidP="001D2FFC">
      <w:pPr>
        <w:rPr>
          <w:sz w:val="24"/>
          <w:szCs w:val="24"/>
        </w:rPr>
      </w:pPr>
      <w:r w:rsidRPr="0012760D">
        <w:rPr>
          <w:sz w:val="24"/>
          <w:szCs w:val="24"/>
        </w:rPr>
        <w:t>The amount of waste generated by Victorian households, businesses and industry has been increasing for the last decade. However, in 2011 to 12, waste generation actually declined to total 11.58 million tonnes, and around 3.6 million tonnes of this was sent to landfill. Overall, Victorian waste generation is still trending upward and if this pattern continues, the amount of landfill waste is projected to increase to nearly 5 million tonnes by 2041 to 42.</w:t>
      </w:r>
    </w:p>
    <w:p w:rsidR="00E320AB" w:rsidRPr="0012760D" w:rsidRDefault="00E320AB" w:rsidP="001D2FFC">
      <w:pPr>
        <w:rPr>
          <w:sz w:val="24"/>
          <w:szCs w:val="24"/>
        </w:rPr>
      </w:pPr>
    </w:p>
    <w:p w:rsidR="001D2FFC" w:rsidRDefault="001D2FFC" w:rsidP="001D2FFC">
      <w:pPr>
        <w:rPr>
          <w:sz w:val="24"/>
          <w:szCs w:val="24"/>
        </w:rPr>
      </w:pPr>
      <w:r w:rsidRPr="0012760D">
        <w:rPr>
          <w:sz w:val="24"/>
          <w:szCs w:val="24"/>
        </w:rPr>
        <w:t>Comprehensive social research into the recycling behaviours of Melbourne residents has identified that most residents are enthusiastic recyclers. However, there is a gap between their intent and actual recycling practices. This disparity is strongly influenced by a lack of knowledge about what can be recycled, how much cleaning of recyclable materials is required, and causes of contamination in the waste stream.</w:t>
      </w:r>
    </w:p>
    <w:p w:rsidR="00E320AB" w:rsidRPr="0012760D" w:rsidRDefault="00E320AB" w:rsidP="001D2FFC">
      <w:pPr>
        <w:rPr>
          <w:sz w:val="24"/>
          <w:szCs w:val="24"/>
        </w:rPr>
      </w:pPr>
    </w:p>
    <w:p w:rsidR="001D2FFC" w:rsidRDefault="001D2FFC" w:rsidP="001D2FFC">
      <w:pPr>
        <w:rPr>
          <w:sz w:val="24"/>
          <w:szCs w:val="24"/>
        </w:rPr>
      </w:pPr>
      <w:r w:rsidRPr="0012760D">
        <w:rPr>
          <w:sz w:val="24"/>
          <w:szCs w:val="24"/>
        </w:rPr>
        <w:t>Considering all sources of waste, 978,000 tonnes of organics were recovered for reprocessing in the 2011 to 12 financial year, including 499,000 tonnes of garden organics.</w:t>
      </w:r>
    </w:p>
    <w:p w:rsidR="00E320AB" w:rsidRPr="0012760D" w:rsidRDefault="00E320AB" w:rsidP="001D2FFC">
      <w:pPr>
        <w:rPr>
          <w:sz w:val="24"/>
          <w:szCs w:val="24"/>
        </w:rPr>
      </w:pPr>
    </w:p>
    <w:p w:rsidR="001D2FFC" w:rsidRPr="0012760D" w:rsidRDefault="001D2FFC" w:rsidP="001D2FFC">
      <w:pPr>
        <w:rPr>
          <w:sz w:val="24"/>
          <w:szCs w:val="24"/>
        </w:rPr>
      </w:pPr>
      <w:r w:rsidRPr="0012760D">
        <w:rPr>
          <w:sz w:val="24"/>
          <w:szCs w:val="24"/>
        </w:rPr>
        <w:t>Common barriers to recycling are:</w:t>
      </w:r>
    </w:p>
    <w:p w:rsidR="001D2FFC" w:rsidRPr="0012760D" w:rsidRDefault="001D2FFC" w:rsidP="001D2FFC">
      <w:pPr>
        <w:rPr>
          <w:sz w:val="24"/>
          <w:szCs w:val="24"/>
        </w:rPr>
      </w:pPr>
      <w:r w:rsidRPr="0012760D">
        <w:rPr>
          <w:sz w:val="24"/>
          <w:szCs w:val="24"/>
        </w:rPr>
        <w:t>• the low ranking of waste as a cost issue (relative to other business costs) and the perception that recycling is an added cost that will take up staff time</w:t>
      </w:r>
    </w:p>
    <w:p w:rsidR="001D2FFC" w:rsidRPr="0012760D" w:rsidRDefault="001D2FFC" w:rsidP="001D2FFC">
      <w:pPr>
        <w:rPr>
          <w:sz w:val="24"/>
          <w:szCs w:val="24"/>
        </w:rPr>
      </w:pPr>
      <w:r w:rsidRPr="0012760D">
        <w:rPr>
          <w:sz w:val="24"/>
          <w:szCs w:val="24"/>
        </w:rPr>
        <w:t>• contracting arrangements that lack strong feedback mechanisms and do little to encourage businesses to adopt source-separation practices</w:t>
      </w:r>
    </w:p>
    <w:p w:rsidR="001D2FFC" w:rsidRPr="0012760D" w:rsidRDefault="001D2FFC" w:rsidP="001D2FFC">
      <w:pPr>
        <w:rPr>
          <w:sz w:val="24"/>
          <w:szCs w:val="24"/>
        </w:rPr>
      </w:pPr>
      <w:r w:rsidRPr="0012760D">
        <w:rPr>
          <w:sz w:val="24"/>
          <w:szCs w:val="24"/>
        </w:rPr>
        <w:t>• a lack of strong, robust data to provide the market with the information it needs to make more accurate and informed decisions about waste produced by this sector</w:t>
      </w:r>
    </w:p>
    <w:p w:rsidR="001D2FFC" w:rsidRPr="0012760D" w:rsidRDefault="001D2FFC" w:rsidP="001D2FFC">
      <w:pPr>
        <w:rPr>
          <w:sz w:val="24"/>
          <w:szCs w:val="24"/>
        </w:rPr>
      </w:pPr>
      <w:r w:rsidRPr="0012760D">
        <w:rPr>
          <w:sz w:val="24"/>
          <w:szCs w:val="24"/>
        </w:rPr>
        <w:t>• restrictions on</w:t>
      </w:r>
      <w:r w:rsidR="008E0B83" w:rsidRPr="0012760D">
        <w:rPr>
          <w:sz w:val="24"/>
          <w:szCs w:val="24"/>
        </w:rPr>
        <w:t xml:space="preserve"> "</w:t>
      </w:r>
      <w:r w:rsidRPr="0012760D">
        <w:rPr>
          <w:sz w:val="24"/>
          <w:szCs w:val="24"/>
        </w:rPr>
        <w:t>back-of-house</w:t>
      </w:r>
      <w:r w:rsidR="008E0B83" w:rsidRPr="0012760D">
        <w:rPr>
          <w:sz w:val="24"/>
          <w:szCs w:val="24"/>
        </w:rPr>
        <w:t xml:space="preserve">" </w:t>
      </w:r>
      <w:r w:rsidRPr="0012760D">
        <w:rPr>
          <w:sz w:val="24"/>
          <w:szCs w:val="24"/>
        </w:rPr>
        <w:t>space for recycling infrastructure</w:t>
      </w:r>
    </w:p>
    <w:p w:rsidR="001D2FFC" w:rsidRPr="0012760D" w:rsidRDefault="001D2FFC" w:rsidP="001D2FFC">
      <w:pPr>
        <w:rPr>
          <w:sz w:val="24"/>
          <w:szCs w:val="24"/>
        </w:rPr>
      </w:pPr>
      <w:r w:rsidRPr="0012760D">
        <w:rPr>
          <w:sz w:val="24"/>
          <w:szCs w:val="24"/>
        </w:rPr>
        <w:t>• limited innovation, particularly in the area of precinct-based systems that use permanent infrastructure and supplier return arrangements to aggregate materials at distribution centres</w:t>
      </w:r>
    </w:p>
    <w:p w:rsidR="001D2FFC" w:rsidRPr="0012760D" w:rsidRDefault="001D2FFC" w:rsidP="001D2FFC">
      <w:pPr>
        <w:rPr>
          <w:sz w:val="24"/>
          <w:szCs w:val="24"/>
        </w:rPr>
      </w:pPr>
      <w:r w:rsidRPr="0012760D">
        <w:rPr>
          <w:sz w:val="24"/>
          <w:szCs w:val="24"/>
        </w:rPr>
        <w:t>• ineffective education about recycling systems for staff, workers and visitors.</w:t>
      </w:r>
    </w:p>
    <w:p w:rsidR="00E320AB" w:rsidRDefault="00E320AB" w:rsidP="001D2FFC">
      <w:pPr>
        <w:rPr>
          <w:sz w:val="24"/>
          <w:szCs w:val="24"/>
        </w:rPr>
      </w:pPr>
    </w:p>
    <w:p w:rsidR="001D2FFC" w:rsidRPr="0012760D" w:rsidRDefault="001D2FFC" w:rsidP="001D2FFC">
      <w:pPr>
        <w:rPr>
          <w:sz w:val="24"/>
          <w:szCs w:val="24"/>
        </w:rPr>
      </w:pPr>
      <w:r w:rsidRPr="0012760D">
        <w:rPr>
          <w:sz w:val="24"/>
          <w:szCs w:val="24"/>
        </w:rPr>
        <w:t>Priority products are products that potentially pose a risk to humans and or the environment and are particularly important for recovery, such as batteries, paint, tyres and household toxic products.</w:t>
      </w:r>
    </w:p>
    <w:p w:rsidR="00517744" w:rsidRDefault="00517744" w:rsidP="00517744">
      <w:pPr>
        <w:rPr>
          <w:bCs/>
          <w:sz w:val="24"/>
          <w:szCs w:val="24"/>
        </w:rPr>
      </w:pPr>
      <w:r w:rsidRPr="0012760D">
        <w:rPr>
          <w:bCs/>
          <w:sz w:val="24"/>
          <w:szCs w:val="24"/>
        </w:rPr>
        <w:t>&lt;pp&gt; 10</w:t>
      </w:r>
    </w:p>
    <w:p w:rsidR="00E320AB" w:rsidRPr="0012760D" w:rsidRDefault="00E320AB" w:rsidP="00517744">
      <w:pPr>
        <w:rPr>
          <w:sz w:val="24"/>
          <w:szCs w:val="24"/>
        </w:rPr>
      </w:pPr>
    </w:p>
    <w:p w:rsidR="00517744" w:rsidRPr="0012760D" w:rsidRDefault="00517744" w:rsidP="00517744">
      <w:pPr>
        <w:rPr>
          <w:sz w:val="24"/>
          <w:szCs w:val="24"/>
        </w:rPr>
      </w:pPr>
      <w:r w:rsidRPr="0012760D">
        <w:rPr>
          <w:sz w:val="24"/>
          <w:szCs w:val="24"/>
        </w:rPr>
        <w:t>There are two notable market failures relating to priority products:</w:t>
      </w:r>
    </w:p>
    <w:p w:rsidR="00517744" w:rsidRPr="0012760D" w:rsidRDefault="00517744" w:rsidP="00517744">
      <w:pPr>
        <w:rPr>
          <w:sz w:val="24"/>
          <w:szCs w:val="24"/>
        </w:rPr>
      </w:pPr>
      <w:r w:rsidRPr="0012760D">
        <w:rPr>
          <w:sz w:val="24"/>
          <w:szCs w:val="24"/>
        </w:rPr>
        <w:t>• an inadequate ability to recover products that may harm the health of the general community and the environment</w:t>
      </w:r>
    </w:p>
    <w:p w:rsidR="00517744" w:rsidRPr="0012760D" w:rsidRDefault="00517744" w:rsidP="00517744">
      <w:pPr>
        <w:rPr>
          <w:sz w:val="24"/>
          <w:szCs w:val="24"/>
        </w:rPr>
      </w:pPr>
      <w:r w:rsidRPr="0012760D">
        <w:rPr>
          <w:sz w:val="24"/>
          <w:szCs w:val="24"/>
        </w:rPr>
        <w:t>• a lack of awareness about the potential impact of these types of products.</w:t>
      </w:r>
    </w:p>
    <w:p w:rsidR="00E320AB" w:rsidRDefault="00E320AB" w:rsidP="00517744">
      <w:pPr>
        <w:rPr>
          <w:sz w:val="24"/>
          <w:szCs w:val="24"/>
        </w:rPr>
      </w:pPr>
    </w:p>
    <w:p w:rsidR="00517744" w:rsidRDefault="00517744" w:rsidP="00517744">
      <w:pPr>
        <w:rPr>
          <w:sz w:val="24"/>
          <w:szCs w:val="24"/>
        </w:rPr>
      </w:pPr>
      <w:r w:rsidRPr="0012760D">
        <w:rPr>
          <w:sz w:val="24"/>
          <w:szCs w:val="24"/>
        </w:rPr>
        <w:t>Current recovery systems are inefficient and are not capturing most priority products from the waste stream. The Batteryback, Paintcare and Detox Your Home initiatives help address these inefficiencies.</w:t>
      </w:r>
    </w:p>
    <w:p w:rsidR="00E320AB" w:rsidRDefault="00E320AB" w:rsidP="00517744">
      <w:pPr>
        <w:rPr>
          <w:sz w:val="24"/>
          <w:szCs w:val="24"/>
        </w:rPr>
      </w:pPr>
    </w:p>
    <w:p w:rsidR="00E320AB" w:rsidRPr="0012760D" w:rsidRDefault="00E320AB" w:rsidP="00517744">
      <w:pPr>
        <w:rPr>
          <w:sz w:val="24"/>
          <w:szCs w:val="24"/>
        </w:rPr>
      </w:pPr>
    </w:p>
    <w:p w:rsidR="00517744" w:rsidRDefault="00517744" w:rsidP="00E320AB">
      <w:pPr>
        <w:pStyle w:val="Heading3"/>
      </w:pPr>
      <w:r w:rsidRPr="0012760D">
        <w:t>Key achievements</w:t>
      </w:r>
    </w:p>
    <w:p w:rsidR="00E320AB" w:rsidRPr="0012760D" w:rsidRDefault="00E320AB" w:rsidP="00517744">
      <w:pPr>
        <w:rPr>
          <w:sz w:val="24"/>
          <w:szCs w:val="24"/>
        </w:rPr>
      </w:pPr>
    </w:p>
    <w:p w:rsidR="00517744" w:rsidRDefault="00517744" w:rsidP="00517744">
      <w:pPr>
        <w:rPr>
          <w:sz w:val="24"/>
          <w:szCs w:val="24"/>
        </w:rPr>
      </w:pPr>
      <w:r w:rsidRPr="0012760D">
        <w:rPr>
          <w:sz w:val="24"/>
          <w:szCs w:val="24"/>
        </w:rPr>
        <w:t>During the year, we evaluated the Get it Right on Bin Night campaign, an initiative we ran from May to July 2012 in metropolitan Melbourne in partnership with the Metropolitan Waste Management Group and councils, with the support of the Australian Packaging Covenant. This evaluation found that the proportion of recyclables placed in plastic bags (i.e. sent to landfill) decreased from 28% to 21%. Moreover, 59% of the target audience reported a positive improvement in recycling behaviour after seeing campaign advertisements. We used this evaluation to inform the design of the next phase of Get it Right on Bin Night, which will include expansion of the campaign beyond metropolitan Melbourne to all of Victoria.</w:t>
      </w:r>
    </w:p>
    <w:p w:rsidR="000328D1" w:rsidRPr="0012760D" w:rsidRDefault="000328D1" w:rsidP="00517744">
      <w:pPr>
        <w:rPr>
          <w:sz w:val="24"/>
          <w:szCs w:val="24"/>
        </w:rPr>
      </w:pPr>
    </w:p>
    <w:p w:rsidR="00517744" w:rsidRDefault="00517744" w:rsidP="00517744">
      <w:pPr>
        <w:rPr>
          <w:sz w:val="24"/>
          <w:szCs w:val="24"/>
        </w:rPr>
      </w:pPr>
      <w:r w:rsidRPr="0012760D">
        <w:rPr>
          <w:sz w:val="24"/>
          <w:szCs w:val="24"/>
        </w:rPr>
        <w:t>We also supported the trial of organics recycling collections in Mildura (incorporating 980 households), the Grampians, East Gippsland, Corangamite and Wodonga.</w:t>
      </w:r>
    </w:p>
    <w:p w:rsidR="000328D1" w:rsidRPr="0012760D" w:rsidRDefault="000328D1" w:rsidP="00517744">
      <w:pPr>
        <w:rPr>
          <w:sz w:val="24"/>
          <w:szCs w:val="24"/>
        </w:rPr>
      </w:pPr>
    </w:p>
    <w:p w:rsidR="00517744" w:rsidRDefault="00517744" w:rsidP="00517744">
      <w:pPr>
        <w:rPr>
          <w:sz w:val="24"/>
          <w:szCs w:val="24"/>
        </w:rPr>
      </w:pPr>
      <w:r w:rsidRPr="0012760D">
        <w:rPr>
          <w:sz w:val="24"/>
          <w:szCs w:val="24"/>
        </w:rPr>
        <w:t>Our Detox Your Home program aims to remove problematic household materials from landfill and waterways by safely disposing of them without harm to human health or the environment. Over the year, the program ran 30 mobile collections in locations including Bendigo, Cheltenham, Donald, Hadfield, Malvern, Warragul, Warrnambool and Wedderburn, as well as 12 permanent drop-off sites. A total of 7,939 Victorian households used the service, with 1,082 tonnes of waste collected.</w:t>
      </w:r>
    </w:p>
    <w:p w:rsidR="000328D1" w:rsidRPr="0012760D" w:rsidRDefault="000328D1" w:rsidP="00517744">
      <w:pPr>
        <w:rPr>
          <w:sz w:val="24"/>
          <w:szCs w:val="24"/>
        </w:rPr>
      </w:pPr>
    </w:p>
    <w:p w:rsidR="00517744" w:rsidRDefault="00517744" w:rsidP="00517744">
      <w:pPr>
        <w:rPr>
          <w:sz w:val="24"/>
          <w:szCs w:val="24"/>
        </w:rPr>
      </w:pPr>
      <w:r w:rsidRPr="0012760D">
        <w:rPr>
          <w:sz w:val="24"/>
          <w:szCs w:val="24"/>
        </w:rPr>
        <w:t>This year, with the support of the Australian Battery Recycling Initiative, we have increased the total number of Batteryback collection sites across the state from eight to 43. We have also started six Paintcare trials, which have collected almost 85 tonnes of trade waste paint.</w:t>
      </w:r>
    </w:p>
    <w:p w:rsidR="000328D1" w:rsidRPr="0012760D" w:rsidRDefault="000328D1" w:rsidP="00517744">
      <w:pPr>
        <w:rPr>
          <w:sz w:val="24"/>
          <w:szCs w:val="24"/>
        </w:rPr>
      </w:pPr>
    </w:p>
    <w:p w:rsidR="00517744" w:rsidRPr="0012760D" w:rsidRDefault="00517744" w:rsidP="00517744">
      <w:pPr>
        <w:rPr>
          <w:sz w:val="24"/>
          <w:szCs w:val="24"/>
        </w:rPr>
      </w:pPr>
      <w:r w:rsidRPr="0012760D">
        <w:rPr>
          <w:bCs/>
          <w:sz w:val="24"/>
          <w:szCs w:val="24"/>
        </w:rPr>
        <w:t>7,939</w:t>
      </w:r>
      <w:r w:rsidRPr="0012760D">
        <w:rPr>
          <w:sz w:val="24"/>
          <w:szCs w:val="24"/>
        </w:rPr>
        <w:t xml:space="preserve"> Victorian households used the </w:t>
      </w:r>
      <w:r w:rsidR="000328D1" w:rsidRPr="0012760D">
        <w:rPr>
          <w:sz w:val="24"/>
          <w:szCs w:val="24"/>
        </w:rPr>
        <w:t xml:space="preserve">Detox Your Home </w:t>
      </w:r>
      <w:r w:rsidRPr="0012760D">
        <w:rPr>
          <w:sz w:val="24"/>
          <w:szCs w:val="24"/>
        </w:rPr>
        <w:t>service</w:t>
      </w:r>
    </w:p>
    <w:p w:rsidR="00517744" w:rsidRPr="0012760D" w:rsidRDefault="00517744" w:rsidP="00517744">
      <w:pPr>
        <w:rPr>
          <w:sz w:val="24"/>
          <w:szCs w:val="24"/>
        </w:rPr>
      </w:pPr>
      <w:r w:rsidRPr="0012760D">
        <w:rPr>
          <w:bCs/>
          <w:sz w:val="24"/>
          <w:szCs w:val="24"/>
        </w:rPr>
        <w:t>35</w:t>
      </w:r>
      <w:r w:rsidRPr="0012760D">
        <w:rPr>
          <w:sz w:val="24"/>
          <w:szCs w:val="24"/>
        </w:rPr>
        <w:t xml:space="preserve"> more battery back collection sites</w:t>
      </w:r>
    </w:p>
    <w:p w:rsidR="00517744" w:rsidRPr="0012760D" w:rsidRDefault="00517744" w:rsidP="00517744">
      <w:pPr>
        <w:rPr>
          <w:sz w:val="24"/>
          <w:szCs w:val="24"/>
        </w:rPr>
      </w:pPr>
      <w:r w:rsidRPr="0012760D">
        <w:rPr>
          <w:bCs/>
          <w:sz w:val="24"/>
          <w:szCs w:val="24"/>
        </w:rPr>
        <w:t>85</w:t>
      </w:r>
      <w:r w:rsidRPr="0012760D">
        <w:rPr>
          <w:sz w:val="24"/>
          <w:szCs w:val="24"/>
        </w:rPr>
        <w:t xml:space="preserve"> tonnes trade waste paint collected through </w:t>
      </w:r>
      <w:r w:rsidR="000328D1" w:rsidRPr="0012760D">
        <w:rPr>
          <w:sz w:val="24"/>
          <w:szCs w:val="24"/>
        </w:rPr>
        <w:t>Paintcare</w:t>
      </w:r>
    </w:p>
    <w:p w:rsidR="00517744" w:rsidRPr="0012760D" w:rsidRDefault="00517744" w:rsidP="00517744">
      <w:pPr>
        <w:rPr>
          <w:sz w:val="24"/>
          <w:szCs w:val="24"/>
        </w:rPr>
      </w:pPr>
      <w:r w:rsidRPr="0012760D">
        <w:rPr>
          <w:bCs/>
          <w:sz w:val="24"/>
          <w:szCs w:val="24"/>
        </w:rPr>
        <w:t>30</w:t>
      </w:r>
      <w:r w:rsidRPr="0012760D">
        <w:rPr>
          <w:sz w:val="24"/>
          <w:szCs w:val="24"/>
        </w:rPr>
        <w:t xml:space="preserve"> mobile collections for problematic household materials</w:t>
      </w:r>
    </w:p>
    <w:p w:rsidR="00517744" w:rsidRPr="0012760D" w:rsidRDefault="00517744" w:rsidP="00517744">
      <w:pPr>
        <w:rPr>
          <w:sz w:val="24"/>
          <w:szCs w:val="24"/>
        </w:rPr>
      </w:pPr>
      <w:r w:rsidRPr="0012760D">
        <w:rPr>
          <w:bCs/>
          <w:sz w:val="24"/>
          <w:szCs w:val="24"/>
        </w:rPr>
        <w:t>1,082</w:t>
      </w:r>
      <w:r w:rsidRPr="0012760D">
        <w:rPr>
          <w:sz w:val="24"/>
          <w:szCs w:val="24"/>
        </w:rPr>
        <w:t xml:space="preserve"> tonnes of harmful waste collected through the </w:t>
      </w:r>
      <w:r w:rsidR="000328D1" w:rsidRPr="0012760D">
        <w:rPr>
          <w:sz w:val="24"/>
          <w:szCs w:val="24"/>
        </w:rPr>
        <w:t xml:space="preserve">Detox Your Home </w:t>
      </w:r>
      <w:r w:rsidRPr="0012760D">
        <w:rPr>
          <w:sz w:val="24"/>
          <w:szCs w:val="24"/>
        </w:rPr>
        <w:t>service</w:t>
      </w:r>
    </w:p>
    <w:p w:rsidR="00517744" w:rsidRPr="0012760D" w:rsidRDefault="00517744" w:rsidP="00517744">
      <w:pPr>
        <w:rPr>
          <w:sz w:val="24"/>
          <w:szCs w:val="24"/>
        </w:rPr>
      </w:pPr>
      <w:r w:rsidRPr="0012760D">
        <w:rPr>
          <w:bCs/>
          <w:sz w:val="24"/>
          <w:szCs w:val="24"/>
        </w:rPr>
        <w:t>7%</w:t>
      </w:r>
      <w:r w:rsidRPr="0012760D">
        <w:rPr>
          <w:sz w:val="24"/>
          <w:szCs w:val="24"/>
        </w:rPr>
        <w:t xml:space="preserve"> reduction in recyclables placed in landfill</w:t>
      </w:r>
    </w:p>
    <w:p w:rsidR="00D82BFB" w:rsidRDefault="00D82BFB" w:rsidP="00D82BFB">
      <w:pPr>
        <w:rPr>
          <w:bCs/>
          <w:sz w:val="24"/>
          <w:szCs w:val="24"/>
        </w:rPr>
      </w:pPr>
      <w:r w:rsidRPr="0012760D">
        <w:rPr>
          <w:bCs/>
          <w:sz w:val="24"/>
          <w:szCs w:val="24"/>
        </w:rPr>
        <w:t>&lt;pp&gt; 11</w:t>
      </w:r>
    </w:p>
    <w:p w:rsidR="000328D1" w:rsidRDefault="000328D1" w:rsidP="00D82BFB">
      <w:pPr>
        <w:rPr>
          <w:bCs/>
          <w:sz w:val="24"/>
          <w:szCs w:val="24"/>
        </w:rPr>
      </w:pPr>
    </w:p>
    <w:p w:rsidR="000328D1" w:rsidRPr="0012760D" w:rsidRDefault="000328D1" w:rsidP="00D82BFB">
      <w:pPr>
        <w:rPr>
          <w:sz w:val="24"/>
          <w:szCs w:val="24"/>
        </w:rPr>
      </w:pPr>
    </w:p>
    <w:p w:rsidR="00D82BFB" w:rsidRDefault="00D82BFB" w:rsidP="000328D1">
      <w:pPr>
        <w:pStyle w:val="Heading1"/>
      </w:pPr>
      <w:r w:rsidRPr="0012760D">
        <w:t>Showcase</w:t>
      </w:r>
      <w:r w:rsidR="000328D1">
        <w:br/>
      </w:r>
      <w:r w:rsidRPr="0012760D">
        <w:t>Painting a Better Future for Victoria</w:t>
      </w:r>
    </w:p>
    <w:p w:rsidR="000328D1" w:rsidRPr="0012760D" w:rsidRDefault="000328D1" w:rsidP="00D82BFB">
      <w:pPr>
        <w:rPr>
          <w:sz w:val="24"/>
          <w:szCs w:val="24"/>
        </w:rPr>
      </w:pPr>
    </w:p>
    <w:p w:rsidR="00D82BFB" w:rsidRDefault="00D82BFB" w:rsidP="00D82BFB">
      <w:pPr>
        <w:rPr>
          <w:sz w:val="24"/>
          <w:szCs w:val="24"/>
        </w:rPr>
      </w:pPr>
      <w:r w:rsidRPr="0012760D">
        <w:rPr>
          <w:sz w:val="24"/>
          <w:szCs w:val="24"/>
        </w:rPr>
        <w:t>Market failures in the collection, recovery and processing of certain household products mean that such products often pose a serious risk to the health of the general community and the environment. Meanwhile, the opportunity to recover valuable materials from the waste stream is missed. SV2015 recognised that product stewardship offered a way to partner with industries and encourage greater responsibility for products throughout their entire lifecycle.</w:t>
      </w:r>
    </w:p>
    <w:p w:rsidR="000328D1" w:rsidRPr="0012760D" w:rsidRDefault="000328D1" w:rsidP="00D82BFB">
      <w:pPr>
        <w:rPr>
          <w:sz w:val="24"/>
          <w:szCs w:val="24"/>
        </w:rPr>
      </w:pPr>
    </w:p>
    <w:p w:rsidR="00D82BFB" w:rsidRDefault="00D82BFB" w:rsidP="00D82BFB">
      <w:pPr>
        <w:rPr>
          <w:sz w:val="24"/>
          <w:szCs w:val="24"/>
        </w:rPr>
      </w:pPr>
      <w:r w:rsidRPr="0012760D">
        <w:rPr>
          <w:sz w:val="24"/>
          <w:szCs w:val="24"/>
        </w:rPr>
        <w:t>Each year, approximately 264 million household batteries and 18,000 tonnes of waste paint and associated packaging require disposal in Australia. Unfortunately, only a small percentage is successfully recovered. A lack of safe and effective disposal methods for these products has a negative impact on humans and the environment, including our waterways. Furthermore, it reduces the potential to recycle useful and expensive components.</w:t>
      </w:r>
    </w:p>
    <w:p w:rsidR="000328D1" w:rsidRPr="0012760D" w:rsidRDefault="000328D1" w:rsidP="00D82BFB">
      <w:pPr>
        <w:rPr>
          <w:sz w:val="24"/>
          <w:szCs w:val="24"/>
        </w:rPr>
      </w:pPr>
    </w:p>
    <w:p w:rsidR="00D82BFB" w:rsidRDefault="00D82BFB" w:rsidP="00D82BFB">
      <w:pPr>
        <w:rPr>
          <w:sz w:val="24"/>
          <w:szCs w:val="24"/>
        </w:rPr>
      </w:pPr>
      <w:r w:rsidRPr="0012760D">
        <w:rPr>
          <w:sz w:val="24"/>
          <w:szCs w:val="24"/>
        </w:rPr>
        <w:t xml:space="preserve">As the delivery arm for the government's environment portfolio, we are tasked with implementing the strategies detailed in the Towards Zero Waste Policy, now superseded by </w:t>
      </w:r>
      <w:r w:rsidRPr="0012760D">
        <w:rPr>
          <w:i/>
          <w:iCs/>
          <w:sz w:val="24"/>
          <w:szCs w:val="24"/>
        </w:rPr>
        <w:t xml:space="preserve">Getting full value: Victorian Waste and Resource Recovery Policy, </w:t>
      </w:r>
      <w:r w:rsidRPr="0012760D">
        <w:rPr>
          <w:sz w:val="24"/>
          <w:szCs w:val="24"/>
        </w:rPr>
        <w:t>as well as undertaking certain jurisdictional responsibilities as part of the Commonwealth Government's National Waste Policy. The latter, to which we are a major contributor, specifically earmarked waste paint and domestic batteries as products requiring stewardship arrangements.</w:t>
      </w:r>
    </w:p>
    <w:p w:rsidR="000328D1" w:rsidRPr="0012760D" w:rsidRDefault="000328D1" w:rsidP="00D82BFB">
      <w:pPr>
        <w:rPr>
          <w:sz w:val="24"/>
          <w:szCs w:val="24"/>
        </w:rPr>
      </w:pPr>
    </w:p>
    <w:p w:rsidR="00D82BFB" w:rsidRDefault="00D82BFB" w:rsidP="00D82BFB">
      <w:pPr>
        <w:rPr>
          <w:sz w:val="24"/>
          <w:szCs w:val="24"/>
        </w:rPr>
      </w:pPr>
      <w:r w:rsidRPr="0012760D">
        <w:rPr>
          <w:sz w:val="24"/>
          <w:szCs w:val="24"/>
        </w:rPr>
        <w:t xml:space="preserve">We have successfully employed the voluntary, co-regulatory and mandatory frameworks set out in the </w:t>
      </w:r>
      <w:r w:rsidRPr="0012760D">
        <w:rPr>
          <w:i/>
          <w:iCs/>
          <w:sz w:val="24"/>
          <w:szCs w:val="24"/>
        </w:rPr>
        <w:t>Product Stewardship Act 201</w:t>
      </w:r>
      <w:r w:rsidRPr="0012760D">
        <w:rPr>
          <w:sz w:val="24"/>
          <w:szCs w:val="24"/>
        </w:rPr>
        <w:t>7 (Cth) to engage and lead industries in improving the recovery and recycling of these priority products. Drawing on strong relationships with key industry bodies, we partnered with the Australian Paint Manufacturers Federation, the Master Painters Association, the Australian Battery Recycling Initiative, and major retailers and processors to deliver the business and public-policy case for waste paint and battery stewardship.</w:t>
      </w:r>
    </w:p>
    <w:p w:rsidR="000328D1" w:rsidRPr="0012760D" w:rsidRDefault="000328D1" w:rsidP="00D82BFB">
      <w:pPr>
        <w:rPr>
          <w:sz w:val="24"/>
          <w:szCs w:val="24"/>
        </w:rPr>
      </w:pPr>
    </w:p>
    <w:p w:rsidR="00D82BFB" w:rsidRDefault="00D82BFB" w:rsidP="00D82BFB">
      <w:pPr>
        <w:rPr>
          <w:sz w:val="24"/>
          <w:szCs w:val="24"/>
        </w:rPr>
      </w:pPr>
      <w:r w:rsidRPr="0012760D">
        <w:rPr>
          <w:sz w:val="24"/>
          <w:szCs w:val="24"/>
        </w:rPr>
        <w:t>In parallel to this, we conducted on-the-ground trials to accurately quantify waste and identify areas of inefficiency. Such trials not only support the business case for stewardship but also help lead the direction of the response by industry.</w:t>
      </w:r>
    </w:p>
    <w:p w:rsidR="00805FDC" w:rsidRPr="0012760D" w:rsidRDefault="00805FDC" w:rsidP="00D82BFB">
      <w:pPr>
        <w:rPr>
          <w:sz w:val="24"/>
          <w:szCs w:val="24"/>
        </w:rPr>
      </w:pPr>
    </w:p>
    <w:p w:rsidR="00D82BFB" w:rsidRDefault="00D82BFB" w:rsidP="00D82BFB">
      <w:pPr>
        <w:rPr>
          <w:sz w:val="24"/>
          <w:szCs w:val="24"/>
        </w:rPr>
      </w:pPr>
      <w:r w:rsidRPr="0012760D">
        <w:rPr>
          <w:sz w:val="24"/>
          <w:szCs w:val="24"/>
        </w:rPr>
        <w:t>Due to our continuing efforts, the paint and battery industries have embraced product stewardship, through dedicated project administration, promotion to members and consumers, and direct financial support.</w:t>
      </w:r>
    </w:p>
    <w:p w:rsidR="00805FDC" w:rsidRPr="0012760D" w:rsidRDefault="00805FDC" w:rsidP="00D82BFB">
      <w:pPr>
        <w:rPr>
          <w:sz w:val="24"/>
          <w:szCs w:val="24"/>
        </w:rPr>
      </w:pPr>
    </w:p>
    <w:p w:rsidR="00D82BFB" w:rsidRDefault="00D82BFB" w:rsidP="00D82BFB">
      <w:pPr>
        <w:rPr>
          <w:sz w:val="24"/>
          <w:szCs w:val="24"/>
        </w:rPr>
      </w:pPr>
      <w:r w:rsidRPr="0012760D">
        <w:rPr>
          <w:sz w:val="24"/>
          <w:szCs w:val="24"/>
        </w:rPr>
        <w:t>Through strong partnership with the paint industry and support from all states and territories, Victoria now leads the development of a national approach to managing waste paint.</w:t>
      </w:r>
    </w:p>
    <w:p w:rsidR="00805FDC" w:rsidRDefault="00805FDC" w:rsidP="00D82BFB">
      <w:pPr>
        <w:rPr>
          <w:sz w:val="24"/>
          <w:szCs w:val="24"/>
        </w:rPr>
      </w:pPr>
    </w:p>
    <w:p w:rsidR="00805FDC" w:rsidRPr="0012760D" w:rsidRDefault="00805FDC" w:rsidP="00D82BFB">
      <w:pPr>
        <w:rPr>
          <w:sz w:val="24"/>
          <w:szCs w:val="24"/>
        </w:rPr>
      </w:pPr>
    </w:p>
    <w:p w:rsidR="00D82BFB" w:rsidRDefault="00D82BFB" w:rsidP="00805FDC">
      <w:pPr>
        <w:pStyle w:val="Heading2"/>
      </w:pPr>
      <w:r w:rsidRPr="0012760D">
        <w:lastRenderedPageBreak/>
        <w:t>What was delivered</w:t>
      </w:r>
    </w:p>
    <w:p w:rsidR="00805FDC" w:rsidRPr="0012760D" w:rsidRDefault="00805FDC" w:rsidP="00D82BFB">
      <w:pPr>
        <w:rPr>
          <w:sz w:val="24"/>
          <w:szCs w:val="24"/>
        </w:rPr>
      </w:pPr>
    </w:p>
    <w:p w:rsidR="00D82BFB" w:rsidRPr="0012760D" w:rsidRDefault="00D82BFB" w:rsidP="00D82BFB">
      <w:pPr>
        <w:rPr>
          <w:sz w:val="24"/>
          <w:szCs w:val="24"/>
        </w:rPr>
      </w:pPr>
      <w:r w:rsidRPr="0012760D">
        <w:rPr>
          <w:sz w:val="24"/>
          <w:szCs w:val="24"/>
        </w:rPr>
        <w:t>Waste paint:</w:t>
      </w:r>
    </w:p>
    <w:p w:rsidR="00D82BFB" w:rsidRPr="0012760D" w:rsidRDefault="00D82BFB" w:rsidP="00D82BFB">
      <w:pPr>
        <w:rPr>
          <w:sz w:val="24"/>
          <w:szCs w:val="24"/>
        </w:rPr>
      </w:pPr>
      <w:r w:rsidRPr="0012760D">
        <w:rPr>
          <w:bCs/>
          <w:sz w:val="24"/>
          <w:szCs w:val="24"/>
        </w:rPr>
        <w:t>• developed the business case for paint stewardship as a foundation for a national approach</w:t>
      </w:r>
    </w:p>
    <w:p w:rsidR="00D82BFB" w:rsidRPr="0012760D" w:rsidRDefault="00D82BFB" w:rsidP="00D82BFB">
      <w:pPr>
        <w:rPr>
          <w:sz w:val="24"/>
          <w:szCs w:val="24"/>
        </w:rPr>
      </w:pPr>
      <w:r w:rsidRPr="0012760D">
        <w:rPr>
          <w:bCs/>
          <w:sz w:val="24"/>
          <w:szCs w:val="24"/>
        </w:rPr>
        <w:t>• designed an Australian-first trial evaluating trade waste paint and associated behaviours, which resulted in almost 85 tonnes of waste paint being diverted to six Paintcare sites across Victoria</w:t>
      </w:r>
    </w:p>
    <w:p w:rsidR="00D82BFB" w:rsidRDefault="00D82BFB" w:rsidP="00D82BFB">
      <w:pPr>
        <w:rPr>
          <w:bCs/>
          <w:sz w:val="24"/>
          <w:szCs w:val="24"/>
        </w:rPr>
      </w:pPr>
      <w:r w:rsidRPr="0012760D">
        <w:rPr>
          <w:bCs/>
          <w:sz w:val="24"/>
          <w:szCs w:val="24"/>
        </w:rPr>
        <w:t>• completed a research options paper for waste paint that explores alternative market solutions, including polymer-modified concrete.</w:t>
      </w:r>
    </w:p>
    <w:p w:rsidR="00805FDC" w:rsidRPr="0012760D" w:rsidRDefault="00805FDC" w:rsidP="00D82BFB">
      <w:pPr>
        <w:rPr>
          <w:sz w:val="24"/>
          <w:szCs w:val="24"/>
        </w:rPr>
      </w:pPr>
    </w:p>
    <w:p w:rsidR="00D82BFB" w:rsidRPr="0012760D" w:rsidRDefault="00D82BFB" w:rsidP="00D82BFB">
      <w:pPr>
        <w:rPr>
          <w:sz w:val="24"/>
          <w:szCs w:val="24"/>
        </w:rPr>
      </w:pPr>
      <w:r w:rsidRPr="0012760D">
        <w:rPr>
          <w:sz w:val="24"/>
          <w:szCs w:val="24"/>
        </w:rPr>
        <w:t>End-of-life batteries:</w:t>
      </w:r>
    </w:p>
    <w:p w:rsidR="00D82BFB" w:rsidRPr="0012760D" w:rsidRDefault="00D82BFB" w:rsidP="00D82BFB">
      <w:pPr>
        <w:rPr>
          <w:sz w:val="24"/>
          <w:szCs w:val="24"/>
        </w:rPr>
      </w:pPr>
      <w:r w:rsidRPr="0012760D">
        <w:rPr>
          <w:bCs/>
          <w:sz w:val="24"/>
          <w:szCs w:val="24"/>
        </w:rPr>
        <w:t>• developed the business case for battery stewardship</w:t>
      </w:r>
    </w:p>
    <w:p w:rsidR="00D82BFB" w:rsidRPr="0012760D" w:rsidRDefault="00D82BFB" w:rsidP="00D82BFB">
      <w:pPr>
        <w:rPr>
          <w:sz w:val="24"/>
          <w:szCs w:val="24"/>
        </w:rPr>
      </w:pPr>
      <w:r w:rsidRPr="0012760D">
        <w:rPr>
          <w:bCs/>
          <w:sz w:val="24"/>
          <w:szCs w:val="24"/>
        </w:rPr>
        <w:t>• expanded Batteryback to 43 Victorian locations, including a trial in nine locations through the Grampian Regional Waste Management Group; over 5 tonnes of used batteries, equivalent to almost 218,000 AA batteries, have been collected statewide through this service</w:t>
      </w:r>
    </w:p>
    <w:p w:rsidR="00D82BFB" w:rsidRPr="0012760D" w:rsidRDefault="00D82BFB" w:rsidP="00D82BFB">
      <w:pPr>
        <w:rPr>
          <w:sz w:val="24"/>
          <w:szCs w:val="24"/>
        </w:rPr>
      </w:pPr>
      <w:r w:rsidRPr="0012760D">
        <w:rPr>
          <w:bCs/>
          <w:sz w:val="24"/>
          <w:szCs w:val="24"/>
        </w:rPr>
        <w:t>• collected data from Batteryback that will help inform a national approach to managing domestic batteries when end-of-life, which is being led by the Queensland Government</w:t>
      </w:r>
    </w:p>
    <w:p w:rsidR="00D82BFB" w:rsidRPr="0012760D" w:rsidRDefault="00D82BFB" w:rsidP="00D82BFB">
      <w:pPr>
        <w:rPr>
          <w:sz w:val="24"/>
          <w:szCs w:val="24"/>
        </w:rPr>
      </w:pPr>
      <w:r w:rsidRPr="0012760D">
        <w:rPr>
          <w:bCs/>
          <w:sz w:val="24"/>
          <w:szCs w:val="24"/>
        </w:rPr>
        <w:t>• facilitated the development and distribution of safety guidelines for the collection, storage, handling and transport of batteries via the Australian Battery Recycling Initiative.</w:t>
      </w:r>
    </w:p>
    <w:p w:rsidR="00073A1F" w:rsidRDefault="00073A1F" w:rsidP="00073A1F">
      <w:pPr>
        <w:rPr>
          <w:bCs/>
          <w:sz w:val="24"/>
          <w:szCs w:val="24"/>
        </w:rPr>
      </w:pPr>
      <w:r w:rsidRPr="0012760D">
        <w:rPr>
          <w:bCs/>
          <w:sz w:val="24"/>
          <w:szCs w:val="24"/>
        </w:rPr>
        <w:t>&lt;pp&gt; 12</w:t>
      </w:r>
    </w:p>
    <w:p w:rsidR="00805FDC" w:rsidRDefault="00805FDC" w:rsidP="00073A1F">
      <w:pPr>
        <w:rPr>
          <w:bCs/>
          <w:sz w:val="24"/>
          <w:szCs w:val="24"/>
        </w:rPr>
      </w:pPr>
    </w:p>
    <w:p w:rsidR="00805FDC" w:rsidRPr="0012760D" w:rsidRDefault="00805FDC" w:rsidP="00073A1F">
      <w:pPr>
        <w:rPr>
          <w:sz w:val="24"/>
          <w:szCs w:val="24"/>
        </w:rPr>
      </w:pPr>
    </w:p>
    <w:p w:rsidR="00073A1F" w:rsidRDefault="00073A1F" w:rsidP="00805FDC">
      <w:pPr>
        <w:pStyle w:val="Heading2"/>
      </w:pPr>
      <w:r w:rsidRPr="0012760D">
        <w:t>3. Infrastructure</w:t>
      </w:r>
    </w:p>
    <w:p w:rsidR="00805FDC" w:rsidRPr="0012760D" w:rsidRDefault="00805FDC" w:rsidP="00073A1F">
      <w:pPr>
        <w:rPr>
          <w:sz w:val="24"/>
          <w:szCs w:val="24"/>
        </w:rPr>
      </w:pPr>
    </w:p>
    <w:p w:rsidR="00073A1F" w:rsidRDefault="00073A1F" w:rsidP="00073A1F">
      <w:pPr>
        <w:rPr>
          <w:sz w:val="24"/>
          <w:szCs w:val="24"/>
        </w:rPr>
      </w:pPr>
      <w:r w:rsidRPr="0012760D">
        <w:rPr>
          <w:sz w:val="24"/>
          <w:szCs w:val="24"/>
        </w:rPr>
        <w:t>Improving the standard of infrastructure and its development</w:t>
      </w:r>
    </w:p>
    <w:p w:rsidR="00805FDC" w:rsidRDefault="00805FDC" w:rsidP="00073A1F">
      <w:pPr>
        <w:rPr>
          <w:sz w:val="24"/>
          <w:szCs w:val="24"/>
        </w:rPr>
      </w:pPr>
    </w:p>
    <w:p w:rsidR="00805FDC" w:rsidRPr="0012760D" w:rsidRDefault="00805FDC" w:rsidP="00073A1F">
      <w:pPr>
        <w:rPr>
          <w:sz w:val="24"/>
          <w:szCs w:val="24"/>
        </w:rPr>
      </w:pPr>
    </w:p>
    <w:p w:rsidR="00073A1F" w:rsidRDefault="00073A1F" w:rsidP="00805FDC">
      <w:pPr>
        <w:pStyle w:val="Heading3"/>
      </w:pPr>
      <w:r w:rsidRPr="0012760D">
        <w:t>Current Focus</w:t>
      </w:r>
    </w:p>
    <w:p w:rsidR="00805FDC" w:rsidRPr="0012760D" w:rsidRDefault="00805FDC" w:rsidP="00073A1F">
      <w:pPr>
        <w:rPr>
          <w:sz w:val="24"/>
          <w:szCs w:val="24"/>
        </w:rPr>
      </w:pPr>
    </w:p>
    <w:p w:rsidR="00073A1F" w:rsidRDefault="00073A1F" w:rsidP="00073A1F">
      <w:pPr>
        <w:rPr>
          <w:sz w:val="24"/>
          <w:szCs w:val="24"/>
        </w:rPr>
      </w:pPr>
      <w:r w:rsidRPr="0012760D">
        <w:rPr>
          <w:sz w:val="24"/>
          <w:szCs w:val="24"/>
        </w:rPr>
        <w:t>At present, the existing infrastructure for collecting, sorting, separating and processing waste still means that valuable resources are sent to landfill.</w:t>
      </w:r>
    </w:p>
    <w:p w:rsidR="00805FDC" w:rsidRPr="0012760D" w:rsidRDefault="00805FDC" w:rsidP="00073A1F">
      <w:pPr>
        <w:rPr>
          <w:sz w:val="24"/>
          <w:szCs w:val="24"/>
        </w:rPr>
      </w:pPr>
    </w:p>
    <w:p w:rsidR="00073A1F" w:rsidRDefault="00073A1F" w:rsidP="00073A1F">
      <w:pPr>
        <w:rPr>
          <w:sz w:val="24"/>
          <w:szCs w:val="24"/>
        </w:rPr>
      </w:pPr>
      <w:r w:rsidRPr="0012760D">
        <w:rPr>
          <w:sz w:val="24"/>
          <w:szCs w:val="24"/>
        </w:rPr>
        <w:t>The waste we send to landfill contains valuable resources and it costs the community to ensure this waste is properly managed. Increasing resource recovery represents an economic opportunity for the whole of the state. The future challenge is to effectively manage the expected mix and volume of waste by supporting a viable resource recovery industry that reduces the amount of valuable material going to landfill, while capturing the opportunities that this industry provides the Victorian economy.</w:t>
      </w:r>
    </w:p>
    <w:p w:rsidR="00805FDC" w:rsidRPr="0012760D" w:rsidRDefault="00805FDC" w:rsidP="00073A1F">
      <w:pPr>
        <w:rPr>
          <w:sz w:val="24"/>
          <w:szCs w:val="24"/>
        </w:rPr>
      </w:pPr>
    </w:p>
    <w:p w:rsidR="00073A1F" w:rsidRDefault="00073A1F" w:rsidP="00073A1F">
      <w:pPr>
        <w:rPr>
          <w:sz w:val="24"/>
          <w:szCs w:val="24"/>
        </w:rPr>
      </w:pPr>
      <w:r w:rsidRPr="0012760D">
        <w:rPr>
          <w:sz w:val="24"/>
          <w:szCs w:val="24"/>
        </w:rPr>
        <w:t xml:space="preserve">In April 2013, the Victorian Government released </w:t>
      </w:r>
      <w:r w:rsidRPr="0012760D">
        <w:rPr>
          <w:i/>
          <w:iCs/>
          <w:sz w:val="24"/>
          <w:szCs w:val="24"/>
        </w:rPr>
        <w:t>Getting full value: Victorian Waste and Resource Recovery Policy</w:t>
      </w:r>
      <w:r w:rsidRPr="0012760D">
        <w:rPr>
          <w:sz w:val="24"/>
          <w:szCs w:val="24"/>
        </w:rPr>
        <w:t>. The policy sets a 30-year vision for an integrated, statewide waste management and resource recovery system that provides an essential community service by protecting the environment and public health, maximising the productive value of resources, and minimising long-term costs to households, industry and government.</w:t>
      </w:r>
    </w:p>
    <w:p w:rsidR="00805FDC" w:rsidRPr="0012760D" w:rsidRDefault="00805FDC" w:rsidP="00073A1F">
      <w:pPr>
        <w:rPr>
          <w:sz w:val="24"/>
          <w:szCs w:val="24"/>
        </w:rPr>
      </w:pPr>
    </w:p>
    <w:p w:rsidR="00073A1F" w:rsidRDefault="00073A1F" w:rsidP="00073A1F">
      <w:pPr>
        <w:rPr>
          <w:sz w:val="24"/>
          <w:szCs w:val="24"/>
        </w:rPr>
      </w:pPr>
      <w:r w:rsidRPr="0012760D">
        <w:rPr>
          <w:sz w:val="24"/>
          <w:szCs w:val="24"/>
        </w:rPr>
        <w:t>The commercial and industrial (C</w:t>
      </w:r>
      <w:r w:rsidR="00932E3A">
        <w:rPr>
          <w:sz w:val="24"/>
          <w:szCs w:val="24"/>
        </w:rPr>
        <w:t xml:space="preserve"> </w:t>
      </w:r>
      <w:r w:rsidR="00236A13">
        <w:rPr>
          <w:sz w:val="24"/>
          <w:szCs w:val="24"/>
        </w:rPr>
        <w:t>and</w:t>
      </w:r>
      <w:r w:rsidR="00932E3A">
        <w:rPr>
          <w:sz w:val="24"/>
          <w:szCs w:val="24"/>
        </w:rPr>
        <w:t xml:space="preserve"> L</w:t>
      </w:r>
      <w:r w:rsidRPr="0012760D">
        <w:rPr>
          <w:sz w:val="24"/>
          <w:szCs w:val="24"/>
        </w:rPr>
        <w:t>) sector generates 4 million tonnes of recoverable waste per annum, of which 64% (3.2 million tonnes) is recovered. Because of limited capacity to process mixed C</w:t>
      </w:r>
      <w:r w:rsidR="00932E3A">
        <w:rPr>
          <w:sz w:val="24"/>
          <w:szCs w:val="24"/>
        </w:rPr>
        <w:t xml:space="preserve"> </w:t>
      </w:r>
      <w:r w:rsidR="00236A13">
        <w:rPr>
          <w:sz w:val="24"/>
          <w:szCs w:val="24"/>
        </w:rPr>
        <w:t>and</w:t>
      </w:r>
      <w:r w:rsidR="00932E3A">
        <w:rPr>
          <w:sz w:val="24"/>
          <w:szCs w:val="24"/>
        </w:rPr>
        <w:t xml:space="preserve"> L</w:t>
      </w:r>
      <w:r w:rsidRPr="0012760D">
        <w:rPr>
          <w:sz w:val="24"/>
          <w:szCs w:val="24"/>
        </w:rPr>
        <w:t xml:space="preserve"> loads, valuable materials, including cardboard, timber, plastics and organic material (such as food waste), are going to landfill and are therefore being lost to the economy. In addition, 1.6 million tonnes of municipal solid waste (MSW) is sent to landfill, of which a significant proportion (approximately 682,000 tonnes) is organic waste that can be recycled, reused or recovered.</w:t>
      </w:r>
    </w:p>
    <w:p w:rsidR="00805FDC" w:rsidRPr="0012760D" w:rsidRDefault="00805FDC" w:rsidP="00073A1F">
      <w:pPr>
        <w:rPr>
          <w:sz w:val="24"/>
          <w:szCs w:val="24"/>
        </w:rPr>
      </w:pPr>
    </w:p>
    <w:p w:rsidR="00073A1F" w:rsidRDefault="00073A1F" w:rsidP="00073A1F">
      <w:pPr>
        <w:rPr>
          <w:sz w:val="24"/>
          <w:szCs w:val="24"/>
        </w:rPr>
      </w:pPr>
      <w:r w:rsidRPr="0012760D">
        <w:rPr>
          <w:sz w:val="24"/>
          <w:szCs w:val="24"/>
        </w:rPr>
        <w:t>Organic materials represent a valuable resource. Once treated and/or stabilised, they can generate bio-energy and be composted for soil-conditioning and land-management products. Failure to recover organic material can also increase the environmental and public health risks associated with landfills, such as higher production of methane (and related odour) and leachate.</w:t>
      </w:r>
    </w:p>
    <w:p w:rsidR="00805FDC" w:rsidRDefault="00805FDC" w:rsidP="00073A1F">
      <w:pPr>
        <w:rPr>
          <w:sz w:val="24"/>
          <w:szCs w:val="24"/>
        </w:rPr>
      </w:pPr>
    </w:p>
    <w:p w:rsidR="00805FDC" w:rsidRDefault="00805FDC" w:rsidP="00073A1F">
      <w:pPr>
        <w:rPr>
          <w:sz w:val="24"/>
          <w:szCs w:val="24"/>
        </w:rPr>
      </w:pPr>
      <w:r>
        <w:rPr>
          <w:sz w:val="24"/>
          <w:szCs w:val="24"/>
        </w:rPr>
        <w:t>&lt;box&gt;</w:t>
      </w:r>
    </w:p>
    <w:p w:rsidR="00805FDC" w:rsidRDefault="00805FDC" w:rsidP="00073A1F">
      <w:pPr>
        <w:rPr>
          <w:sz w:val="24"/>
          <w:szCs w:val="24"/>
        </w:rPr>
      </w:pPr>
    </w:p>
    <w:p w:rsidR="00805FDC" w:rsidRPr="0012760D" w:rsidRDefault="00805FDC" w:rsidP="00073A1F">
      <w:pPr>
        <w:rPr>
          <w:sz w:val="24"/>
          <w:szCs w:val="24"/>
        </w:rPr>
      </w:pPr>
    </w:p>
    <w:p w:rsidR="00073A1F" w:rsidRDefault="00805FDC" w:rsidP="00805FDC">
      <w:pPr>
        <w:pStyle w:val="Heading3"/>
      </w:pPr>
      <w:r w:rsidRPr="0012760D">
        <w:t xml:space="preserve">Major </w:t>
      </w:r>
      <w:r w:rsidR="00073A1F" w:rsidRPr="0012760D">
        <w:t>funding initiatives</w:t>
      </w:r>
    </w:p>
    <w:p w:rsidR="00805FDC" w:rsidRPr="0012760D" w:rsidRDefault="00805FDC" w:rsidP="00073A1F">
      <w:pPr>
        <w:rPr>
          <w:sz w:val="24"/>
          <w:szCs w:val="24"/>
        </w:rPr>
      </w:pPr>
    </w:p>
    <w:p w:rsidR="00073A1F" w:rsidRDefault="00073A1F" w:rsidP="00073A1F">
      <w:pPr>
        <w:rPr>
          <w:sz w:val="24"/>
          <w:szCs w:val="24"/>
        </w:rPr>
      </w:pPr>
      <w:r w:rsidRPr="0012760D">
        <w:rPr>
          <w:sz w:val="24"/>
          <w:szCs w:val="24"/>
        </w:rPr>
        <w:t>The Victorian Government announced over $38 million for a range of programs as part of Conserve, Invest and Save to deliver better environmental outcomes by helping businesses and households manage waste and resources more efficiently. Conserve, Invest and Save programs aim to maximise the value of resources and help create new and sustainable employment across the state.</w:t>
      </w:r>
    </w:p>
    <w:p w:rsidR="00805FDC" w:rsidRPr="0012760D" w:rsidRDefault="00805FDC" w:rsidP="00073A1F">
      <w:pPr>
        <w:rPr>
          <w:sz w:val="24"/>
          <w:szCs w:val="24"/>
        </w:rPr>
      </w:pPr>
    </w:p>
    <w:p w:rsidR="00073A1F" w:rsidRDefault="00073A1F" w:rsidP="00073A1F">
      <w:pPr>
        <w:rPr>
          <w:sz w:val="24"/>
          <w:szCs w:val="24"/>
        </w:rPr>
      </w:pPr>
      <w:r w:rsidRPr="0012760D">
        <w:rPr>
          <w:sz w:val="24"/>
          <w:szCs w:val="24"/>
        </w:rPr>
        <w:t>Given our current focus, the following funds have been set up to help address infrastructure deficiencies:</w:t>
      </w:r>
    </w:p>
    <w:p w:rsidR="00805FDC" w:rsidRPr="0012760D" w:rsidRDefault="00805FDC" w:rsidP="00073A1F">
      <w:pPr>
        <w:rPr>
          <w:sz w:val="24"/>
          <w:szCs w:val="24"/>
        </w:rPr>
      </w:pPr>
    </w:p>
    <w:p w:rsidR="00073A1F" w:rsidRPr="0012760D" w:rsidRDefault="00073A1F" w:rsidP="00073A1F">
      <w:pPr>
        <w:rPr>
          <w:sz w:val="24"/>
          <w:szCs w:val="24"/>
        </w:rPr>
      </w:pPr>
      <w:r w:rsidRPr="0012760D">
        <w:rPr>
          <w:sz w:val="24"/>
          <w:szCs w:val="24"/>
        </w:rPr>
        <w:t>1. The $5 million Driving Investment for New Recycling (DINR) is a grants program with round 1 completed in the 2012 to 13 financial year. The second round of Driving Investment for New Recycling attracted a very strong field of applicants, indicating a strong pipeline for future investment in new recycling projects. The total funding requested from SV was approximately $18 million, attracting private sector investment in excess of $85 million. This fund supports the installation or upgrade of recycling facilities. These facilities will significantly increase the recovery of valuable material and divert it from landfill by:</w:t>
      </w:r>
    </w:p>
    <w:p w:rsidR="00073A1F" w:rsidRPr="0012760D" w:rsidRDefault="00073A1F" w:rsidP="00073A1F">
      <w:pPr>
        <w:rPr>
          <w:sz w:val="24"/>
          <w:szCs w:val="24"/>
        </w:rPr>
      </w:pPr>
      <w:r w:rsidRPr="0012760D">
        <w:rPr>
          <w:sz w:val="24"/>
          <w:szCs w:val="24"/>
        </w:rPr>
        <w:t>• recovering recyclable material and developing refuse-derived fuels, through sorting and separating mixed C</w:t>
      </w:r>
      <w:r w:rsidR="00932E3A">
        <w:rPr>
          <w:sz w:val="24"/>
          <w:szCs w:val="24"/>
        </w:rPr>
        <w:t xml:space="preserve"> </w:t>
      </w:r>
      <w:r w:rsidR="00236A13">
        <w:rPr>
          <w:sz w:val="24"/>
          <w:szCs w:val="24"/>
        </w:rPr>
        <w:t>and</w:t>
      </w:r>
      <w:r w:rsidR="00932E3A">
        <w:rPr>
          <w:sz w:val="24"/>
          <w:szCs w:val="24"/>
        </w:rPr>
        <w:t xml:space="preserve"> L</w:t>
      </w:r>
      <w:r w:rsidRPr="0012760D">
        <w:rPr>
          <w:sz w:val="24"/>
          <w:szCs w:val="24"/>
        </w:rPr>
        <w:t xml:space="preserve"> waste streams</w:t>
      </w:r>
    </w:p>
    <w:p w:rsidR="00073A1F" w:rsidRDefault="00073A1F" w:rsidP="00073A1F">
      <w:pPr>
        <w:rPr>
          <w:sz w:val="24"/>
          <w:szCs w:val="24"/>
        </w:rPr>
      </w:pPr>
      <w:r w:rsidRPr="0012760D">
        <w:rPr>
          <w:sz w:val="24"/>
          <w:szCs w:val="24"/>
        </w:rPr>
        <w:t xml:space="preserve">• managing, treating or stabilising food organics from the </w:t>
      </w:r>
      <w:r w:rsidR="00932E3A">
        <w:rPr>
          <w:sz w:val="24"/>
          <w:szCs w:val="24"/>
        </w:rPr>
        <w:t>C and L</w:t>
      </w:r>
      <w:r w:rsidRPr="0012760D">
        <w:rPr>
          <w:sz w:val="24"/>
          <w:szCs w:val="24"/>
        </w:rPr>
        <w:t xml:space="preserve"> sector.</w:t>
      </w:r>
    </w:p>
    <w:p w:rsidR="00805FDC" w:rsidRPr="0012760D" w:rsidRDefault="00805FDC" w:rsidP="00073A1F">
      <w:pPr>
        <w:rPr>
          <w:sz w:val="24"/>
          <w:szCs w:val="24"/>
        </w:rPr>
      </w:pPr>
    </w:p>
    <w:p w:rsidR="00073A1F" w:rsidRDefault="00073A1F" w:rsidP="00073A1F">
      <w:pPr>
        <w:rPr>
          <w:sz w:val="24"/>
          <w:szCs w:val="24"/>
        </w:rPr>
      </w:pPr>
      <w:r w:rsidRPr="0012760D">
        <w:rPr>
          <w:sz w:val="24"/>
          <w:szCs w:val="24"/>
        </w:rPr>
        <w:t xml:space="preserve">2. The $6.5 million Resource Recovery Infrastructure (RRI) fund aims to encourage the waste management industry to invest in large-scale initiatives that increase the recovery of valuable materials from the </w:t>
      </w:r>
      <w:r w:rsidR="00932E3A">
        <w:rPr>
          <w:sz w:val="24"/>
          <w:szCs w:val="24"/>
        </w:rPr>
        <w:t>C and L</w:t>
      </w:r>
      <w:r w:rsidRPr="0012760D">
        <w:rPr>
          <w:sz w:val="24"/>
          <w:szCs w:val="24"/>
        </w:rPr>
        <w:t xml:space="preserve"> waste stream. These initiatives aim to recover more than 75% of waste in facilities processing over 100,000 tonnes per annum.</w:t>
      </w:r>
    </w:p>
    <w:p w:rsidR="00805FDC" w:rsidRPr="0012760D" w:rsidRDefault="00805FDC" w:rsidP="00073A1F">
      <w:pPr>
        <w:rPr>
          <w:sz w:val="24"/>
          <w:szCs w:val="24"/>
        </w:rPr>
      </w:pPr>
    </w:p>
    <w:p w:rsidR="00073A1F" w:rsidRPr="0012760D" w:rsidRDefault="00073A1F" w:rsidP="00073A1F">
      <w:pPr>
        <w:rPr>
          <w:sz w:val="24"/>
          <w:szCs w:val="24"/>
        </w:rPr>
      </w:pPr>
      <w:r w:rsidRPr="0012760D">
        <w:rPr>
          <w:sz w:val="24"/>
          <w:szCs w:val="24"/>
        </w:rPr>
        <w:t>3. The $2.5 million Building Victoria</w:t>
      </w:r>
      <w:r w:rsidR="00907E0B" w:rsidRPr="0012760D">
        <w:rPr>
          <w:sz w:val="24"/>
          <w:szCs w:val="24"/>
        </w:rPr>
        <w:t>'</w:t>
      </w:r>
      <w:r w:rsidRPr="0012760D">
        <w:rPr>
          <w:sz w:val="24"/>
          <w:szCs w:val="24"/>
        </w:rPr>
        <w:t>s Organics Recovery (BVOR) fund supports the diversion of organics from landfill through:</w:t>
      </w:r>
    </w:p>
    <w:p w:rsidR="00073A1F" w:rsidRPr="0012760D" w:rsidRDefault="00073A1F" w:rsidP="00073A1F">
      <w:pPr>
        <w:rPr>
          <w:sz w:val="24"/>
          <w:szCs w:val="24"/>
        </w:rPr>
      </w:pPr>
      <w:r w:rsidRPr="0012760D">
        <w:rPr>
          <w:sz w:val="24"/>
          <w:szCs w:val="24"/>
        </w:rPr>
        <w:lastRenderedPageBreak/>
        <w:t>• a targeted program; $2 million for large-scale infrastructure for recovering and treating organics in regional Victoria (Geelong, Ballarat, Bendigo and the Latrobe Valley)</w:t>
      </w:r>
    </w:p>
    <w:p w:rsidR="00073A1F" w:rsidRDefault="00073A1F" w:rsidP="00073A1F">
      <w:pPr>
        <w:rPr>
          <w:sz w:val="24"/>
          <w:szCs w:val="24"/>
        </w:rPr>
      </w:pPr>
      <w:r w:rsidRPr="0012760D">
        <w:rPr>
          <w:sz w:val="24"/>
          <w:szCs w:val="24"/>
        </w:rPr>
        <w:t>• an open program; $500,000 for small-scale infrastructure for recovering and treating organics in regional Victoria (excluding Ballarat, Bendigo, Geelong and the Latrobe Valley).</w:t>
      </w:r>
    </w:p>
    <w:p w:rsidR="00805FDC" w:rsidRPr="0012760D" w:rsidRDefault="00805FDC" w:rsidP="00073A1F">
      <w:pPr>
        <w:rPr>
          <w:sz w:val="24"/>
          <w:szCs w:val="24"/>
        </w:rPr>
      </w:pPr>
      <w:r>
        <w:rPr>
          <w:sz w:val="24"/>
          <w:szCs w:val="24"/>
        </w:rPr>
        <w:t>&lt;/box&gt;</w:t>
      </w:r>
    </w:p>
    <w:p w:rsidR="00477909" w:rsidRDefault="00477909" w:rsidP="00477909">
      <w:pPr>
        <w:rPr>
          <w:bCs/>
          <w:sz w:val="24"/>
          <w:szCs w:val="24"/>
        </w:rPr>
      </w:pPr>
      <w:r w:rsidRPr="0012760D">
        <w:rPr>
          <w:bCs/>
          <w:sz w:val="24"/>
          <w:szCs w:val="24"/>
        </w:rPr>
        <w:t>&lt;pp&gt; 13</w:t>
      </w:r>
    </w:p>
    <w:p w:rsidR="00A52E34" w:rsidRDefault="00A52E34" w:rsidP="00477909">
      <w:pPr>
        <w:rPr>
          <w:bCs/>
          <w:sz w:val="24"/>
          <w:szCs w:val="24"/>
        </w:rPr>
      </w:pPr>
    </w:p>
    <w:p w:rsidR="00A52E34" w:rsidRPr="0012760D" w:rsidRDefault="00A52E34" w:rsidP="00477909">
      <w:pPr>
        <w:rPr>
          <w:sz w:val="24"/>
          <w:szCs w:val="24"/>
        </w:rPr>
      </w:pPr>
    </w:p>
    <w:p w:rsidR="00477909" w:rsidRDefault="00477909" w:rsidP="00A52E34">
      <w:pPr>
        <w:pStyle w:val="Heading3"/>
      </w:pPr>
      <w:r w:rsidRPr="0012760D">
        <w:t>Key achievements</w:t>
      </w:r>
    </w:p>
    <w:p w:rsidR="00A52E34" w:rsidRPr="0012760D" w:rsidRDefault="00A52E34" w:rsidP="00477909">
      <w:pPr>
        <w:rPr>
          <w:sz w:val="24"/>
          <w:szCs w:val="24"/>
        </w:rPr>
      </w:pPr>
    </w:p>
    <w:p w:rsidR="00477909" w:rsidRDefault="00477909" w:rsidP="00477909">
      <w:pPr>
        <w:rPr>
          <w:sz w:val="24"/>
          <w:szCs w:val="24"/>
        </w:rPr>
      </w:pPr>
      <w:r w:rsidRPr="0012760D">
        <w:rPr>
          <w:sz w:val="24"/>
          <w:szCs w:val="24"/>
        </w:rPr>
        <w:t>Installation began on seven projects funded under the first round of the DINR fund (in 2011 to 12). These projects will improve the collection, sorting and processing of products such as mercury lamps and silage wrap.</w:t>
      </w:r>
    </w:p>
    <w:p w:rsidR="00A52E34" w:rsidRPr="0012760D" w:rsidRDefault="00A52E34" w:rsidP="00477909">
      <w:pPr>
        <w:rPr>
          <w:sz w:val="24"/>
          <w:szCs w:val="24"/>
        </w:rPr>
      </w:pPr>
    </w:p>
    <w:p w:rsidR="00477909" w:rsidRDefault="00477909" w:rsidP="00477909">
      <w:pPr>
        <w:rPr>
          <w:sz w:val="24"/>
          <w:szCs w:val="24"/>
        </w:rPr>
      </w:pPr>
      <w:r w:rsidRPr="0012760D">
        <w:rPr>
          <w:sz w:val="24"/>
          <w:szCs w:val="24"/>
        </w:rPr>
        <w:t>This year, we opened new funding rounds for the DINR and RRI funds, which attracted a large number of submissions. Successful projects will be announced early in 2013 to 14.</w:t>
      </w:r>
    </w:p>
    <w:p w:rsidR="00A52E34" w:rsidRPr="0012760D" w:rsidRDefault="00A52E34" w:rsidP="00477909">
      <w:pPr>
        <w:rPr>
          <w:sz w:val="24"/>
          <w:szCs w:val="24"/>
        </w:rPr>
      </w:pPr>
    </w:p>
    <w:p w:rsidR="00477909" w:rsidRDefault="00477909" w:rsidP="00477909">
      <w:pPr>
        <w:rPr>
          <w:sz w:val="24"/>
          <w:szCs w:val="24"/>
        </w:rPr>
      </w:pPr>
      <w:r w:rsidRPr="0012760D">
        <w:rPr>
          <w:sz w:val="24"/>
          <w:szCs w:val="24"/>
        </w:rPr>
        <w:t>Through the BVOR fund, we also provided four grants for organics recovery in rural areas. The grant recipients were East Gippsland Shire, Corangamite Shire, Shire of Southern Grampians and TPI Cleanaway.</w:t>
      </w:r>
    </w:p>
    <w:p w:rsidR="00A52E34" w:rsidRPr="0012760D" w:rsidRDefault="00A52E34" w:rsidP="00477909">
      <w:pPr>
        <w:rPr>
          <w:sz w:val="24"/>
          <w:szCs w:val="24"/>
        </w:rPr>
      </w:pPr>
    </w:p>
    <w:p w:rsidR="00477909" w:rsidRDefault="00477909" w:rsidP="00477909">
      <w:pPr>
        <w:rPr>
          <w:sz w:val="24"/>
          <w:szCs w:val="24"/>
        </w:rPr>
      </w:pPr>
      <w:r w:rsidRPr="0012760D">
        <w:rPr>
          <w:sz w:val="24"/>
          <w:szCs w:val="24"/>
        </w:rPr>
        <w:t>As a result of the work undertaken in developing the draft Statewide Waste and Resource Recovery Infrastructure Plan (SWRRIP), we also now have a comprehensive picture of waste and infrastructure activities across the state. During the consultation process for the SWRRIP, our data will be further refined and provided to stakeholders in a readily accessible framework.</w:t>
      </w:r>
    </w:p>
    <w:p w:rsidR="00A52E34" w:rsidRPr="0012760D" w:rsidRDefault="00A52E34" w:rsidP="00477909">
      <w:pPr>
        <w:rPr>
          <w:sz w:val="24"/>
          <w:szCs w:val="24"/>
        </w:rPr>
      </w:pPr>
    </w:p>
    <w:p w:rsidR="00477909" w:rsidRDefault="00477909" w:rsidP="00477909">
      <w:pPr>
        <w:rPr>
          <w:sz w:val="24"/>
          <w:szCs w:val="24"/>
        </w:rPr>
      </w:pPr>
      <w:r w:rsidRPr="0012760D">
        <w:rPr>
          <w:sz w:val="24"/>
          <w:szCs w:val="24"/>
        </w:rPr>
        <w:t>Developing the draft SWRRIP has involved a detailed analysis of the current system, including mapping the locations of more than 500 pieces of waste and resource recovery infrastructure, analysing the expected mix and volumes of waste, and assessing current capacity and future needs (including future land-use requirements).</w:t>
      </w:r>
    </w:p>
    <w:p w:rsidR="00A52E34" w:rsidRPr="0012760D" w:rsidRDefault="00A52E34" w:rsidP="00477909">
      <w:pPr>
        <w:rPr>
          <w:sz w:val="24"/>
          <w:szCs w:val="24"/>
        </w:rPr>
      </w:pPr>
    </w:p>
    <w:p w:rsidR="00477909" w:rsidRPr="0012760D" w:rsidRDefault="00477909" w:rsidP="00477909">
      <w:pPr>
        <w:rPr>
          <w:sz w:val="24"/>
          <w:szCs w:val="24"/>
        </w:rPr>
      </w:pPr>
      <w:r w:rsidRPr="0012760D">
        <w:rPr>
          <w:sz w:val="24"/>
          <w:szCs w:val="24"/>
        </w:rPr>
        <w:t>The SWRRIP represents the first time that Victoria will have a single document that brings together the evidence base needed to guide waste and resource recovery infrastructure planning at all levels across the state.</w:t>
      </w:r>
    </w:p>
    <w:p w:rsidR="00E06798" w:rsidRDefault="00E06798" w:rsidP="00E06798">
      <w:pPr>
        <w:rPr>
          <w:bCs/>
          <w:sz w:val="24"/>
          <w:szCs w:val="24"/>
        </w:rPr>
      </w:pPr>
      <w:r w:rsidRPr="0012760D">
        <w:rPr>
          <w:bCs/>
          <w:sz w:val="24"/>
          <w:szCs w:val="24"/>
        </w:rPr>
        <w:t>&lt;pp&gt; 14</w:t>
      </w:r>
    </w:p>
    <w:p w:rsidR="00A52E34" w:rsidRDefault="00A52E34" w:rsidP="00E06798">
      <w:pPr>
        <w:rPr>
          <w:bCs/>
          <w:sz w:val="24"/>
          <w:szCs w:val="24"/>
        </w:rPr>
      </w:pPr>
    </w:p>
    <w:p w:rsidR="00A52E34" w:rsidRPr="0012760D" w:rsidRDefault="00A52E34" w:rsidP="00E06798">
      <w:pPr>
        <w:rPr>
          <w:sz w:val="24"/>
          <w:szCs w:val="24"/>
        </w:rPr>
      </w:pPr>
    </w:p>
    <w:p w:rsidR="00E06798" w:rsidRDefault="00E06798" w:rsidP="00A52E34">
      <w:pPr>
        <w:pStyle w:val="Heading1"/>
      </w:pPr>
      <w:r w:rsidRPr="0012760D">
        <w:t>Showcase</w:t>
      </w:r>
      <w:r w:rsidR="00A52E34">
        <w:br/>
      </w:r>
      <w:r w:rsidRPr="0012760D">
        <w:t xml:space="preserve">Building a Strong Foundation for </w:t>
      </w:r>
      <w:r w:rsidR="00932E3A">
        <w:t>C and L</w:t>
      </w:r>
      <w:r w:rsidRPr="0012760D">
        <w:t xml:space="preserve"> Waste Recovery</w:t>
      </w:r>
    </w:p>
    <w:p w:rsidR="00A52E34" w:rsidRPr="0012760D" w:rsidRDefault="00A52E34" w:rsidP="00E06798">
      <w:pPr>
        <w:rPr>
          <w:sz w:val="24"/>
          <w:szCs w:val="24"/>
        </w:rPr>
      </w:pPr>
    </w:p>
    <w:p w:rsidR="00E06798" w:rsidRDefault="00E06798" w:rsidP="00E06798">
      <w:pPr>
        <w:rPr>
          <w:bCs/>
          <w:sz w:val="24"/>
          <w:szCs w:val="24"/>
        </w:rPr>
      </w:pPr>
      <w:r w:rsidRPr="0012760D">
        <w:rPr>
          <w:bCs/>
          <w:sz w:val="24"/>
          <w:szCs w:val="24"/>
        </w:rPr>
        <w:t>Approximately 9,000 tonnes of plastic packaging is used for fodder protection on Victorian farms every year, with more than 85% of this plastic either burnt on farms or buried.</w:t>
      </w:r>
    </w:p>
    <w:p w:rsidR="00A52E34" w:rsidRPr="0012760D" w:rsidRDefault="00A52E34" w:rsidP="00E06798">
      <w:pPr>
        <w:rPr>
          <w:sz w:val="24"/>
          <w:szCs w:val="24"/>
        </w:rPr>
      </w:pPr>
    </w:p>
    <w:p w:rsidR="00E06798" w:rsidRDefault="00E06798" w:rsidP="00E06798">
      <w:pPr>
        <w:rPr>
          <w:sz w:val="24"/>
          <w:szCs w:val="24"/>
        </w:rPr>
      </w:pPr>
      <w:r w:rsidRPr="0012760D">
        <w:rPr>
          <w:sz w:val="24"/>
          <w:szCs w:val="24"/>
        </w:rPr>
        <w:lastRenderedPageBreak/>
        <w:t>A Mordialloc business, Polymer Processors, is helping address this waste of plastic packaging. The business has received funding under the first round of Driving Investment for New Recycling to establish the only silage wrap recycling facility in Australia.</w:t>
      </w:r>
    </w:p>
    <w:p w:rsidR="00A52E34" w:rsidRPr="0012760D" w:rsidRDefault="00A52E34" w:rsidP="00E06798">
      <w:pPr>
        <w:rPr>
          <w:sz w:val="24"/>
          <w:szCs w:val="24"/>
        </w:rPr>
      </w:pPr>
    </w:p>
    <w:p w:rsidR="00E06798" w:rsidRDefault="00E06798" w:rsidP="00E06798">
      <w:pPr>
        <w:rPr>
          <w:sz w:val="24"/>
          <w:szCs w:val="24"/>
        </w:rPr>
      </w:pPr>
      <w:r w:rsidRPr="0012760D">
        <w:rPr>
          <w:sz w:val="24"/>
          <w:szCs w:val="24"/>
        </w:rPr>
        <w:t>Australian plastics supplier Tapex, through the Plasback program, provides Polymer Processors with used agricultural silage wrap from farming communities across Victoria. Polymer Processors then cleans the silage wrap and refines it into plastic pellets. These are provided back to Tapex, which uses them to manufacture Tuffboard</w:t>
      </w:r>
      <w:r w:rsidRPr="0012760D">
        <w:rPr>
          <w:sz w:val="24"/>
          <w:szCs w:val="24"/>
          <w:vertAlign w:val="superscript"/>
        </w:rPr>
        <w:t>TM</w:t>
      </w:r>
      <w:r w:rsidRPr="0012760D">
        <w:rPr>
          <w:sz w:val="24"/>
          <w:szCs w:val="24"/>
        </w:rPr>
        <w:t>, a material used in agricultural products such as flooring for sheep-shearing sheds.</w:t>
      </w:r>
    </w:p>
    <w:p w:rsidR="00A52E34" w:rsidRDefault="00A52E34" w:rsidP="00E06798">
      <w:pPr>
        <w:rPr>
          <w:sz w:val="24"/>
          <w:szCs w:val="24"/>
        </w:rPr>
      </w:pPr>
    </w:p>
    <w:p w:rsidR="00A52E34" w:rsidRPr="0012760D" w:rsidRDefault="00A52E34" w:rsidP="00E06798">
      <w:pPr>
        <w:rPr>
          <w:sz w:val="24"/>
          <w:szCs w:val="24"/>
        </w:rPr>
      </w:pPr>
    </w:p>
    <w:p w:rsidR="00E06798" w:rsidRDefault="00E06798" w:rsidP="00A52E34">
      <w:pPr>
        <w:pStyle w:val="Heading2"/>
      </w:pPr>
      <w:r w:rsidRPr="0012760D">
        <w:t>What it means for Victoria</w:t>
      </w:r>
    </w:p>
    <w:p w:rsidR="00A52E34" w:rsidRPr="0012760D" w:rsidRDefault="00A52E34" w:rsidP="00E06798">
      <w:pPr>
        <w:rPr>
          <w:sz w:val="24"/>
          <w:szCs w:val="24"/>
        </w:rPr>
      </w:pPr>
    </w:p>
    <w:p w:rsidR="00E06798" w:rsidRDefault="00E06798" w:rsidP="00E06798">
      <w:pPr>
        <w:rPr>
          <w:sz w:val="24"/>
          <w:szCs w:val="24"/>
        </w:rPr>
      </w:pPr>
      <w:r w:rsidRPr="0012760D">
        <w:rPr>
          <w:sz w:val="24"/>
          <w:szCs w:val="24"/>
        </w:rPr>
        <w:t>With the installation of new technology to shred, wash and pelletise silage wrap, it is estimated that Polymer Processors will recover between 1,000 and 2,000 tonnes of silage wrap in the first year, increasing to 5,000 tonnes after three years - representing 60% of the total amount generated in Victoria annually.</w:t>
      </w:r>
    </w:p>
    <w:p w:rsidR="00A52E34" w:rsidRPr="0012760D" w:rsidRDefault="00A52E34" w:rsidP="00E06798">
      <w:pPr>
        <w:rPr>
          <w:sz w:val="24"/>
          <w:szCs w:val="24"/>
        </w:rPr>
      </w:pPr>
    </w:p>
    <w:p w:rsidR="00E06798" w:rsidRDefault="00E06798" w:rsidP="00E06798">
      <w:pPr>
        <w:rPr>
          <w:sz w:val="24"/>
          <w:szCs w:val="24"/>
        </w:rPr>
      </w:pPr>
      <w:r w:rsidRPr="0012760D">
        <w:rPr>
          <w:sz w:val="24"/>
          <w:szCs w:val="24"/>
        </w:rPr>
        <w:t>This initiative demonstrates how government and business can work in partnership to drive innovative market solutions to environmental challenges.</w:t>
      </w:r>
    </w:p>
    <w:p w:rsidR="00A52E34" w:rsidRPr="0012760D" w:rsidRDefault="00A52E34" w:rsidP="00E06798">
      <w:pPr>
        <w:rPr>
          <w:sz w:val="24"/>
          <w:szCs w:val="24"/>
        </w:rPr>
      </w:pPr>
    </w:p>
    <w:p w:rsidR="00027FF5" w:rsidRPr="0012760D" w:rsidRDefault="00027FF5" w:rsidP="00027FF5">
      <w:pPr>
        <w:rPr>
          <w:sz w:val="24"/>
          <w:szCs w:val="24"/>
        </w:rPr>
      </w:pPr>
      <w:r w:rsidRPr="0012760D">
        <w:rPr>
          <w:sz w:val="24"/>
          <w:szCs w:val="24"/>
        </w:rPr>
        <w:t>Photo: Member for Mordialloc Lorraine Wreford, Minister for Environment and Climate Change Ryan Smith, Managing Director Polymer Processors John Wilson</w:t>
      </w:r>
    </w:p>
    <w:p w:rsidR="00473F6B" w:rsidRDefault="00473F6B" w:rsidP="00473F6B">
      <w:pPr>
        <w:rPr>
          <w:bCs/>
          <w:sz w:val="24"/>
          <w:szCs w:val="24"/>
        </w:rPr>
      </w:pPr>
      <w:r w:rsidRPr="0012760D">
        <w:rPr>
          <w:bCs/>
          <w:sz w:val="24"/>
          <w:szCs w:val="24"/>
        </w:rPr>
        <w:t>&lt;pp&gt; 15</w:t>
      </w:r>
    </w:p>
    <w:p w:rsidR="00A52E34" w:rsidRDefault="00A52E34" w:rsidP="00473F6B">
      <w:pPr>
        <w:rPr>
          <w:bCs/>
          <w:sz w:val="24"/>
          <w:szCs w:val="24"/>
        </w:rPr>
      </w:pPr>
    </w:p>
    <w:p w:rsidR="00A52E34" w:rsidRPr="0012760D" w:rsidRDefault="00A52E34" w:rsidP="00473F6B">
      <w:pPr>
        <w:rPr>
          <w:sz w:val="24"/>
          <w:szCs w:val="24"/>
        </w:rPr>
      </w:pPr>
    </w:p>
    <w:p w:rsidR="00473F6B" w:rsidRDefault="00473F6B" w:rsidP="00A52E34">
      <w:pPr>
        <w:pStyle w:val="Heading2"/>
      </w:pPr>
      <w:r w:rsidRPr="0012760D">
        <w:t>4. Waste Minimisation</w:t>
      </w:r>
    </w:p>
    <w:p w:rsidR="00A52E34" w:rsidRPr="0012760D" w:rsidRDefault="00A52E34" w:rsidP="00473F6B">
      <w:pPr>
        <w:rPr>
          <w:sz w:val="24"/>
          <w:szCs w:val="24"/>
        </w:rPr>
      </w:pPr>
    </w:p>
    <w:p w:rsidR="00473F6B" w:rsidRPr="00A52E34" w:rsidRDefault="00473F6B" w:rsidP="00473F6B">
      <w:pPr>
        <w:rPr>
          <w:b/>
          <w:sz w:val="24"/>
          <w:szCs w:val="24"/>
        </w:rPr>
      </w:pPr>
      <w:r w:rsidRPr="00A52E34">
        <w:rPr>
          <w:b/>
          <w:sz w:val="24"/>
          <w:szCs w:val="24"/>
        </w:rPr>
        <w:t>Increasing uptake of waste minimisation practices in targeted sectors for maximum gain</w:t>
      </w:r>
      <w:r w:rsidR="00A52E34">
        <w:rPr>
          <w:b/>
          <w:sz w:val="24"/>
          <w:szCs w:val="24"/>
        </w:rPr>
        <w:t>.</w:t>
      </w:r>
    </w:p>
    <w:p w:rsidR="00A52E34" w:rsidRDefault="00A52E34" w:rsidP="00473F6B">
      <w:pPr>
        <w:rPr>
          <w:sz w:val="24"/>
          <w:szCs w:val="24"/>
        </w:rPr>
      </w:pPr>
    </w:p>
    <w:p w:rsidR="00A52E34" w:rsidRPr="0012760D" w:rsidRDefault="00A52E34" w:rsidP="00473F6B">
      <w:pPr>
        <w:rPr>
          <w:sz w:val="24"/>
          <w:szCs w:val="24"/>
        </w:rPr>
      </w:pPr>
    </w:p>
    <w:p w:rsidR="00473F6B" w:rsidRDefault="00473F6B" w:rsidP="00A52E34">
      <w:pPr>
        <w:pStyle w:val="Heading3"/>
      </w:pPr>
      <w:r w:rsidRPr="0012760D">
        <w:t>Current Focus</w:t>
      </w:r>
    </w:p>
    <w:p w:rsidR="00A52E34" w:rsidRPr="0012760D" w:rsidRDefault="00A52E34" w:rsidP="00473F6B">
      <w:pPr>
        <w:rPr>
          <w:sz w:val="24"/>
          <w:szCs w:val="24"/>
        </w:rPr>
      </w:pPr>
    </w:p>
    <w:p w:rsidR="00473F6B" w:rsidRDefault="00473F6B" w:rsidP="00473F6B">
      <w:pPr>
        <w:rPr>
          <w:sz w:val="24"/>
          <w:szCs w:val="24"/>
        </w:rPr>
      </w:pPr>
      <w:r w:rsidRPr="0012760D">
        <w:rPr>
          <w:sz w:val="24"/>
          <w:szCs w:val="24"/>
        </w:rPr>
        <w:t>Waste reduction can deliver both economic and environmental benefits to Victoria. Minimisation of business waste is currently being addressed through the Beyond Waste fund, established by the Victorian Environment Protection Authority (EPA) in 2010 and transferred to Sustainability Victoria in June 2012. By supporting innovations that reduce waste generation, this two-year, $1.35 million funding program aims to help businesses reduce the amount of waste sent to landfill.</w:t>
      </w:r>
    </w:p>
    <w:p w:rsidR="00A52E34" w:rsidRPr="0012760D" w:rsidRDefault="00A52E34" w:rsidP="00473F6B">
      <w:pPr>
        <w:rPr>
          <w:sz w:val="24"/>
          <w:szCs w:val="24"/>
        </w:rPr>
      </w:pPr>
    </w:p>
    <w:p w:rsidR="00473F6B" w:rsidRDefault="00473F6B" w:rsidP="00473F6B">
      <w:pPr>
        <w:rPr>
          <w:sz w:val="24"/>
          <w:szCs w:val="24"/>
        </w:rPr>
      </w:pPr>
      <w:r w:rsidRPr="0012760D">
        <w:rPr>
          <w:sz w:val="24"/>
          <w:szCs w:val="24"/>
        </w:rPr>
        <w:t>Beyond Waste works hand in glove with the Smarter Resources Smarter Business program. Nine projects were funded under this program, across sectors including manufacturing, construction, health and food processing, and two are already complete. Many of the projects involve working closely with a number of businesses to identify their waste minimisation opportunities. One example is the completed Victorian Employer</w:t>
      </w:r>
      <w:r w:rsidR="00B814E4" w:rsidRPr="0012760D">
        <w:rPr>
          <w:sz w:val="24"/>
          <w:szCs w:val="24"/>
        </w:rPr>
        <w:t xml:space="preserve">s' </w:t>
      </w:r>
      <w:r w:rsidRPr="0012760D">
        <w:rPr>
          <w:sz w:val="24"/>
          <w:szCs w:val="24"/>
        </w:rPr>
        <w:t xml:space="preserve">Chamber of Commerce and Industry (VECCI) project that was delivered to 25 businesses. Program findings will be evaluated and will inform the </w:t>
      </w:r>
      <w:r w:rsidRPr="0012760D">
        <w:rPr>
          <w:sz w:val="24"/>
          <w:szCs w:val="24"/>
        </w:rPr>
        <w:lastRenderedPageBreak/>
        <w:t>basis of a communications strategy to help businesses understand the true cost of waste and approaches to reduce it.</w:t>
      </w:r>
    </w:p>
    <w:p w:rsidR="00A52E34" w:rsidRPr="0012760D" w:rsidRDefault="00A52E34" w:rsidP="00473F6B">
      <w:pPr>
        <w:rPr>
          <w:sz w:val="24"/>
          <w:szCs w:val="24"/>
        </w:rPr>
      </w:pPr>
    </w:p>
    <w:p w:rsidR="00473F6B" w:rsidRDefault="00473F6B" w:rsidP="00473F6B">
      <w:pPr>
        <w:rPr>
          <w:sz w:val="24"/>
          <w:szCs w:val="24"/>
        </w:rPr>
      </w:pPr>
      <w:r w:rsidRPr="0012760D">
        <w:rPr>
          <w:sz w:val="24"/>
          <w:szCs w:val="24"/>
        </w:rPr>
        <w:t>We have developed a waste minimisation framework to guide future programs in this area. This framework has identified the highest priority to be food waste, from both households and businesses. A strategy to address key causes of food waste from different sectors is currently being developed. This will include a targeted education program for households, based on research that was conducted in 2012 to 13.</w:t>
      </w:r>
    </w:p>
    <w:p w:rsidR="00A52E34" w:rsidRPr="0012760D" w:rsidRDefault="00A52E34" w:rsidP="00473F6B">
      <w:pPr>
        <w:rPr>
          <w:sz w:val="24"/>
          <w:szCs w:val="24"/>
        </w:rPr>
      </w:pPr>
    </w:p>
    <w:p w:rsidR="00473F6B" w:rsidRDefault="00473F6B" w:rsidP="00473F6B">
      <w:pPr>
        <w:rPr>
          <w:sz w:val="24"/>
          <w:szCs w:val="24"/>
        </w:rPr>
      </w:pPr>
      <w:r w:rsidRPr="0012760D">
        <w:rPr>
          <w:sz w:val="24"/>
          <w:szCs w:val="24"/>
        </w:rPr>
        <w:t>There is significant scope for reducing household waste. Food waste accounts for about one-third of the material placed in household rubbish bins, nearly all of which is sent to landfill.</w:t>
      </w:r>
    </w:p>
    <w:p w:rsidR="00A52E34" w:rsidRPr="0012760D" w:rsidRDefault="00A52E34" w:rsidP="00473F6B">
      <w:pPr>
        <w:rPr>
          <w:sz w:val="24"/>
          <w:szCs w:val="24"/>
        </w:rPr>
      </w:pPr>
    </w:p>
    <w:p w:rsidR="00473F6B" w:rsidRDefault="00473F6B" w:rsidP="00473F6B">
      <w:pPr>
        <w:rPr>
          <w:sz w:val="24"/>
          <w:szCs w:val="24"/>
        </w:rPr>
      </w:pPr>
      <w:r w:rsidRPr="0012760D">
        <w:rPr>
          <w:sz w:val="24"/>
          <w:szCs w:val="24"/>
        </w:rPr>
        <w:t>In 2013 to 14, we will use the information gathered over the course of this year to finalise our waste minimisation framework.</w:t>
      </w:r>
    </w:p>
    <w:p w:rsidR="00A52E34" w:rsidRDefault="00A52E34" w:rsidP="00473F6B">
      <w:pPr>
        <w:rPr>
          <w:sz w:val="24"/>
          <w:szCs w:val="24"/>
        </w:rPr>
      </w:pPr>
    </w:p>
    <w:p w:rsidR="00A52E34" w:rsidRPr="0012760D" w:rsidRDefault="00A52E34" w:rsidP="00473F6B">
      <w:pPr>
        <w:rPr>
          <w:sz w:val="24"/>
          <w:szCs w:val="24"/>
        </w:rPr>
      </w:pPr>
    </w:p>
    <w:p w:rsidR="00473F6B" w:rsidRDefault="00473F6B" w:rsidP="00A52E34">
      <w:pPr>
        <w:pStyle w:val="Heading3"/>
      </w:pPr>
      <w:r w:rsidRPr="0012760D">
        <w:t>Key achievements</w:t>
      </w:r>
    </w:p>
    <w:p w:rsidR="00A52E34" w:rsidRPr="0012760D" w:rsidRDefault="00A52E34" w:rsidP="00473F6B">
      <w:pPr>
        <w:rPr>
          <w:sz w:val="24"/>
          <w:szCs w:val="24"/>
        </w:rPr>
      </w:pPr>
    </w:p>
    <w:p w:rsidR="00473F6B" w:rsidRDefault="00473F6B" w:rsidP="00473F6B">
      <w:pPr>
        <w:rPr>
          <w:sz w:val="24"/>
          <w:szCs w:val="24"/>
        </w:rPr>
      </w:pPr>
      <w:r w:rsidRPr="0012760D">
        <w:rPr>
          <w:sz w:val="24"/>
          <w:szCs w:val="24"/>
        </w:rPr>
        <w:t>Two of the nine Beyond Waste projects were completed this year. One of these projects was undertaken by VECCI, which involved conducting 25 waste assessments of businesses. The assessments identified the potential for these businesses to reduce a combined 1,367 m</w:t>
      </w:r>
      <w:r w:rsidRPr="0012760D">
        <w:rPr>
          <w:sz w:val="24"/>
          <w:szCs w:val="24"/>
          <w:vertAlign w:val="superscript"/>
        </w:rPr>
        <w:t>3</w:t>
      </w:r>
      <w:r w:rsidRPr="0012760D">
        <w:rPr>
          <w:sz w:val="24"/>
          <w:szCs w:val="24"/>
        </w:rPr>
        <w:t xml:space="preserve"> of waste and save more than $180,000 in direct costs.</w:t>
      </w:r>
    </w:p>
    <w:p w:rsidR="00A52E34" w:rsidRPr="0012760D" w:rsidRDefault="00A52E34" w:rsidP="00473F6B">
      <w:pPr>
        <w:rPr>
          <w:sz w:val="24"/>
          <w:szCs w:val="24"/>
        </w:rPr>
      </w:pPr>
    </w:p>
    <w:p w:rsidR="00473F6B" w:rsidRDefault="00473F6B" w:rsidP="00473F6B">
      <w:pPr>
        <w:rPr>
          <w:sz w:val="24"/>
          <w:szCs w:val="24"/>
        </w:rPr>
      </w:pPr>
      <w:r w:rsidRPr="0012760D">
        <w:rPr>
          <w:sz w:val="24"/>
          <w:szCs w:val="24"/>
        </w:rPr>
        <w:t>In 2012 to 13, we also commissioned research that will help us better understand the quantity and types of food waste being sent to landfill.</w:t>
      </w:r>
    </w:p>
    <w:p w:rsidR="00B7598F" w:rsidRDefault="00B7598F" w:rsidP="00473F6B">
      <w:pPr>
        <w:rPr>
          <w:sz w:val="24"/>
          <w:szCs w:val="24"/>
        </w:rPr>
      </w:pPr>
    </w:p>
    <w:p w:rsidR="00B7598F" w:rsidRPr="0012760D" w:rsidRDefault="00B7598F" w:rsidP="00473F6B">
      <w:pPr>
        <w:rPr>
          <w:sz w:val="24"/>
          <w:szCs w:val="24"/>
        </w:rPr>
      </w:pPr>
    </w:p>
    <w:p w:rsidR="00473F6B" w:rsidRDefault="00473F6B" w:rsidP="00B7598F">
      <w:pPr>
        <w:pStyle w:val="Heading2"/>
      </w:pPr>
      <w:r w:rsidRPr="0012760D">
        <w:t>5. Litter</w:t>
      </w:r>
    </w:p>
    <w:p w:rsidR="00B7598F" w:rsidRPr="0012760D" w:rsidRDefault="00B7598F" w:rsidP="00473F6B">
      <w:pPr>
        <w:rPr>
          <w:sz w:val="24"/>
          <w:szCs w:val="24"/>
        </w:rPr>
      </w:pPr>
    </w:p>
    <w:p w:rsidR="00473F6B" w:rsidRPr="00B7598F" w:rsidRDefault="00473F6B" w:rsidP="00473F6B">
      <w:pPr>
        <w:rPr>
          <w:b/>
          <w:sz w:val="24"/>
          <w:szCs w:val="24"/>
        </w:rPr>
      </w:pPr>
      <w:r w:rsidRPr="00B7598F">
        <w:rPr>
          <w:b/>
          <w:sz w:val="24"/>
          <w:szCs w:val="24"/>
        </w:rPr>
        <w:t>Reducing littering behaviour and litter</w:t>
      </w:r>
      <w:r w:rsidR="00B7598F">
        <w:rPr>
          <w:b/>
          <w:sz w:val="24"/>
          <w:szCs w:val="24"/>
        </w:rPr>
        <w:t>.</w:t>
      </w:r>
    </w:p>
    <w:p w:rsidR="00B7598F" w:rsidRDefault="00B7598F" w:rsidP="00473F6B">
      <w:pPr>
        <w:rPr>
          <w:sz w:val="24"/>
          <w:szCs w:val="24"/>
        </w:rPr>
      </w:pPr>
    </w:p>
    <w:p w:rsidR="00B7598F" w:rsidRPr="0012760D" w:rsidRDefault="00B7598F" w:rsidP="00473F6B">
      <w:pPr>
        <w:rPr>
          <w:sz w:val="24"/>
          <w:szCs w:val="24"/>
        </w:rPr>
      </w:pPr>
    </w:p>
    <w:p w:rsidR="00473F6B" w:rsidRDefault="00473F6B" w:rsidP="00B7598F">
      <w:pPr>
        <w:pStyle w:val="Heading3"/>
      </w:pPr>
      <w:r w:rsidRPr="0012760D">
        <w:t>Current Focus</w:t>
      </w:r>
    </w:p>
    <w:p w:rsidR="00B7598F" w:rsidRPr="0012760D" w:rsidRDefault="00B7598F" w:rsidP="00473F6B">
      <w:pPr>
        <w:rPr>
          <w:sz w:val="24"/>
          <w:szCs w:val="24"/>
        </w:rPr>
      </w:pPr>
    </w:p>
    <w:p w:rsidR="00473F6B" w:rsidRDefault="00473F6B" w:rsidP="00473F6B">
      <w:pPr>
        <w:rPr>
          <w:sz w:val="24"/>
          <w:szCs w:val="24"/>
        </w:rPr>
      </w:pPr>
      <w:r w:rsidRPr="0012760D">
        <w:rPr>
          <w:sz w:val="24"/>
          <w:szCs w:val="24"/>
        </w:rPr>
        <w:t>Victoria has a strong track record in reducing litter, but the financial cost of litter remains an ongoing issue, both for government organisations that manage public land and for private landowners and businesses. Littering can also adversely affect communities by reducing their amenity, community pride and sense of safety.</w:t>
      </w:r>
    </w:p>
    <w:p w:rsidR="00B7598F" w:rsidRPr="0012760D" w:rsidRDefault="00B7598F" w:rsidP="00473F6B">
      <w:pPr>
        <w:rPr>
          <w:sz w:val="24"/>
          <w:szCs w:val="24"/>
        </w:rPr>
      </w:pPr>
    </w:p>
    <w:p w:rsidR="00473F6B" w:rsidRDefault="00473F6B" w:rsidP="00473F6B">
      <w:pPr>
        <w:rPr>
          <w:sz w:val="24"/>
          <w:szCs w:val="24"/>
        </w:rPr>
      </w:pPr>
      <w:r w:rsidRPr="0012760D">
        <w:rPr>
          <w:sz w:val="24"/>
          <w:szCs w:val="24"/>
        </w:rPr>
        <w:t>Lifestyle changes mean that people are now spending more time in public places and consuming more items outside the home, which increases the potential for litter and may lead to the loss of potentially reusable or recyclable materials. Also of growing concern is the illegal dumping of household items, such as televisions, mattresses, small electric appliances and furniture, in public places and on private land.</w:t>
      </w:r>
    </w:p>
    <w:p w:rsidR="00B7598F" w:rsidRPr="0012760D" w:rsidRDefault="00B7598F" w:rsidP="00473F6B">
      <w:pPr>
        <w:rPr>
          <w:sz w:val="24"/>
          <w:szCs w:val="24"/>
        </w:rPr>
      </w:pPr>
    </w:p>
    <w:p w:rsidR="00473F6B" w:rsidRDefault="00473F6B" w:rsidP="00473F6B">
      <w:pPr>
        <w:rPr>
          <w:sz w:val="24"/>
          <w:szCs w:val="24"/>
        </w:rPr>
      </w:pPr>
      <w:r w:rsidRPr="0012760D">
        <w:rPr>
          <w:sz w:val="24"/>
          <w:szCs w:val="24"/>
        </w:rPr>
        <w:t>By better understanding littering behaviours, in particular illegal dumping, we can develop an informed approach to litter reduction.</w:t>
      </w:r>
    </w:p>
    <w:p w:rsidR="00B7598F" w:rsidRDefault="00B7598F" w:rsidP="00473F6B">
      <w:pPr>
        <w:rPr>
          <w:sz w:val="24"/>
          <w:szCs w:val="24"/>
        </w:rPr>
      </w:pPr>
    </w:p>
    <w:p w:rsidR="00B7598F" w:rsidRPr="0012760D" w:rsidRDefault="00B7598F" w:rsidP="00473F6B">
      <w:pPr>
        <w:rPr>
          <w:sz w:val="24"/>
          <w:szCs w:val="24"/>
        </w:rPr>
      </w:pPr>
    </w:p>
    <w:p w:rsidR="00473F6B" w:rsidRDefault="00473F6B" w:rsidP="00B7598F">
      <w:pPr>
        <w:pStyle w:val="Heading3"/>
      </w:pPr>
      <w:r w:rsidRPr="0012760D">
        <w:t>Key achievements</w:t>
      </w:r>
    </w:p>
    <w:p w:rsidR="00B7598F" w:rsidRPr="0012760D" w:rsidRDefault="00B7598F" w:rsidP="00473F6B">
      <w:pPr>
        <w:rPr>
          <w:sz w:val="24"/>
          <w:szCs w:val="24"/>
        </w:rPr>
      </w:pPr>
    </w:p>
    <w:p w:rsidR="00473F6B" w:rsidRDefault="00473F6B" w:rsidP="00473F6B">
      <w:pPr>
        <w:rPr>
          <w:sz w:val="24"/>
          <w:szCs w:val="24"/>
        </w:rPr>
      </w:pPr>
      <w:r w:rsidRPr="0012760D">
        <w:rPr>
          <w:sz w:val="24"/>
          <w:szCs w:val="24"/>
        </w:rPr>
        <w:t>The Victorian Government's Victorian Litter Strategy 2012 to 14, Love Your Victoria, was released this year. The updated strategy reflects recent and relevant changes, challenges and opportunities for litter prevention in Victoria. It also outlines new programs for reducing litter, increasing public-place recycling and addressing illegal dumping.</w:t>
      </w:r>
    </w:p>
    <w:p w:rsidR="00B7598F" w:rsidRPr="0012760D" w:rsidRDefault="00B7598F" w:rsidP="00473F6B">
      <w:pPr>
        <w:rPr>
          <w:sz w:val="24"/>
          <w:szCs w:val="24"/>
        </w:rPr>
      </w:pPr>
    </w:p>
    <w:p w:rsidR="00473F6B" w:rsidRDefault="00473F6B" w:rsidP="00473F6B">
      <w:pPr>
        <w:rPr>
          <w:sz w:val="24"/>
          <w:szCs w:val="24"/>
        </w:rPr>
      </w:pPr>
      <w:r w:rsidRPr="0012760D">
        <w:rPr>
          <w:sz w:val="24"/>
          <w:szCs w:val="24"/>
        </w:rPr>
        <w:t>Through the Roadside Litter program, which aims to help reduce litter along Victoria's roadsides, we awarded grants worth a total of $309,103 to eight organisations in January 2013. Grant recipients included local governments and regional waste management groups undertaking projects related to litter education, surveillance equipment and roadside signs. Communities to benefit from the grants include Mornington Peninsula, Dandenong, Wyndham City, South Gippsland, Bass Coast, Geelong, Surf Coast and the Central Murray and South West regions.</w:t>
      </w:r>
    </w:p>
    <w:p w:rsidR="00B7598F" w:rsidRPr="0012760D" w:rsidRDefault="00B7598F" w:rsidP="00473F6B">
      <w:pPr>
        <w:rPr>
          <w:sz w:val="24"/>
          <w:szCs w:val="24"/>
        </w:rPr>
      </w:pPr>
    </w:p>
    <w:p w:rsidR="00473F6B" w:rsidRPr="0012760D" w:rsidRDefault="00473F6B" w:rsidP="00473F6B">
      <w:pPr>
        <w:rPr>
          <w:sz w:val="24"/>
          <w:szCs w:val="24"/>
        </w:rPr>
      </w:pPr>
      <w:r w:rsidRPr="0012760D">
        <w:rPr>
          <w:sz w:val="24"/>
          <w:szCs w:val="24"/>
        </w:rPr>
        <w:t>These grants have been complemented by the Adopt a Roadside program, which is part of the Keep Australia Beautiful Victoria initiative. Through Adopt a Roadside, 112 community organisations have collected an estimated 62 tonnes of litter from 520 kilometres of Victoria's roadsides over the year.</w:t>
      </w:r>
    </w:p>
    <w:p w:rsidR="00B90725" w:rsidRDefault="00B90725" w:rsidP="00B90725">
      <w:pPr>
        <w:rPr>
          <w:bCs/>
          <w:sz w:val="24"/>
          <w:szCs w:val="24"/>
        </w:rPr>
      </w:pPr>
      <w:r w:rsidRPr="0012760D">
        <w:rPr>
          <w:bCs/>
          <w:sz w:val="24"/>
          <w:szCs w:val="24"/>
        </w:rPr>
        <w:t>&lt;pp&gt; 16</w:t>
      </w:r>
    </w:p>
    <w:p w:rsidR="00B7598F" w:rsidRPr="0012760D" w:rsidRDefault="00B7598F" w:rsidP="00B90725">
      <w:pPr>
        <w:rPr>
          <w:sz w:val="24"/>
          <w:szCs w:val="24"/>
        </w:rPr>
      </w:pPr>
    </w:p>
    <w:p w:rsidR="00B90725" w:rsidRDefault="00B90725" w:rsidP="00B90725">
      <w:pPr>
        <w:rPr>
          <w:sz w:val="24"/>
          <w:szCs w:val="24"/>
        </w:rPr>
      </w:pPr>
      <w:r w:rsidRPr="0012760D">
        <w:rPr>
          <w:sz w:val="24"/>
          <w:szCs w:val="24"/>
        </w:rPr>
        <w:t>From the 24 Public Place Recycling grants we issued in 2011, 12 projects were concluded this year. Through these projects, 1,800 bins have been installed at locations including metropolitan train stations, parks, sports grounds and thoroughfares. The projects were successful in diverting an average of 49% of waste materials from landfill (by volume) for recycling. This is an excellent first-year result, reflecting changing community attitudes towards recycling.</w:t>
      </w:r>
    </w:p>
    <w:p w:rsidR="00B7598F" w:rsidRPr="0012760D" w:rsidRDefault="00B7598F" w:rsidP="00B90725">
      <w:pPr>
        <w:rPr>
          <w:sz w:val="24"/>
          <w:szCs w:val="24"/>
        </w:rPr>
      </w:pPr>
    </w:p>
    <w:p w:rsidR="00B90725" w:rsidRDefault="00B90725" w:rsidP="00B90725">
      <w:pPr>
        <w:rPr>
          <w:sz w:val="24"/>
          <w:szCs w:val="24"/>
        </w:rPr>
      </w:pPr>
      <w:r w:rsidRPr="0012760D">
        <w:rPr>
          <w:sz w:val="24"/>
          <w:szCs w:val="24"/>
        </w:rPr>
        <w:t>We have also continued our proud tradition of recognising Victorian communitie</w:t>
      </w:r>
      <w:r w:rsidR="00B814E4" w:rsidRPr="0012760D">
        <w:rPr>
          <w:sz w:val="24"/>
          <w:szCs w:val="24"/>
        </w:rPr>
        <w:t xml:space="preserve">s' </w:t>
      </w:r>
      <w:r w:rsidRPr="0012760D">
        <w:rPr>
          <w:sz w:val="24"/>
          <w:szCs w:val="24"/>
        </w:rPr>
        <w:t>achievements in improving their local environment, through Keep Australia Beautiful Victoria. This year, the Tidy Town of the Year award went to Wycheproof (population 800), while the City of Boroondara won Sustainable City of the Year.</w:t>
      </w:r>
    </w:p>
    <w:p w:rsidR="00B7598F" w:rsidRDefault="00B7598F" w:rsidP="00B90725">
      <w:pPr>
        <w:rPr>
          <w:sz w:val="24"/>
          <w:szCs w:val="24"/>
        </w:rPr>
      </w:pPr>
    </w:p>
    <w:p w:rsidR="00B7598F" w:rsidRPr="0012760D" w:rsidRDefault="00B7598F" w:rsidP="00B90725">
      <w:pPr>
        <w:rPr>
          <w:sz w:val="24"/>
          <w:szCs w:val="24"/>
        </w:rPr>
      </w:pPr>
    </w:p>
    <w:p w:rsidR="00B90725" w:rsidRDefault="00B90725" w:rsidP="00B7598F">
      <w:pPr>
        <w:pStyle w:val="Heading2"/>
      </w:pPr>
      <w:r w:rsidRPr="0012760D">
        <w:t>6. Waste strategy, statewide planning and support to waste management groups</w:t>
      </w:r>
    </w:p>
    <w:p w:rsidR="00B7598F" w:rsidRPr="0012760D" w:rsidRDefault="00B7598F" w:rsidP="00B90725">
      <w:pPr>
        <w:rPr>
          <w:sz w:val="24"/>
          <w:szCs w:val="24"/>
        </w:rPr>
      </w:pPr>
    </w:p>
    <w:p w:rsidR="00B90725" w:rsidRPr="00B7598F" w:rsidRDefault="00B90725" w:rsidP="00B90725">
      <w:pPr>
        <w:rPr>
          <w:b/>
          <w:sz w:val="24"/>
          <w:szCs w:val="24"/>
        </w:rPr>
      </w:pPr>
      <w:r w:rsidRPr="00B7598F">
        <w:rPr>
          <w:b/>
          <w:sz w:val="24"/>
          <w:szCs w:val="24"/>
        </w:rPr>
        <w:t>Working towards best-practice waste management</w:t>
      </w:r>
      <w:r w:rsidR="00B7598F">
        <w:rPr>
          <w:b/>
          <w:sz w:val="24"/>
          <w:szCs w:val="24"/>
        </w:rPr>
        <w:t>.</w:t>
      </w:r>
    </w:p>
    <w:p w:rsidR="00B7598F" w:rsidRDefault="00B7598F" w:rsidP="00B90725">
      <w:pPr>
        <w:rPr>
          <w:sz w:val="24"/>
          <w:szCs w:val="24"/>
        </w:rPr>
      </w:pPr>
    </w:p>
    <w:p w:rsidR="00B7598F" w:rsidRPr="0012760D" w:rsidRDefault="00B7598F" w:rsidP="00B90725">
      <w:pPr>
        <w:rPr>
          <w:sz w:val="24"/>
          <w:szCs w:val="24"/>
        </w:rPr>
      </w:pPr>
    </w:p>
    <w:p w:rsidR="00B90725" w:rsidRDefault="00B90725" w:rsidP="00B7598F">
      <w:pPr>
        <w:pStyle w:val="Heading3"/>
      </w:pPr>
      <w:r w:rsidRPr="0012760D">
        <w:t>Current Focus</w:t>
      </w:r>
    </w:p>
    <w:p w:rsidR="00B7598F" w:rsidRPr="0012760D" w:rsidRDefault="00B7598F" w:rsidP="00B90725">
      <w:pPr>
        <w:rPr>
          <w:sz w:val="24"/>
          <w:szCs w:val="24"/>
        </w:rPr>
      </w:pPr>
    </w:p>
    <w:p w:rsidR="00B90725" w:rsidRDefault="00B90725" w:rsidP="00B90725">
      <w:pPr>
        <w:rPr>
          <w:sz w:val="24"/>
          <w:szCs w:val="24"/>
        </w:rPr>
      </w:pPr>
      <w:r w:rsidRPr="0012760D">
        <w:rPr>
          <w:sz w:val="24"/>
          <w:szCs w:val="24"/>
        </w:rPr>
        <w:t xml:space="preserve">Our waste management in Victoria, particularly recovery of resources, is yet to achieve global best practice. For example, we have not yet established the infrastructure required to effectively transport, aggregate and process waste resources for maximum recovery. Further, some infrastructure does not provide adequate environmental protection or long-term solutions to waste disposal </w:t>
      </w:r>
      <w:r w:rsidRPr="0012760D">
        <w:rPr>
          <w:sz w:val="24"/>
          <w:szCs w:val="24"/>
        </w:rPr>
        <w:lastRenderedPageBreak/>
        <w:t>requirements.</w:t>
      </w:r>
    </w:p>
    <w:p w:rsidR="00B7598F" w:rsidRPr="0012760D" w:rsidRDefault="00B7598F" w:rsidP="00B90725">
      <w:pPr>
        <w:rPr>
          <w:sz w:val="24"/>
          <w:szCs w:val="24"/>
        </w:rPr>
      </w:pPr>
    </w:p>
    <w:p w:rsidR="00B90725" w:rsidRDefault="00B90725" w:rsidP="00B90725">
      <w:pPr>
        <w:rPr>
          <w:sz w:val="24"/>
          <w:szCs w:val="24"/>
        </w:rPr>
      </w:pPr>
      <w:r w:rsidRPr="0012760D">
        <w:rPr>
          <w:sz w:val="24"/>
          <w:szCs w:val="24"/>
        </w:rPr>
        <w:t xml:space="preserve">To address these issues, the Victorian Government's waste and resource recovery policy, </w:t>
      </w:r>
      <w:r w:rsidRPr="0012760D">
        <w:rPr>
          <w:i/>
          <w:iCs/>
          <w:sz w:val="24"/>
          <w:szCs w:val="24"/>
        </w:rPr>
        <w:t xml:space="preserve">Getting full value, </w:t>
      </w:r>
      <w:r w:rsidRPr="0012760D">
        <w:rPr>
          <w:sz w:val="24"/>
          <w:szCs w:val="24"/>
        </w:rPr>
        <w:t>aims to facilitate a waste management and resource recovery system that maximises the economic value of waste. Strategic objectives include development of a cost-effective, statewide network of infrastructure that is capable of moving waste materials to areas where the highest economic value can be achieved.</w:t>
      </w:r>
    </w:p>
    <w:p w:rsidR="00B7598F" w:rsidRDefault="00B7598F" w:rsidP="00B90725">
      <w:pPr>
        <w:rPr>
          <w:sz w:val="24"/>
          <w:szCs w:val="24"/>
        </w:rPr>
      </w:pPr>
    </w:p>
    <w:p w:rsidR="00B7598F" w:rsidRPr="0012760D" w:rsidRDefault="00B7598F" w:rsidP="00B90725">
      <w:pPr>
        <w:rPr>
          <w:sz w:val="24"/>
          <w:szCs w:val="24"/>
        </w:rPr>
      </w:pPr>
    </w:p>
    <w:p w:rsidR="00B90725" w:rsidRDefault="00B90725" w:rsidP="00B7598F">
      <w:pPr>
        <w:pStyle w:val="Heading3"/>
      </w:pPr>
      <w:r w:rsidRPr="0012760D">
        <w:t>Key achievements</w:t>
      </w:r>
    </w:p>
    <w:p w:rsidR="00B7598F" w:rsidRPr="0012760D" w:rsidRDefault="00B7598F" w:rsidP="00B90725">
      <w:pPr>
        <w:rPr>
          <w:sz w:val="24"/>
          <w:szCs w:val="24"/>
        </w:rPr>
      </w:pPr>
    </w:p>
    <w:p w:rsidR="00B90725" w:rsidRDefault="00B90725" w:rsidP="00B90725">
      <w:pPr>
        <w:rPr>
          <w:sz w:val="24"/>
          <w:szCs w:val="24"/>
        </w:rPr>
      </w:pPr>
      <w:r w:rsidRPr="0012760D">
        <w:rPr>
          <w:sz w:val="24"/>
          <w:szCs w:val="24"/>
        </w:rPr>
        <w:t xml:space="preserve">In line with our aim to improve resource recovery in regional Victoria, we committed $3 million to enable regional waste management groups, in partnership with their respective local government members, to deliver region-specific and local projects this year. We also supported the development of </w:t>
      </w:r>
      <w:r w:rsidRPr="0012760D">
        <w:rPr>
          <w:i/>
          <w:iCs/>
          <w:sz w:val="24"/>
          <w:szCs w:val="24"/>
        </w:rPr>
        <w:t xml:space="preserve">Getting full value, </w:t>
      </w:r>
      <w:r w:rsidRPr="0012760D">
        <w:rPr>
          <w:sz w:val="24"/>
          <w:szCs w:val="24"/>
        </w:rPr>
        <w:t>along with our environment portfolio partners.</w:t>
      </w:r>
    </w:p>
    <w:p w:rsidR="00B7598F" w:rsidRPr="0012760D" w:rsidRDefault="00B7598F" w:rsidP="00B90725">
      <w:pPr>
        <w:rPr>
          <w:sz w:val="24"/>
          <w:szCs w:val="24"/>
        </w:rPr>
      </w:pPr>
    </w:p>
    <w:p w:rsidR="00B90725" w:rsidRPr="0012760D" w:rsidRDefault="00B90725" w:rsidP="00B90725">
      <w:pPr>
        <w:rPr>
          <w:sz w:val="24"/>
          <w:szCs w:val="24"/>
        </w:rPr>
      </w:pPr>
      <w:r w:rsidRPr="0012760D">
        <w:rPr>
          <w:bCs/>
          <w:sz w:val="24"/>
          <w:szCs w:val="24"/>
        </w:rPr>
        <w:t>1,800</w:t>
      </w:r>
      <w:r w:rsidRPr="0012760D">
        <w:rPr>
          <w:sz w:val="24"/>
          <w:szCs w:val="24"/>
        </w:rPr>
        <w:t xml:space="preserve"> </w:t>
      </w:r>
      <w:r w:rsidR="00B7598F" w:rsidRPr="0012760D">
        <w:rPr>
          <w:sz w:val="24"/>
          <w:szCs w:val="24"/>
        </w:rPr>
        <w:t xml:space="preserve">Public Place Recycling </w:t>
      </w:r>
      <w:r w:rsidRPr="0012760D">
        <w:rPr>
          <w:sz w:val="24"/>
          <w:szCs w:val="24"/>
        </w:rPr>
        <w:t>bins installed</w:t>
      </w:r>
    </w:p>
    <w:p w:rsidR="00B90725" w:rsidRPr="0012760D" w:rsidRDefault="00B90725" w:rsidP="00B90725">
      <w:pPr>
        <w:rPr>
          <w:sz w:val="24"/>
          <w:szCs w:val="24"/>
        </w:rPr>
      </w:pPr>
      <w:r w:rsidRPr="0012760D">
        <w:rPr>
          <w:bCs/>
          <w:sz w:val="24"/>
          <w:szCs w:val="24"/>
        </w:rPr>
        <w:t>49%</w:t>
      </w:r>
      <w:r w:rsidRPr="0012760D">
        <w:rPr>
          <w:sz w:val="24"/>
          <w:szCs w:val="24"/>
        </w:rPr>
        <w:t xml:space="preserve"> of collected waste materials diverted from landfill</w:t>
      </w:r>
    </w:p>
    <w:p w:rsidR="00E13E88" w:rsidRDefault="00E13E88" w:rsidP="00E13E88">
      <w:pPr>
        <w:rPr>
          <w:bCs/>
          <w:sz w:val="24"/>
          <w:szCs w:val="24"/>
        </w:rPr>
      </w:pPr>
      <w:r w:rsidRPr="0012760D">
        <w:rPr>
          <w:bCs/>
          <w:sz w:val="24"/>
          <w:szCs w:val="24"/>
        </w:rPr>
        <w:t>&lt;pp&gt; 17</w:t>
      </w:r>
    </w:p>
    <w:p w:rsidR="00B7598F" w:rsidRDefault="00B7598F" w:rsidP="00E13E88">
      <w:pPr>
        <w:rPr>
          <w:bCs/>
          <w:sz w:val="24"/>
          <w:szCs w:val="24"/>
        </w:rPr>
      </w:pPr>
    </w:p>
    <w:p w:rsidR="00B7598F" w:rsidRPr="0012760D" w:rsidRDefault="00B7598F" w:rsidP="00E13E88">
      <w:pPr>
        <w:rPr>
          <w:sz w:val="24"/>
          <w:szCs w:val="24"/>
        </w:rPr>
      </w:pPr>
    </w:p>
    <w:p w:rsidR="00E13E88" w:rsidRDefault="00E13E88" w:rsidP="00B7598F">
      <w:pPr>
        <w:pStyle w:val="Heading1"/>
      </w:pPr>
      <w:r w:rsidRPr="0012760D">
        <w:t>Showcase</w:t>
      </w:r>
      <w:r w:rsidR="00B7598F">
        <w:br/>
      </w:r>
      <w:r w:rsidRPr="0012760D">
        <w:t>A Clear Direction for Integrated Waste Management in Victoria</w:t>
      </w:r>
    </w:p>
    <w:p w:rsidR="00B7598F" w:rsidRPr="0012760D" w:rsidRDefault="00B7598F" w:rsidP="00E13E88">
      <w:pPr>
        <w:rPr>
          <w:sz w:val="24"/>
          <w:szCs w:val="24"/>
        </w:rPr>
      </w:pPr>
    </w:p>
    <w:p w:rsidR="00E13E88" w:rsidRDefault="00E13E88" w:rsidP="00E13E88">
      <w:pPr>
        <w:rPr>
          <w:bCs/>
          <w:i/>
          <w:iCs/>
          <w:sz w:val="24"/>
          <w:szCs w:val="24"/>
        </w:rPr>
      </w:pPr>
      <w:r w:rsidRPr="0012760D">
        <w:rPr>
          <w:bCs/>
          <w:sz w:val="24"/>
          <w:szCs w:val="24"/>
        </w:rPr>
        <w:t xml:space="preserve">Once completed, the Statewide Waste and Resource Recovery Infrastructure Plan (SWRRIP) will directly support the implementation of </w:t>
      </w:r>
      <w:r w:rsidRPr="0012760D">
        <w:rPr>
          <w:bCs/>
          <w:i/>
          <w:iCs/>
          <w:sz w:val="24"/>
          <w:szCs w:val="24"/>
        </w:rPr>
        <w:t>Getting full value: Victorian Waste and Resource Recovery Policy.</w:t>
      </w:r>
    </w:p>
    <w:p w:rsidR="00B7598F" w:rsidRPr="0012760D" w:rsidRDefault="00B7598F" w:rsidP="00E13E88">
      <w:pPr>
        <w:rPr>
          <w:sz w:val="24"/>
          <w:szCs w:val="24"/>
        </w:rPr>
      </w:pPr>
    </w:p>
    <w:p w:rsidR="00E13E88" w:rsidRPr="0012760D" w:rsidRDefault="00E13E88" w:rsidP="00E13E88">
      <w:pPr>
        <w:rPr>
          <w:sz w:val="24"/>
          <w:szCs w:val="24"/>
        </w:rPr>
      </w:pPr>
      <w:r w:rsidRPr="0012760D">
        <w:rPr>
          <w:sz w:val="24"/>
          <w:szCs w:val="24"/>
        </w:rPr>
        <w:t>It will provide a coordinated approach to developing an integrated statewide waste and resource recovery system by:</w:t>
      </w:r>
    </w:p>
    <w:p w:rsidR="00E13E88" w:rsidRPr="0012760D" w:rsidRDefault="00E13E88" w:rsidP="00E13E88">
      <w:pPr>
        <w:rPr>
          <w:sz w:val="24"/>
          <w:szCs w:val="24"/>
        </w:rPr>
      </w:pPr>
      <w:r w:rsidRPr="0012760D">
        <w:rPr>
          <w:bCs/>
          <w:sz w:val="24"/>
          <w:szCs w:val="24"/>
        </w:rPr>
        <w:t>• gathering and analysing a substantial amount of consolidated data relevant to the waste management sector and to local government</w:t>
      </w:r>
    </w:p>
    <w:p w:rsidR="00E13E88" w:rsidRPr="0012760D" w:rsidRDefault="00E13E88" w:rsidP="00E13E88">
      <w:pPr>
        <w:rPr>
          <w:sz w:val="24"/>
          <w:szCs w:val="24"/>
        </w:rPr>
      </w:pPr>
      <w:r w:rsidRPr="0012760D">
        <w:rPr>
          <w:bCs/>
          <w:sz w:val="24"/>
          <w:szCs w:val="24"/>
        </w:rPr>
        <w:t>• providing data necessary for industry to properly assess investment opportunities, including current and projected information on various recovered materials and their sources</w:t>
      </w:r>
    </w:p>
    <w:p w:rsidR="00E13E88" w:rsidRPr="0012760D" w:rsidRDefault="00E13E88" w:rsidP="00E13E88">
      <w:pPr>
        <w:rPr>
          <w:sz w:val="24"/>
          <w:szCs w:val="24"/>
        </w:rPr>
      </w:pPr>
      <w:r w:rsidRPr="0012760D">
        <w:rPr>
          <w:bCs/>
          <w:sz w:val="24"/>
          <w:szCs w:val="24"/>
        </w:rPr>
        <w:t>• providing guidance to regional waste management groups and local</w:t>
      </w:r>
    </w:p>
    <w:p w:rsidR="00E13E88" w:rsidRPr="0012760D" w:rsidRDefault="00E13E88" w:rsidP="00E13E88">
      <w:pPr>
        <w:rPr>
          <w:sz w:val="24"/>
          <w:szCs w:val="24"/>
        </w:rPr>
      </w:pPr>
      <w:r w:rsidRPr="0012760D">
        <w:rPr>
          <w:bCs/>
          <w:sz w:val="24"/>
          <w:szCs w:val="24"/>
        </w:rPr>
        <w:t>government about planning for waste and resource recovery infrastructure</w:t>
      </w:r>
    </w:p>
    <w:p w:rsidR="00E13E88" w:rsidRDefault="00E13E88" w:rsidP="00E13E88">
      <w:pPr>
        <w:rPr>
          <w:bCs/>
          <w:sz w:val="24"/>
          <w:szCs w:val="24"/>
        </w:rPr>
      </w:pPr>
      <w:r w:rsidRPr="0012760D">
        <w:rPr>
          <w:bCs/>
          <w:sz w:val="24"/>
          <w:szCs w:val="24"/>
        </w:rPr>
        <w:t>• communicating the Victorian Government's direction for integrated waste management.</w:t>
      </w:r>
    </w:p>
    <w:p w:rsidR="00B7598F" w:rsidRPr="0012760D" w:rsidRDefault="00B7598F" w:rsidP="00E13E88">
      <w:pPr>
        <w:rPr>
          <w:sz w:val="24"/>
          <w:szCs w:val="24"/>
        </w:rPr>
      </w:pPr>
    </w:p>
    <w:p w:rsidR="00E13E88" w:rsidRDefault="00E13E88" w:rsidP="00E13E88">
      <w:pPr>
        <w:rPr>
          <w:sz w:val="24"/>
          <w:szCs w:val="24"/>
        </w:rPr>
      </w:pPr>
      <w:r w:rsidRPr="0012760D">
        <w:rPr>
          <w:sz w:val="24"/>
          <w:szCs w:val="24"/>
        </w:rPr>
        <w:t>To enable industry to invest in infrastructure with confidence, there will need to be economically viable quantities of consistent-quality recovered materials, long-term availability of land, and clarity on government priorities and directions.</w:t>
      </w:r>
    </w:p>
    <w:p w:rsidR="00B7598F" w:rsidRPr="0012760D" w:rsidRDefault="00B7598F" w:rsidP="00E13E88">
      <w:pPr>
        <w:rPr>
          <w:sz w:val="24"/>
          <w:szCs w:val="24"/>
        </w:rPr>
      </w:pPr>
    </w:p>
    <w:p w:rsidR="00E13E88" w:rsidRDefault="00E13E88" w:rsidP="00E13E88">
      <w:pPr>
        <w:rPr>
          <w:sz w:val="24"/>
          <w:szCs w:val="24"/>
        </w:rPr>
      </w:pPr>
      <w:r w:rsidRPr="0012760D">
        <w:rPr>
          <w:sz w:val="24"/>
          <w:szCs w:val="24"/>
        </w:rPr>
        <w:t xml:space="preserve">A materials-based approach will help encourage industry investment in resource recovery, while simultaneously meeting the needs of waste management stakeholders, including local governments. The SWRRIP will not prescribe solutions </w:t>
      </w:r>
      <w:r w:rsidRPr="0012760D">
        <w:rPr>
          <w:sz w:val="24"/>
          <w:szCs w:val="24"/>
        </w:rPr>
        <w:lastRenderedPageBreak/>
        <w:t>but rather will guide government priorities and enable stakeholders to make informed decisions.</w:t>
      </w:r>
    </w:p>
    <w:p w:rsidR="00B7598F" w:rsidRPr="0012760D" w:rsidRDefault="00B7598F" w:rsidP="00E13E88">
      <w:pPr>
        <w:rPr>
          <w:sz w:val="24"/>
          <w:szCs w:val="24"/>
        </w:rPr>
      </w:pPr>
    </w:p>
    <w:p w:rsidR="00E13E88" w:rsidRDefault="00E13E88" w:rsidP="00E13E88">
      <w:pPr>
        <w:rPr>
          <w:sz w:val="24"/>
          <w:szCs w:val="24"/>
        </w:rPr>
      </w:pPr>
      <w:r w:rsidRPr="0012760D">
        <w:rPr>
          <w:sz w:val="24"/>
          <w:szCs w:val="24"/>
        </w:rPr>
        <w:t>A consultation draft for development of the SWRRIP is expected to be released in late 2013, which will be followed by an extensive consultation process. The final SWRR</w:t>
      </w:r>
      <w:r w:rsidR="00B7598F">
        <w:rPr>
          <w:sz w:val="24"/>
          <w:szCs w:val="24"/>
        </w:rPr>
        <w:t>IP will be released in early 2014</w:t>
      </w:r>
      <w:r w:rsidRPr="0012760D">
        <w:rPr>
          <w:sz w:val="24"/>
          <w:szCs w:val="24"/>
        </w:rPr>
        <w:t>.</w:t>
      </w:r>
    </w:p>
    <w:p w:rsidR="00B7598F" w:rsidRDefault="00B7598F" w:rsidP="00E13E88">
      <w:pPr>
        <w:rPr>
          <w:sz w:val="24"/>
          <w:szCs w:val="24"/>
        </w:rPr>
      </w:pPr>
    </w:p>
    <w:p w:rsidR="00B7598F" w:rsidRPr="0012760D" w:rsidRDefault="00B7598F" w:rsidP="00E13E88">
      <w:pPr>
        <w:rPr>
          <w:sz w:val="24"/>
          <w:szCs w:val="24"/>
        </w:rPr>
      </w:pPr>
    </w:p>
    <w:p w:rsidR="00E13E88" w:rsidRDefault="00E13E88" w:rsidP="00B7598F">
      <w:pPr>
        <w:pStyle w:val="Heading2"/>
      </w:pPr>
      <w:r w:rsidRPr="0012760D">
        <w:t>What was delivered</w:t>
      </w:r>
    </w:p>
    <w:p w:rsidR="00B7598F" w:rsidRPr="0012760D" w:rsidRDefault="00B7598F" w:rsidP="00E13E88">
      <w:pPr>
        <w:rPr>
          <w:sz w:val="24"/>
          <w:szCs w:val="24"/>
        </w:rPr>
      </w:pPr>
    </w:p>
    <w:p w:rsidR="00E13E88" w:rsidRPr="0012760D" w:rsidRDefault="00B7598F" w:rsidP="00E13E88">
      <w:pPr>
        <w:rPr>
          <w:sz w:val="24"/>
          <w:szCs w:val="24"/>
        </w:rPr>
      </w:pPr>
      <w:r>
        <w:rPr>
          <w:sz w:val="24"/>
          <w:szCs w:val="24"/>
        </w:rPr>
        <w:t xml:space="preserve">In 2012 to </w:t>
      </w:r>
      <w:r w:rsidR="00E13E88" w:rsidRPr="0012760D">
        <w:rPr>
          <w:sz w:val="24"/>
          <w:szCs w:val="24"/>
        </w:rPr>
        <w:t>13, as part of the consultation process for development of the SWRRIP:</w:t>
      </w:r>
    </w:p>
    <w:p w:rsidR="00E13E88" w:rsidRDefault="00E13E88" w:rsidP="00E13E88">
      <w:pPr>
        <w:rPr>
          <w:bCs/>
          <w:sz w:val="24"/>
          <w:szCs w:val="24"/>
        </w:rPr>
      </w:pPr>
      <w:r w:rsidRPr="0012760D">
        <w:rPr>
          <w:bCs/>
          <w:sz w:val="24"/>
          <w:szCs w:val="24"/>
        </w:rPr>
        <w:t>• We conducted research into the location of 513 waste and resource-recovery facilities in Victoria, and prepared comprehensive maps outlining the movement of the main resources across the state.</w:t>
      </w:r>
    </w:p>
    <w:p w:rsidR="00B7598F" w:rsidRPr="0012760D" w:rsidRDefault="00B7598F" w:rsidP="00E13E88">
      <w:pPr>
        <w:rPr>
          <w:sz w:val="24"/>
          <w:szCs w:val="24"/>
        </w:rPr>
      </w:pPr>
    </w:p>
    <w:p w:rsidR="00E13E88" w:rsidRPr="0012760D" w:rsidRDefault="00E13E88" w:rsidP="00E13E88">
      <w:pPr>
        <w:rPr>
          <w:sz w:val="24"/>
          <w:szCs w:val="24"/>
        </w:rPr>
      </w:pPr>
      <w:r w:rsidRPr="0012760D">
        <w:rPr>
          <w:sz w:val="24"/>
          <w:szCs w:val="24"/>
        </w:rPr>
        <w:t>We consulted with:</w:t>
      </w:r>
    </w:p>
    <w:p w:rsidR="00E13E88" w:rsidRPr="0012760D" w:rsidRDefault="00E13E88" w:rsidP="00E13E88">
      <w:pPr>
        <w:rPr>
          <w:sz w:val="24"/>
          <w:szCs w:val="24"/>
        </w:rPr>
      </w:pPr>
      <w:r w:rsidRPr="0012760D">
        <w:rPr>
          <w:bCs/>
          <w:sz w:val="24"/>
          <w:szCs w:val="24"/>
        </w:rPr>
        <w:t>• our expert reference group for waste management</w:t>
      </w:r>
    </w:p>
    <w:p w:rsidR="00E13E88" w:rsidRPr="0012760D" w:rsidRDefault="00E13E88" w:rsidP="00E13E88">
      <w:pPr>
        <w:rPr>
          <w:sz w:val="24"/>
          <w:szCs w:val="24"/>
        </w:rPr>
      </w:pPr>
      <w:r w:rsidRPr="0012760D">
        <w:rPr>
          <w:bCs/>
          <w:sz w:val="24"/>
          <w:szCs w:val="24"/>
        </w:rPr>
        <w:t>• the Waste Policy Project Control Board, comprising executive management from the Environment Protection Authority (EPA), the Department of Environment and Primary Industries (</w:t>
      </w:r>
      <w:r w:rsidR="00236A13">
        <w:rPr>
          <w:bCs/>
          <w:sz w:val="24"/>
          <w:szCs w:val="24"/>
        </w:rPr>
        <w:t>D E P I</w:t>
      </w:r>
      <w:r w:rsidRPr="0012760D">
        <w:rPr>
          <w:bCs/>
          <w:sz w:val="24"/>
          <w:szCs w:val="24"/>
        </w:rPr>
        <w:t>), the Metropolitan Waste Management Group and Sustainability Victoria</w:t>
      </w:r>
    </w:p>
    <w:p w:rsidR="00E13E88" w:rsidRPr="0012760D" w:rsidRDefault="00E13E88" w:rsidP="00E13E88">
      <w:pPr>
        <w:rPr>
          <w:bCs/>
          <w:sz w:val="24"/>
          <w:szCs w:val="24"/>
        </w:rPr>
      </w:pPr>
      <w:r w:rsidRPr="0012760D">
        <w:rPr>
          <w:bCs/>
          <w:sz w:val="24"/>
          <w:szCs w:val="24"/>
        </w:rPr>
        <w:t xml:space="preserve">• the EPA, </w:t>
      </w:r>
      <w:r w:rsidR="00236A13">
        <w:rPr>
          <w:bCs/>
          <w:sz w:val="24"/>
          <w:szCs w:val="24"/>
        </w:rPr>
        <w:t>D E P I</w:t>
      </w:r>
      <w:r w:rsidRPr="0012760D">
        <w:rPr>
          <w:bCs/>
          <w:sz w:val="24"/>
          <w:szCs w:val="24"/>
        </w:rPr>
        <w:t>, waste management groups and industry representatives.</w:t>
      </w:r>
    </w:p>
    <w:p w:rsidR="00B7598F" w:rsidRDefault="00B7598F" w:rsidP="00E13E88">
      <w:pPr>
        <w:rPr>
          <w:bCs/>
          <w:sz w:val="24"/>
          <w:szCs w:val="24"/>
        </w:rPr>
      </w:pPr>
    </w:p>
    <w:p w:rsidR="00E13E88" w:rsidRDefault="00E13E88" w:rsidP="00E13E88">
      <w:pPr>
        <w:rPr>
          <w:bCs/>
          <w:sz w:val="24"/>
          <w:szCs w:val="24"/>
        </w:rPr>
      </w:pPr>
      <w:r w:rsidRPr="0012760D">
        <w:rPr>
          <w:bCs/>
          <w:sz w:val="24"/>
          <w:szCs w:val="24"/>
        </w:rPr>
        <w:t>&lt;box&gt;</w:t>
      </w:r>
    </w:p>
    <w:p w:rsidR="00B7598F" w:rsidRDefault="00B7598F" w:rsidP="00E13E88">
      <w:pPr>
        <w:rPr>
          <w:bCs/>
          <w:sz w:val="24"/>
          <w:szCs w:val="24"/>
        </w:rPr>
      </w:pPr>
    </w:p>
    <w:p w:rsidR="00B7598F" w:rsidRPr="0012760D" w:rsidRDefault="00B7598F" w:rsidP="00E13E88">
      <w:pPr>
        <w:rPr>
          <w:sz w:val="24"/>
          <w:szCs w:val="24"/>
        </w:rPr>
      </w:pPr>
    </w:p>
    <w:p w:rsidR="00E13E88" w:rsidRDefault="00E13E88" w:rsidP="00B7598F">
      <w:pPr>
        <w:pStyle w:val="Heading3"/>
      </w:pPr>
      <w:r w:rsidRPr="0012760D">
        <w:t>Expert Reference Group</w:t>
      </w:r>
    </w:p>
    <w:p w:rsidR="00B7598F" w:rsidRPr="0012760D" w:rsidRDefault="00B7598F" w:rsidP="00E13E88">
      <w:pPr>
        <w:rPr>
          <w:sz w:val="24"/>
          <w:szCs w:val="24"/>
        </w:rPr>
      </w:pPr>
    </w:p>
    <w:p w:rsidR="00E13E88" w:rsidRDefault="00E13E88" w:rsidP="00E13E88">
      <w:pPr>
        <w:rPr>
          <w:sz w:val="24"/>
          <w:szCs w:val="24"/>
        </w:rPr>
      </w:pPr>
      <w:r w:rsidRPr="0012760D">
        <w:rPr>
          <w:sz w:val="24"/>
          <w:szCs w:val="24"/>
        </w:rPr>
        <w:t>Sustainability Victoria works closely with industry when designing programs and funding. In 2012, the SV board established an Expert Reference Group (</w:t>
      </w:r>
      <w:r w:rsidR="00932E3A">
        <w:rPr>
          <w:sz w:val="24"/>
          <w:szCs w:val="24"/>
        </w:rPr>
        <w:t>E R G</w:t>
      </w:r>
      <w:r w:rsidRPr="0012760D">
        <w:rPr>
          <w:sz w:val="24"/>
          <w:szCs w:val="24"/>
        </w:rPr>
        <w:t xml:space="preserve">) to provide strategic advice and act as a consultative body for the development of the Statewide Waste and Resource Recovery Infrastructure Plan. The group provides insights on key industry issues and design of our programs. Since its inception, the </w:t>
      </w:r>
      <w:r w:rsidR="00932E3A">
        <w:rPr>
          <w:sz w:val="24"/>
          <w:szCs w:val="24"/>
        </w:rPr>
        <w:t>E R G</w:t>
      </w:r>
      <w:r w:rsidRPr="0012760D">
        <w:rPr>
          <w:sz w:val="24"/>
          <w:szCs w:val="24"/>
        </w:rPr>
        <w:t xml:space="preserve"> has informed programs relating to commercial and industrial waste, discussed Victoria's organics industry, examined the strengths and weaknesses of current markets for recycled materials, and peer reviewed the plan. The current </w:t>
      </w:r>
      <w:r w:rsidR="00932E3A">
        <w:rPr>
          <w:sz w:val="24"/>
          <w:szCs w:val="24"/>
        </w:rPr>
        <w:t>E R G</w:t>
      </w:r>
      <w:r w:rsidRPr="0012760D">
        <w:rPr>
          <w:sz w:val="24"/>
          <w:szCs w:val="24"/>
        </w:rPr>
        <w:t xml:space="preserve"> members include Craig Hudson, Director, Natural Recovery Systems; John Nolan, Managing Director, Nolan Consulting; Max Spedding, Secretary, Australian Landfill Owners Association; Jim Dunstan, formerly Executive General Manager, Citywide; Tony Rijs; Rod Wellford, CEO, Australian Council of Recyclers (ACOR), along with senior representation from EPA Victoria and SV. Grant Musgrove will represent ACOR on the group following his appointment as its CEO.</w:t>
      </w:r>
    </w:p>
    <w:p w:rsidR="00B7598F" w:rsidRPr="0012760D" w:rsidRDefault="00B7598F" w:rsidP="00E13E88">
      <w:pPr>
        <w:rPr>
          <w:sz w:val="24"/>
          <w:szCs w:val="24"/>
        </w:rPr>
      </w:pPr>
    </w:p>
    <w:p w:rsidR="00E13E88" w:rsidRPr="0012760D" w:rsidRDefault="00E13E88" w:rsidP="00E13E88">
      <w:pPr>
        <w:rPr>
          <w:sz w:val="24"/>
          <w:szCs w:val="24"/>
        </w:rPr>
      </w:pPr>
      <w:r w:rsidRPr="0012760D">
        <w:rPr>
          <w:sz w:val="24"/>
          <w:szCs w:val="24"/>
        </w:rPr>
        <w:t xml:space="preserve">Sadly, in January 2013 founding member of the </w:t>
      </w:r>
      <w:r w:rsidR="00932E3A">
        <w:rPr>
          <w:sz w:val="24"/>
          <w:szCs w:val="24"/>
        </w:rPr>
        <w:t>E R G</w:t>
      </w:r>
      <w:r w:rsidRPr="0012760D">
        <w:rPr>
          <w:sz w:val="24"/>
          <w:szCs w:val="24"/>
        </w:rPr>
        <w:t xml:space="preserve"> Matt Nind passed away. Matt was a respected leader within the waste industry and we greatly appreciated Matt's support for SV and the experience he contributed to our reforms.</w:t>
      </w:r>
    </w:p>
    <w:p w:rsidR="00E13E88" w:rsidRPr="0012760D" w:rsidRDefault="00E13E88" w:rsidP="00E13E88">
      <w:pPr>
        <w:rPr>
          <w:sz w:val="24"/>
          <w:szCs w:val="24"/>
        </w:rPr>
      </w:pPr>
      <w:r w:rsidRPr="0012760D">
        <w:rPr>
          <w:sz w:val="24"/>
          <w:szCs w:val="24"/>
        </w:rPr>
        <w:t>&lt;/box&gt;</w:t>
      </w:r>
    </w:p>
    <w:p w:rsidR="006E6F1C" w:rsidRDefault="006E6F1C" w:rsidP="006E6F1C">
      <w:pPr>
        <w:rPr>
          <w:bCs/>
          <w:sz w:val="24"/>
          <w:szCs w:val="24"/>
        </w:rPr>
      </w:pPr>
      <w:r w:rsidRPr="0012760D">
        <w:rPr>
          <w:bCs/>
          <w:sz w:val="24"/>
          <w:szCs w:val="24"/>
        </w:rPr>
        <w:t>&lt;pp&gt; 18</w:t>
      </w:r>
    </w:p>
    <w:p w:rsidR="00B7598F" w:rsidRDefault="00B7598F" w:rsidP="006E6F1C">
      <w:pPr>
        <w:rPr>
          <w:bCs/>
          <w:sz w:val="24"/>
          <w:szCs w:val="24"/>
        </w:rPr>
      </w:pPr>
    </w:p>
    <w:p w:rsidR="00B7598F" w:rsidRPr="0012760D" w:rsidRDefault="00B7598F" w:rsidP="006E6F1C">
      <w:pPr>
        <w:rPr>
          <w:sz w:val="24"/>
          <w:szCs w:val="24"/>
        </w:rPr>
      </w:pPr>
    </w:p>
    <w:p w:rsidR="006E6F1C" w:rsidRDefault="006E6F1C" w:rsidP="00B7598F">
      <w:pPr>
        <w:pStyle w:val="Heading2"/>
      </w:pPr>
      <w:r w:rsidRPr="0012760D">
        <w:lastRenderedPageBreak/>
        <w:t>Key Environmental Outcomes Specific to Current Government Policy</w:t>
      </w:r>
    </w:p>
    <w:p w:rsidR="00B7598F" w:rsidRPr="0012760D" w:rsidRDefault="00B7598F" w:rsidP="006E6F1C">
      <w:pPr>
        <w:rPr>
          <w:sz w:val="24"/>
          <w:szCs w:val="24"/>
        </w:rPr>
      </w:pPr>
    </w:p>
    <w:p w:rsidR="006E6F1C" w:rsidRDefault="006E6F1C" w:rsidP="006E6F1C">
      <w:pPr>
        <w:rPr>
          <w:sz w:val="24"/>
          <w:szCs w:val="24"/>
        </w:rPr>
      </w:pPr>
      <w:r w:rsidRPr="0012760D">
        <w:rPr>
          <w:sz w:val="24"/>
          <w:szCs w:val="24"/>
        </w:rPr>
        <w:t xml:space="preserve">We are responsible for delivering programs that contribute to </w:t>
      </w:r>
      <w:r w:rsidRPr="0012760D">
        <w:rPr>
          <w:i/>
          <w:iCs/>
          <w:sz w:val="24"/>
          <w:szCs w:val="24"/>
        </w:rPr>
        <w:t>Getting full value: Victorian Waste and Resource Recovery Policy</w:t>
      </w:r>
      <w:r w:rsidRPr="0012760D">
        <w:rPr>
          <w:sz w:val="24"/>
          <w:szCs w:val="24"/>
        </w:rPr>
        <w:t>, which was released on 16 April 2013. The policy will grow our economy and employment by unlocking the resource value of our waste, while better protecting our environment and the liveability of our communities.</w:t>
      </w:r>
    </w:p>
    <w:p w:rsidR="00B7598F" w:rsidRPr="0012760D" w:rsidRDefault="00B7598F" w:rsidP="006E6F1C">
      <w:pPr>
        <w:rPr>
          <w:sz w:val="24"/>
          <w:szCs w:val="24"/>
        </w:rPr>
      </w:pPr>
    </w:p>
    <w:p w:rsidR="006E6F1C" w:rsidRDefault="006E6F1C" w:rsidP="006E6F1C">
      <w:pPr>
        <w:rPr>
          <w:sz w:val="24"/>
          <w:szCs w:val="24"/>
        </w:rPr>
      </w:pPr>
      <w:r w:rsidRPr="0012760D">
        <w:rPr>
          <w:sz w:val="24"/>
          <w:szCs w:val="24"/>
        </w:rPr>
        <w:t>Recycling has gone down, proportionate to a reduction in waste generated and sent to landfill.</w:t>
      </w:r>
    </w:p>
    <w:p w:rsidR="00B7598F" w:rsidRPr="0012760D" w:rsidRDefault="00B7598F" w:rsidP="006E6F1C">
      <w:pPr>
        <w:rPr>
          <w:sz w:val="24"/>
          <w:szCs w:val="24"/>
        </w:rPr>
      </w:pPr>
    </w:p>
    <w:p w:rsidR="006E6F1C" w:rsidRPr="0012760D" w:rsidRDefault="006E6F1C" w:rsidP="006E6F1C">
      <w:pPr>
        <w:rPr>
          <w:sz w:val="24"/>
          <w:szCs w:val="24"/>
        </w:rPr>
      </w:pPr>
      <w:r w:rsidRPr="0012760D">
        <w:rPr>
          <w:sz w:val="24"/>
          <w:szCs w:val="24"/>
        </w:rPr>
        <w:t>New strategic targets will be developed under the policy in 2013 to 14. The table below refers to outcomes achieved under the former policy, Towards Zero Waste.</w:t>
      </w:r>
    </w:p>
    <w:p w:rsidR="006E6F1C" w:rsidRPr="0012760D" w:rsidRDefault="006E6F1C" w:rsidP="006E6F1C">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3161"/>
        <w:gridCol w:w="1964"/>
        <w:gridCol w:w="1958"/>
        <w:gridCol w:w="2026"/>
      </w:tblGrid>
      <w:tr w:rsidR="00B7598F" w:rsidRPr="0012760D" w:rsidTr="00B7598F">
        <w:tblPrEx>
          <w:tblCellMar>
            <w:top w:w="0" w:type="dxa"/>
            <w:bottom w:w="0" w:type="dxa"/>
          </w:tblCellMar>
        </w:tblPrEx>
        <w:tc>
          <w:tcPr>
            <w:tcW w:w="1735" w:type="pct"/>
            <w:shd w:val="clear" w:color="auto" w:fill="auto"/>
          </w:tcPr>
          <w:p w:rsidR="00B7598F" w:rsidRPr="0012760D" w:rsidRDefault="00B7598F" w:rsidP="006E6F1C">
            <w:pPr>
              <w:rPr>
                <w:sz w:val="24"/>
                <w:szCs w:val="24"/>
              </w:rPr>
            </w:pPr>
          </w:p>
        </w:tc>
        <w:tc>
          <w:tcPr>
            <w:tcW w:w="1078" w:type="pct"/>
            <w:shd w:val="clear" w:color="auto" w:fill="auto"/>
          </w:tcPr>
          <w:p w:rsidR="00B7598F" w:rsidRPr="0012760D" w:rsidRDefault="00B7598F" w:rsidP="006E6F1C">
            <w:pPr>
              <w:rPr>
                <w:sz w:val="24"/>
                <w:szCs w:val="24"/>
              </w:rPr>
            </w:pPr>
            <w:r w:rsidRPr="0012760D">
              <w:rPr>
                <w:b/>
                <w:bCs/>
                <w:sz w:val="24"/>
                <w:szCs w:val="24"/>
              </w:rPr>
              <w:t>2010 to 11</w:t>
            </w:r>
          </w:p>
          <w:p w:rsidR="00B7598F" w:rsidRPr="0012760D" w:rsidRDefault="00B7598F" w:rsidP="006E6F1C">
            <w:pPr>
              <w:rPr>
                <w:sz w:val="24"/>
                <w:szCs w:val="24"/>
              </w:rPr>
            </w:pPr>
            <w:r w:rsidRPr="0012760D">
              <w:rPr>
                <w:b/>
                <w:bCs/>
                <w:sz w:val="24"/>
                <w:szCs w:val="24"/>
              </w:rPr>
              <w:t>Tonnes</w:t>
            </w:r>
            <w:r w:rsidRPr="0012760D">
              <w:rPr>
                <w:sz w:val="24"/>
                <w:szCs w:val="24"/>
              </w:rPr>
              <w:t xml:space="preserve"> </w:t>
            </w:r>
            <w:r w:rsidRPr="0012760D">
              <w:rPr>
                <w:b/>
                <w:bCs/>
                <w:sz w:val="24"/>
                <w:szCs w:val="24"/>
              </w:rPr>
              <w:t>(million)</w:t>
            </w:r>
          </w:p>
        </w:tc>
        <w:tc>
          <w:tcPr>
            <w:tcW w:w="1075" w:type="pct"/>
            <w:shd w:val="clear" w:color="auto" w:fill="auto"/>
          </w:tcPr>
          <w:p w:rsidR="00B7598F" w:rsidRPr="0012760D" w:rsidRDefault="00B7598F" w:rsidP="006E6F1C">
            <w:pPr>
              <w:rPr>
                <w:sz w:val="24"/>
                <w:szCs w:val="24"/>
              </w:rPr>
            </w:pPr>
            <w:r w:rsidRPr="0012760D">
              <w:rPr>
                <w:b/>
                <w:bCs/>
                <w:sz w:val="24"/>
                <w:szCs w:val="24"/>
              </w:rPr>
              <w:t>2011 to 12</w:t>
            </w:r>
          </w:p>
          <w:p w:rsidR="00B7598F" w:rsidRPr="0012760D" w:rsidRDefault="00B7598F" w:rsidP="006E6F1C">
            <w:pPr>
              <w:rPr>
                <w:sz w:val="24"/>
                <w:szCs w:val="24"/>
              </w:rPr>
            </w:pPr>
            <w:r w:rsidRPr="0012760D">
              <w:rPr>
                <w:b/>
                <w:bCs/>
                <w:sz w:val="24"/>
                <w:szCs w:val="24"/>
              </w:rPr>
              <w:t>Tonnes</w:t>
            </w:r>
            <w:r w:rsidRPr="0012760D">
              <w:rPr>
                <w:sz w:val="24"/>
                <w:szCs w:val="24"/>
              </w:rPr>
              <w:t xml:space="preserve"> </w:t>
            </w:r>
            <w:r w:rsidRPr="0012760D">
              <w:rPr>
                <w:b/>
                <w:bCs/>
                <w:sz w:val="24"/>
                <w:szCs w:val="24"/>
              </w:rPr>
              <w:t>(million)</w:t>
            </w:r>
          </w:p>
        </w:tc>
        <w:tc>
          <w:tcPr>
            <w:tcW w:w="1112" w:type="pct"/>
            <w:shd w:val="clear" w:color="auto" w:fill="auto"/>
          </w:tcPr>
          <w:p w:rsidR="00B7598F" w:rsidRPr="0012760D" w:rsidRDefault="00B7598F" w:rsidP="006E6F1C">
            <w:pPr>
              <w:rPr>
                <w:sz w:val="24"/>
                <w:szCs w:val="24"/>
              </w:rPr>
            </w:pPr>
            <w:r w:rsidRPr="0012760D">
              <w:rPr>
                <w:b/>
                <w:bCs/>
                <w:sz w:val="24"/>
                <w:szCs w:val="24"/>
              </w:rPr>
              <w:t>Per cent</w:t>
            </w:r>
            <w:r w:rsidRPr="0012760D">
              <w:rPr>
                <w:sz w:val="24"/>
                <w:szCs w:val="24"/>
              </w:rPr>
              <w:t xml:space="preserve"> </w:t>
            </w:r>
            <w:r w:rsidRPr="0012760D">
              <w:rPr>
                <w:b/>
                <w:bCs/>
                <w:sz w:val="24"/>
                <w:szCs w:val="24"/>
              </w:rPr>
              <w:t>change</w:t>
            </w:r>
          </w:p>
        </w:tc>
      </w:tr>
      <w:tr w:rsidR="006E6F1C" w:rsidRPr="0012760D" w:rsidTr="00B7598F">
        <w:tblPrEx>
          <w:tblCellMar>
            <w:top w:w="0" w:type="dxa"/>
            <w:bottom w:w="0" w:type="dxa"/>
          </w:tblCellMar>
        </w:tblPrEx>
        <w:tc>
          <w:tcPr>
            <w:tcW w:w="1735" w:type="pct"/>
            <w:shd w:val="clear" w:color="auto" w:fill="auto"/>
          </w:tcPr>
          <w:p w:rsidR="006E6F1C" w:rsidRPr="0012760D" w:rsidRDefault="006E6F1C" w:rsidP="00B7598F">
            <w:pPr>
              <w:rPr>
                <w:sz w:val="24"/>
                <w:szCs w:val="24"/>
              </w:rPr>
            </w:pPr>
            <w:r w:rsidRPr="0012760D">
              <w:rPr>
                <w:sz w:val="24"/>
                <w:szCs w:val="24"/>
              </w:rPr>
              <w:t>Total solid waste recycled</w:t>
            </w:r>
            <w:r w:rsidR="00B7598F">
              <w:rPr>
                <w:sz w:val="24"/>
                <w:szCs w:val="24"/>
              </w:rPr>
              <w:t xml:space="preserve"> </w:t>
            </w:r>
            <w:r w:rsidRPr="0012760D">
              <w:rPr>
                <w:sz w:val="24"/>
                <w:szCs w:val="24"/>
              </w:rPr>
              <w:t>in Victoria</w:t>
            </w:r>
          </w:p>
        </w:tc>
        <w:tc>
          <w:tcPr>
            <w:tcW w:w="1078" w:type="pct"/>
            <w:shd w:val="clear" w:color="auto" w:fill="auto"/>
          </w:tcPr>
          <w:p w:rsidR="006E6F1C" w:rsidRPr="0012760D" w:rsidRDefault="006E6F1C" w:rsidP="006E6F1C">
            <w:pPr>
              <w:jc w:val="right"/>
              <w:rPr>
                <w:sz w:val="24"/>
                <w:szCs w:val="24"/>
              </w:rPr>
            </w:pPr>
            <w:r w:rsidRPr="0012760D">
              <w:rPr>
                <w:sz w:val="24"/>
                <w:szCs w:val="24"/>
              </w:rPr>
              <w:t>8.46</w:t>
            </w:r>
          </w:p>
        </w:tc>
        <w:tc>
          <w:tcPr>
            <w:tcW w:w="1075" w:type="pct"/>
            <w:shd w:val="clear" w:color="auto" w:fill="auto"/>
          </w:tcPr>
          <w:p w:rsidR="006E6F1C" w:rsidRPr="0012760D" w:rsidRDefault="006E6F1C" w:rsidP="006E6F1C">
            <w:pPr>
              <w:jc w:val="right"/>
              <w:rPr>
                <w:sz w:val="24"/>
                <w:szCs w:val="24"/>
              </w:rPr>
            </w:pPr>
            <w:r w:rsidRPr="0012760D">
              <w:rPr>
                <w:sz w:val="24"/>
                <w:szCs w:val="24"/>
              </w:rPr>
              <w:t>7.94</w:t>
            </w:r>
          </w:p>
        </w:tc>
        <w:tc>
          <w:tcPr>
            <w:tcW w:w="1112" w:type="pct"/>
            <w:shd w:val="clear" w:color="auto" w:fill="auto"/>
          </w:tcPr>
          <w:p w:rsidR="006E6F1C" w:rsidRPr="0012760D" w:rsidRDefault="006E6F1C" w:rsidP="006E6F1C">
            <w:pPr>
              <w:jc w:val="right"/>
              <w:rPr>
                <w:sz w:val="24"/>
                <w:szCs w:val="24"/>
              </w:rPr>
            </w:pPr>
            <w:r w:rsidRPr="0012760D">
              <w:rPr>
                <w:sz w:val="24"/>
                <w:szCs w:val="24"/>
              </w:rPr>
              <w:t>-6%</w:t>
            </w:r>
          </w:p>
        </w:tc>
      </w:tr>
      <w:tr w:rsidR="006E6F1C" w:rsidRPr="0012760D" w:rsidTr="00B7598F">
        <w:tblPrEx>
          <w:tblCellMar>
            <w:top w:w="0" w:type="dxa"/>
            <w:bottom w:w="0" w:type="dxa"/>
          </w:tblCellMar>
        </w:tblPrEx>
        <w:tc>
          <w:tcPr>
            <w:tcW w:w="1735" w:type="pct"/>
            <w:shd w:val="clear" w:color="auto" w:fill="auto"/>
          </w:tcPr>
          <w:p w:rsidR="006E6F1C" w:rsidRPr="0012760D" w:rsidRDefault="006E6F1C" w:rsidP="00B7598F">
            <w:pPr>
              <w:rPr>
                <w:sz w:val="24"/>
                <w:szCs w:val="24"/>
              </w:rPr>
            </w:pPr>
            <w:r w:rsidRPr="0012760D">
              <w:rPr>
                <w:sz w:val="24"/>
                <w:szCs w:val="24"/>
              </w:rPr>
              <w:t>Total solid waste landfilled</w:t>
            </w:r>
            <w:r w:rsidR="00B7598F">
              <w:rPr>
                <w:sz w:val="24"/>
                <w:szCs w:val="24"/>
              </w:rPr>
              <w:t xml:space="preserve"> </w:t>
            </w:r>
            <w:r w:rsidRPr="0012760D">
              <w:rPr>
                <w:sz w:val="24"/>
                <w:szCs w:val="24"/>
              </w:rPr>
              <w:t>in Victoria</w:t>
            </w:r>
          </w:p>
        </w:tc>
        <w:tc>
          <w:tcPr>
            <w:tcW w:w="1078" w:type="pct"/>
            <w:shd w:val="clear" w:color="auto" w:fill="auto"/>
          </w:tcPr>
          <w:p w:rsidR="006E6F1C" w:rsidRPr="0012760D" w:rsidRDefault="006E6F1C" w:rsidP="006E6F1C">
            <w:pPr>
              <w:jc w:val="right"/>
              <w:rPr>
                <w:sz w:val="24"/>
                <w:szCs w:val="24"/>
              </w:rPr>
            </w:pPr>
            <w:r w:rsidRPr="0012760D">
              <w:rPr>
                <w:sz w:val="24"/>
                <w:szCs w:val="24"/>
              </w:rPr>
              <w:t>3.88</w:t>
            </w:r>
          </w:p>
        </w:tc>
        <w:tc>
          <w:tcPr>
            <w:tcW w:w="1075" w:type="pct"/>
            <w:shd w:val="clear" w:color="auto" w:fill="auto"/>
          </w:tcPr>
          <w:p w:rsidR="006E6F1C" w:rsidRPr="0012760D" w:rsidRDefault="006E6F1C" w:rsidP="006E6F1C">
            <w:pPr>
              <w:jc w:val="right"/>
              <w:rPr>
                <w:sz w:val="24"/>
                <w:szCs w:val="24"/>
              </w:rPr>
            </w:pPr>
            <w:r w:rsidRPr="0012760D">
              <w:rPr>
                <w:sz w:val="24"/>
                <w:szCs w:val="24"/>
              </w:rPr>
              <w:t>3.61</w:t>
            </w:r>
          </w:p>
        </w:tc>
        <w:tc>
          <w:tcPr>
            <w:tcW w:w="1112" w:type="pct"/>
            <w:shd w:val="clear" w:color="auto" w:fill="auto"/>
          </w:tcPr>
          <w:p w:rsidR="006E6F1C" w:rsidRPr="0012760D" w:rsidRDefault="006E6F1C" w:rsidP="006E6F1C">
            <w:pPr>
              <w:jc w:val="right"/>
              <w:rPr>
                <w:sz w:val="24"/>
                <w:szCs w:val="24"/>
              </w:rPr>
            </w:pPr>
            <w:r w:rsidRPr="0012760D">
              <w:rPr>
                <w:sz w:val="24"/>
                <w:szCs w:val="24"/>
              </w:rPr>
              <w:t>-7%</w:t>
            </w:r>
          </w:p>
        </w:tc>
      </w:tr>
      <w:tr w:rsidR="006E6F1C" w:rsidRPr="0012760D" w:rsidTr="00B7598F">
        <w:tblPrEx>
          <w:tblCellMar>
            <w:top w:w="0" w:type="dxa"/>
            <w:bottom w:w="0" w:type="dxa"/>
          </w:tblCellMar>
        </w:tblPrEx>
        <w:tc>
          <w:tcPr>
            <w:tcW w:w="1735" w:type="pct"/>
            <w:shd w:val="clear" w:color="auto" w:fill="auto"/>
          </w:tcPr>
          <w:p w:rsidR="006E6F1C" w:rsidRPr="0012760D" w:rsidRDefault="006E6F1C" w:rsidP="00B7598F">
            <w:pPr>
              <w:rPr>
                <w:sz w:val="24"/>
                <w:szCs w:val="24"/>
              </w:rPr>
            </w:pPr>
            <w:r w:rsidRPr="0012760D">
              <w:rPr>
                <w:sz w:val="24"/>
                <w:szCs w:val="24"/>
              </w:rPr>
              <w:t>Total solid waste generated</w:t>
            </w:r>
            <w:r w:rsidR="00B7598F">
              <w:rPr>
                <w:sz w:val="24"/>
                <w:szCs w:val="24"/>
              </w:rPr>
              <w:t xml:space="preserve"> </w:t>
            </w:r>
            <w:r w:rsidRPr="0012760D">
              <w:rPr>
                <w:sz w:val="24"/>
                <w:szCs w:val="24"/>
              </w:rPr>
              <w:t>in Victoria</w:t>
            </w:r>
          </w:p>
        </w:tc>
        <w:tc>
          <w:tcPr>
            <w:tcW w:w="1078" w:type="pct"/>
            <w:shd w:val="clear" w:color="auto" w:fill="auto"/>
          </w:tcPr>
          <w:p w:rsidR="006E6F1C" w:rsidRPr="0012760D" w:rsidRDefault="006E6F1C" w:rsidP="006E6F1C">
            <w:pPr>
              <w:jc w:val="right"/>
              <w:rPr>
                <w:sz w:val="24"/>
                <w:szCs w:val="24"/>
              </w:rPr>
            </w:pPr>
            <w:r w:rsidRPr="0012760D">
              <w:rPr>
                <w:sz w:val="24"/>
                <w:szCs w:val="24"/>
              </w:rPr>
              <w:t>11.95</w:t>
            </w:r>
          </w:p>
        </w:tc>
        <w:tc>
          <w:tcPr>
            <w:tcW w:w="1075" w:type="pct"/>
            <w:shd w:val="clear" w:color="auto" w:fill="auto"/>
          </w:tcPr>
          <w:p w:rsidR="006E6F1C" w:rsidRPr="0012760D" w:rsidRDefault="006E6F1C" w:rsidP="006E6F1C">
            <w:pPr>
              <w:jc w:val="right"/>
              <w:rPr>
                <w:sz w:val="24"/>
                <w:szCs w:val="24"/>
              </w:rPr>
            </w:pPr>
            <w:r w:rsidRPr="0012760D">
              <w:rPr>
                <w:sz w:val="24"/>
                <w:szCs w:val="24"/>
              </w:rPr>
              <w:t>11.56</w:t>
            </w:r>
          </w:p>
        </w:tc>
        <w:tc>
          <w:tcPr>
            <w:tcW w:w="1112" w:type="pct"/>
            <w:shd w:val="clear" w:color="auto" w:fill="auto"/>
          </w:tcPr>
          <w:p w:rsidR="006E6F1C" w:rsidRPr="0012760D" w:rsidRDefault="006E6F1C" w:rsidP="006E6F1C">
            <w:pPr>
              <w:jc w:val="right"/>
              <w:rPr>
                <w:sz w:val="24"/>
                <w:szCs w:val="24"/>
              </w:rPr>
            </w:pPr>
            <w:r w:rsidRPr="0012760D">
              <w:rPr>
                <w:sz w:val="24"/>
                <w:szCs w:val="24"/>
              </w:rPr>
              <w:t>-5%</w:t>
            </w:r>
          </w:p>
        </w:tc>
      </w:tr>
      <w:tr w:rsidR="006E6F1C" w:rsidRPr="0012760D" w:rsidTr="00B7598F">
        <w:tblPrEx>
          <w:tblCellMar>
            <w:top w:w="0" w:type="dxa"/>
            <w:bottom w:w="0" w:type="dxa"/>
          </w:tblCellMar>
        </w:tblPrEx>
        <w:tc>
          <w:tcPr>
            <w:tcW w:w="1735" w:type="pct"/>
            <w:shd w:val="clear" w:color="auto" w:fill="auto"/>
          </w:tcPr>
          <w:p w:rsidR="006E6F1C" w:rsidRPr="0012760D" w:rsidRDefault="006E6F1C" w:rsidP="00B7598F">
            <w:pPr>
              <w:rPr>
                <w:sz w:val="24"/>
                <w:szCs w:val="24"/>
              </w:rPr>
            </w:pPr>
            <w:r w:rsidRPr="0012760D">
              <w:rPr>
                <w:sz w:val="24"/>
                <w:szCs w:val="24"/>
              </w:rPr>
              <w:t>Recovery rate of waste</w:t>
            </w:r>
            <w:r w:rsidR="00B7598F">
              <w:rPr>
                <w:sz w:val="24"/>
                <w:szCs w:val="24"/>
              </w:rPr>
              <w:t xml:space="preserve"> </w:t>
            </w:r>
            <w:r w:rsidRPr="0012760D">
              <w:rPr>
                <w:sz w:val="24"/>
                <w:szCs w:val="24"/>
              </w:rPr>
              <w:t>recovered for recycling</w:t>
            </w:r>
            <w:r w:rsidR="00B7598F">
              <w:rPr>
                <w:sz w:val="24"/>
                <w:szCs w:val="24"/>
              </w:rPr>
              <w:t xml:space="preserve"> </w:t>
            </w:r>
            <w:r w:rsidRPr="0012760D">
              <w:rPr>
                <w:sz w:val="24"/>
                <w:szCs w:val="24"/>
              </w:rPr>
              <w:t>in Victoria</w:t>
            </w:r>
          </w:p>
        </w:tc>
        <w:tc>
          <w:tcPr>
            <w:tcW w:w="1078" w:type="pct"/>
            <w:shd w:val="clear" w:color="auto" w:fill="auto"/>
          </w:tcPr>
          <w:p w:rsidR="006E6F1C" w:rsidRPr="0012760D" w:rsidRDefault="006E6F1C" w:rsidP="006E6F1C">
            <w:pPr>
              <w:jc w:val="right"/>
              <w:rPr>
                <w:sz w:val="24"/>
                <w:szCs w:val="24"/>
              </w:rPr>
            </w:pPr>
            <w:r w:rsidRPr="0012760D">
              <w:rPr>
                <w:sz w:val="24"/>
                <w:szCs w:val="24"/>
              </w:rPr>
              <w:t>69%</w:t>
            </w:r>
          </w:p>
        </w:tc>
        <w:tc>
          <w:tcPr>
            <w:tcW w:w="1075" w:type="pct"/>
            <w:shd w:val="clear" w:color="auto" w:fill="auto"/>
          </w:tcPr>
          <w:p w:rsidR="006E6F1C" w:rsidRPr="0012760D" w:rsidRDefault="006E6F1C" w:rsidP="006E6F1C">
            <w:pPr>
              <w:jc w:val="right"/>
              <w:rPr>
                <w:sz w:val="24"/>
                <w:szCs w:val="24"/>
              </w:rPr>
            </w:pPr>
            <w:r w:rsidRPr="0012760D">
              <w:rPr>
                <w:sz w:val="24"/>
                <w:szCs w:val="24"/>
              </w:rPr>
              <w:t>69%</w:t>
            </w:r>
          </w:p>
        </w:tc>
        <w:tc>
          <w:tcPr>
            <w:tcW w:w="1112" w:type="pct"/>
            <w:shd w:val="clear" w:color="auto" w:fill="auto"/>
          </w:tcPr>
          <w:p w:rsidR="006E6F1C" w:rsidRPr="0012760D" w:rsidRDefault="006E6F1C" w:rsidP="006E6F1C">
            <w:pPr>
              <w:jc w:val="right"/>
              <w:rPr>
                <w:sz w:val="24"/>
                <w:szCs w:val="24"/>
              </w:rPr>
            </w:pPr>
            <w:r w:rsidRPr="0012760D">
              <w:rPr>
                <w:sz w:val="24"/>
                <w:szCs w:val="24"/>
              </w:rPr>
              <w:t>0%</w:t>
            </w:r>
          </w:p>
        </w:tc>
      </w:tr>
      <w:tr w:rsidR="006E6F1C" w:rsidRPr="0012760D" w:rsidTr="00B7598F">
        <w:tblPrEx>
          <w:tblCellMar>
            <w:top w:w="0" w:type="dxa"/>
            <w:bottom w:w="0" w:type="dxa"/>
          </w:tblCellMar>
        </w:tblPrEx>
        <w:tc>
          <w:tcPr>
            <w:tcW w:w="5000" w:type="pct"/>
            <w:gridSpan w:val="4"/>
            <w:shd w:val="clear" w:color="auto" w:fill="auto"/>
          </w:tcPr>
          <w:p w:rsidR="006E6F1C" w:rsidRPr="0012760D" w:rsidRDefault="006E6F1C" w:rsidP="006E6F1C">
            <w:pPr>
              <w:rPr>
                <w:sz w:val="24"/>
                <w:szCs w:val="24"/>
              </w:rPr>
            </w:pPr>
            <w:r w:rsidRPr="0012760D">
              <w:rPr>
                <w:b/>
                <w:bCs/>
                <w:sz w:val="24"/>
                <w:szCs w:val="24"/>
              </w:rPr>
              <w:t>Sectoral recovery rates:</w:t>
            </w:r>
          </w:p>
        </w:tc>
      </w:tr>
      <w:tr w:rsidR="006E6F1C" w:rsidRPr="0012760D" w:rsidTr="00B7598F">
        <w:tblPrEx>
          <w:tblCellMar>
            <w:top w:w="0" w:type="dxa"/>
            <w:bottom w:w="0" w:type="dxa"/>
          </w:tblCellMar>
        </w:tblPrEx>
        <w:tc>
          <w:tcPr>
            <w:tcW w:w="1735" w:type="pct"/>
            <w:shd w:val="clear" w:color="auto" w:fill="auto"/>
          </w:tcPr>
          <w:p w:rsidR="006E6F1C" w:rsidRPr="0012760D" w:rsidRDefault="006E6F1C" w:rsidP="006E6F1C">
            <w:pPr>
              <w:rPr>
                <w:sz w:val="24"/>
                <w:szCs w:val="24"/>
              </w:rPr>
            </w:pPr>
            <w:r w:rsidRPr="0012760D">
              <w:rPr>
                <w:sz w:val="24"/>
                <w:szCs w:val="24"/>
              </w:rPr>
              <w:t>Municipal solid waste</w:t>
            </w:r>
          </w:p>
        </w:tc>
        <w:tc>
          <w:tcPr>
            <w:tcW w:w="1078" w:type="pct"/>
            <w:shd w:val="clear" w:color="auto" w:fill="auto"/>
          </w:tcPr>
          <w:p w:rsidR="006E6F1C" w:rsidRPr="0012760D" w:rsidRDefault="006E6F1C" w:rsidP="006E6F1C">
            <w:pPr>
              <w:jc w:val="right"/>
              <w:rPr>
                <w:sz w:val="24"/>
                <w:szCs w:val="24"/>
              </w:rPr>
            </w:pPr>
            <w:r w:rsidRPr="0012760D">
              <w:rPr>
                <w:sz w:val="24"/>
                <w:szCs w:val="24"/>
              </w:rPr>
              <w:t>47%</w:t>
            </w:r>
          </w:p>
        </w:tc>
        <w:tc>
          <w:tcPr>
            <w:tcW w:w="1075" w:type="pct"/>
            <w:shd w:val="clear" w:color="auto" w:fill="auto"/>
          </w:tcPr>
          <w:p w:rsidR="006E6F1C" w:rsidRPr="0012760D" w:rsidRDefault="006E6F1C" w:rsidP="006E6F1C">
            <w:pPr>
              <w:jc w:val="right"/>
              <w:rPr>
                <w:sz w:val="24"/>
                <w:szCs w:val="24"/>
              </w:rPr>
            </w:pPr>
            <w:r w:rsidRPr="0012760D">
              <w:rPr>
                <w:sz w:val="24"/>
                <w:szCs w:val="24"/>
              </w:rPr>
              <w:t>42%</w:t>
            </w:r>
          </w:p>
        </w:tc>
        <w:tc>
          <w:tcPr>
            <w:tcW w:w="1112" w:type="pct"/>
            <w:shd w:val="clear" w:color="auto" w:fill="auto"/>
          </w:tcPr>
          <w:p w:rsidR="006E6F1C" w:rsidRPr="0012760D" w:rsidRDefault="006E6F1C" w:rsidP="006E6F1C">
            <w:pPr>
              <w:jc w:val="right"/>
              <w:rPr>
                <w:sz w:val="24"/>
                <w:szCs w:val="24"/>
              </w:rPr>
            </w:pPr>
            <w:r w:rsidRPr="0012760D">
              <w:rPr>
                <w:sz w:val="24"/>
                <w:szCs w:val="24"/>
              </w:rPr>
              <w:t>-11</w:t>
            </w:r>
          </w:p>
        </w:tc>
      </w:tr>
      <w:tr w:rsidR="006E6F1C" w:rsidRPr="0012760D" w:rsidTr="00B7598F">
        <w:tblPrEx>
          <w:tblCellMar>
            <w:top w:w="0" w:type="dxa"/>
            <w:bottom w:w="0" w:type="dxa"/>
          </w:tblCellMar>
        </w:tblPrEx>
        <w:tc>
          <w:tcPr>
            <w:tcW w:w="1735" w:type="pct"/>
            <w:shd w:val="clear" w:color="auto" w:fill="auto"/>
          </w:tcPr>
          <w:p w:rsidR="006E6F1C" w:rsidRPr="0012760D" w:rsidRDefault="006E6F1C" w:rsidP="00B7598F">
            <w:pPr>
              <w:rPr>
                <w:sz w:val="24"/>
                <w:szCs w:val="24"/>
              </w:rPr>
            </w:pPr>
            <w:r w:rsidRPr="0012760D">
              <w:rPr>
                <w:sz w:val="24"/>
                <w:szCs w:val="24"/>
              </w:rPr>
              <w:t>Commercial and industrial</w:t>
            </w:r>
            <w:r w:rsidR="00B7598F">
              <w:rPr>
                <w:sz w:val="24"/>
                <w:szCs w:val="24"/>
              </w:rPr>
              <w:t xml:space="preserve"> </w:t>
            </w:r>
            <w:r w:rsidRPr="0012760D">
              <w:rPr>
                <w:sz w:val="24"/>
                <w:szCs w:val="24"/>
              </w:rPr>
              <w:t>waste</w:t>
            </w:r>
          </w:p>
        </w:tc>
        <w:tc>
          <w:tcPr>
            <w:tcW w:w="1078" w:type="pct"/>
            <w:shd w:val="clear" w:color="auto" w:fill="auto"/>
          </w:tcPr>
          <w:p w:rsidR="006E6F1C" w:rsidRPr="0012760D" w:rsidRDefault="006E6F1C" w:rsidP="006E6F1C">
            <w:pPr>
              <w:jc w:val="right"/>
              <w:rPr>
                <w:sz w:val="24"/>
                <w:szCs w:val="24"/>
              </w:rPr>
            </w:pPr>
            <w:r w:rsidRPr="0012760D">
              <w:rPr>
                <w:sz w:val="24"/>
                <w:szCs w:val="24"/>
              </w:rPr>
              <w:t>66%</w:t>
            </w:r>
          </w:p>
        </w:tc>
        <w:tc>
          <w:tcPr>
            <w:tcW w:w="1075" w:type="pct"/>
            <w:shd w:val="clear" w:color="auto" w:fill="auto"/>
          </w:tcPr>
          <w:p w:rsidR="006E6F1C" w:rsidRPr="0012760D" w:rsidRDefault="006E6F1C" w:rsidP="006E6F1C">
            <w:pPr>
              <w:jc w:val="right"/>
              <w:rPr>
                <w:sz w:val="24"/>
                <w:szCs w:val="24"/>
              </w:rPr>
            </w:pPr>
            <w:r w:rsidRPr="0012760D">
              <w:rPr>
                <w:sz w:val="24"/>
                <w:szCs w:val="24"/>
              </w:rPr>
              <w:t>72%</w:t>
            </w:r>
          </w:p>
        </w:tc>
        <w:tc>
          <w:tcPr>
            <w:tcW w:w="1112" w:type="pct"/>
            <w:shd w:val="clear" w:color="auto" w:fill="auto"/>
          </w:tcPr>
          <w:p w:rsidR="006E6F1C" w:rsidRPr="0012760D" w:rsidRDefault="006E6F1C" w:rsidP="006E6F1C">
            <w:pPr>
              <w:jc w:val="right"/>
              <w:rPr>
                <w:sz w:val="24"/>
                <w:szCs w:val="24"/>
              </w:rPr>
            </w:pPr>
            <w:r w:rsidRPr="0012760D">
              <w:rPr>
                <w:sz w:val="24"/>
                <w:szCs w:val="24"/>
              </w:rPr>
              <w:t>9</w:t>
            </w:r>
          </w:p>
        </w:tc>
      </w:tr>
      <w:tr w:rsidR="006E6F1C" w:rsidRPr="0012760D" w:rsidTr="00B7598F">
        <w:tblPrEx>
          <w:tblCellMar>
            <w:top w:w="0" w:type="dxa"/>
            <w:bottom w:w="0" w:type="dxa"/>
          </w:tblCellMar>
        </w:tblPrEx>
        <w:tc>
          <w:tcPr>
            <w:tcW w:w="1735" w:type="pct"/>
            <w:shd w:val="clear" w:color="auto" w:fill="auto"/>
          </w:tcPr>
          <w:p w:rsidR="006E6F1C" w:rsidRPr="0012760D" w:rsidRDefault="006E6F1C" w:rsidP="006E6F1C">
            <w:pPr>
              <w:rPr>
                <w:sz w:val="24"/>
                <w:szCs w:val="24"/>
              </w:rPr>
            </w:pPr>
            <w:r w:rsidRPr="0012760D">
              <w:rPr>
                <w:sz w:val="24"/>
                <w:szCs w:val="24"/>
              </w:rPr>
              <w:t>Construction and demolition</w:t>
            </w:r>
          </w:p>
          <w:p w:rsidR="006E6F1C" w:rsidRPr="0012760D" w:rsidRDefault="006E6F1C" w:rsidP="006E6F1C">
            <w:pPr>
              <w:rPr>
                <w:sz w:val="24"/>
                <w:szCs w:val="24"/>
              </w:rPr>
            </w:pPr>
            <w:r w:rsidRPr="0012760D">
              <w:rPr>
                <w:sz w:val="24"/>
                <w:szCs w:val="24"/>
              </w:rPr>
              <w:t>waste</w:t>
            </w:r>
          </w:p>
        </w:tc>
        <w:tc>
          <w:tcPr>
            <w:tcW w:w="1078" w:type="pct"/>
            <w:shd w:val="clear" w:color="auto" w:fill="auto"/>
          </w:tcPr>
          <w:p w:rsidR="006E6F1C" w:rsidRPr="0012760D" w:rsidRDefault="006E6F1C" w:rsidP="006E6F1C">
            <w:pPr>
              <w:jc w:val="right"/>
              <w:rPr>
                <w:sz w:val="24"/>
                <w:szCs w:val="24"/>
              </w:rPr>
            </w:pPr>
            <w:r w:rsidRPr="0012760D">
              <w:rPr>
                <w:sz w:val="24"/>
                <w:szCs w:val="24"/>
              </w:rPr>
              <w:t>83%</w:t>
            </w:r>
          </w:p>
        </w:tc>
        <w:tc>
          <w:tcPr>
            <w:tcW w:w="1075" w:type="pct"/>
            <w:shd w:val="clear" w:color="auto" w:fill="auto"/>
          </w:tcPr>
          <w:p w:rsidR="006E6F1C" w:rsidRPr="0012760D" w:rsidRDefault="006E6F1C" w:rsidP="006E6F1C">
            <w:pPr>
              <w:jc w:val="right"/>
              <w:rPr>
                <w:sz w:val="24"/>
                <w:szCs w:val="24"/>
              </w:rPr>
            </w:pPr>
            <w:r w:rsidRPr="0012760D">
              <w:rPr>
                <w:sz w:val="24"/>
                <w:szCs w:val="24"/>
              </w:rPr>
              <w:t>82%</w:t>
            </w:r>
          </w:p>
        </w:tc>
        <w:tc>
          <w:tcPr>
            <w:tcW w:w="1112" w:type="pct"/>
            <w:shd w:val="clear" w:color="auto" w:fill="auto"/>
          </w:tcPr>
          <w:p w:rsidR="006E6F1C" w:rsidRPr="0012760D" w:rsidRDefault="006E6F1C" w:rsidP="006E6F1C">
            <w:pPr>
              <w:jc w:val="right"/>
              <w:rPr>
                <w:sz w:val="24"/>
                <w:szCs w:val="24"/>
              </w:rPr>
            </w:pPr>
            <w:r w:rsidRPr="0012760D">
              <w:rPr>
                <w:sz w:val="24"/>
                <w:szCs w:val="24"/>
              </w:rPr>
              <w:t>-1</w:t>
            </w:r>
          </w:p>
        </w:tc>
      </w:tr>
      <w:tr w:rsidR="006E6F1C" w:rsidRPr="0012760D" w:rsidTr="00B7598F">
        <w:tblPrEx>
          <w:tblCellMar>
            <w:top w:w="0" w:type="dxa"/>
            <w:bottom w:w="0" w:type="dxa"/>
          </w:tblCellMar>
        </w:tblPrEx>
        <w:tc>
          <w:tcPr>
            <w:tcW w:w="1735" w:type="pct"/>
            <w:shd w:val="clear" w:color="auto" w:fill="auto"/>
          </w:tcPr>
          <w:p w:rsidR="006E6F1C" w:rsidRPr="0012760D" w:rsidRDefault="006E6F1C" w:rsidP="00B7598F">
            <w:pPr>
              <w:rPr>
                <w:sz w:val="24"/>
                <w:szCs w:val="24"/>
              </w:rPr>
            </w:pPr>
            <w:r w:rsidRPr="0012760D">
              <w:rPr>
                <w:sz w:val="24"/>
                <w:szCs w:val="24"/>
              </w:rPr>
              <w:t>Improvement in littering</w:t>
            </w:r>
            <w:r w:rsidR="00B7598F">
              <w:rPr>
                <w:sz w:val="24"/>
                <w:szCs w:val="24"/>
              </w:rPr>
              <w:t xml:space="preserve"> </w:t>
            </w:r>
            <w:r w:rsidRPr="0012760D">
              <w:rPr>
                <w:sz w:val="24"/>
                <w:szCs w:val="24"/>
              </w:rPr>
              <w:t>behaviour</w:t>
            </w:r>
            <w:r w:rsidRPr="0012760D">
              <w:rPr>
                <w:sz w:val="24"/>
                <w:szCs w:val="24"/>
                <w:vertAlign w:val="superscript"/>
              </w:rPr>
              <w:t>1</w:t>
            </w:r>
          </w:p>
        </w:tc>
        <w:tc>
          <w:tcPr>
            <w:tcW w:w="1078" w:type="pct"/>
            <w:shd w:val="clear" w:color="auto" w:fill="auto"/>
          </w:tcPr>
          <w:p w:rsidR="006E6F1C" w:rsidRPr="0012760D" w:rsidRDefault="006E6F1C" w:rsidP="006E6F1C">
            <w:pPr>
              <w:jc w:val="right"/>
              <w:rPr>
                <w:sz w:val="24"/>
                <w:szCs w:val="24"/>
              </w:rPr>
            </w:pPr>
            <w:r w:rsidRPr="0012760D">
              <w:rPr>
                <w:sz w:val="24"/>
                <w:szCs w:val="24"/>
              </w:rPr>
              <w:t>23%</w:t>
            </w:r>
          </w:p>
        </w:tc>
        <w:tc>
          <w:tcPr>
            <w:tcW w:w="1075" w:type="pct"/>
            <w:shd w:val="clear" w:color="auto" w:fill="auto"/>
          </w:tcPr>
          <w:p w:rsidR="006E6F1C" w:rsidRPr="0012760D" w:rsidRDefault="006E6F1C" w:rsidP="006E6F1C">
            <w:pPr>
              <w:jc w:val="right"/>
              <w:rPr>
                <w:sz w:val="24"/>
                <w:szCs w:val="24"/>
              </w:rPr>
            </w:pPr>
            <w:r w:rsidRPr="0012760D">
              <w:rPr>
                <w:sz w:val="24"/>
                <w:szCs w:val="24"/>
              </w:rPr>
              <w:t>NA</w:t>
            </w:r>
            <w:r w:rsidRPr="0012760D">
              <w:rPr>
                <w:sz w:val="24"/>
                <w:szCs w:val="24"/>
                <w:vertAlign w:val="superscript"/>
              </w:rPr>
              <w:t>2</w:t>
            </w:r>
          </w:p>
        </w:tc>
        <w:tc>
          <w:tcPr>
            <w:tcW w:w="1112" w:type="pct"/>
            <w:shd w:val="clear" w:color="auto" w:fill="auto"/>
          </w:tcPr>
          <w:p w:rsidR="006E6F1C" w:rsidRPr="0012760D" w:rsidRDefault="006E6F1C" w:rsidP="006E6F1C">
            <w:pPr>
              <w:jc w:val="right"/>
              <w:rPr>
                <w:sz w:val="24"/>
                <w:szCs w:val="24"/>
              </w:rPr>
            </w:pPr>
            <w:r w:rsidRPr="0012760D">
              <w:rPr>
                <w:sz w:val="24"/>
                <w:szCs w:val="24"/>
              </w:rPr>
              <w:t>NA</w:t>
            </w:r>
          </w:p>
        </w:tc>
      </w:tr>
    </w:tbl>
    <w:p w:rsidR="006E6F1C" w:rsidRPr="0012760D" w:rsidRDefault="006E6F1C" w:rsidP="006E6F1C">
      <w:pPr>
        <w:rPr>
          <w:sz w:val="24"/>
          <w:szCs w:val="24"/>
        </w:rPr>
      </w:pPr>
    </w:p>
    <w:p w:rsidR="006E6F1C" w:rsidRPr="0012760D" w:rsidRDefault="006E6F1C" w:rsidP="006E6F1C">
      <w:pPr>
        <w:rPr>
          <w:sz w:val="24"/>
          <w:szCs w:val="24"/>
        </w:rPr>
      </w:pPr>
      <w:r w:rsidRPr="0012760D">
        <w:rPr>
          <w:sz w:val="24"/>
          <w:szCs w:val="24"/>
        </w:rPr>
        <w:t>1. Refers to the percentage improvement in the Clean Community Assessment score (CCAT) since the 2003 baseline score was established.</w:t>
      </w:r>
    </w:p>
    <w:p w:rsidR="006E6F1C" w:rsidRDefault="006E6F1C" w:rsidP="006E6F1C">
      <w:pPr>
        <w:rPr>
          <w:sz w:val="24"/>
          <w:szCs w:val="24"/>
        </w:rPr>
      </w:pPr>
      <w:r w:rsidRPr="0012760D">
        <w:rPr>
          <w:sz w:val="24"/>
          <w:szCs w:val="24"/>
        </w:rPr>
        <w:t>2. The Victorian Litter Review was not conducted in 2011 to 12 and therefore has not been included in this report.</w:t>
      </w:r>
    </w:p>
    <w:p w:rsidR="00B7598F" w:rsidRPr="0012760D" w:rsidRDefault="00B7598F" w:rsidP="006E6F1C">
      <w:pPr>
        <w:rPr>
          <w:sz w:val="24"/>
          <w:szCs w:val="24"/>
        </w:rPr>
      </w:pPr>
    </w:p>
    <w:p w:rsidR="006E6F1C" w:rsidRPr="0012760D" w:rsidRDefault="006E6F1C" w:rsidP="006E6F1C">
      <w:pPr>
        <w:tabs>
          <w:tab w:val="right" w:pos="9072"/>
          <w:tab w:val="left" w:pos="9214"/>
        </w:tabs>
        <w:rPr>
          <w:sz w:val="24"/>
          <w:szCs w:val="24"/>
        </w:rPr>
      </w:pPr>
      <w:r w:rsidRPr="0012760D">
        <w:rPr>
          <w:sz w:val="24"/>
          <w:szCs w:val="24"/>
        </w:rPr>
        <w:t>Data collected for the Victorian Recycling Industries Annual survey and the Victorian Local Government Annual survey are collected on a financial year basis. Surveys are dispatched to respondents in late August to early September of every year once financial year data becomes available. The information is collected, tabulated, validated and reported in the next financial year around August. Both surveys are voluntary in nature.</w:t>
      </w:r>
    </w:p>
    <w:p w:rsidR="006E6F1C" w:rsidRPr="0012760D" w:rsidRDefault="006E6F1C" w:rsidP="006E6F1C">
      <w:pPr>
        <w:rPr>
          <w:sz w:val="24"/>
          <w:szCs w:val="24"/>
        </w:rPr>
      </w:pPr>
    </w:p>
    <w:p w:rsidR="006E6F1C" w:rsidRPr="0012760D" w:rsidRDefault="006E6F1C" w:rsidP="006E6F1C">
      <w:pPr>
        <w:rPr>
          <w:sz w:val="24"/>
          <w:szCs w:val="24"/>
        </w:rPr>
      </w:pPr>
    </w:p>
    <w:p w:rsidR="006E6F1C" w:rsidRPr="0012760D" w:rsidRDefault="006E6F1C" w:rsidP="00B7598F">
      <w:pPr>
        <w:pStyle w:val="Heading3"/>
      </w:pPr>
      <w:r w:rsidRPr="0012760D">
        <w:lastRenderedPageBreak/>
        <w:t xml:space="preserve">Municipal solid waste (MSW) </w:t>
      </w:r>
      <w:r w:rsidR="00236A13">
        <w:t>and</w:t>
      </w:r>
      <w:r w:rsidRPr="0012760D">
        <w:t xml:space="preserve"> Industrial waste 2002 to 2012</w:t>
      </w:r>
    </w:p>
    <w:p w:rsidR="006E6F1C" w:rsidRPr="0012760D" w:rsidRDefault="006E6F1C" w:rsidP="006E6F1C">
      <w:pPr>
        <w:tabs>
          <w:tab w:val="left" w:pos="0"/>
        </w:tabs>
        <w:rPr>
          <w:bCs/>
          <w:sz w:val="24"/>
          <w:szCs w:val="24"/>
        </w:rPr>
      </w:pPr>
    </w:p>
    <w:p w:rsidR="006E6F1C" w:rsidRPr="0012760D" w:rsidRDefault="006E6F1C" w:rsidP="006E6F1C">
      <w:pPr>
        <w:tabs>
          <w:tab w:val="left" w:pos="0"/>
        </w:tabs>
        <w:rPr>
          <w:bCs/>
          <w:sz w:val="24"/>
          <w:szCs w:val="24"/>
        </w:rPr>
      </w:pPr>
      <w:r w:rsidRPr="0012760D">
        <w:rPr>
          <w:bCs/>
          <w:sz w:val="24"/>
          <w:szCs w:val="24"/>
        </w:rPr>
        <w:t>Industrial waste recycled</w:t>
      </w:r>
    </w:p>
    <w:p w:rsidR="006E6F1C" w:rsidRPr="0012760D" w:rsidRDefault="006E6F1C" w:rsidP="006E6F1C">
      <w:pPr>
        <w:tabs>
          <w:tab w:val="left" w:pos="0"/>
        </w:tabs>
        <w:rPr>
          <w:bCs/>
          <w:sz w:val="24"/>
          <w:szCs w:val="24"/>
        </w:rPr>
      </w:pPr>
      <w:r w:rsidRPr="0012760D">
        <w:rPr>
          <w:bCs/>
          <w:sz w:val="24"/>
          <w:szCs w:val="24"/>
        </w:rPr>
        <w:t>MSW recycled</w:t>
      </w:r>
    </w:p>
    <w:p w:rsidR="006E6F1C" w:rsidRPr="0012760D" w:rsidRDefault="006E6F1C" w:rsidP="006E6F1C">
      <w:pPr>
        <w:tabs>
          <w:tab w:val="left" w:pos="0"/>
        </w:tabs>
        <w:rPr>
          <w:bCs/>
          <w:sz w:val="24"/>
          <w:szCs w:val="24"/>
        </w:rPr>
      </w:pPr>
      <w:r w:rsidRPr="0012760D">
        <w:rPr>
          <w:bCs/>
          <w:sz w:val="24"/>
          <w:szCs w:val="24"/>
        </w:rPr>
        <w:t>Industrial waste to landfill</w:t>
      </w:r>
    </w:p>
    <w:p w:rsidR="006E6F1C" w:rsidRDefault="006E6F1C" w:rsidP="006E6F1C">
      <w:pPr>
        <w:tabs>
          <w:tab w:val="left" w:pos="0"/>
        </w:tabs>
        <w:rPr>
          <w:bCs/>
          <w:sz w:val="24"/>
          <w:szCs w:val="24"/>
        </w:rPr>
      </w:pPr>
      <w:r w:rsidRPr="0012760D">
        <w:rPr>
          <w:bCs/>
          <w:sz w:val="24"/>
          <w:szCs w:val="24"/>
        </w:rPr>
        <w:t>MSW to landfill</w:t>
      </w:r>
    </w:p>
    <w:p w:rsidR="00B7598F" w:rsidRPr="0012760D" w:rsidRDefault="00B7598F" w:rsidP="006E6F1C">
      <w:pPr>
        <w:tabs>
          <w:tab w:val="left" w:pos="0"/>
        </w:tabs>
        <w:rPr>
          <w:bCs/>
          <w:sz w:val="24"/>
          <w:szCs w:val="24"/>
        </w:rPr>
      </w:pPr>
    </w:p>
    <w:p w:rsidR="006E6F1C" w:rsidRPr="0012760D" w:rsidRDefault="006E6F1C" w:rsidP="00146F64">
      <w:pPr>
        <w:tabs>
          <w:tab w:val="left" w:pos="9029"/>
          <w:tab w:val="left" w:pos="9072"/>
        </w:tabs>
        <w:rPr>
          <w:bCs/>
          <w:sz w:val="24"/>
          <w:szCs w:val="24"/>
        </w:rPr>
      </w:pPr>
      <w:r w:rsidRPr="0012760D">
        <w:rPr>
          <w:bCs/>
          <w:sz w:val="24"/>
          <w:szCs w:val="24"/>
        </w:rPr>
        <w:t>&lt;transcriber's note&gt; The grap</w:t>
      </w:r>
      <w:r w:rsidR="00146F64" w:rsidRPr="0012760D">
        <w:rPr>
          <w:bCs/>
          <w:sz w:val="24"/>
          <w:szCs w:val="24"/>
        </w:rPr>
        <w:t xml:space="preserve">h has been omitted owing to its </w:t>
      </w:r>
      <w:r w:rsidRPr="0012760D">
        <w:rPr>
          <w:bCs/>
          <w:sz w:val="24"/>
          <w:szCs w:val="24"/>
        </w:rPr>
        <w:t>complexity.&lt;/transcriber's note&gt;</w:t>
      </w:r>
    </w:p>
    <w:p w:rsidR="006E6F1C" w:rsidRPr="0012760D" w:rsidRDefault="006E6F1C" w:rsidP="006E6F1C">
      <w:pPr>
        <w:rPr>
          <w:sz w:val="24"/>
          <w:szCs w:val="24"/>
        </w:rPr>
      </w:pPr>
    </w:p>
    <w:p w:rsidR="006E6F1C" w:rsidRPr="0012760D" w:rsidRDefault="006E6F1C" w:rsidP="006E6F1C">
      <w:pPr>
        <w:rPr>
          <w:sz w:val="24"/>
          <w:szCs w:val="24"/>
        </w:rPr>
      </w:pPr>
    </w:p>
    <w:p w:rsidR="006E6F1C" w:rsidRPr="0012760D" w:rsidRDefault="006E6F1C" w:rsidP="00B7598F">
      <w:pPr>
        <w:pStyle w:val="Heading3"/>
      </w:pPr>
      <w:r w:rsidRPr="0012760D">
        <w:t>Waste generated 1994 to 2012</w:t>
      </w:r>
    </w:p>
    <w:p w:rsidR="006E6F1C" w:rsidRPr="0012760D" w:rsidRDefault="006E6F1C" w:rsidP="006E6F1C">
      <w:pPr>
        <w:rPr>
          <w:bCs/>
          <w:sz w:val="24"/>
          <w:szCs w:val="24"/>
        </w:rPr>
      </w:pPr>
    </w:p>
    <w:p w:rsidR="006E6F1C" w:rsidRPr="0012760D" w:rsidRDefault="006E6F1C" w:rsidP="006E6F1C">
      <w:pPr>
        <w:rPr>
          <w:bCs/>
          <w:sz w:val="24"/>
          <w:szCs w:val="24"/>
        </w:rPr>
      </w:pPr>
      <w:r w:rsidRPr="0012760D">
        <w:rPr>
          <w:bCs/>
          <w:sz w:val="24"/>
          <w:szCs w:val="24"/>
        </w:rPr>
        <w:t>Recovery rate</w:t>
      </w:r>
      <w:r w:rsidR="00B7598F">
        <w:rPr>
          <w:bCs/>
          <w:sz w:val="24"/>
          <w:szCs w:val="24"/>
        </w:rPr>
        <w:t>:</w:t>
      </w:r>
    </w:p>
    <w:p w:rsidR="006E6F1C" w:rsidRPr="0012760D" w:rsidRDefault="006E6F1C" w:rsidP="006E6F1C">
      <w:pPr>
        <w:rPr>
          <w:bCs/>
          <w:sz w:val="24"/>
          <w:szCs w:val="24"/>
        </w:rPr>
      </w:pPr>
      <w:r w:rsidRPr="0012760D">
        <w:rPr>
          <w:bCs/>
          <w:sz w:val="24"/>
          <w:szCs w:val="24"/>
        </w:rPr>
        <w:t>2001 to 02: 47%</w:t>
      </w:r>
    </w:p>
    <w:p w:rsidR="006E6F1C" w:rsidRPr="0012760D" w:rsidRDefault="006E6F1C" w:rsidP="006E6F1C">
      <w:pPr>
        <w:rPr>
          <w:bCs/>
          <w:sz w:val="24"/>
          <w:szCs w:val="24"/>
        </w:rPr>
      </w:pPr>
      <w:r w:rsidRPr="0012760D">
        <w:rPr>
          <w:bCs/>
          <w:sz w:val="24"/>
          <w:szCs w:val="24"/>
        </w:rPr>
        <w:t>2002 to 03: 51%</w:t>
      </w:r>
    </w:p>
    <w:p w:rsidR="006E6F1C" w:rsidRPr="0012760D" w:rsidRDefault="006E6F1C" w:rsidP="006E6F1C">
      <w:pPr>
        <w:rPr>
          <w:bCs/>
          <w:sz w:val="24"/>
          <w:szCs w:val="24"/>
        </w:rPr>
      </w:pPr>
      <w:r w:rsidRPr="0012760D">
        <w:rPr>
          <w:bCs/>
          <w:sz w:val="24"/>
          <w:szCs w:val="24"/>
        </w:rPr>
        <w:t>2003 to 04: 54%</w:t>
      </w:r>
    </w:p>
    <w:p w:rsidR="006E6F1C" w:rsidRPr="0012760D" w:rsidRDefault="006E6F1C" w:rsidP="006E6F1C">
      <w:pPr>
        <w:rPr>
          <w:bCs/>
          <w:sz w:val="24"/>
          <w:szCs w:val="24"/>
        </w:rPr>
      </w:pPr>
      <w:r w:rsidRPr="0012760D">
        <w:rPr>
          <w:bCs/>
          <w:sz w:val="24"/>
          <w:szCs w:val="24"/>
        </w:rPr>
        <w:t>2004 to 05: 55%</w:t>
      </w:r>
    </w:p>
    <w:p w:rsidR="006E6F1C" w:rsidRPr="0012760D" w:rsidRDefault="006E6F1C" w:rsidP="006E6F1C">
      <w:pPr>
        <w:rPr>
          <w:bCs/>
          <w:sz w:val="24"/>
          <w:szCs w:val="24"/>
        </w:rPr>
      </w:pPr>
      <w:r w:rsidRPr="0012760D">
        <w:rPr>
          <w:bCs/>
          <w:sz w:val="24"/>
          <w:szCs w:val="24"/>
        </w:rPr>
        <w:t>2005 to 06: 60%</w:t>
      </w:r>
    </w:p>
    <w:p w:rsidR="006E6F1C" w:rsidRPr="0012760D" w:rsidRDefault="006E6F1C" w:rsidP="006E6F1C">
      <w:pPr>
        <w:rPr>
          <w:bCs/>
          <w:sz w:val="24"/>
          <w:szCs w:val="24"/>
        </w:rPr>
      </w:pPr>
      <w:r w:rsidRPr="0012760D">
        <w:rPr>
          <w:bCs/>
          <w:sz w:val="24"/>
          <w:szCs w:val="24"/>
        </w:rPr>
        <w:t>2006 to 07: 62%</w:t>
      </w:r>
    </w:p>
    <w:p w:rsidR="006E6F1C" w:rsidRPr="0012760D" w:rsidRDefault="006E6F1C" w:rsidP="006E6F1C">
      <w:pPr>
        <w:rPr>
          <w:bCs/>
          <w:sz w:val="24"/>
          <w:szCs w:val="24"/>
        </w:rPr>
      </w:pPr>
      <w:r w:rsidRPr="0012760D">
        <w:rPr>
          <w:bCs/>
          <w:sz w:val="24"/>
          <w:szCs w:val="24"/>
        </w:rPr>
        <w:t>2007 to 08: 61%</w:t>
      </w:r>
    </w:p>
    <w:p w:rsidR="006E6F1C" w:rsidRPr="0012760D" w:rsidRDefault="006E6F1C" w:rsidP="006E6F1C">
      <w:pPr>
        <w:rPr>
          <w:bCs/>
          <w:sz w:val="24"/>
          <w:szCs w:val="24"/>
        </w:rPr>
      </w:pPr>
      <w:r w:rsidRPr="0012760D">
        <w:rPr>
          <w:bCs/>
          <w:sz w:val="24"/>
          <w:szCs w:val="24"/>
        </w:rPr>
        <w:t>2008 to 09: 64%</w:t>
      </w:r>
    </w:p>
    <w:p w:rsidR="006E6F1C" w:rsidRPr="0012760D" w:rsidRDefault="006E6F1C" w:rsidP="006E6F1C">
      <w:pPr>
        <w:rPr>
          <w:bCs/>
          <w:sz w:val="24"/>
          <w:szCs w:val="24"/>
        </w:rPr>
      </w:pPr>
      <w:r w:rsidRPr="0012760D">
        <w:rPr>
          <w:bCs/>
          <w:sz w:val="24"/>
          <w:szCs w:val="24"/>
        </w:rPr>
        <w:t>2009 to 10: 66%</w:t>
      </w:r>
    </w:p>
    <w:p w:rsidR="006E6F1C" w:rsidRPr="0012760D" w:rsidRDefault="006E6F1C" w:rsidP="006E6F1C">
      <w:pPr>
        <w:rPr>
          <w:bCs/>
          <w:sz w:val="24"/>
          <w:szCs w:val="24"/>
        </w:rPr>
      </w:pPr>
      <w:r w:rsidRPr="0012760D">
        <w:rPr>
          <w:bCs/>
          <w:sz w:val="24"/>
          <w:szCs w:val="24"/>
        </w:rPr>
        <w:t>2010 to 11: 69%</w:t>
      </w:r>
    </w:p>
    <w:p w:rsidR="006E6F1C" w:rsidRPr="0012760D" w:rsidRDefault="006E6F1C" w:rsidP="006E6F1C">
      <w:pPr>
        <w:rPr>
          <w:bCs/>
          <w:sz w:val="24"/>
          <w:szCs w:val="24"/>
        </w:rPr>
      </w:pPr>
      <w:r w:rsidRPr="0012760D">
        <w:rPr>
          <w:bCs/>
          <w:sz w:val="24"/>
          <w:szCs w:val="24"/>
        </w:rPr>
        <w:t>2011 to 12: 69%</w:t>
      </w:r>
    </w:p>
    <w:p w:rsidR="00843A81" w:rsidRDefault="00843A81" w:rsidP="00843A81">
      <w:pPr>
        <w:rPr>
          <w:bCs/>
          <w:sz w:val="24"/>
          <w:szCs w:val="24"/>
        </w:rPr>
      </w:pPr>
      <w:r w:rsidRPr="0012760D">
        <w:rPr>
          <w:bCs/>
          <w:sz w:val="24"/>
          <w:szCs w:val="24"/>
        </w:rPr>
        <w:t>&lt;pp&gt; 19</w:t>
      </w:r>
    </w:p>
    <w:p w:rsidR="00B7598F" w:rsidRDefault="00B7598F" w:rsidP="00843A81">
      <w:pPr>
        <w:rPr>
          <w:bCs/>
          <w:sz w:val="24"/>
          <w:szCs w:val="24"/>
        </w:rPr>
      </w:pPr>
    </w:p>
    <w:p w:rsidR="00B7598F" w:rsidRPr="0012760D" w:rsidRDefault="00B7598F" w:rsidP="00843A81">
      <w:pPr>
        <w:rPr>
          <w:sz w:val="24"/>
          <w:szCs w:val="24"/>
        </w:rPr>
      </w:pPr>
    </w:p>
    <w:p w:rsidR="00843A81" w:rsidRDefault="00843A81" w:rsidP="00B7598F">
      <w:pPr>
        <w:pStyle w:val="Heading1"/>
      </w:pPr>
      <w:r w:rsidRPr="0012760D">
        <w:t>Resource Efficiency</w:t>
      </w:r>
    </w:p>
    <w:p w:rsidR="00B7598F" w:rsidRPr="0012760D" w:rsidRDefault="00B7598F" w:rsidP="00843A81">
      <w:pPr>
        <w:rPr>
          <w:sz w:val="24"/>
          <w:szCs w:val="24"/>
        </w:rPr>
      </w:pPr>
    </w:p>
    <w:p w:rsidR="00843A81" w:rsidRDefault="00843A81" w:rsidP="00843A81">
      <w:pPr>
        <w:rPr>
          <w:bCs/>
          <w:sz w:val="24"/>
          <w:szCs w:val="24"/>
        </w:rPr>
      </w:pPr>
      <w:r w:rsidRPr="0012760D">
        <w:rPr>
          <w:bCs/>
          <w:sz w:val="24"/>
          <w:szCs w:val="24"/>
        </w:rPr>
        <w:t>Our approach to resource efficiency is to maximise the value derived from energy and materials resources used in Victoria while minimising environmental impact. We work with targeted sectors to implement leading, cost-effective practices that offer Victorians the best opportunities to conserve resources.</w:t>
      </w:r>
    </w:p>
    <w:p w:rsidR="00B7598F" w:rsidRPr="0012760D" w:rsidRDefault="00B7598F" w:rsidP="00843A81">
      <w:pPr>
        <w:rPr>
          <w:sz w:val="24"/>
          <w:szCs w:val="24"/>
        </w:rPr>
      </w:pPr>
    </w:p>
    <w:p w:rsidR="00843A81" w:rsidRPr="0012760D" w:rsidRDefault="00843A81" w:rsidP="00843A81">
      <w:pPr>
        <w:rPr>
          <w:sz w:val="24"/>
          <w:szCs w:val="24"/>
        </w:rPr>
      </w:pPr>
      <w:r w:rsidRPr="0012760D">
        <w:rPr>
          <w:sz w:val="24"/>
          <w:szCs w:val="24"/>
        </w:rPr>
        <w:t>The current whole-of-government policy outcomes for resource efficiency are:*</w:t>
      </w:r>
    </w:p>
    <w:p w:rsidR="00843A81" w:rsidRPr="0012760D" w:rsidRDefault="00843A81" w:rsidP="00843A81">
      <w:pPr>
        <w:rPr>
          <w:sz w:val="24"/>
          <w:szCs w:val="24"/>
        </w:rPr>
      </w:pPr>
      <w:r w:rsidRPr="0012760D">
        <w:rPr>
          <w:sz w:val="24"/>
          <w:szCs w:val="24"/>
        </w:rPr>
        <w:t>Reduced pressures on cost of doing business</w:t>
      </w:r>
    </w:p>
    <w:p w:rsidR="00843A81" w:rsidRPr="0012760D" w:rsidRDefault="00843A81" w:rsidP="00843A81">
      <w:pPr>
        <w:rPr>
          <w:sz w:val="24"/>
          <w:szCs w:val="24"/>
        </w:rPr>
      </w:pPr>
      <w:r w:rsidRPr="0012760D">
        <w:rPr>
          <w:sz w:val="24"/>
          <w:szCs w:val="24"/>
        </w:rPr>
        <w:t>Reduced pressures on cost of living</w:t>
      </w:r>
    </w:p>
    <w:p w:rsidR="00843A81" w:rsidRPr="0012760D" w:rsidRDefault="00843A81" w:rsidP="00843A81">
      <w:pPr>
        <w:rPr>
          <w:sz w:val="24"/>
          <w:szCs w:val="24"/>
        </w:rPr>
      </w:pPr>
      <w:r w:rsidRPr="0012760D">
        <w:rPr>
          <w:sz w:val="24"/>
          <w:szCs w:val="24"/>
        </w:rPr>
        <w:t>Reduced harm from emissions</w:t>
      </w:r>
    </w:p>
    <w:p w:rsidR="00843A81" w:rsidRDefault="00843A81" w:rsidP="00843A81">
      <w:pPr>
        <w:rPr>
          <w:sz w:val="24"/>
          <w:szCs w:val="24"/>
        </w:rPr>
      </w:pPr>
      <w:r w:rsidRPr="0012760D">
        <w:rPr>
          <w:sz w:val="24"/>
          <w:szCs w:val="24"/>
        </w:rPr>
        <w:t>Secure, reliable energy supply and distribution</w:t>
      </w:r>
    </w:p>
    <w:p w:rsidR="00B7598F" w:rsidRPr="0012760D" w:rsidRDefault="00B7598F" w:rsidP="00843A81">
      <w:pPr>
        <w:rPr>
          <w:sz w:val="24"/>
          <w:szCs w:val="24"/>
        </w:rPr>
      </w:pPr>
    </w:p>
    <w:p w:rsidR="00843A81" w:rsidRPr="0012760D" w:rsidRDefault="00843A81" w:rsidP="00843A81">
      <w:pPr>
        <w:rPr>
          <w:sz w:val="24"/>
          <w:szCs w:val="24"/>
        </w:rPr>
      </w:pPr>
      <w:r w:rsidRPr="0012760D">
        <w:rPr>
          <w:sz w:val="24"/>
          <w:szCs w:val="24"/>
        </w:rPr>
        <w:t>In working towards the SV2015 outcomes for resource efficiency, our current areas of focus are:</w:t>
      </w:r>
    </w:p>
    <w:p w:rsidR="00843A81" w:rsidRPr="0012760D" w:rsidRDefault="00843A81" w:rsidP="00843A81">
      <w:pPr>
        <w:rPr>
          <w:sz w:val="24"/>
          <w:szCs w:val="24"/>
        </w:rPr>
      </w:pPr>
      <w:r w:rsidRPr="0012760D">
        <w:rPr>
          <w:sz w:val="24"/>
          <w:szCs w:val="24"/>
        </w:rPr>
        <w:t>• increasing energy efficiency of selected sectors in commercial office buildings and households</w:t>
      </w:r>
    </w:p>
    <w:p w:rsidR="00843A81" w:rsidRPr="0012760D" w:rsidRDefault="00843A81" w:rsidP="00843A81">
      <w:pPr>
        <w:rPr>
          <w:sz w:val="24"/>
          <w:szCs w:val="24"/>
        </w:rPr>
      </w:pPr>
      <w:r w:rsidRPr="0012760D">
        <w:rPr>
          <w:sz w:val="24"/>
          <w:szCs w:val="24"/>
        </w:rPr>
        <w:t>• increasing energy and materials efficiency of selected stakeholders in medium enterprises and schools</w:t>
      </w:r>
    </w:p>
    <w:p w:rsidR="00843A81" w:rsidRDefault="00843A81" w:rsidP="00843A81">
      <w:pPr>
        <w:rPr>
          <w:sz w:val="24"/>
          <w:szCs w:val="24"/>
        </w:rPr>
      </w:pPr>
      <w:r w:rsidRPr="0012760D">
        <w:rPr>
          <w:sz w:val="24"/>
          <w:szCs w:val="24"/>
        </w:rPr>
        <w:t>• increasing uptake of technologies that reduce environmental impacts as part of an integrated approach to energy efficiency in targeted sectors.</w:t>
      </w:r>
    </w:p>
    <w:p w:rsidR="00B7598F" w:rsidRPr="0012760D" w:rsidRDefault="00B7598F" w:rsidP="00843A81">
      <w:pPr>
        <w:rPr>
          <w:sz w:val="24"/>
          <w:szCs w:val="24"/>
        </w:rPr>
      </w:pPr>
    </w:p>
    <w:p w:rsidR="00843A81" w:rsidRDefault="00843A81" w:rsidP="00843A81">
      <w:pPr>
        <w:rPr>
          <w:sz w:val="24"/>
          <w:szCs w:val="24"/>
        </w:rPr>
      </w:pPr>
      <w:r w:rsidRPr="0012760D">
        <w:rPr>
          <w:sz w:val="24"/>
          <w:szCs w:val="24"/>
        </w:rPr>
        <w:t>* Outcomes are reviewed in accordance with any future Victorian Government policies.</w:t>
      </w:r>
    </w:p>
    <w:p w:rsidR="00B7598F" w:rsidRDefault="00B7598F" w:rsidP="00843A81">
      <w:pPr>
        <w:rPr>
          <w:sz w:val="24"/>
          <w:szCs w:val="24"/>
        </w:rPr>
      </w:pPr>
    </w:p>
    <w:p w:rsidR="00B7598F" w:rsidRPr="0012760D" w:rsidRDefault="00B7598F" w:rsidP="00843A81">
      <w:pPr>
        <w:rPr>
          <w:sz w:val="24"/>
          <w:szCs w:val="24"/>
        </w:rPr>
      </w:pPr>
    </w:p>
    <w:p w:rsidR="00843A81" w:rsidRDefault="00843A81" w:rsidP="00B7598F">
      <w:pPr>
        <w:pStyle w:val="Heading2"/>
      </w:pPr>
      <w:r w:rsidRPr="0012760D">
        <w:t>1. Energy Efficiency</w:t>
      </w:r>
    </w:p>
    <w:p w:rsidR="00B7598F" w:rsidRPr="0012760D" w:rsidRDefault="00B7598F" w:rsidP="00843A81">
      <w:pPr>
        <w:rPr>
          <w:sz w:val="24"/>
          <w:szCs w:val="24"/>
        </w:rPr>
      </w:pPr>
    </w:p>
    <w:p w:rsidR="00843A81" w:rsidRDefault="00843A81" w:rsidP="00843A81">
      <w:pPr>
        <w:rPr>
          <w:sz w:val="24"/>
          <w:szCs w:val="24"/>
        </w:rPr>
      </w:pPr>
      <w:r w:rsidRPr="0012760D">
        <w:rPr>
          <w:sz w:val="24"/>
          <w:szCs w:val="24"/>
        </w:rPr>
        <w:t>Increasing energy efficiency of selected sectors in commercial office buildings and households</w:t>
      </w:r>
    </w:p>
    <w:p w:rsidR="00B7598F" w:rsidRDefault="00B7598F" w:rsidP="00843A81">
      <w:pPr>
        <w:rPr>
          <w:sz w:val="24"/>
          <w:szCs w:val="24"/>
        </w:rPr>
      </w:pPr>
    </w:p>
    <w:p w:rsidR="00B7598F" w:rsidRPr="0012760D" w:rsidRDefault="00B7598F" w:rsidP="00843A81">
      <w:pPr>
        <w:rPr>
          <w:sz w:val="24"/>
          <w:szCs w:val="24"/>
        </w:rPr>
      </w:pPr>
    </w:p>
    <w:p w:rsidR="00843A81" w:rsidRDefault="00843A81" w:rsidP="00B7598F">
      <w:pPr>
        <w:pStyle w:val="Heading3"/>
      </w:pPr>
      <w:r w:rsidRPr="0012760D">
        <w:t>Current Focus</w:t>
      </w:r>
    </w:p>
    <w:p w:rsidR="00B7598F" w:rsidRPr="0012760D" w:rsidRDefault="00B7598F" w:rsidP="00843A81">
      <w:pPr>
        <w:rPr>
          <w:sz w:val="24"/>
          <w:szCs w:val="24"/>
        </w:rPr>
      </w:pPr>
    </w:p>
    <w:p w:rsidR="00843A81" w:rsidRDefault="00843A81" w:rsidP="00B7598F">
      <w:pPr>
        <w:pStyle w:val="Heading4"/>
      </w:pPr>
      <w:r w:rsidRPr="0012760D">
        <w:t>i. Households</w:t>
      </w:r>
    </w:p>
    <w:p w:rsidR="00B7598F" w:rsidRPr="0012760D" w:rsidRDefault="00B7598F" w:rsidP="00843A81">
      <w:pPr>
        <w:rPr>
          <w:sz w:val="24"/>
          <w:szCs w:val="24"/>
        </w:rPr>
      </w:pPr>
    </w:p>
    <w:p w:rsidR="00843A81" w:rsidRDefault="00843A81" w:rsidP="00843A81">
      <w:pPr>
        <w:rPr>
          <w:sz w:val="24"/>
          <w:szCs w:val="24"/>
        </w:rPr>
      </w:pPr>
      <w:r w:rsidRPr="0012760D">
        <w:rPr>
          <w:sz w:val="24"/>
          <w:szCs w:val="24"/>
        </w:rPr>
        <w:t>Many householders are concerned about rising energy prices. While the link between energy use and energy bills is generally clear to householders, some believe there is little they can do to reduce their energy use besides investing in high-cost products. They are therefore looking for practical advice, but are sceptical about the credibility of some sources of energy efficiency information. Householders mostly prefer to receive advice from independent, trustworthy sources, such as government.</w:t>
      </w:r>
    </w:p>
    <w:p w:rsidR="00B7598F" w:rsidRDefault="00B7598F" w:rsidP="00843A81">
      <w:pPr>
        <w:rPr>
          <w:sz w:val="24"/>
          <w:szCs w:val="24"/>
        </w:rPr>
      </w:pPr>
    </w:p>
    <w:p w:rsidR="00B7598F" w:rsidRPr="0012760D" w:rsidRDefault="00B7598F" w:rsidP="00843A81">
      <w:pPr>
        <w:rPr>
          <w:sz w:val="24"/>
          <w:szCs w:val="24"/>
        </w:rPr>
      </w:pPr>
    </w:p>
    <w:p w:rsidR="00843A81" w:rsidRDefault="00843A81" w:rsidP="00B7598F">
      <w:pPr>
        <w:pStyle w:val="Heading4"/>
      </w:pPr>
      <w:r w:rsidRPr="0012760D">
        <w:t>i i. Commercial Office Buildings</w:t>
      </w:r>
    </w:p>
    <w:p w:rsidR="00B7598F" w:rsidRPr="0012760D" w:rsidRDefault="00B7598F" w:rsidP="00843A81">
      <w:pPr>
        <w:rPr>
          <w:sz w:val="24"/>
          <w:szCs w:val="24"/>
        </w:rPr>
      </w:pPr>
    </w:p>
    <w:p w:rsidR="00843A81" w:rsidRDefault="00843A81" w:rsidP="00843A81">
      <w:pPr>
        <w:rPr>
          <w:sz w:val="24"/>
          <w:szCs w:val="24"/>
        </w:rPr>
      </w:pPr>
      <w:r w:rsidRPr="0012760D">
        <w:rPr>
          <w:sz w:val="24"/>
          <w:szCs w:val="24"/>
        </w:rPr>
        <w:t>Buildings represent the fastest-growing sector for energy use and greenhouse gas emissions in Australia. Commercial buildings account for 10% of national emissions, compared to 13% for households.</w:t>
      </w:r>
    </w:p>
    <w:p w:rsidR="00B7598F" w:rsidRPr="0012760D" w:rsidRDefault="00B7598F" w:rsidP="00843A81">
      <w:pPr>
        <w:rPr>
          <w:sz w:val="24"/>
          <w:szCs w:val="24"/>
        </w:rPr>
      </w:pPr>
    </w:p>
    <w:p w:rsidR="00843A81" w:rsidRDefault="00843A81" w:rsidP="00843A81">
      <w:pPr>
        <w:rPr>
          <w:sz w:val="24"/>
          <w:szCs w:val="24"/>
        </w:rPr>
      </w:pPr>
      <w:r w:rsidRPr="0012760D">
        <w:rPr>
          <w:sz w:val="24"/>
          <w:szCs w:val="24"/>
        </w:rPr>
        <w:t>Research we commissioned demonstrates that existing mid-tier office buildings constitute more than 50% of Victoria</w:t>
      </w:r>
      <w:r w:rsidR="00907E0B" w:rsidRPr="0012760D">
        <w:rPr>
          <w:sz w:val="24"/>
          <w:szCs w:val="24"/>
        </w:rPr>
        <w:t>'</w:t>
      </w:r>
      <w:r w:rsidRPr="0012760D">
        <w:rPr>
          <w:sz w:val="24"/>
          <w:szCs w:val="24"/>
        </w:rPr>
        <w:t xml:space="preserve">s office market by floor area and more than 80% of the total number of office buildings. They are estimated to emit more than 1.3 million tonnes of </w:t>
      </w:r>
      <w:r w:rsidR="00FC127D">
        <w:rPr>
          <w:sz w:val="24"/>
          <w:szCs w:val="24"/>
        </w:rPr>
        <w:t>C O</w:t>
      </w:r>
      <w:r w:rsidR="00FC127D" w:rsidRPr="00FC127D">
        <w:rPr>
          <w:sz w:val="24"/>
          <w:szCs w:val="24"/>
          <w:vertAlign w:val="superscript"/>
        </w:rPr>
        <w:t>2</w:t>
      </w:r>
      <w:r w:rsidRPr="0012760D">
        <w:rPr>
          <w:sz w:val="24"/>
          <w:szCs w:val="24"/>
        </w:rPr>
        <w:t>-e per annum.</w:t>
      </w:r>
    </w:p>
    <w:p w:rsidR="00B7598F" w:rsidRDefault="00B7598F" w:rsidP="00843A81">
      <w:pPr>
        <w:rPr>
          <w:sz w:val="24"/>
          <w:szCs w:val="24"/>
        </w:rPr>
      </w:pPr>
    </w:p>
    <w:p w:rsidR="00B7598F" w:rsidRPr="0012760D" w:rsidRDefault="00B7598F" w:rsidP="00843A81">
      <w:pPr>
        <w:rPr>
          <w:sz w:val="24"/>
          <w:szCs w:val="24"/>
        </w:rPr>
      </w:pPr>
    </w:p>
    <w:p w:rsidR="00843A81" w:rsidRDefault="00843A81" w:rsidP="00B7598F">
      <w:pPr>
        <w:pStyle w:val="Heading3"/>
      </w:pPr>
      <w:r w:rsidRPr="0012760D">
        <w:t>Impact of Previous Market Incentives</w:t>
      </w:r>
    </w:p>
    <w:p w:rsidR="00B7598F" w:rsidRPr="0012760D" w:rsidRDefault="00B7598F" w:rsidP="00843A81">
      <w:pPr>
        <w:rPr>
          <w:sz w:val="24"/>
          <w:szCs w:val="24"/>
        </w:rPr>
      </w:pPr>
    </w:p>
    <w:p w:rsidR="00843A81" w:rsidRDefault="00843A81" w:rsidP="00843A81">
      <w:pPr>
        <w:rPr>
          <w:sz w:val="24"/>
          <w:szCs w:val="24"/>
        </w:rPr>
      </w:pPr>
      <w:r w:rsidRPr="0012760D">
        <w:rPr>
          <w:sz w:val="24"/>
          <w:szCs w:val="24"/>
        </w:rPr>
        <w:t>Government programs and market-based incentives to achieve energy efficiency have not had a significant impact in the mid-tier commercial office building sector.</w:t>
      </w:r>
    </w:p>
    <w:p w:rsidR="00B7598F" w:rsidRPr="0012760D" w:rsidRDefault="00B7598F" w:rsidP="00843A81">
      <w:pPr>
        <w:rPr>
          <w:sz w:val="24"/>
          <w:szCs w:val="24"/>
        </w:rPr>
      </w:pPr>
    </w:p>
    <w:p w:rsidR="00843A81" w:rsidRPr="0012760D" w:rsidRDefault="00843A81" w:rsidP="00843A81">
      <w:pPr>
        <w:rPr>
          <w:sz w:val="24"/>
          <w:szCs w:val="24"/>
        </w:rPr>
      </w:pPr>
      <w:r w:rsidRPr="0012760D">
        <w:rPr>
          <w:sz w:val="24"/>
          <w:szCs w:val="24"/>
        </w:rPr>
        <w:t>Reasons for this include:</w:t>
      </w:r>
    </w:p>
    <w:p w:rsidR="00843A81" w:rsidRPr="0012760D" w:rsidRDefault="00843A81" w:rsidP="00843A81">
      <w:pPr>
        <w:rPr>
          <w:sz w:val="24"/>
          <w:szCs w:val="24"/>
        </w:rPr>
      </w:pPr>
      <w:r w:rsidRPr="0012760D">
        <w:rPr>
          <w:sz w:val="24"/>
          <w:szCs w:val="24"/>
        </w:rPr>
        <w:t xml:space="preserve">• More than 2,100 B </w:t>
      </w:r>
      <w:r w:rsidR="00236A13">
        <w:rPr>
          <w:sz w:val="24"/>
          <w:szCs w:val="24"/>
        </w:rPr>
        <w:t>and</w:t>
      </w:r>
      <w:r w:rsidRPr="0012760D">
        <w:rPr>
          <w:sz w:val="24"/>
          <w:szCs w:val="24"/>
        </w:rPr>
        <w:t xml:space="preserve"> C grade buildings are exempt from commercial building disclosure legislation due to their size, according to research we commissioned in 2011.</w:t>
      </w:r>
    </w:p>
    <w:p w:rsidR="00843A81" w:rsidRPr="0012760D" w:rsidRDefault="00843A81" w:rsidP="00843A81">
      <w:pPr>
        <w:rPr>
          <w:sz w:val="24"/>
          <w:szCs w:val="24"/>
        </w:rPr>
      </w:pPr>
      <w:r w:rsidRPr="0012760D">
        <w:rPr>
          <w:sz w:val="24"/>
          <w:szCs w:val="24"/>
        </w:rPr>
        <w:t>• Non-CBD properties and regional buildings do not have access to the Sustainable Melbourne Fund finance mechanism of environment upgrade agreements (</w:t>
      </w:r>
      <w:r w:rsidR="0071725E">
        <w:rPr>
          <w:sz w:val="24"/>
          <w:szCs w:val="24"/>
        </w:rPr>
        <w:t>EUA</w:t>
      </w:r>
      <w:r w:rsidRPr="0012760D">
        <w:rPr>
          <w:sz w:val="24"/>
          <w:szCs w:val="24"/>
        </w:rPr>
        <w:t>s), and have been largely unaffected by past government funding schemes.</w:t>
      </w:r>
    </w:p>
    <w:p w:rsidR="00843A81" w:rsidRPr="0012760D" w:rsidRDefault="00843A81" w:rsidP="00843A81">
      <w:pPr>
        <w:rPr>
          <w:sz w:val="24"/>
          <w:szCs w:val="24"/>
        </w:rPr>
      </w:pPr>
      <w:r w:rsidRPr="0012760D">
        <w:rPr>
          <w:sz w:val="24"/>
          <w:szCs w:val="24"/>
        </w:rPr>
        <w:t xml:space="preserve">• Most mid-tier office buildings have not been upgraded to the standard of new developments of premium and A-grade buildings, based on the National Australian </w:t>
      </w:r>
      <w:r w:rsidRPr="0012760D">
        <w:rPr>
          <w:sz w:val="24"/>
          <w:szCs w:val="24"/>
        </w:rPr>
        <w:lastRenderedPageBreak/>
        <w:t>Built Environment Rating System (NABERS) and Green Star ratings.</w:t>
      </w:r>
    </w:p>
    <w:p w:rsidR="008E0B83" w:rsidRDefault="008E0B83" w:rsidP="008E0B83">
      <w:pPr>
        <w:rPr>
          <w:bCs/>
          <w:sz w:val="24"/>
          <w:szCs w:val="24"/>
        </w:rPr>
      </w:pPr>
      <w:r w:rsidRPr="0012760D">
        <w:rPr>
          <w:bCs/>
          <w:sz w:val="24"/>
          <w:szCs w:val="24"/>
        </w:rPr>
        <w:t>&lt;pp&gt; 20</w:t>
      </w:r>
    </w:p>
    <w:p w:rsidR="00800153" w:rsidRDefault="00800153" w:rsidP="008E0B83">
      <w:pPr>
        <w:rPr>
          <w:bCs/>
          <w:sz w:val="24"/>
          <w:szCs w:val="24"/>
        </w:rPr>
      </w:pPr>
    </w:p>
    <w:p w:rsidR="00800153" w:rsidRPr="0012760D" w:rsidRDefault="00800153" w:rsidP="008E0B83">
      <w:pPr>
        <w:rPr>
          <w:sz w:val="24"/>
          <w:szCs w:val="24"/>
        </w:rPr>
      </w:pPr>
    </w:p>
    <w:p w:rsidR="008E0B83" w:rsidRDefault="008E0B83" w:rsidP="00800153">
      <w:pPr>
        <w:pStyle w:val="Heading2"/>
      </w:pPr>
      <w:r w:rsidRPr="0012760D">
        <w:t>Key Achievements</w:t>
      </w:r>
    </w:p>
    <w:p w:rsidR="00800153" w:rsidRPr="0012760D" w:rsidRDefault="00800153" w:rsidP="008E0B83">
      <w:pPr>
        <w:rPr>
          <w:sz w:val="24"/>
          <w:szCs w:val="24"/>
        </w:rPr>
      </w:pPr>
    </w:p>
    <w:p w:rsidR="008E0B83" w:rsidRDefault="008E0B83" w:rsidP="00800153">
      <w:pPr>
        <w:pStyle w:val="Heading3"/>
      </w:pPr>
      <w:r w:rsidRPr="0012760D">
        <w:t>i. Households</w:t>
      </w:r>
    </w:p>
    <w:p w:rsidR="00800153" w:rsidRPr="0012760D" w:rsidRDefault="00800153" w:rsidP="008E0B83">
      <w:pPr>
        <w:rPr>
          <w:sz w:val="24"/>
          <w:szCs w:val="24"/>
        </w:rPr>
      </w:pPr>
    </w:p>
    <w:p w:rsidR="008E0B83" w:rsidRDefault="008E0B83" w:rsidP="008E0B83">
      <w:pPr>
        <w:rPr>
          <w:sz w:val="24"/>
          <w:szCs w:val="24"/>
        </w:rPr>
      </w:pPr>
      <w:r w:rsidRPr="0012760D">
        <w:rPr>
          <w:sz w:val="24"/>
          <w:szCs w:val="24"/>
        </w:rPr>
        <w:t>A total of 1,737 energy-use rebates were paid to households over the year (representing 104% of the re-forecast target). These were provided for solar or gas hot-water use (1,145 rebates), gas-heater installations (250), whitegoods purchases (317) and rainwater tanks for bushfire-affected households (25). Together, the households receiving the rebates are estimated to save the equivalent of 10,109 GJ of energy per year.</w:t>
      </w:r>
    </w:p>
    <w:p w:rsidR="00800153" w:rsidRPr="0012760D" w:rsidRDefault="00800153" w:rsidP="008E0B83">
      <w:pPr>
        <w:rPr>
          <w:sz w:val="24"/>
          <w:szCs w:val="24"/>
        </w:rPr>
      </w:pPr>
    </w:p>
    <w:p w:rsidR="008E0B83" w:rsidRDefault="008E0B83" w:rsidP="008E0B83">
      <w:pPr>
        <w:rPr>
          <w:sz w:val="24"/>
          <w:szCs w:val="24"/>
        </w:rPr>
      </w:pPr>
      <w:r w:rsidRPr="0012760D">
        <w:rPr>
          <w:sz w:val="24"/>
          <w:szCs w:val="24"/>
        </w:rPr>
        <w:t>Households purchasing appliances are provided with information and advice about energy efficiency through retailers. By the end of the financial year, 395 retailers across Victoria were providing their customers with materials from our Smarter Choice retail program, with a total of 1,745 retail staff trained in the use of these materials.</w:t>
      </w:r>
    </w:p>
    <w:p w:rsidR="00800153" w:rsidRPr="0012760D" w:rsidRDefault="00800153" w:rsidP="008E0B83">
      <w:pPr>
        <w:rPr>
          <w:sz w:val="24"/>
          <w:szCs w:val="24"/>
        </w:rPr>
      </w:pPr>
    </w:p>
    <w:p w:rsidR="008E0B83" w:rsidRDefault="008E0B83" w:rsidP="008E0B83">
      <w:pPr>
        <w:rPr>
          <w:sz w:val="24"/>
          <w:szCs w:val="24"/>
        </w:rPr>
      </w:pPr>
      <w:r w:rsidRPr="0012760D">
        <w:rPr>
          <w:sz w:val="24"/>
          <w:szCs w:val="24"/>
        </w:rPr>
        <w:t>Of the 90% of appliance retailers on board, 95% believe that there have been changes to consumer awareness through the program. Furthermore, 90% declared that the program has increased sales of energy-efficient products.</w:t>
      </w:r>
    </w:p>
    <w:p w:rsidR="00800153" w:rsidRPr="0012760D" w:rsidRDefault="00800153" w:rsidP="008E0B83">
      <w:pPr>
        <w:rPr>
          <w:sz w:val="24"/>
          <w:szCs w:val="24"/>
        </w:rPr>
      </w:pPr>
    </w:p>
    <w:p w:rsidR="008E0B83" w:rsidRDefault="008E0B83" w:rsidP="008E0B83">
      <w:pPr>
        <w:rPr>
          <w:sz w:val="24"/>
          <w:szCs w:val="24"/>
        </w:rPr>
      </w:pPr>
      <w:r w:rsidRPr="0012760D">
        <w:rPr>
          <w:sz w:val="24"/>
          <w:szCs w:val="24"/>
        </w:rPr>
        <w:t>Going forward we will intensify the measurement of program attribution through online and store-exit surveys.</w:t>
      </w:r>
    </w:p>
    <w:p w:rsidR="00800153" w:rsidRPr="0012760D" w:rsidRDefault="00800153" w:rsidP="008E0B83">
      <w:pPr>
        <w:rPr>
          <w:sz w:val="24"/>
          <w:szCs w:val="24"/>
        </w:rPr>
      </w:pPr>
    </w:p>
    <w:p w:rsidR="008E0B83" w:rsidRDefault="008E0B83" w:rsidP="008E0B83">
      <w:pPr>
        <w:rPr>
          <w:sz w:val="24"/>
          <w:szCs w:val="24"/>
        </w:rPr>
      </w:pPr>
      <w:r w:rsidRPr="0012760D">
        <w:rPr>
          <w:sz w:val="24"/>
          <w:szCs w:val="24"/>
        </w:rPr>
        <w:t>As part of the Energy and Water Taskforce project, 282 low-income households received a free home retrofit. Of these households, 166 were in the Shire of Yarra Ranges and 116 were in the Shires of Central Goldfields, Pyrenees and Loddon.</w:t>
      </w:r>
    </w:p>
    <w:p w:rsidR="00800153" w:rsidRPr="0012760D" w:rsidRDefault="00800153" w:rsidP="008E0B83">
      <w:pPr>
        <w:rPr>
          <w:sz w:val="24"/>
          <w:szCs w:val="24"/>
        </w:rPr>
      </w:pPr>
    </w:p>
    <w:p w:rsidR="008E0B83" w:rsidRPr="0012760D" w:rsidRDefault="008E0B83" w:rsidP="008E0B83">
      <w:pPr>
        <w:rPr>
          <w:sz w:val="24"/>
          <w:szCs w:val="24"/>
        </w:rPr>
      </w:pPr>
      <w:r w:rsidRPr="0012760D">
        <w:rPr>
          <w:sz w:val="24"/>
          <w:szCs w:val="24"/>
        </w:rPr>
        <w:t>We have conducted research to inform future opportunities to improve household energy efficiency, including:</w:t>
      </w:r>
    </w:p>
    <w:p w:rsidR="008E0B83" w:rsidRDefault="008E0B83" w:rsidP="008E0B83">
      <w:pPr>
        <w:rPr>
          <w:sz w:val="24"/>
          <w:szCs w:val="24"/>
        </w:rPr>
      </w:pPr>
      <w:r w:rsidRPr="0012760D">
        <w:rPr>
          <w:sz w:val="24"/>
          <w:szCs w:val="24"/>
        </w:rPr>
        <w:t>• an evaluation of householder information needs</w:t>
      </w:r>
    </w:p>
    <w:p w:rsidR="00800153" w:rsidRPr="0012760D" w:rsidRDefault="00800153" w:rsidP="008E0B83">
      <w:pPr>
        <w:rPr>
          <w:sz w:val="24"/>
          <w:szCs w:val="24"/>
        </w:rPr>
      </w:pPr>
    </w:p>
    <w:p w:rsidR="008E0B83" w:rsidRDefault="008E0B83" w:rsidP="008E0B83">
      <w:pPr>
        <w:rPr>
          <w:sz w:val="24"/>
          <w:szCs w:val="24"/>
        </w:rPr>
      </w:pPr>
      <w:r w:rsidRPr="0012760D">
        <w:rPr>
          <w:bCs/>
          <w:sz w:val="24"/>
          <w:szCs w:val="24"/>
        </w:rPr>
        <w:t xml:space="preserve">Conclusion: </w:t>
      </w:r>
      <w:r w:rsidRPr="0012760D">
        <w:rPr>
          <w:sz w:val="24"/>
          <w:szCs w:val="24"/>
        </w:rPr>
        <w:t>Focus groups conducted with householders confirmed that householders are concerned about energy costs and want to save money, and that to do this they need evidence-based, action-focused information that can be customised to meet their specific needs with a "how to" and "what's in it for me" emphasis.</w:t>
      </w:r>
    </w:p>
    <w:p w:rsidR="00800153" w:rsidRPr="0012760D" w:rsidRDefault="00800153" w:rsidP="008E0B83">
      <w:pPr>
        <w:rPr>
          <w:sz w:val="24"/>
          <w:szCs w:val="24"/>
        </w:rPr>
      </w:pPr>
    </w:p>
    <w:p w:rsidR="008E0B83" w:rsidRDefault="008E0B83" w:rsidP="008E0B83">
      <w:pPr>
        <w:rPr>
          <w:sz w:val="24"/>
          <w:szCs w:val="24"/>
        </w:rPr>
      </w:pPr>
      <w:r w:rsidRPr="0012760D">
        <w:rPr>
          <w:sz w:val="24"/>
          <w:szCs w:val="24"/>
        </w:rPr>
        <w:t>• technical research to assess the impact of home upgrades on energy use</w:t>
      </w:r>
    </w:p>
    <w:p w:rsidR="00800153" w:rsidRPr="0012760D" w:rsidRDefault="00800153" w:rsidP="008E0B83">
      <w:pPr>
        <w:rPr>
          <w:sz w:val="24"/>
          <w:szCs w:val="24"/>
        </w:rPr>
      </w:pPr>
    </w:p>
    <w:p w:rsidR="008E0B83" w:rsidRDefault="008E0B83" w:rsidP="008E0B83">
      <w:pPr>
        <w:rPr>
          <w:sz w:val="24"/>
          <w:szCs w:val="24"/>
        </w:rPr>
      </w:pPr>
      <w:r w:rsidRPr="0012760D">
        <w:rPr>
          <w:b/>
          <w:bCs/>
          <w:sz w:val="24"/>
          <w:szCs w:val="24"/>
        </w:rPr>
        <w:t>Conclusion:</w:t>
      </w:r>
      <w:r w:rsidRPr="0012760D">
        <w:rPr>
          <w:bCs/>
          <w:sz w:val="24"/>
          <w:szCs w:val="24"/>
        </w:rPr>
        <w:t xml:space="preserve"> </w:t>
      </w:r>
      <w:r w:rsidRPr="0012760D">
        <w:rPr>
          <w:sz w:val="24"/>
          <w:szCs w:val="24"/>
        </w:rPr>
        <w:t>The on-ground assessment of a representative sample of Victoria's pre-2005 existing housing stock found an average house energy rating of 1.8 stars, and both modelling studies and physical retrofit trials have concluded that there is a range of cost-effective building shell, lighting and appliance upgrades that can be undertaken to improve the energy efficiency of a house.</w:t>
      </w:r>
    </w:p>
    <w:p w:rsidR="00800153" w:rsidRPr="0012760D" w:rsidRDefault="00800153" w:rsidP="008E0B83">
      <w:pPr>
        <w:rPr>
          <w:sz w:val="24"/>
          <w:szCs w:val="24"/>
        </w:rPr>
      </w:pPr>
    </w:p>
    <w:p w:rsidR="008E0B83" w:rsidRDefault="008E0B83" w:rsidP="008E0B83">
      <w:pPr>
        <w:rPr>
          <w:sz w:val="24"/>
          <w:szCs w:val="24"/>
        </w:rPr>
      </w:pPr>
      <w:r w:rsidRPr="0012760D">
        <w:rPr>
          <w:sz w:val="24"/>
          <w:szCs w:val="24"/>
        </w:rPr>
        <w:lastRenderedPageBreak/>
        <w:t>• a review of home renovations, particularly regarding the extent to which energy efficiency is considered in design and purchasing decisions</w:t>
      </w:r>
    </w:p>
    <w:p w:rsidR="00800153" w:rsidRPr="0012760D" w:rsidRDefault="00800153" w:rsidP="008E0B83">
      <w:pPr>
        <w:rPr>
          <w:sz w:val="24"/>
          <w:szCs w:val="24"/>
        </w:rPr>
      </w:pPr>
    </w:p>
    <w:p w:rsidR="008E0B83" w:rsidRDefault="008E0B83" w:rsidP="008E0B83">
      <w:pPr>
        <w:rPr>
          <w:sz w:val="24"/>
          <w:szCs w:val="24"/>
        </w:rPr>
      </w:pPr>
      <w:r w:rsidRPr="0012760D">
        <w:rPr>
          <w:bCs/>
          <w:sz w:val="24"/>
          <w:szCs w:val="24"/>
        </w:rPr>
        <w:t xml:space="preserve">Conclusion: </w:t>
      </w:r>
      <w:r w:rsidRPr="0012760D">
        <w:rPr>
          <w:sz w:val="24"/>
          <w:szCs w:val="24"/>
        </w:rPr>
        <w:t>The on-site inspection of 20 recent renovations revealed a number of sub-optimal practices that deliver an energy-efficiency outcome worse than what it could be. An online survey and focus groups conducted with recent home renovators showed that 89% of renovators regarded energy efficiency as important in their renovation. They trusted their own research and knowledge, gained mainly through the internet, and advice from family and friends to design their renovation.</w:t>
      </w:r>
    </w:p>
    <w:p w:rsidR="00800153" w:rsidRPr="0012760D" w:rsidRDefault="00800153" w:rsidP="008E0B83">
      <w:pPr>
        <w:rPr>
          <w:sz w:val="24"/>
          <w:szCs w:val="24"/>
        </w:rPr>
      </w:pPr>
    </w:p>
    <w:p w:rsidR="008E0B83" w:rsidRDefault="008E0B83" w:rsidP="008E0B83">
      <w:pPr>
        <w:rPr>
          <w:sz w:val="24"/>
          <w:szCs w:val="24"/>
        </w:rPr>
      </w:pPr>
      <w:r w:rsidRPr="0012760D">
        <w:rPr>
          <w:sz w:val="24"/>
          <w:szCs w:val="24"/>
        </w:rPr>
        <w:t>The findings of this research are being used to inform the design, development and rollout of a more effective energy-information and advice offering to householders during 2013 to 14.</w:t>
      </w:r>
    </w:p>
    <w:p w:rsidR="00800153" w:rsidRDefault="00800153" w:rsidP="008E0B83">
      <w:pPr>
        <w:rPr>
          <w:sz w:val="24"/>
          <w:szCs w:val="24"/>
        </w:rPr>
      </w:pPr>
    </w:p>
    <w:p w:rsidR="00800153" w:rsidRPr="0012760D" w:rsidRDefault="00800153" w:rsidP="008E0B83">
      <w:pPr>
        <w:rPr>
          <w:sz w:val="24"/>
          <w:szCs w:val="24"/>
        </w:rPr>
      </w:pPr>
    </w:p>
    <w:p w:rsidR="008E0B83" w:rsidRDefault="008E0B83" w:rsidP="00800153">
      <w:pPr>
        <w:pStyle w:val="Heading3"/>
      </w:pPr>
      <w:r w:rsidRPr="0012760D">
        <w:t>i i Commercial office buildings</w:t>
      </w:r>
    </w:p>
    <w:p w:rsidR="00800153" w:rsidRPr="0012760D" w:rsidRDefault="00800153" w:rsidP="008E0B83">
      <w:pPr>
        <w:rPr>
          <w:sz w:val="24"/>
          <w:szCs w:val="24"/>
        </w:rPr>
      </w:pPr>
    </w:p>
    <w:p w:rsidR="008E0B83" w:rsidRDefault="008E0B83" w:rsidP="008E0B83">
      <w:pPr>
        <w:rPr>
          <w:sz w:val="24"/>
          <w:szCs w:val="24"/>
        </w:rPr>
      </w:pPr>
      <w:r w:rsidRPr="0012760D">
        <w:rPr>
          <w:sz w:val="24"/>
          <w:szCs w:val="24"/>
        </w:rPr>
        <w:t>In 2012, we reviewed the work we were undertaking in the built environment sector. As a result of this review, it was determined that the mid-tier office sector was a subset of buildings that were not fully realising the available energy efficiency opportunities. In order to better understand the sector, we commissioned the Next Wave report into the opportunities for energy efficiency in the mid-tier office market. This work has informed the development of the Smarter Resources, Smarter Business, Energy Efficient Office Buildings program, which is designed to support owners of mid-tier office buildings to improve the performance of their assets, saving money and energy.</w:t>
      </w:r>
    </w:p>
    <w:p w:rsidR="00800153" w:rsidRPr="0012760D" w:rsidRDefault="00800153" w:rsidP="008E0B83">
      <w:pPr>
        <w:rPr>
          <w:sz w:val="24"/>
          <w:szCs w:val="24"/>
        </w:rPr>
      </w:pPr>
    </w:p>
    <w:p w:rsidR="008E0B83" w:rsidRPr="0012760D" w:rsidRDefault="008E0B83" w:rsidP="008E0B83">
      <w:pPr>
        <w:rPr>
          <w:sz w:val="24"/>
          <w:szCs w:val="24"/>
        </w:rPr>
      </w:pPr>
      <w:r w:rsidRPr="0012760D">
        <w:rPr>
          <w:bCs/>
          <w:sz w:val="24"/>
          <w:szCs w:val="24"/>
        </w:rPr>
        <w:t>1,737</w:t>
      </w:r>
      <w:r w:rsidRPr="0012760D">
        <w:rPr>
          <w:sz w:val="24"/>
          <w:szCs w:val="24"/>
        </w:rPr>
        <w:t xml:space="preserve"> rebates paid to support energy efficiency in households</w:t>
      </w:r>
    </w:p>
    <w:p w:rsidR="008E0B83" w:rsidRPr="0012760D" w:rsidRDefault="008E0B83" w:rsidP="008E0B83">
      <w:pPr>
        <w:rPr>
          <w:sz w:val="24"/>
          <w:szCs w:val="24"/>
        </w:rPr>
      </w:pPr>
      <w:r w:rsidRPr="0012760D">
        <w:rPr>
          <w:bCs/>
          <w:sz w:val="24"/>
          <w:szCs w:val="24"/>
        </w:rPr>
        <w:t>282</w:t>
      </w:r>
      <w:r w:rsidRPr="0012760D">
        <w:rPr>
          <w:sz w:val="24"/>
          <w:szCs w:val="24"/>
        </w:rPr>
        <w:t xml:space="preserve"> low-income households received a free home retrofit</w:t>
      </w:r>
    </w:p>
    <w:p w:rsidR="008E0B83" w:rsidRPr="0012760D" w:rsidRDefault="008E0B83" w:rsidP="008E0B83">
      <w:pPr>
        <w:rPr>
          <w:sz w:val="24"/>
          <w:szCs w:val="24"/>
        </w:rPr>
      </w:pPr>
      <w:r w:rsidRPr="0012760D">
        <w:rPr>
          <w:bCs/>
          <w:sz w:val="24"/>
          <w:szCs w:val="24"/>
        </w:rPr>
        <w:t>395</w:t>
      </w:r>
      <w:r w:rsidRPr="0012760D">
        <w:rPr>
          <w:sz w:val="24"/>
          <w:szCs w:val="24"/>
        </w:rPr>
        <w:t xml:space="preserve"> retailers provided customers with "smarter choice" materials</w:t>
      </w:r>
    </w:p>
    <w:p w:rsidR="00021AD7" w:rsidRDefault="00021AD7" w:rsidP="00021AD7">
      <w:pPr>
        <w:rPr>
          <w:bCs/>
          <w:sz w:val="24"/>
          <w:szCs w:val="24"/>
        </w:rPr>
      </w:pPr>
      <w:r w:rsidRPr="0012760D">
        <w:rPr>
          <w:bCs/>
          <w:sz w:val="24"/>
          <w:szCs w:val="24"/>
        </w:rPr>
        <w:t>&lt;pp&gt; 21</w:t>
      </w:r>
    </w:p>
    <w:p w:rsidR="00800153" w:rsidRDefault="00800153" w:rsidP="00021AD7">
      <w:pPr>
        <w:rPr>
          <w:bCs/>
          <w:sz w:val="24"/>
          <w:szCs w:val="24"/>
        </w:rPr>
      </w:pPr>
    </w:p>
    <w:p w:rsidR="00800153" w:rsidRPr="0012760D" w:rsidRDefault="00800153" w:rsidP="00021AD7">
      <w:pPr>
        <w:rPr>
          <w:sz w:val="24"/>
          <w:szCs w:val="24"/>
        </w:rPr>
      </w:pPr>
    </w:p>
    <w:p w:rsidR="00021AD7" w:rsidRDefault="00021AD7" w:rsidP="00800153">
      <w:pPr>
        <w:pStyle w:val="Heading1"/>
      </w:pPr>
      <w:r w:rsidRPr="0012760D">
        <w:t>Showcase</w:t>
      </w:r>
      <w:r w:rsidR="00800153">
        <w:br/>
      </w:r>
      <w:r w:rsidRPr="0012760D">
        <w:t>Shining the Light on Solar Hot-Water Systems</w:t>
      </w:r>
    </w:p>
    <w:p w:rsidR="00800153" w:rsidRPr="0012760D" w:rsidRDefault="00800153" w:rsidP="00021AD7">
      <w:pPr>
        <w:rPr>
          <w:sz w:val="24"/>
          <w:szCs w:val="24"/>
        </w:rPr>
      </w:pPr>
    </w:p>
    <w:p w:rsidR="00021AD7" w:rsidRDefault="00021AD7" w:rsidP="00021AD7">
      <w:pPr>
        <w:rPr>
          <w:sz w:val="24"/>
          <w:szCs w:val="24"/>
        </w:rPr>
      </w:pPr>
      <w:r w:rsidRPr="0012760D">
        <w:rPr>
          <w:sz w:val="24"/>
          <w:szCs w:val="24"/>
        </w:rPr>
        <w:t>Less than 1% of Victorian households had installed a solar hot-water system prior to 2000, due in part to the financial barriers associated with newer technologies. We identified an opportunity to address this issue and simultaneously encourage further innovation within the industry, through the introduction of a consumer rebate. Almost 7% of Victorian households now have a solar hot-water system, largely as a result of this rebate.</w:t>
      </w:r>
    </w:p>
    <w:p w:rsidR="00800153" w:rsidRPr="0012760D" w:rsidRDefault="00800153" w:rsidP="00021AD7">
      <w:pPr>
        <w:rPr>
          <w:sz w:val="24"/>
          <w:szCs w:val="24"/>
        </w:rPr>
      </w:pPr>
    </w:p>
    <w:p w:rsidR="00021AD7" w:rsidRDefault="00021AD7" w:rsidP="00021AD7">
      <w:pPr>
        <w:rPr>
          <w:sz w:val="24"/>
          <w:szCs w:val="24"/>
        </w:rPr>
      </w:pPr>
      <w:r w:rsidRPr="0012760D">
        <w:rPr>
          <w:sz w:val="24"/>
          <w:szCs w:val="24"/>
        </w:rPr>
        <w:t>Beginning in 2000, the rebate for solar hot-water systems was delivered to households at the point-of-sale from over 360 participating suppliers across Victoria. This model, a first in Australia, removed the requirement for householders to purchase the appliance first and then wait to be reimbursed. Simplifying the rebate process to make the system more affordable was a key driver in the successful uptake of this technology.</w:t>
      </w:r>
    </w:p>
    <w:p w:rsidR="00800153" w:rsidRPr="0012760D" w:rsidRDefault="00800153" w:rsidP="00021AD7">
      <w:pPr>
        <w:rPr>
          <w:sz w:val="24"/>
          <w:szCs w:val="24"/>
        </w:rPr>
      </w:pPr>
    </w:p>
    <w:p w:rsidR="00021AD7" w:rsidRDefault="00021AD7" w:rsidP="00021AD7">
      <w:pPr>
        <w:rPr>
          <w:sz w:val="24"/>
          <w:szCs w:val="24"/>
        </w:rPr>
      </w:pPr>
      <w:r w:rsidRPr="0012760D">
        <w:rPr>
          <w:sz w:val="24"/>
          <w:szCs w:val="24"/>
        </w:rPr>
        <w:t>A second objective of the rebate program was to promote the development of solar hot-water systems that better matched the needs of Victorian households, where most conventional hot-water systems were powered by gas. In direct contrast, the majority of solar hot-water systems available for purchase featured an electric-boosting mechanism. This situation represented a clear mandate for the industry to manufacture more suitable systems, and the rebate was accordingly structured to encourage the purchase of gas-boosted models.</w:t>
      </w:r>
    </w:p>
    <w:p w:rsidR="00800153" w:rsidRPr="0012760D" w:rsidRDefault="00800153" w:rsidP="00021AD7">
      <w:pPr>
        <w:rPr>
          <w:sz w:val="24"/>
          <w:szCs w:val="24"/>
        </w:rPr>
      </w:pPr>
    </w:p>
    <w:p w:rsidR="00021AD7" w:rsidRDefault="00021AD7" w:rsidP="00021AD7">
      <w:pPr>
        <w:rPr>
          <w:sz w:val="24"/>
          <w:szCs w:val="24"/>
        </w:rPr>
      </w:pPr>
      <w:r w:rsidRPr="0012760D">
        <w:rPr>
          <w:sz w:val="24"/>
          <w:szCs w:val="24"/>
        </w:rPr>
        <w:t>By the end of 2012, Victorians had embraced the use of solar hot water, and particularly those supplemented with gas. This was a direct result of the incentives put in place over a decade earlier, together with more recent 6-star building regulations that require new dwellings to include either a solar hot-water system or rainwater tank.</w:t>
      </w:r>
    </w:p>
    <w:p w:rsidR="00800153" w:rsidRPr="0012760D" w:rsidRDefault="00800153" w:rsidP="00021AD7">
      <w:pPr>
        <w:rPr>
          <w:sz w:val="24"/>
          <w:szCs w:val="24"/>
        </w:rPr>
      </w:pPr>
    </w:p>
    <w:p w:rsidR="00021AD7" w:rsidRDefault="00021AD7" w:rsidP="00021AD7">
      <w:pPr>
        <w:rPr>
          <w:sz w:val="24"/>
          <w:szCs w:val="24"/>
        </w:rPr>
      </w:pPr>
      <w:r w:rsidRPr="0012760D">
        <w:rPr>
          <w:sz w:val="24"/>
          <w:szCs w:val="24"/>
        </w:rPr>
        <w:t>In early 2013, a significant increase in the use of solar-heated water and the availability of alternative incentives warranted the conclusion of the rebate program to enable us to divert our attention to new priorities. The industry was given two month</w:t>
      </w:r>
      <w:r w:rsidR="00B814E4" w:rsidRPr="0012760D">
        <w:rPr>
          <w:sz w:val="24"/>
          <w:szCs w:val="24"/>
        </w:rPr>
        <w:t xml:space="preserve">s' </w:t>
      </w:r>
      <w:r w:rsidRPr="0012760D">
        <w:rPr>
          <w:sz w:val="24"/>
          <w:szCs w:val="24"/>
        </w:rPr>
        <w:t>notice in March, allowing suppliers adequate time to transition out of the program without inconveniencing customers.</w:t>
      </w:r>
    </w:p>
    <w:p w:rsidR="00800153" w:rsidRDefault="00800153" w:rsidP="00021AD7">
      <w:pPr>
        <w:rPr>
          <w:sz w:val="24"/>
          <w:szCs w:val="24"/>
        </w:rPr>
      </w:pPr>
    </w:p>
    <w:p w:rsidR="00800153" w:rsidRPr="0012760D" w:rsidRDefault="00800153" w:rsidP="00021AD7">
      <w:pPr>
        <w:rPr>
          <w:sz w:val="24"/>
          <w:szCs w:val="24"/>
        </w:rPr>
      </w:pPr>
    </w:p>
    <w:p w:rsidR="00021AD7" w:rsidRDefault="00021AD7" w:rsidP="00800153">
      <w:pPr>
        <w:pStyle w:val="Heading3"/>
      </w:pPr>
      <w:r w:rsidRPr="0012760D">
        <w:t>What was delivered</w:t>
      </w:r>
    </w:p>
    <w:p w:rsidR="00800153" w:rsidRPr="0012760D" w:rsidRDefault="00800153" w:rsidP="00021AD7">
      <w:pPr>
        <w:rPr>
          <w:sz w:val="24"/>
          <w:szCs w:val="24"/>
        </w:rPr>
      </w:pPr>
    </w:p>
    <w:p w:rsidR="00021AD7" w:rsidRPr="0012760D" w:rsidRDefault="00021AD7" w:rsidP="00021AD7">
      <w:pPr>
        <w:rPr>
          <w:sz w:val="24"/>
          <w:szCs w:val="24"/>
        </w:rPr>
      </w:pPr>
      <w:r w:rsidRPr="0012760D">
        <w:rPr>
          <w:sz w:val="24"/>
          <w:szCs w:val="24"/>
        </w:rPr>
        <w:t>Since the solar hot-water system rebate program was started in Victoria over 12 years ago:</w:t>
      </w:r>
    </w:p>
    <w:p w:rsidR="00021AD7" w:rsidRPr="0012760D" w:rsidRDefault="00021AD7" w:rsidP="00021AD7">
      <w:pPr>
        <w:rPr>
          <w:sz w:val="24"/>
          <w:szCs w:val="24"/>
        </w:rPr>
      </w:pPr>
      <w:r w:rsidRPr="0012760D">
        <w:rPr>
          <w:bCs/>
          <w:sz w:val="24"/>
          <w:szCs w:val="24"/>
        </w:rPr>
        <w:t>• More than 39,000 households have received a rebate, including 1,145 households during the 2012</w:t>
      </w:r>
      <w:r w:rsidR="0071725E">
        <w:rPr>
          <w:bCs/>
          <w:sz w:val="24"/>
          <w:szCs w:val="24"/>
        </w:rPr>
        <w:t xml:space="preserve"> to </w:t>
      </w:r>
      <w:r w:rsidRPr="0012760D">
        <w:rPr>
          <w:bCs/>
          <w:sz w:val="24"/>
          <w:szCs w:val="24"/>
        </w:rPr>
        <w:t>13 financial year.</w:t>
      </w:r>
    </w:p>
    <w:p w:rsidR="00021AD7" w:rsidRPr="0012760D" w:rsidRDefault="00021AD7" w:rsidP="00021AD7">
      <w:pPr>
        <w:rPr>
          <w:sz w:val="24"/>
          <w:szCs w:val="24"/>
        </w:rPr>
      </w:pPr>
      <w:r w:rsidRPr="0012760D">
        <w:rPr>
          <w:bCs/>
          <w:sz w:val="24"/>
          <w:szCs w:val="24"/>
        </w:rPr>
        <w:t>• Of these households, 52% were located in regional Victoria and 48% were in metropolitan Melbourne.</w:t>
      </w:r>
    </w:p>
    <w:p w:rsidR="00021AD7" w:rsidRDefault="00021AD7" w:rsidP="00021AD7">
      <w:pPr>
        <w:rPr>
          <w:bCs/>
          <w:sz w:val="24"/>
          <w:szCs w:val="24"/>
        </w:rPr>
      </w:pPr>
      <w:r w:rsidRPr="0012760D">
        <w:rPr>
          <w:bCs/>
          <w:sz w:val="24"/>
          <w:szCs w:val="24"/>
        </w:rPr>
        <w:t>• Approximately 90% of domestic solar hot-water systems sold in Victoria are destined for new houses.</w:t>
      </w:r>
    </w:p>
    <w:p w:rsidR="00800153" w:rsidRPr="0012760D" w:rsidRDefault="00800153" w:rsidP="00021AD7">
      <w:pPr>
        <w:rPr>
          <w:sz w:val="24"/>
          <w:szCs w:val="24"/>
        </w:rPr>
      </w:pPr>
    </w:p>
    <w:p w:rsidR="00021AD7" w:rsidRPr="0012760D" w:rsidRDefault="00021AD7" w:rsidP="00021AD7">
      <w:pPr>
        <w:rPr>
          <w:sz w:val="24"/>
          <w:szCs w:val="24"/>
        </w:rPr>
      </w:pPr>
      <w:r w:rsidRPr="0012760D">
        <w:rPr>
          <w:sz w:val="24"/>
          <w:szCs w:val="24"/>
        </w:rPr>
        <w:t>We estimate that this represents a combined saving in excess of $10 million per year for Victorian households. Furthermore, the success of the solar hot-water rebate program has been a critical factor in the rapid growth and sustainability of this industry.</w:t>
      </w:r>
    </w:p>
    <w:p w:rsidR="00B814E4" w:rsidRDefault="00B814E4" w:rsidP="00B814E4">
      <w:pPr>
        <w:rPr>
          <w:bCs/>
          <w:sz w:val="24"/>
          <w:szCs w:val="24"/>
        </w:rPr>
      </w:pPr>
      <w:r w:rsidRPr="0012760D">
        <w:rPr>
          <w:bCs/>
          <w:sz w:val="24"/>
          <w:szCs w:val="24"/>
        </w:rPr>
        <w:t>&lt;pp&gt; 22</w:t>
      </w:r>
    </w:p>
    <w:p w:rsidR="00800153" w:rsidRDefault="00800153" w:rsidP="00B814E4">
      <w:pPr>
        <w:rPr>
          <w:bCs/>
          <w:sz w:val="24"/>
          <w:szCs w:val="24"/>
        </w:rPr>
      </w:pPr>
    </w:p>
    <w:p w:rsidR="00800153" w:rsidRPr="0012760D" w:rsidRDefault="00800153" w:rsidP="00B814E4">
      <w:pPr>
        <w:rPr>
          <w:sz w:val="24"/>
          <w:szCs w:val="24"/>
        </w:rPr>
      </w:pPr>
    </w:p>
    <w:p w:rsidR="00B814E4" w:rsidRDefault="00B814E4" w:rsidP="00800153">
      <w:pPr>
        <w:pStyle w:val="Heading2"/>
      </w:pPr>
      <w:r w:rsidRPr="0012760D">
        <w:t>2. Energy and Materials Efficiency</w:t>
      </w:r>
    </w:p>
    <w:p w:rsidR="00800153" w:rsidRPr="0012760D" w:rsidRDefault="00800153" w:rsidP="00B814E4">
      <w:pPr>
        <w:rPr>
          <w:sz w:val="24"/>
          <w:szCs w:val="24"/>
        </w:rPr>
      </w:pPr>
    </w:p>
    <w:p w:rsidR="00B814E4" w:rsidRPr="00800153" w:rsidRDefault="00B814E4" w:rsidP="00B814E4">
      <w:pPr>
        <w:rPr>
          <w:b/>
          <w:sz w:val="24"/>
          <w:szCs w:val="24"/>
        </w:rPr>
      </w:pPr>
      <w:r w:rsidRPr="00800153">
        <w:rPr>
          <w:b/>
          <w:sz w:val="24"/>
          <w:szCs w:val="24"/>
        </w:rPr>
        <w:t>Increasing energy and materials efficiency of selected stakeholders in medium enterprises and school</w:t>
      </w:r>
      <w:r w:rsidR="00800153">
        <w:rPr>
          <w:b/>
          <w:sz w:val="24"/>
          <w:szCs w:val="24"/>
        </w:rPr>
        <w:t>.</w:t>
      </w:r>
    </w:p>
    <w:p w:rsidR="00800153" w:rsidRDefault="00800153" w:rsidP="00B814E4">
      <w:pPr>
        <w:rPr>
          <w:sz w:val="24"/>
          <w:szCs w:val="24"/>
        </w:rPr>
      </w:pPr>
    </w:p>
    <w:p w:rsidR="00800153" w:rsidRPr="0012760D" w:rsidRDefault="00800153" w:rsidP="00B814E4">
      <w:pPr>
        <w:rPr>
          <w:sz w:val="24"/>
          <w:szCs w:val="24"/>
        </w:rPr>
      </w:pPr>
    </w:p>
    <w:p w:rsidR="00B814E4" w:rsidRDefault="00B814E4" w:rsidP="00800153">
      <w:pPr>
        <w:pStyle w:val="Heading3"/>
      </w:pPr>
      <w:r w:rsidRPr="0012760D">
        <w:t>Current Focus</w:t>
      </w:r>
    </w:p>
    <w:p w:rsidR="00800153" w:rsidRPr="0012760D" w:rsidRDefault="00800153" w:rsidP="00B814E4">
      <w:pPr>
        <w:rPr>
          <w:sz w:val="24"/>
          <w:szCs w:val="24"/>
        </w:rPr>
      </w:pPr>
    </w:p>
    <w:p w:rsidR="00B814E4" w:rsidRDefault="00B814E4" w:rsidP="00800153">
      <w:pPr>
        <w:pStyle w:val="Heading4"/>
      </w:pPr>
      <w:r w:rsidRPr="0012760D">
        <w:t>i. Businesses</w:t>
      </w:r>
    </w:p>
    <w:p w:rsidR="00800153" w:rsidRPr="0012760D" w:rsidRDefault="00800153" w:rsidP="00B814E4">
      <w:pPr>
        <w:rPr>
          <w:sz w:val="24"/>
          <w:szCs w:val="24"/>
        </w:rPr>
      </w:pPr>
    </w:p>
    <w:p w:rsidR="00B814E4" w:rsidRDefault="00B814E4" w:rsidP="00B814E4">
      <w:pPr>
        <w:rPr>
          <w:sz w:val="24"/>
          <w:szCs w:val="24"/>
        </w:rPr>
      </w:pPr>
      <w:r w:rsidRPr="0012760D">
        <w:rPr>
          <w:sz w:val="24"/>
          <w:szCs w:val="24"/>
        </w:rPr>
        <w:lastRenderedPageBreak/>
        <w:t>There is a general trend towards increasing energy expenditure among businesses, including industries and commercial organisations.</w:t>
      </w:r>
    </w:p>
    <w:p w:rsidR="00800153" w:rsidRPr="0012760D" w:rsidRDefault="00800153" w:rsidP="00B814E4">
      <w:pPr>
        <w:rPr>
          <w:sz w:val="24"/>
          <w:szCs w:val="24"/>
        </w:rPr>
      </w:pPr>
    </w:p>
    <w:p w:rsidR="00B814E4" w:rsidRDefault="00B814E4" w:rsidP="00B814E4">
      <w:pPr>
        <w:rPr>
          <w:sz w:val="24"/>
          <w:szCs w:val="24"/>
        </w:rPr>
      </w:pPr>
      <w:r w:rsidRPr="0012760D">
        <w:rPr>
          <w:sz w:val="24"/>
          <w:szCs w:val="24"/>
        </w:rPr>
        <w:t>According to an Australian Industry Group survey, three-quarters of businesses have taken or planned to take action to improve energy efficiency. However, many of the actions taken, such as staff-education activities, resulted in negligible or modest savings.</w:t>
      </w:r>
    </w:p>
    <w:p w:rsidR="00800153" w:rsidRPr="0012760D" w:rsidRDefault="00800153" w:rsidP="00B814E4">
      <w:pPr>
        <w:rPr>
          <w:sz w:val="24"/>
          <w:szCs w:val="24"/>
        </w:rPr>
      </w:pPr>
    </w:p>
    <w:p w:rsidR="00B814E4" w:rsidRDefault="00B814E4" w:rsidP="00B814E4">
      <w:pPr>
        <w:rPr>
          <w:sz w:val="24"/>
          <w:szCs w:val="24"/>
        </w:rPr>
      </w:pPr>
      <w:r w:rsidRPr="0012760D">
        <w:rPr>
          <w:sz w:val="24"/>
          <w:szCs w:val="24"/>
        </w:rPr>
        <w:t>This survey also indicates that manufacturing businesses are less likely to introduce improvements in use of materials than improvements in energy efficiency and waste management.</w:t>
      </w:r>
    </w:p>
    <w:p w:rsidR="00800153" w:rsidRDefault="00800153" w:rsidP="00B814E4">
      <w:pPr>
        <w:rPr>
          <w:sz w:val="24"/>
          <w:szCs w:val="24"/>
        </w:rPr>
      </w:pPr>
    </w:p>
    <w:p w:rsidR="00800153" w:rsidRPr="0012760D" w:rsidRDefault="00800153" w:rsidP="00B814E4">
      <w:pPr>
        <w:rPr>
          <w:sz w:val="24"/>
          <w:szCs w:val="24"/>
        </w:rPr>
      </w:pPr>
    </w:p>
    <w:p w:rsidR="00B814E4" w:rsidRDefault="00B814E4" w:rsidP="00800153">
      <w:pPr>
        <w:pStyle w:val="Heading4"/>
      </w:pPr>
      <w:r w:rsidRPr="0012760D">
        <w:t>i. i. Schools</w:t>
      </w:r>
    </w:p>
    <w:p w:rsidR="00800153" w:rsidRPr="0012760D" w:rsidRDefault="00800153" w:rsidP="00B814E4">
      <w:pPr>
        <w:rPr>
          <w:sz w:val="24"/>
          <w:szCs w:val="24"/>
        </w:rPr>
      </w:pPr>
    </w:p>
    <w:p w:rsidR="00B814E4" w:rsidRDefault="00B814E4" w:rsidP="00B814E4">
      <w:pPr>
        <w:rPr>
          <w:sz w:val="24"/>
          <w:szCs w:val="24"/>
        </w:rPr>
      </w:pPr>
      <w:r w:rsidRPr="0012760D">
        <w:rPr>
          <w:sz w:val="24"/>
          <w:szCs w:val="24"/>
        </w:rPr>
        <w:t>In previous years, the ResourceSmart Australian Sustainable Schools Initiative Victoria (AuSSI Vic) engaged with 27% of Victoria's schools and led to improved school practices, with participants in the project saving the equivalent of $7 per student per year on their energy bills. Conversely, however, this means that around three-quarters of schools did not participate.</w:t>
      </w:r>
    </w:p>
    <w:p w:rsidR="00800153" w:rsidRDefault="00800153" w:rsidP="00B814E4">
      <w:pPr>
        <w:rPr>
          <w:sz w:val="24"/>
          <w:szCs w:val="24"/>
        </w:rPr>
      </w:pPr>
    </w:p>
    <w:p w:rsidR="00800153" w:rsidRPr="0012760D" w:rsidRDefault="00800153" w:rsidP="00B814E4">
      <w:pPr>
        <w:rPr>
          <w:sz w:val="24"/>
          <w:szCs w:val="24"/>
        </w:rPr>
      </w:pPr>
    </w:p>
    <w:p w:rsidR="00B814E4" w:rsidRDefault="00B814E4" w:rsidP="00800153">
      <w:pPr>
        <w:pStyle w:val="Heading3"/>
      </w:pPr>
      <w:r w:rsidRPr="0012760D">
        <w:t>Key achievements</w:t>
      </w:r>
    </w:p>
    <w:p w:rsidR="00800153" w:rsidRPr="0012760D" w:rsidRDefault="00800153" w:rsidP="00B814E4">
      <w:pPr>
        <w:rPr>
          <w:sz w:val="24"/>
          <w:szCs w:val="24"/>
        </w:rPr>
      </w:pPr>
    </w:p>
    <w:p w:rsidR="00B814E4" w:rsidRDefault="00B814E4" w:rsidP="00800153">
      <w:pPr>
        <w:pStyle w:val="Heading4"/>
      </w:pPr>
      <w:r w:rsidRPr="0012760D">
        <w:t>i. Businesses</w:t>
      </w:r>
    </w:p>
    <w:p w:rsidR="00800153" w:rsidRPr="0012760D" w:rsidRDefault="00800153" w:rsidP="00B814E4">
      <w:pPr>
        <w:rPr>
          <w:sz w:val="24"/>
          <w:szCs w:val="24"/>
        </w:rPr>
      </w:pPr>
    </w:p>
    <w:p w:rsidR="00B814E4" w:rsidRDefault="00B814E4" w:rsidP="00B814E4">
      <w:pPr>
        <w:rPr>
          <w:sz w:val="24"/>
          <w:szCs w:val="24"/>
        </w:rPr>
      </w:pPr>
      <w:r w:rsidRPr="0012760D">
        <w:rPr>
          <w:sz w:val="24"/>
          <w:szCs w:val="24"/>
        </w:rPr>
        <w:t>We worked with medium-sized businesses to help them improve their energy and materials efficiency and reduce their operating expenditure.</w:t>
      </w:r>
    </w:p>
    <w:p w:rsidR="00800153" w:rsidRPr="0012760D" w:rsidRDefault="00800153" w:rsidP="00B814E4">
      <w:pPr>
        <w:rPr>
          <w:sz w:val="24"/>
          <w:szCs w:val="24"/>
        </w:rPr>
      </w:pPr>
    </w:p>
    <w:p w:rsidR="00B814E4" w:rsidRDefault="00B814E4" w:rsidP="00B814E4">
      <w:pPr>
        <w:rPr>
          <w:sz w:val="24"/>
          <w:szCs w:val="24"/>
        </w:rPr>
      </w:pPr>
      <w:r w:rsidRPr="0012760D">
        <w:rPr>
          <w:sz w:val="24"/>
          <w:szCs w:val="24"/>
        </w:rPr>
        <w:t>Round 1 of the Capital Funding program was completed this year, with 17 successful grant recipients announced across sectors including manufacturing, retail, hospitality and service provision. The grants, which range from $8,000 up to $50,000, contribute to the purchase of vital equipment and upgrades that will improve local businesses' energy and materials efficiency. Funded projects include heating, lighting and cooling upgrades, insulation of wine tanks, packaging re-design and cutting-equipment improvements. From the combined $380,000 in grants, businesses will reduce their energy and materials cost by $390,000 per year.</w:t>
      </w:r>
    </w:p>
    <w:p w:rsidR="00800153" w:rsidRPr="0012760D" w:rsidRDefault="00800153" w:rsidP="00B814E4">
      <w:pPr>
        <w:rPr>
          <w:sz w:val="24"/>
          <w:szCs w:val="24"/>
        </w:rPr>
      </w:pPr>
    </w:p>
    <w:p w:rsidR="00B814E4" w:rsidRDefault="00B814E4" w:rsidP="00B814E4">
      <w:pPr>
        <w:rPr>
          <w:sz w:val="24"/>
          <w:szCs w:val="24"/>
        </w:rPr>
      </w:pPr>
      <w:r w:rsidRPr="0012760D">
        <w:rPr>
          <w:sz w:val="24"/>
          <w:szCs w:val="24"/>
        </w:rPr>
        <w:t>We also worked with eight businesses that were funded to conduct a resource assessment, and a further eight businesses that received financial support to prepare a case for funding from other organisations.</w:t>
      </w:r>
    </w:p>
    <w:p w:rsidR="00800153" w:rsidRDefault="00800153" w:rsidP="00B814E4">
      <w:pPr>
        <w:rPr>
          <w:sz w:val="24"/>
          <w:szCs w:val="24"/>
        </w:rPr>
      </w:pPr>
    </w:p>
    <w:p w:rsidR="00800153" w:rsidRPr="0012760D" w:rsidRDefault="00800153" w:rsidP="00B814E4">
      <w:pPr>
        <w:rPr>
          <w:sz w:val="24"/>
          <w:szCs w:val="24"/>
        </w:rPr>
      </w:pPr>
    </w:p>
    <w:p w:rsidR="00B814E4" w:rsidRDefault="00B814E4" w:rsidP="00800153">
      <w:pPr>
        <w:pStyle w:val="Heading4"/>
      </w:pPr>
      <w:r w:rsidRPr="0012760D">
        <w:t>i. i. Schools</w:t>
      </w:r>
    </w:p>
    <w:p w:rsidR="00800153" w:rsidRPr="0012760D" w:rsidRDefault="00800153" w:rsidP="00B814E4">
      <w:pPr>
        <w:rPr>
          <w:sz w:val="24"/>
          <w:szCs w:val="24"/>
        </w:rPr>
      </w:pPr>
    </w:p>
    <w:p w:rsidR="00B814E4" w:rsidRDefault="00B814E4" w:rsidP="00B814E4">
      <w:pPr>
        <w:rPr>
          <w:sz w:val="24"/>
          <w:szCs w:val="24"/>
        </w:rPr>
      </w:pPr>
      <w:r w:rsidRPr="0012760D">
        <w:rPr>
          <w:sz w:val="24"/>
          <w:szCs w:val="24"/>
        </w:rPr>
        <w:t>Working through nine local service providers funded to collaboratively deliver ResourceSmart AuSSI Vic, we increased the total number of ResourceSmart AuSSI Vic participants to more than 900 schools. A total of 221 new Victorian schools joined, representing 87% of the phase one new school target of 254, or 53.5% of the total initiative target of 400 by 2015.</w:t>
      </w:r>
    </w:p>
    <w:p w:rsidR="00800153" w:rsidRPr="0012760D" w:rsidRDefault="00800153" w:rsidP="00B814E4">
      <w:pPr>
        <w:rPr>
          <w:sz w:val="24"/>
          <w:szCs w:val="24"/>
        </w:rPr>
      </w:pPr>
    </w:p>
    <w:p w:rsidR="00B814E4" w:rsidRDefault="00B814E4" w:rsidP="00B814E4">
      <w:pPr>
        <w:rPr>
          <w:sz w:val="24"/>
          <w:szCs w:val="24"/>
        </w:rPr>
      </w:pPr>
      <w:r w:rsidRPr="0012760D">
        <w:rPr>
          <w:sz w:val="24"/>
          <w:szCs w:val="24"/>
        </w:rPr>
        <w:t>Among the participating schools, 21 now have 5-Star status. At the 2012 ResourceSmart School Awards, Epping Views Primary School was named the ResourceSmart School of the Year.</w:t>
      </w:r>
    </w:p>
    <w:p w:rsidR="00800153" w:rsidRPr="0012760D" w:rsidRDefault="00800153" w:rsidP="00B814E4">
      <w:pPr>
        <w:rPr>
          <w:sz w:val="24"/>
          <w:szCs w:val="24"/>
        </w:rPr>
      </w:pPr>
    </w:p>
    <w:p w:rsidR="001813F1" w:rsidRPr="0012760D" w:rsidRDefault="00B814E4" w:rsidP="0078679E">
      <w:pPr>
        <w:rPr>
          <w:sz w:val="24"/>
          <w:szCs w:val="24"/>
        </w:rPr>
      </w:pPr>
      <w:r w:rsidRPr="0012760D">
        <w:rPr>
          <w:bCs/>
          <w:sz w:val="24"/>
          <w:szCs w:val="24"/>
        </w:rPr>
        <w:t>221</w:t>
      </w:r>
      <w:r w:rsidRPr="0012760D">
        <w:rPr>
          <w:sz w:val="24"/>
          <w:szCs w:val="24"/>
        </w:rPr>
        <w:t xml:space="preserve"> new Victorian schools joined our </w:t>
      </w:r>
      <w:r w:rsidR="00800153" w:rsidRPr="0012760D">
        <w:rPr>
          <w:sz w:val="24"/>
          <w:szCs w:val="24"/>
        </w:rPr>
        <w:t xml:space="preserve">Resource Smart </w:t>
      </w:r>
      <w:r w:rsidRPr="0012760D">
        <w:rPr>
          <w:sz w:val="24"/>
          <w:szCs w:val="24"/>
        </w:rPr>
        <w:t xml:space="preserve">AuSSI Vic </w:t>
      </w:r>
      <w:r w:rsidR="00800153" w:rsidRPr="0012760D">
        <w:rPr>
          <w:sz w:val="24"/>
          <w:szCs w:val="24"/>
        </w:rPr>
        <w:t>Program</w:t>
      </w:r>
    </w:p>
    <w:p w:rsidR="001813F1" w:rsidRDefault="001813F1" w:rsidP="001813F1">
      <w:pPr>
        <w:rPr>
          <w:bCs/>
          <w:sz w:val="24"/>
          <w:szCs w:val="24"/>
        </w:rPr>
      </w:pPr>
      <w:r w:rsidRPr="0012760D">
        <w:rPr>
          <w:bCs/>
          <w:sz w:val="24"/>
          <w:szCs w:val="24"/>
        </w:rPr>
        <w:t>&lt;pp&gt; 23</w:t>
      </w:r>
    </w:p>
    <w:p w:rsidR="00800153" w:rsidRDefault="00800153" w:rsidP="001813F1">
      <w:pPr>
        <w:rPr>
          <w:bCs/>
          <w:sz w:val="24"/>
          <w:szCs w:val="24"/>
        </w:rPr>
      </w:pPr>
    </w:p>
    <w:p w:rsidR="00800153" w:rsidRPr="0012760D" w:rsidRDefault="00800153" w:rsidP="001813F1">
      <w:pPr>
        <w:rPr>
          <w:sz w:val="24"/>
          <w:szCs w:val="24"/>
        </w:rPr>
      </w:pPr>
    </w:p>
    <w:p w:rsidR="001813F1" w:rsidRDefault="001813F1" w:rsidP="00800153">
      <w:pPr>
        <w:pStyle w:val="Heading1"/>
      </w:pPr>
      <w:r w:rsidRPr="0012760D">
        <w:t>Showcase</w:t>
      </w:r>
      <w:r w:rsidR="00800153">
        <w:br/>
      </w:r>
      <w:r w:rsidRPr="0012760D">
        <w:t>Inspiring Tomorrow's Leaders</w:t>
      </w:r>
    </w:p>
    <w:p w:rsidR="00800153" w:rsidRPr="0012760D" w:rsidRDefault="00800153" w:rsidP="001813F1">
      <w:pPr>
        <w:rPr>
          <w:sz w:val="24"/>
          <w:szCs w:val="24"/>
        </w:rPr>
      </w:pPr>
    </w:p>
    <w:p w:rsidR="001813F1" w:rsidRDefault="001813F1" w:rsidP="001813F1">
      <w:pPr>
        <w:rPr>
          <w:sz w:val="24"/>
          <w:szCs w:val="24"/>
        </w:rPr>
      </w:pPr>
      <w:r w:rsidRPr="0012760D">
        <w:rPr>
          <w:sz w:val="24"/>
          <w:szCs w:val="24"/>
        </w:rPr>
        <w:t>ResourceSmart AuSSI Vic is a joint initiative of Sustainability Victoria and the Department of Education and Early Childhood Development (DEECD). It provides schools with a framework for sustainability education as well as access to curriculum modules in energy, waste, water and biodiversity. The program encourages schools and the broader community to adopt a more sustainable approach to everyday living.</w:t>
      </w:r>
    </w:p>
    <w:p w:rsidR="00800153" w:rsidRPr="0012760D" w:rsidRDefault="00800153" w:rsidP="001813F1">
      <w:pPr>
        <w:rPr>
          <w:sz w:val="24"/>
          <w:szCs w:val="24"/>
        </w:rPr>
      </w:pPr>
    </w:p>
    <w:p w:rsidR="001813F1" w:rsidRDefault="001813F1" w:rsidP="001813F1">
      <w:pPr>
        <w:rPr>
          <w:sz w:val="24"/>
          <w:szCs w:val="24"/>
        </w:rPr>
      </w:pPr>
      <w:r w:rsidRPr="0012760D">
        <w:rPr>
          <w:sz w:val="24"/>
          <w:szCs w:val="24"/>
        </w:rPr>
        <w:t>While the concept of instilling sustainable practices from early childhood seems a logical one, the benefits that this lifelong learning approach can offer have not been fully explored. This is where the ResourceSmart AuSSi Vic program comes in. The framework that it offers primary and secondary institutions encourages reductions in waste production, energy and water use and greenhouse gas emissions, while promoting biodiversity.</w:t>
      </w:r>
    </w:p>
    <w:p w:rsidR="00800153" w:rsidRPr="0012760D" w:rsidRDefault="00800153" w:rsidP="001813F1">
      <w:pPr>
        <w:rPr>
          <w:sz w:val="24"/>
          <w:szCs w:val="24"/>
        </w:rPr>
      </w:pPr>
    </w:p>
    <w:p w:rsidR="001813F1" w:rsidRDefault="001813F1" w:rsidP="001813F1">
      <w:pPr>
        <w:rPr>
          <w:sz w:val="24"/>
          <w:szCs w:val="24"/>
        </w:rPr>
      </w:pPr>
      <w:r w:rsidRPr="0012760D">
        <w:rPr>
          <w:sz w:val="24"/>
          <w:szCs w:val="24"/>
        </w:rPr>
        <w:t>Schools can also participate in a "Reward and Recognition" program that recognises standout performers by way of 5-Star Sustainability Certification and the Annual ResourceSmart AuSSI Vic Awards. In 2012, new categories for Student of the Year and Teacher of the Year were added to the Awards.</w:t>
      </w:r>
    </w:p>
    <w:p w:rsidR="00800153" w:rsidRPr="0012760D" w:rsidRDefault="00800153" w:rsidP="001813F1">
      <w:pPr>
        <w:rPr>
          <w:sz w:val="24"/>
          <w:szCs w:val="24"/>
        </w:rPr>
      </w:pPr>
    </w:p>
    <w:p w:rsidR="001813F1" w:rsidRPr="0012760D" w:rsidRDefault="001813F1" w:rsidP="001813F1">
      <w:pPr>
        <w:rPr>
          <w:sz w:val="24"/>
          <w:szCs w:val="24"/>
        </w:rPr>
      </w:pPr>
      <w:r w:rsidRPr="0012760D">
        <w:rPr>
          <w:sz w:val="24"/>
          <w:szCs w:val="24"/>
        </w:rPr>
        <w:t>Educational activities undertaken by a 5-Star Sustainability Certified school may include:</w:t>
      </w:r>
    </w:p>
    <w:p w:rsidR="001813F1" w:rsidRPr="0012760D" w:rsidRDefault="001813F1" w:rsidP="001813F1">
      <w:pPr>
        <w:rPr>
          <w:sz w:val="24"/>
          <w:szCs w:val="24"/>
        </w:rPr>
      </w:pPr>
      <w:r w:rsidRPr="0012760D">
        <w:rPr>
          <w:sz w:val="24"/>
          <w:szCs w:val="24"/>
        </w:rPr>
        <w:t>• using 100% renewable electricity through generation and purchasing of green power</w:t>
      </w:r>
    </w:p>
    <w:p w:rsidR="001813F1" w:rsidRPr="0012760D" w:rsidRDefault="001813F1" w:rsidP="001813F1">
      <w:pPr>
        <w:rPr>
          <w:sz w:val="24"/>
          <w:szCs w:val="24"/>
        </w:rPr>
      </w:pPr>
      <w:r w:rsidRPr="0012760D">
        <w:rPr>
          <w:sz w:val="24"/>
          <w:szCs w:val="24"/>
        </w:rPr>
        <w:t>• integrating sustainability in the whole school curriculum</w:t>
      </w:r>
    </w:p>
    <w:p w:rsidR="001813F1" w:rsidRPr="0012760D" w:rsidRDefault="001813F1" w:rsidP="001813F1">
      <w:pPr>
        <w:rPr>
          <w:sz w:val="24"/>
          <w:szCs w:val="24"/>
        </w:rPr>
      </w:pPr>
      <w:r w:rsidRPr="0012760D">
        <w:rPr>
          <w:sz w:val="24"/>
          <w:szCs w:val="24"/>
        </w:rPr>
        <w:t>• using sustainable design principles in new building construction</w:t>
      </w:r>
    </w:p>
    <w:p w:rsidR="001813F1" w:rsidRDefault="001813F1" w:rsidP="001813F1">
      <w:pPr>
        <w:rPr>
          <w:sz w:val="24"/>
          <w:szCs w:val="24"/>
        </w:rPr>
      </w:pPr>
      <w:r w:rsidRPr="0012760D">
        <w:rPr>
          <w:sz w:val="24"/>
          <w:szCs w:val="24"/>
        </w:rPr>
        <w:t>• increasing the biodiversity of the school grounds, with an emphasis on native fauna.</w:t>
      </w:r>
    </w:p>
    <w:p w:rsidR="00800153" w:rsidRPr="0012760D" w:rsidRDefault="00800153" w:rsidP="001813F1">
      <w:pPr>
        <w:rPr>
          <w:sz w:val="24"/>
          <w:szCs w:val="24"/>
        </w:rPr>
      </w:pPr>
    </w:p>
    <w:p w:rsidR="001813F1" w:rsidRDefault="001813F1" w:rsidP="001813F1">
      <w:pPr>
        <w:rPr>
          <w:sz w:val="24"/>
          <w:szCs w:val="24"/>
        </w:rPr>
      </w:pPr>
      <w:r w:rsidRPr="0012760D">
        <w:rPr>
          <w:sz w:val="24"/>
          <w:szCs w:val="24"/>
        </w:rPr>
        <w:t>Since its inception in 2008, the ResourceSmart AuSSi Vic program has engaged 27% of the state's 2,000+ schools and has documented evidence of improvements in sustainability practices. Research has shown that participating schools saved the equivalent of $7 per student per year through lower energy bills. However, there remain many more opportunities to showcase the positives of sustainable practices in Victorian schools.</w:t>
      </w:r>
    </w:p>
    <w:p w:rsidR="00800153" w:rsidRPr="0012760D" w:rsidRDefault="00800153" w:rsidP="001813F1">
      <w:pPr>
        <w:rPr>
          <w:sz w:val="24"/>
          <w:szCs w:val="24"/>
        </w:rPr>
      </w:pPr>
    </w:p>
    <w:p w:rsidR="001813F1" w:rsidRDefault="001813F1" w:rsidP="001813F1">
      <w:pPr>
        <w:rPr>
          <w:sz w:val="24"/>
          <w:szCs w:val="24"/>
        </w:rPr>
      </w:pPr>
      <w:r w:rsidRPr="0012760D">
        <w:rPr>
          <w:sz w:val="24"/>
          <w:szCs w:val="24"/>
        </w:rPr>
        <w:t xml:space="preserve">For the next phase of this program, 146 new schools are being targeted towards a total of 45% of Victorian Schools participating by June 2015. Financial incentives are provided by the DEECD in the form of $10,000 energy-efficiency grants to schools </w:t>
      </w:r>
      <w:r w:rsidRPr="0012760D">
        <w:rPr>
          <w:sz w:val="24"/>
          <w:szCs w:val="24"/>
        </w:rPr>
        <w:lastRenderedPageBreak/>
        <w:t>joining ResourceSmart AuSSI Vic for the first time.</w:t>
      </w:r>
    </w:p>
    <w:p w:rsidR="00800153" w:rsidRPr="0012760D" w:rsidRDefault="00800153" w:rsidP="001813F1">
      <w:pPr>
        <w:rPr>
          <w:sz w:val="24"/>
          <w:szCs w:val="24"/>
        </w:rPr>
      </w:pPr>
    </w:p>
    <w:p w:rsidR="001813F1" w:rsidRDefault="001813F1" w:rsidP="001813F1">
      <w:pPr>
        <w:rPr>
          <w:sz w:val="24"/>
          <w:szCs w:val="24"/>
        </w:rPr>
      </w:pPr>
      <w:r w:rsidRPr="0012760D">
        <w:rPr>
          <w:sz w:val="24"/>
          <w:szCs w:val="24"/>
        </w:rPr>
        <w:t>In 2012, we contracted several service providers to deliver the program in nine regions across Victoria - four in metropolitan Melbourne and five in regional areas. As well as providing training in the curriculum modules, each consortium has specific recruitment targets.</w:t>
      </w:r>
    </w:p>
    <w:p w:rsidR="00800153" w:rsidRPr="0012760D" w:rsidRDefault="00800153" w:rsidP="001813F1">
      <w:pPr>
        <w:rPr>
          <w:sz w:val="24"/>
          <w:szCs w:val="24"/>
        </w:rPr>
      </w:pPr>
    </w:p>
    <w:p w:rsidR="001813F1" w:rsidRDefault="001813F1" w:rsidP="001813F1">
      <w:pPr>
        <w:rPr>
          <w:sz w:val="24"/>
          <w:szCs w:val="24"/>
        </w:rPr>
      </w:pPr>
      <w:r w:rsidRPr="0012760D">
        <w:rPr>
          <w:sz w:val="24"/>
          <w:szCs w:val="24"/>
        </w:rPr>
        <w:t>We also recognise the challenge ahead in maintaining and fostering interest from schools that are leaders in sustainability curricula.</w:t>
      </w:r>
    </w:p>
    <w:p w:rsidR="00800153" w:rsidRDefault="00800153" w:rsidP="001813F1">
      <w:pPr>
        <w:rPr>
          <w:sz w:val="24"/>
          <w:szCs w:val="24"/>
        </w:rPr>
      </w:pPr>
    </w:p>
    <w:p w:rsidR="00800153" w:rsidRPr="0012760D" w:rsidRDefault="00800153" w:rsidP="001813F1">
      <w:pPr>
        <w:rPr>
          <w:sz w:val="24"/>
          <w:szCs w:val="24"/>
        </w:rPr>
      </w:pPr>
    </w:p>
    <w:p w:rsidR="001813F1" w:rsidRDefault="001813F1" w:rsidP="00800153">
      <w:pPr>
        <w:pStyle w:val="Heading2"/>
      </w:pPr>
      <w:r w:rsidRPr="0012760D">
        <w:t>What was delivered</w:t>
      </w:r>
    </w:p>
    <w:p w:rsidR="00800153" w:rsidRPr="0012760D" w:rsidRDefault="00800153" w:rsidP="001813F1">
      <w:pPr>
        <w:rPr>
          <w:sz w:val="24"/>
          <w:szCs w:val="24"/>
        </w:rPr>
      </w:pPr>
    </w:p>
    <w:p w:rsidR="001813F1" w:rsidRPr="0012760D" w:rsidRDefault="001813F1" w:rsidP="001813F1">
      <w:pPr>
        <w:rPr>
          <w:sz w:val="24"/>
          <w:szCs w:val="24"/>
        </w:rPr>
      </w:pPr>
      <w:r w:rsidRPr="0012760D">
        <w:rPr>
          <w:sz w:val="24"/>
          <w:szCs w:val="24"/>
        </w:rPr>
        <w:t>In 2012 to 13:</w:t>
      </w:r>
    </w:p>
    <w:p w:rsidR="001813F1" w:rsidRPr="0012760D" w:rsidRDefault="001813F1" w:rsidP="001813F1">
      <w:pPr>
        <w:rPr>
          <w:sz w:val="24"/>
          <w:szCs w:val="24"/>
        </w:rPr>
      </w:pPr>
      <w:r w:rsidRPr="0012760D">
        <w:rPr>
          <w:sz w:val="24"/>
          <w:szCs w:val="24"/>
        </w:rPr>
        <w:t xml:space="preserve">• </w:t>
      </w:r>
      <w:r w:rsidRPr="0012760D">
        <w:rPr>
          <w:bCs/>
          <w:sz w:val="24"/>
          <w:szCs w:val="24"/>
        </w:rPr>
        <w:t>We achieved 87% of our target to enrol 254 new schools into the ResourceSmart AuSSI Vic program by December 2013 to 134 in metropolitan Melbourne and 87 in regional locations.</w:t>
      </w:r>
    </w:p>
    <w:p w:rsidR="001813F1" w:rsidRPr="0012760D" w:rsidRDefault="001813F1" w:rsidP="001813F1">
      <w:pPr>
        <w:rPr>
          <w:sz w:val="24"/>
          <w:szCs w:val="24"/>
        </w:rPr>
      </w:pPr>
      <w:r w:rsidRPr="0012760D">
        <w:rPr>
          <w:sz w:val="24"/>
          <w:szCs w:val="24"/>
        </w:rPr>
        <w:t xml:space="preserve">• </w:t>
      </w:r>
      <w:r w:rsidRPr="0012760D">
        <w:rPr>
          <w:bCs/>
          <w:sz w:val="24"/>
          <w:szCs w:val="24"/>
        </w:rPr>
        <w:t>21 schools have achieved 5-Star</w:t>
      </w:r>
      <w:r w:rsidRPr="0012760D">
        <w:rPr>
          <w:sz w:val="24"/>
          <w:szCs w:val="24"/>
        </w:rPr>
        <w:t xml:space="preserve"> </w:t>
      </w:r>
      <w:r w:rsidRPr="0012760D">
        <w:rPr>
          <w:bCs/>
          <w:sz w:val="24"/>
          <w:szCs w:val="24"/>
        </w:rPr>
        <w:t>Sustainability Certification, an increase of five schools from the previous financial year.</w:t>
      </w:r>
    </w:p>
    <w:p w:rsidR="001813F1" w:rsidRPr="0012760D" w:rsidRDefault="001813F1" w:rsidP="001813F1">
      <w:pPr>
        <w:rPr>
          <w:sz w:val="24"/>
          <w:szCs w:val="24"/>
        </w:rPr>
      </w:pPr>
      <w:r w:rsidRPr="0012760D">
        <w:rPr>
          <w:sz w:val="24"/>
          <w:szCs w:val="24"/>
        </w:rPr>
        <w:t xml:space="preserve">• </w:t>
      </w:r>
      <w:r w:rsidRPr="0012760D">
        <w:rPr>
          <w:bCs/>
          <w:sz w:val="24"/>
          <w:szCs w:val="24"/>
        </w:rPr>
        <w:t>A record number of entries were received for the 2012 Annual ResourceSmart AuSSI Vic Awards, representing a 71% increase.</w:t>
      </w:r>
    </w:p>
    <w:p w:rsidR="00F07D62" w:rsidRDefault="00F07D62" w:rsidP="00F07D62">
      <w:pPr>
        <w:rPr>
          <w:bCs/>
          <w:sz w:val="24"/>
          <w:szCs w:val="24"/>
        </w:rPr>
      </w:pPr>
      <w:r w:rsidRPr="0012760D">
        <w:rPr>
          <w:bCs/>
          <w:sz w:val="24"/>
          <w:szCs w:val="24"/>
        </w:rPr>
        <w:t>&lt;pp&gt; 24</w:t>
      </w:r>
    </w:p>
    <w:p w:rsidR="00800153" w:rsidRDefault="00800153" w:rsidP="00F07D62">
      <w:pPr>
        <w:rPr>
          <w:bCs/>
          <w:sz w:val="24"/>
          <w:szCs w:val="24"/>
        </w:rPr>
      </w:pPr>
    </w:p>
    <w:p w:rsidR="00800153" w:rsidRPr="0012760D" w:rsidRDefault="00800153" w:rsidP="00F07D62">
      <w:pPr>
        <w:rPr>
          <w:sz w:val="24"/>
          <w:szCs w:val="24"/>
        </w:rPr>
      </w:pPr>
    </w:p>
    <w:p w:rsidR="00F07D62" w:rsidRDefault="00F07D62" w:rsidP="00800153">
      <w:pPr>
        <w:pStyle w:val="Heading2"/>
      </w:pPr>
      <w:r w:rsidRPr="0012760D">
        <w:t>3. Technologies that reduce environmental harm</w:t>
      </w:r>
    </w:p>
    <w:p w:rsidR="00800153" w:rsidRPr="0012760D" w:rsidRDefault="00800153" w:rsidP="00F07D62">
      <w:pPr>
        <w:rPr>
          <w:sz w:val="24"/>
          <w:szCs w:val="24"/>
        </w:rPr>
      </w:pPr>
    </w:p>
    <w:p w:rsidR="00F07D62" w:rsidRDefault="00F07D62" w:rsidP="00F07D62">
      <w:pPr>
        <w:rPr>
          <w:sz w:val="24"/>
          <w:szCs w:val="24"/>
        </w:rPr>
      </w:pPr>
      <w:r w:rsidRPr="0012760D">
        <w:rPr>
          <w:sz w:val="24"/>
          <w:szCs w:val="24"/>
        </w:rPr>
        <w:t>Increasing uptake of technologies that reduce environmental impacts, as part of an integrated approach to energy efficiency in targeted sectors.</w:t>
      </w:r>
    </w:p>
    <w:p w:rsidR="00800153" w:rsidRDefault="00800153" w:rsidP="00F07D62">
      <w:pPr>
        <w:rPr>
          <w:sz w:val="24"/>
          <w:szCs w:val="24"/>
        </w:rPr>
      </w:pPr>
    </w:p>
    <w:p w:rsidR="00800153" w:rsidRPr="0012760D" w:rsidRDefault="00800153" w:rsidP="00F07D62">
      <w:pPr>
        <w:rPr>
          <w:sz w:val="24"/>
          <w:szCs w:val="24"/>
        </w:rPr>
      </w:pPr>
    </w:p>
    <w:p w:rsidR="00F07D62" w:rsidRDefault="00F07D62" w:rsidP="00800153">
      <w:pPr>
        <w:pStyle w:val="Heading3"/>
      </w:pPr>
      <w:r w:rsidRPr="0012760D">
        <w:t>Current Focus</w:t>
      </w:r>
    </w:p>
    <w:p w:rsidR="00800153" w:rsidRPr="0012760D" w:rsidRDefault="00800153" w:rsidP="00F07D62">
      <w:pPr>
        <w:rPr>
          <w:sz w:val="24"/>
          <w:szCs w:val="24"/>
        </w:rPr>
      </w:pPr>
    </w:p>
    <w:p w:rsidR="00F07D62" w:rsidRDefault="00F07D62" w:rsidP="00F07D62">
      <w:pPr>
        <w:rPr>
          <w:sz w:val="24"/>
          <w:szCs w:val="24"/>
        </w:rPr>
      </w:pPr>
      <w:r w:rsidRPr="0012760D">
        <w:rPr>
          <w:sz w:val="24"/>
          <w:szCs w:val="24"/>
        </w:rPr>
        <w:t>The Smart Energy Zones (</w:t>
      </w:r>
      <w:r w:rsidR="00236A13">
        <w:rPr>
          <w:sz w:val="24"/>
          <w:szCs w:val="24"/>
        </w:rPr>
        <w:t>S E Z</w:t>
      </w:r>
      <w:r w:rsidRPr="0012760D">
        <w:rPr>
          <w:sz w:val="24"/>
          <w:szCs w:val="24"/>
        </w:rPr>
        <w:t>) program is working with seven project partners across the state to better manage the energy supply and demand in their precincts. The program has a strong focus on community engagement and distributed generation such as co-generation.</w:t>
      </w:r>
    </w:p>
    <w:p w:rsidR="00800153" w:rsidRDefault="00800153" w:rsidP="00F07D62">
      <w:pPr>
        <w:rPr>
          <w:sz w:val="24"/>
          <w:szCs w:val="24"/>
        </w:rPr>
      </w:pPr>
    </w:p>
    <w:p w:rsidR="00800153" w:rsidRPr="0012760D" w:rsidRDefault="00800153" w:rsidP="00F07D62">
      <w:pPr>
        <w:rPr>
          <w:sz w:val="24"/>
          <w:szCs w:val="24"/>
        </w:rPr>
      </w:pPr>
    </w:p>
    <w:p w:rsidR="00F07D62" w:rsidRDefault="00F07D62" w:rsidP="00800153">
      <w:pPr>
        <w:pStyle w:val="Heading4"/>
      </w:pPr>
      <w:r w:rsidRPr="0012760D">
        <w:t>Key achievements</w:t>
      </w:r>
    </w:p>
    <w:p w:rsidR="00800153" w:rsidRPr="0012760D" w:rsidRDefault="00800153" w:rsidP="00F07D62">
      <w:pPr>
        <w:rPr>
          <w:sz w:val="24"/>
          <w:szCs w:val="24"/>
        </w:rPr>
      </w:pPr>
    </w:p>
    <w:p w:rsidR="00F07D62" w:rsidRDefault="00F07D62" w:rsidP="00F07D62">
      <w:pPr>
        <w:rPr>
          <w:sz w:val="24"/>
          <w:szCs w:val="24"/>
        </w:rPr>
      </w:pPr>
      <w:r w:rsidRPr="0012760D">
        <w:rPr>
          <w:sz w:val="24"/>
          <w:szCs w:val="24"/>
        </w:rPr>
        <w:t xml:space="preserve">The </w:t>
      </w:r>
      <w:r w:rsidR="00236A13">
        <w:rPr>
          <w:sz w:val="24"/>
          <w:szCs w:val="24"/>
        </w:rPr>
        <w:t>S E Z</w:t>
      </w:r>
      <w:r w:rsidRPr="0012760D">
        <w:rPr>
          <w:sz w:val="24"/>
          <w:szCs w:val="24"/>
        </w:rPr>
        <w:t xml:space="preserve"> projects funded in previous years are now nearing completion. Installation of new technologies through these projects in 2012 to 13 has saved an estimated 4,340 MWh of energy.</w:t>
      </w:r>
    </w:p>
    <w:p w:rsidR="00800153" w:rsidRPr="0012760D" w:rsidRDefault="00800153" w:rsidP="00F07D62">
      <w:pPr>
        <w:rPr>
          <w:sz w:val="24"/>
          <w:szCs w:val="24"/>
        </w:rPr>
      </w:pPr>
    </w:p>
    <w:p w:rsidR="00F07D62" w:rsidRDefault="00F07D62" w:rsidP="00F07D62">
      <w:pPr>
        <w:rPr>
          <w:sz w:val="24"/>
          <w:szCs w:val="24"/>
        </w:rPr>
      </w:pPr>
      <w:r w:rsidRPr="0012760D">
        <w:rPr>
          <w:sz w:val="24"/>
          <w:szCs w:val="24"/>
        </w:rPr>
        <w:t>One of the projects completed during the year was Manningham City Council's Doncaster Hill development, which includes a community centre and sustainability education hub. The community centre features a 5-star Greenstar rating, a tri-generation system and energy-efficiency measures such as activated thermal mass, hybrid ventilation, and high-efficiency lighting, exhaust heat and hot-water recovery units.</w:t>
      </w:r>
    </w:p>
    <w:p w:rsidR="00800153" w:rsidRPr="0012760D" w:rsidRDefault="00800153" w:rsidP="00F07D62">
      <w:pPr>
        <w:rPr>
          <w:sz w:val="24"/>
          <w:szCs w:val="24"/>
        </w:rPr>
      </w:pPr>
    </w:p>
    <w:p w:rsidR="00F07D62" w:rsidRPr="0012760D" w:rsidRDefault="00F07D62" w:rsidP="00F07D62">
      <w:pPr>
        <w:rPr>
          <w:sz w:val="24"/>
          <w:szCs w:val="24"/>
        </w:rPr>
      </w:pPr>
      <w:r w:rsidRPr="0012760D">
        <w:rPr>
          <w:sz w:val="24"/>
          <w:szCs w:val="24"/>
        </w:rPr>
        <w:t xml:space="preserve">4,340 MWh energy saved through the </w:t>
      </w:r>
      <w:r w:rsidR="00800153" w:rsidRPr="0012760D">
        <w:rPr>
          <w:sz w:val="24"/>
          <w:szCs w:val="24"/>
        </w:rPr>
        <w:t>Smart Energy Zones Program</w:t>
      </w:r>
      <w:r w:rsidRPr="0012760D">
        <w:rPr>
          <w:sz w:val="24"/>
          <w:szCs w:val="24"/>
        </w:rPr>
        <w:t>.</w:t>
      </w:r>
    </w:p>
    <w:p w:rsidR="00875072" w:rsidRDefault="00875072" w:rsidP="00875072">
      <w:pPr>
        <w:rPr>
          <w:bCs/>
          <w:sz w:val="24"/>
          <w:szCs w:val="24"/>
        </w:rPr>
      </w:pPr>
      <w:r w:rsidRPr="0012760D">
        <w:rPr>
          <w:bCs/>
          <w:sz w:val="24"/>
          <w:szCs w:val="24"/>
        </w:rPr>
        <w:t>&lt;pp&gt; 25</w:t>
      </w:r>
    </w:p>
    <w:p w:rsidR="00800153" w:rsidRDefault="00800153" w:rsidP="00875072">
      <w:pPr>
        <w:rPr>
          <w:bCs/>
          <w:sz w:val="24"/>
          <w:szCs w:val="24"/>
        </w:rPr>
      </w:pPr>
    </w:p>
    <w:p w:rsidR="00800153" w:rsidRPr="0012760D" w:rsidRDefault="00800153" w:rsidP="00875072">
      <w:pPr>
        <w:rPr>
          <w:sz w:val="24"/>
          <w:szCs w:val="24"/>
        </w:rPr>
      </w:pPr>
    </w:p>
    <w:p w:rsidR="00875072" w:rsidRDefault="00875072" w:rsidP="00800153">
      <w:pPr>
        <w:pStyle w:val="Heading1"/>
      </w:pPr>
      <w:r w:rsidRPr="0012760D">
        <w:t>Building Our Capabilities</w:t>
      </w:r>
    </w:p>
    <w:p w:rsidR="00800153" w:rsidRPr="0012760D" w:rsidRDefault="00800153" w:rsidP="00875072">
      <w:pPr>
        <w:rPr>
          <w:sz w:val="24"/>
          <w:szCs w:val="24"/>
        </w:rPr>
      </w:pPr>
    </w:p>
    <w:p w:rsidR="00875072" w:rsidRDefault="00875072" w:rsidP="00875072">
      <w:pPr>
        <w:rPr>
          <w:bCs/>
          <w:sz w:val="24"/>
          <w:szCs w:val="24"/>
        </w:rPr>
      </w:pPr>
      <w:r w:rsidRPr="0012760D">
        <w:rPr>
          <w:bCs/>
          <w:sz w:val="24"/>
          <w:szCs w:val="24"/>
        </w:rPr>
        <w:t>Over the past year we have undergone significant change, including optimising our frontline services, reducing our corporate overheads and optimising our operations to "do more with less". This has resulted in a clearer focus in line with the SV2015 strategy.</w:t>
      </w:r>
    </w:p>
    <w:p w:rsidR="00800153" w:rsidRPr="0012760D" w:rsidRDefault="00800153" w:rsidP="00875072">
      <w:pPr>
        <w:rPr>
          <w:sz w:val="24"/>
          <w:szCs w:val="24"/>
        </w:rPr>
      </w:pPr>
    </w:p>
    <w:p w:rsidR="00875072" w:rsidRDefault="00875072" w:rsidP="00875072">
      <w:pPr>
        <w:rPr>
          <w:sz w:val="24"/>
          <w:szCs w:val="24"/>
        </w:rPr>
      </w:pPr>
      <w:r w:rsidRPr="0012760D">
        <w:rPr>
          <w:sz w:val="24"/>
          <w:szCs w:val="24"/>
        </w:rPr>
        <w:t>An important part of our transformation was aimed at more efficiently delivering our programs and services. This included significant efficiencies in our corporate and administrative functions.</w:t>
      </w:r>
    </w:p>
    <w:p w:rsidR="00800153" w:rsidRPr="0012760D" w:rsidRDefault="00800153" w:rsidP="00875072">
      <w:pPr>
        <w:rPr>
          <w:sz w:val="24"/>
          <w:szCs w:val="24"/>
        </w:rPr>
      </w:pPr>
    </w:p>
    <w:p w:rsidR="00875072" w:rsidRDefault="00875072" w:rsidP="00875072">
      <w:pPr>
        <w:rPr>
          <w:sz w:val="24"/>
          <w:szCs w:val="24"/>
        </w:rPr>
      </w:pPr>
      <w:r w:rsidRPr="0012760D">
        <w:rPr>
          <w:sz w:val="24"/>
          <w:szCs w:val="24"/>
        </w:rPr>
        <w:t>We re-engineered our business model to better align our internal resources with our priority areas while refining internal functions to best meet our needs. We will continue to be vigilant about our corporate service expenditure and internal red tape, finding opportunities to work smarter while maximising the resources we apply to our frontline services.</w:t>
      </w:r>
    </w:p>
    <w:p w:rsidR="00800153" w:rsidRPr="0012760D" w:rsidRDefault="00800153" w:rsidP="00875072">
      <w:pPr>
        <w:rPr>
          <w:sz w:val="24"/>
          <w:szCs w:val="24"/>
        </w:rPr>
      </w:pPr>
    </w:p>
    <w:p w:rsidR="00875072" w:rsidRDefault="00875072" w:rsidP="00875072">
      <w:pPr>
        <w:rPr>
          <w:sz w:val="24"/>
          <w:szCs w:val="24"/>
        </w:rPr>
      </w:pPr>
      <w:r w:rsidRPr="0012760D">
        <w:rPr>
          <w:sz w:val="24"/>
          <w:szCs w:val="24"/>
        </w:rPr>
        <w:t>As these changes have been implemented, there have also been changes within Victorian government. These include a shift towards being "evidence-driven" and "outcome-focused", the merger of departments, and a mandatory requirement for all departments and agencies to publish their data under the DataVic Policy.</w:t>
      </w:r>
    </w:p>
    <w:p w:rsidR="00800153" w:rsidRPr="0012760D" w:rsidRDefault="00800153" w:rsidP="00875072">
      <w:pPr>
        <w:rPr>
          <w:sz w:val="24"/>
          <w:szCs w:val="24"/>
        </w:rPr>
      </w:pPr>
    </w:p>
    <w:p w:rsidR="00875072" w:rsidRPr="0012760D" w:rsidRDefault="00875072" w:rsidP="00875072">
      <w:pPr>
        <w:rPr>
          <w:sz w:val="24"/>
          <w:szCs w:val="24"/>
        </w:rPr>
      </w:pPr>
      <w:r w:rsidRPr="0012760D">
        <w:rPr>
          <w:sz w:val="24"/>
          <w:szCs w:val="24"/>
        </w:rPr>
        <w:t>In line with the SV2015 capabilities for transforming Sustainability Victoria into an efficient and evidence-based organisation, our current areas of focus are:</w:t>
      </w:r>
    </w:p>
    <w:p w:rsidR="00875072" w:rsidRPr="0012760D" w:rsidRDefault="00875072" w:rsidP="00875072">
      <w:pPr>
        <w:rPr>
          <w:sz w:val="24"/>
          <w:szCs w:val="24"/>
        </w:rPr>
      </w:pPr>
      <w:r w:rsidRPr="0012760D">
        <w:rPr>
          <w:sz w:val="24"/>
          <w:szCs w:val="24"/>
        </w:rPr>
        <w:t>• improving the way we engage with our stakeholders, clients and audiences to deliver better integrated waste management and resource efficiency outcomes</w:t>
      </w:r>
    </w:p>
    <w:p w:rsidR="00875072" w:rsidRPr="0012760D" w:rsidRDefault="00875072" w:rsidP="00875072">
      <w:pPr>
        <w:rPr>
          <w:sz w:val="24"/>
          <w:szCs w:val="24"/>
        </w:rPr>
      </w:pPr>
      <w:r w:rsidRPr="0012760D">
        <w:rPr>
          <w:sz w:val="24"/>
          <w:szCs w:val="24"/>
        </w:rPr>
        <w:t>• building an evidence-based culture that informs our investments in integrated waste management and resource efficiency, and demonstrates the outcomes of those investments</w:t>
      </w:r>
    </w:p>
    <w:p w:rsidR="00875072" w:rsidRPr="0012760D" w:rsidRDefault="00875072" w:rsidP="00875072">
      <w:pPr>
        <w:rPr>
          <w:sz w:val="24"/>
          <w:szCs w:val="24"/>
        </w:rPr>
      </w:pPr>
      <w:r w:rsidRPr="0012760D">
        <w:rPr>
          <w:sz w:val="24"/>
          <w:szCs w:val="24"/>
        </w:rPr>
        <w:t>• ensuring that we are an accountable government organisation with a transparent and flexible approach</w:t>
      </w:r>
    </w:p>
    <w:p w:rsidR="00875072" w:rsidRDefault="00875072" w:rsidP="00875072">
      <w:pPr>
        <w:rPr>
          <w:sz w:val="24"/>
          <w:szCs w:val="24"/>
        </w:rPr>
      </w:pPr>
      <w:r w:rsidRPr="0012760D">
        <w:rPr>
          <w:sz w:val="24"/>
          <w:szCs w:val="24"/>
        </w:rPr>
        <w:t>• providing high standards of governance, accountability and performance while delivering coordinated programs within our portfolio.</w:t>
      </w:r>
    </w:p>
    <w:p w:rsidR="00800153" w:rsidRPr="0012760D" w:rsidRDefault="00800153" w:rsidP="00875072">
      <w:pPr>
        <w:rPr>
          <w:sz w:val="24"/>
          <w:szCs w:val="24"/>
        </w:rPr>
      </w:pPr>
    </w:p>
    <w:p w:rsidR="00875072" w:rsidRDefault="00875072" w:rsidP="00875072">
      <w:pPr>
        <w:rPr>
          <w:sz w:val="24"/>
          <w:szCs w:val="24"/>
        </w:rPr>
      </w:pPr>
      <w:r w:rsidRPr="0012760D">
        <w:rPr>
          <w:sz w:val="24"/>
          <w:szCs w:val="24"/>
        </w:rPr>
        <w:t>Our performance in each of these areas is outlined on the following pages.</w:t>
      </w:r>
    </w:p>
    <w:p w:rsidR="00800153" w:rsidRPr="0012760D" w:rsidRDefault="00800153" w:rsidP="00875072">
      <w:pPr>
        <w:rPr>
          <w:sz w:val="24"/>
          <w:szCs w:val="24"/>
        </w:rPr>
      </w:pPr>
    </w:p>
    <w:p w:rsidR="00875072" w:rsidRDefault="00875072" w:rsidP="00875072">
      <w:pPr>
        <w:rPr>
          <w:sz w:val="24"/>
          <w:szCs w:val="24"/>
        </w:rPr>
      </w:pPr>
      <w:r w:rsidRPr="0012760D">
        <w:rPr>
          <w:sz w:val="24"/>
          <w:szCs w:val="24"/>
        </w:rPr>
        <w:t>To enhance our understanding of evidence-based interventions through our support of Behaviour Works, we have engaged with several world experts throughout the course of the year. Notable engagements were with professors Susan Michie, Bas Verplanken and Icek Ajzen.</w:t>
      </w:r>
    </w:p>
    <w:p w:rsidR="00800153" w:rsidRDefault="00800153" w:rsidP="00875072">
      <w:pPr>
        <w:rPr>
          <w:sz w:val="24"/>
          <w:szCs w:val="24"/>
        </w:rPr>
      </w:pPr>
    </w:p>
    <w:p w:rsidR="00800153" w:rsidRPr="0012760D" w:rsidRDefault="00800153" w:rsidP="00875072">
      <w:pPr>
        <w:rPr>
          <w:sz w:val="24"/>
          <w:szCs w:val="24"/>
        </w:rPr>
      </w:pPr>
    </w:p>
    <w:p w:rsidR="00875072" w:rsidRDefault="00875072" w:rsidP="00800153">
      <w:pPr>
        <w:pStyle w:val="Heading2"/>
      </w:pPr>
      <w:r w:rsidRPr="0012760D">
        <w:t>Professor Susan Michie (UK)</w:t>
      </w:r>
    </w:p>
    <w:p w:rsidR="00800153" w:rsidRPr="0012760D" w:rsidRDefault="00800153" w:rsidP="00875072">
      <w:pPr>
        <w:rPr>
          <w:sz w:val="24"/>
          <w:szCs w:val="24"/>
        </w:rPr>
      </w:pPr>
    </w:p>
    <w:p w:rsidR="00875072" w:rsidRDefault="00875072" w:rsidP="00875072">
      <w:pPr>
        <w:rPr>
          <w:sz w:val="24"/>
          <w:szCs w:val="24"/>
        </w:rPr>
      </w:pPr>
      <w:r w:rsidRPr="0012760D">
        <w:rPr>
          <w:sz w:val="24"/>
          <w:szCs w:val="24"/>
        </w:rPr>
        <w:lastRenderedPageBreak/>
        <w:t xml:space="preserve">A chartered clinical and health psychologist, Professor Michie is a leading thinker in the design and evaluation of practice-change projects. She is a past President of the EHPS, past Chair of the BPS's Division of Health Psychology and the Associate Editor of </w:t>
      </w:r>
      <w:r w:rsidRPr="0012760D">
        <w:rPr>
          <w:i/>
          <w:iCs/>
          <w:sz w:val="24"/>
          <w:szCs w:val="24"/>
        </w:rPr>
        <w:t xml:space="preserve">Annals of Behavioral Medicine </w:t>
      </w:r>
      <w:r w:rsidRPr="0012760D">
        <w:rPr>
          <w:sz w:val="24"/>
          <w:szCs w:val="24"/>
        </w:rPr>
        <w:t xml:space="preserve">and of </w:t>
      </w:r>
      <w:r w:rsidRPr="0012760D">
        <w:rPr>
          <w:i/>
          <w:iCs/>
          <w:sz w:val="24"/>
          <w:szCs w:val="24"/>
        </w:rPr>
        <w:t>Implementation Science</w:t>
      </w:r>
      <w:r w:rsidRPr="0012760D">
        <w:rPr>
          <w:sz w:val="24"/>
          <w:szCs w:val="24"/>
        </w:rPr>
        <w:t>.</w:t>
      </w:r>
    </w:p>
    <w:p w:rsidR="00800153" w:rsidRDefault="00800153" w:rsidP="00875072">
      <w:pPr>
        <w:rPr>
          <w:sz w:val="24"/>
          <w:szCs w:val="24"/>
        </w:rPr>
      </w:pPr>
    </w:p>
    <w:p w:rsidR="00800153" w:rsidRPr="0012760D" w:rsidRDefault="00800153" w:rsidP="00875072">
      <w:pPr>
        <w:rPr>
          <w:sz w:val="24"/>
          <w:szCs w:val="24"/>
        </w:rPr>
      </w:pPr>
    </w:p>
    <w:p w:rsidR="00875072" w:rsidRDefault="00875072" w:rsidP="00800153">
      <w:pPr>
        <w:pStyle w:val="Heading2"/>
      </w:pPr>
      <w:r w:rsidRPr="0012760D">
        <w:t>Professor Icek Ajzen (USA)</w:t>
      </w:r>
    </w:p>
    <w:p w:rsidR="00800153" w:rsidRPr="0012760D" w:rsidRDefault="00800153" w:rsidP="00875072">
      <w:pPr>
        <w:rPr>
          <w:sz w:val="24"/>
          <w:szCs w:val="24"/>
        </w:rPr>
      </w:pPr>
    </w:p>
    <w:p w:rsidR="00875072" w:rsidRDefault="00875072" w:rsidP="00875072">
      <w:pPr>
        <w:rPr>
          <w:sz w:val="24"/>
          <w:szCs w:val="24"/>
        </w:rPr>
      </w:pPr>
      <w:r w:rsidRPr="0012760D">
        <w:rPr>
          <w:sz w:val="24"/>
          <w:szCs w:val="24"/>
        </w:rPr>
        <w:t xml:space="preserve">One of the world's leading social psychologists, Professor Ajzen is renowned for the Theory of Planned Behaviour (TPL). He is currently Professor Emeritus of Psychology at the university of Massachusetts and has held a longstanding lead editorial role for the </w:t>
      </w:r>
      <w:r w:rsidRPr="0012760D">
        <w:rPr>
          <w:i/>
          <w:iCs/>
          <w:sz w:val="24"/>
          <w:szCs w:val="24"/>
        </w:rPr>
        <w:t xml:space="preserve">Journal of Personality </w:t>
      </w:r>
      <w:r w:rsidR="00236A13">
        <w:rPr>
          <w:i/>
          <w:iCs/>
          <w:sz w:val="24"/>
          <w:szCs w:val="24"/>
        </w:rPr>
        <w:t>and</w:t>
      </w:r>
      <w:r w:rsidRPr="0012760D">
        <w:rPr>
          <w:i/>
          <w:iCs/>
          <w:sz w:val="24"/>
          <w:szCs w:val="24"/>
        </w:rPr>
        <w:t xml:space="preserve"> Social Psychology </w:t>
      </w:r>
      <w:r w:rsidRPr="0012760D">
        <w:rPr>
          <w:sz w:val="24"/>
          <w:szCs w:val="24"/>
        </w:rPr>
        <w:t xml:space="preserve">and the </w:t>
      </w:r>
      <w:r w:rsidRPr="0012760D">
        <w:rPr>
          <w:i/>
          <w:iCs/>
          <w:sz w:val="24"/>
          <w:szCs w:val="24"/>
        </w:rPr>
        <w:t>Journal of Applied Social Psychology</w:t>
      </w:r>
      <w:r w:rsidRPr="0012760D">
        <w:rPr>
          <w:sz w:val="24"/>
          <w:szCs w:val="24"/>
        </w:rPr>
        <w:t>.</w:t>
      </w:r>
    </w:p>
    <w:p w:rsidR="00800153" w:rsidRDefault="00800153" w:rsidP="00875072">
      <w:pPr>
        <w:rPr>
          <w:sz w:val="24"/>
          <w:szCs w:val="24"/>
        </w:rPr>
      </w:pPr>
    </w:p>
    <w:p w:rsidR="00800153" w:rsidRPr="0012760D" w:rsidRDefault="00800153" w:rsidP="00875072">
      <w:pPr>
        <w:rPr>
          <w:sz w:val="24"/>
          <w:szCs w:val="24"/>
        </w:rPr>
      </w:pPr>
    </w:p>
    <w:p w:rsidR="00875072" w:rsidRDefault="00875072" w:rsidP="00800153">
      <w:pPr>
        <w:pStyle w:val="Heading2"/>
      </w:pPr>
      <w:r w:rsidRPr="0012760D">
        <w:t>Professor Bas Verplanken (UK)</w:t>
      </w:r>
    </w:p>
    <w:p w:rsidR="00800153" w:rsidRPr="0012760D" w:rsidRDefault="00800153" w:rsidP="00875072">
      <w:pPr>
        <w:rPr>
          <w:sz w:val="24"/>
          <w:szCs w:val="24"/>
        </w:rPr>
      </w:pPr>
    </w:p>
    <w:p w:rsidR="00875072" w:rsidRPr="0012760D" w:rsidRDefault="00875072" w:rsidP="00875072">
      <w:pPr>
        <w:rPr>
          <w:sz w:val="24"/>
          <w:szCs w:val="24"/>
        </w:rPr>
      </w:pPr>
      <w:r w:rsidRPr="0012760D">
        <w:rPr>
          <w:sz w:val="24"/>
          <w:szCs w:val="24"/>
        </w:rPr>
        <w:t>Professor of psychology and the head of the Department of Psychology at the university of Bath, England, Professor Verplanken is a member of the UK's Sustainable Lifestyles Research Group. He developed the Self-Report Habit Index (SRHI), which measures the strength of habitual behaviours, and the Habit Discontinuity Hypothesis, which seeks to optimise the effectiveness of behaviour-influence interventions.</w:t>
      </w:r>
    </w:p>
    <w:p w:rsidR="00DB2141" w:rsidRDefault="00DB2141" w:rsidP="00DB2141">
      <w:pPr>
        <w:rPr>
          <w:bCs/>
          <w:sz w:val="24"/>
          <w:szCs w:val="24"/>
        </w:rPr>
      </w:pPr>
      <w:r w:rsidRPr="0012760D">
        <w:rPr>
          <w:bCs/>
          <w:sz w:val="24"/>
          <w:szCs w:val="24"/>
        </w:rPr>
        <w:t>&lt;pp&gt; 26</w:t>
      </w:r>
    </w:p>
    <w:p w:rsidR="00800153" w:rsidRDefault="00800153" w:rsidP="00DB2141">
      <w:pPr>
        <w:rPr>
          <w:bCs/>
          <w:sz w:val="24"/>
          <w:szCs w:val="24"/>
        </w:rPr>
      </w:pPr>
    </w:p>
    <w:p w:rsidR="00800153" w:rsidRPr="0012760D" w:rsidRDefault="00800153" w:rsidP="00DB2141">
      <w:pPr>
        <w:rPr>
          <w:sz w:val="24"/>
          <w:szCs w:val="24"/>
        </w:rPr>
      </w:pPr>
    </w:p>
    <w:p w:rsidR="00DB2141" w:rsidRDefault="00DB2141" w:rsidP="00800153">
      <w:pPr>
        <w:pStyle w:val="Heading2"/>
      </w:pPr>
      <w:r w:rsidRPr="0012760D">
        <w:t>1. Statewide Engagement</w:t>
      </w:r>
    </w:p>
    <w:p w:rsidR="00800153" w:rsidRPr="0012760D" w:rsidRDefault="00800153" w:rsidP="00DB2141">
      <w:pPr>
        <w:rPr>
          <w:sz w:val="24"/>
          <w:szCs w:val="24"/>
        </w:rPr>
      </w:pPr>
    </w:p>
    <w:p w:rsidR="00DB2141" w:rsidRPr="00800153" w:rsidRDefault="00DB2141" w:rsidP="00DB2141">
      <w:pPr>
        <w:rPr>
          <w:b/>
          <w:sz w:val="24"/>
          <w:szCs w:val="24"/>
        </w:rPr>
      </w:pPr>
      <w:r w:rsidRPr="00800153">
        <w:rPr>
          <w:b/>
          <w:sz w:val="24"/>
          <w:szCs w:val="24"/>
        </w:rPr>
        <w:t>Improving the way we engage with our stakeholders, clients and audiences to deliver better integrated waste management and resource efficiency outcomes</w:t>
      </w:r>
      <w:r w:rsidR="00800153">
        <w:rPr>
          <w:b/>
          <w:sz w:val="24"/>
          <w:szCs w:val="24"/>
        </w:rPr>
        <w:t>.</w:t>
      </w:r>
    </w:p>
    <w:p w:rsidR="00800153" w:rsidRDefault="00800153" w:rsidP="00DB2141">
      <w:pPr>
        <w:rPr>
          <w:sz w:val="24"/>
          <w:szCs w:val="24"/>
        </w:rPr>
      </w:pPr>
    </w:p>
    <w:p w:rsidR="00800153" w:rsidRPr="0012760D" w:rsidRDefault="00800153" w:rsidP="00DB2141">
      <w:pPr>
        <w:rPr>
          <w:sz w:val="24"/>
          <w:szCs w:val="24"/>
        </w:rPr>
      </w:pPr>
    </w:p>
    <w:p w:rsidR="00DB2141" w:rsidRDefault="00DB2141" w:rsidP="00800153">
      <w:pPr>
        <w:pStyle w:val="Heading3"/>
      </w:pPr>
      <w:r w:rsidRPr="0012760D">
        <w:t>Current Focus</w:t>
      </w:r>
    </w:p>
    <w:p w:rsidR="00800153" w:rsidRPr="0012760D" w:rsidRDefault="00800153" w:rsidP="00DB2141">
      <w:pPr>
        <w:rPr>
          <w:sz w:val="24"/>
          <w:szCs w:val="24"/>
        </w:rPr>
      </w:pPr>
    </w:p>
    <w:p w:rsidR="00DB2141" w:rsidRDefault="00DB2141" w:rsidP="00DB2141">
      <w:pPr>
        <w:rPr>
          <w:sz w:val="24"/>
          <w:szCs w:val="24"/>
        </w:rPr>
      </w:pPr>
      <w:r w:rsidRPr="0012760D">
        <w:rPr>
          <w:sz w:val="24"/>
          <w:szCs w:val="24"/>
        </w:rPr>
        <w:t>It is critical that we continue to improve the way we engage with our stakeholders, clients and audiences. This is determined by how we deliver service and value, provide access to our programs and develop our relationships. All of these elements have a direct effect on the success of SV2015.</w:t>
      </w:r>
    </w:p>
    <w:p w:rsidR="00800153" w:rsidRPr="0012760D" w:rsidRDefault="00800153" w:rsidP="00DB2141">
      <w:pPr>
        <w:rPr>
          <w:sz w:val="24"/>
          <w:szCs w:val="24"/>
        </w:rPr>
      </w:pPr>
    </w:p>
    <w:p w:rsidR="00DB2141" w:rsidRDefault="00DB2141" w:rsidP="00DB2141">
      <w:pPr>
        <w:rPr>
          <w:sz w:val="24"/>
          <w:szCs w:val="24"/>
        </w:rPr>
      </w:pPr>
      <w:r w:rsidRPr="0012760D">
        <w:rPr>
          <w:sz w:val="24"/>
          <w:szCs w:val="24"/>
        </w:rPr>
        <w:t>Our approach is to be thoughtful, deliberate and responsible in the way we engage. A particular focus is to improve access to our programs and guidance for all Victorians, particularly those in regional Victoria. This requires us to understand local conditions and work together with waste management groups, local government and other stakeholders to achieve better outcomes.</w:t>
      </w:r>
    </w:p>
    <w:p w:rsidR="00800153" w:rsidRDefault="00800153" w:rsidP="00DB2141">
      <w:pPr>
        <w:rPr>
          <w:sz w:val="24"/>
          <w:szCs w:val="24"/>
        </w:rPr>
      </w:pPr>
    </w:p>
    <w:p w:rsidR="00800153" w:rsidRPr="0012760D" w:rsidRDefault="00800153" w:rsidP="00DB2141">
      <w:pPr>
        <w:rPr>
          <w:sz w:val="24"/>
          <w:szCs w:val="24"/>
        </w:rPr>
      </w:pPr>
    </w:p>
    <w:p w:rsidR="00DB2141" w:rsidRDefault="00800153" w:rsidP="00800153">
      <w:pPr>
        <w:pStyle w:val="Heading3"/>
      </w:pPr>
      <w:r w:rsidRPr="0012760D">
        <w:t>Objectives</w:t>
      </w:r>
    </w:p>
    <w:p w:rsidR="00800153" w:rsidRPr="0012760D" w:rsidRDefault="00800153" w:rsidP="00DB2141">
      <w:pPr>
        <w:rPr>
          <w:sz w:val="24"/>
          <w:szCs w:val="24"/>
        </w:rPr>
      </w:pPr>
    </w:p>
    <w:p w:rsidR="00DB2141" w:rsidRPr="0012760D" w:rsidRDefault="00DB2141" w:rsidP="00DB2141">
      <w:pPr>
        <w:rPr>
          <w:sz w:val="24"/>
          <w:szCs w:val="24"/>
        </w:rPr>
      </w:pPr>
      <w:r w:rsidRPr="0012760D">
        <w:rPr>
          <w:sz w:val="24"/>
          <w:szCs w:val="24"/>
        </w:rPr>
        <w:t xml:space="preserve">To successfully engage Victorians across the state, our objectives for the next three </w:t>
      </w:r>
      <w:r w:rsidRPr="0012760D">
        <w:rPr>
          <w:sz w:val="24"/>
          <w:szCs w:val="24"/>
        </w:rPr>
        <w:lastRenderedPageBreak/>
        <w:t>years are to:</w:t>
      </w:r>
    </w:p>
    <w:p w:rsidR="00DB2141" w:rsidRPr="0012760D" w:rsidRDefault="00DB2141" w:rsidP="00DB2141">
      <w:pPr>
        <w:rPr>
          <w:sz w:val="24"/>
          <w:szCs w:val="24"/>
        </w:rPr>
      </w:pPr>
      <w:r w:rsidRPr="0012760D">
        <w:rPr>
          <w:sz w:val="24"/>
          <w:szCs w:val="24"/>
        </w:rPr>
        <w:t>• maximise opportunities for regional Victorians to access programs that deliver integrated waste management and resource efficiency outcomes</w:t>
      </w:r>
    </w:p>
    <w:p w:rsidR="00DB2141" w:rsidRPr="0012760D" w:rsidRDefault="00DB2141" w:rsidP="00DB2141">
      <w:pPr>
        <w:rPr>
          <w:sz w:val="24"/>
          <w:szCs w:val="24"/>
        </w:rPr>
      </w:pPr>
      <w:r w:rsidRPr="0012760D">
        <w:rPr>
          <w:sz w:val="24"/>
          <w:szCs w:val="24"/>
        </w:rPr>
        <w:t>• strengthen strategic relationships with key stakeholders</w:t>
      </w:r>
    </w:p>
    <w:p w:rsidR="00DB2141" w:rsidRDefault="00DB2141" w:rsidP="00DB2141">
      <w:pPr>
        <w:rPr>
          <w:sz w:val="24"/>
          <w:szCs w:val="24"/>
        </w:rPr>
      </w:pPr>
      <w:r w:rsidRPr="0012760D">
        <w:rPr>
          <w:sz w:val="24"/>
          <w:szCs w:val="24"/>
        </w:rPr>
        <w:t>• provide excellence in service delivery to maximise access, provide better, more practical guidance, and improve service to stakeholders, clients and audiences.</w:t>
      </w:r>
    </w:p>
    <w:p w:rsidR="00800153" w:rsidRDefault="00800153" w:rsidP="00DB2141">
      <w:pPr>
        <w:rPr>
          <w:sz w:val="24"/>
          <w:szCs w:val="24"/>
        </w:rPr>
      </w:pPr>
    </w:p>
    <w:p w:rsidR="00800153" w:rsidRPr="0012760D" w:rsidRDefault="00800153" w:rsidP="00DB2141">
      <w:pPr>
        <w:rPr>
          <w:sz w:val="24"/>
          <w:szCs w:val="24"/>
        </w:rPr>
      </w:pPr>
    </w:p>
    <w:p w:rsidR="00DB2141" w:rsidRDefault="00DB2141" w:rsidP="00800153">
      <w:pPr>
        <w:pStyle w:val="Heading3"/>
      </w:pPr>
      <w:r w:rsidRPr="0012760D">
        <w:t>Key achievements</w:t>
      </w:r>
    </w:p>
    <w:p w:rsidR="00800153" w:rsidRPr="0012760D" w:rsidRDefault="00800153" w:rsidP="00DB2141">
      <w:pPr>
        <w:rPr>
          <w:sz w:val="24"/>
          <w:szCs w:val="24"/>
        </w:rPr>
      </w:pPr>
    </w:p>
    <w:p w:rsidR="00DB2141" w:rsidRDefault="00DB2141" w:rsidP="00DB2141">
      <w:pPr>
        <w:rPr>
          <w:sz w:val="24"/>
          <w:szCs w:val="24"/>
        </w:rPr>
      </w:pPr>
      <w:r w:rsidRPr="0012760D">
        <w:rPr>
          <w:sz w:val="24"/>
          <w:szCs w:val="24"/>
        </w:rPr>
        <w:t>This year, we improved our regional engagement. As well as employing five regionally based staff, we introduced the SV @ your doorstep program, using web technology to engage with regional organisations and communities.</w:t>
      </w:r>
    </w:p>
    <w:p w:rsidR="00800153" w:rsidRPr="0012760D" w:rsidRDefault="00800153" w:rsidP="00DB2141">
      <w:pPr>
        <w:rPr>
          <w:sz w:val="24"/>
          <w:szCs w:val="24"/>
        </w:rPr>
      </w:pPr>
    </w:p>
    <w:p w:rsidR="00DB2141" w:rsidRDefault="00DB2141" w:rsidP="00DB2141">
      <w:pPr>
        <w:rPr>
          <w:sz w:val="24"/>
          <w:szCs w:val="24"/>
        </w:rPr>
      </w:pPr>
      <w:r w:rsidRPr="0012760D">
        <w:rPr>
          <w:sz w:val="24"/>
          <w:szCs w:val="24"/>
        </w:rPr>
        <w:t>Between September and November 2012, we conducted market research, as well as direct consultation with a range of stakeholders, on our brand recognition and the quality of our stakeholder engagement. This research set the benchmark against which future brand perception and stakeholder engagement will be measured.</w:t>
      </w:r>
    </w:p>
    <w:p w:rsidR="00800153" w:rsidRPr="0012760D" w:rsidRDefault="00800153" w:rsidP="00DB2141">
      <w:pPr>
        <w:rPr>
          <w:sz w:val="24"/>
          <w:szCs w:val="24"/>
        </w:rPr>
      </w:pPr>
    </w:p>
    <w:p w:rsidR="00DB2141" w:rsidRDefault="00DB2141" w:rsidP="00DB2141">
      <w:pPr>
        <w:rPr>
          <w:sz w:val="24"/>
          <w:szCs w:val="24"/>
        </w:rPr>
      </w:pPr>
      <w:r w:rsidRPr="0012760D">
        <w:rPr>
          <w:sz w:val="24"/>
          <w:szCs w:val="24"/>
        </w:rPr>
        <w:t>The findings showed that stakeholders value our knowledge, leadership and unique ability to create and facilitate networks. They also expect us to be objective and driven by tangible outcomes. There are opportunities for us to enable more stakeholders to access and use our knowledge, expertise and resources.</w:t>
      </w:r>
    </w:p>
    <w:p w:rsidR="00800153" w:rsidRPr="0012760D" w:rsidRDefault="00800153" w:rsidP="00DB2141">
      <w:pPr>
        <w:rPr>
          <w:sz w:val="24"/>
          <w:szCs w:val="24"/>
        </w:rPr>
      </w:pPr>
    </w:p>
    <w:p w:rsidR="00DB2141" w:rsidRDefault="00DB2141" w:rsidP="00DB2141">
      <w:pPr>
        <w:rPr>
          <w:sz w:val="24"/>
          <w:szCs w:val="24"/>
        </w:rPr>
      </w:pPr>
      <w:r w:rsidRPr="0012760D">
        <w:rPr>
          <w:sz w:val="24"/>
          <w:szCs w:val="24"/>
        </w:rPr>
        <w:t>The Premier's Sustainability Awards are Victoria's flagship sustainability event. Last year we improved the awards judging and entry processes and received 72 nominations.</w:t>
      </w:r>
    </w:p>
    <w:p w:rsidR="00800153" w:rsidRPr="0012760D" w:rsidRDefault="00800153" w:rsidP="00DB2141">
      <w:pPr>
        <w:rPr>
          <w:sz w:val="24"/>
          <w:szCs w:val="24"/>
        </w:rPr>
      </w:pPr>
    </w:p>
    <w:p w:rsidR="00DB2141" w:rsidRDefault="00DB2141" w:rsidP="00DB2141">
      <w:pPr>
        <w:rPr>
          <w:sz w:val="24"/>
          <w:szCs w:val="24"/>
        </w:rPr>
      </w:pPr>
      <w:r w:rsidRPr="0012760D">
        <w:rPr>
          <w:sz w:val="24"/>
          <w:szCs w:val="24"/>
        </w:rPr>
        <w:t>Promotion of the Premier's Sustainability Awards in regional Victoria was successful, with 36% of finalists and 50% of award winners coming from regional and statewide entries.</w:t>
      </w:r>
    </w:p>
    <w:p w:rsidR="00800153" w:rsidRPr="0012760D" w:rsidRDefault="00800153" w:rsidP="00DB2141">
      <w:pPr>
        <w:rPr>
          <w:sz w:val="24"/>
          <w:szCs w:val="24"/>
        </w:rPr>
      </w:pPr>
    </w:p>
    <w:p w:rsidR="00DB2141" w:rsidRDefault="00DB2141" w:rsidP="00DB2141">
      <w:pPr>
        <w:rPr>
          <w:sz w:val="24"/>
          <w:szCs w:val="24"/>
        </w:rPr>
      </w:pPr>
      <w:r w:rsidRPr="0012760D">
        <w:rPr>
          <w:sz w:val="24"/>
          <w:szCs w:val="24"/>
        </w:rPr>
        <w:t>Program participation in regional Victoria has also been strong. Notably, 37.9% of the new schools that joined the ResourceSmart AuSSI Vic program are located in regional Victoria, and 36.9% of all regional schools are registered in the program.</w:t>
      </w:r>
    </w:p>
    <w:p w:rsidR="00800153" w:rsidRPr="0012760D" w:rsidRDefault="00800153" w:rsidP="00DB2141">
      <w:pPr>
        <w:rPr>
          <w:sz w:val="24"/>
          <w:szCs w:val="24"/>
        </w:rPr>
      </w:pPr>
    </w:p>
    <w:p w:rsidR="00DB2141" w:rsidRPr="0012760D" w:rsidRDefault="00DB2141" w:rsidP="00DB2141">
      <w:pPr>
        <w:rPr>
          <w:sz w:val="24"/>
          <w:szCs w:val="24"/>
        </w:rPr>
      </w:pPr>
      <w:r w:rsidRPr="0012760D">
        <w:rPr>
          <w:sz w:val="24"/>
          <w:szCs w:val="24"/>
        </w:rPr>
        <w:t>Furthermore, 52% of solar hot-water rebates and 84% of gas-heater rebates were provided to regional Victorians, while most recipients of Roadside Litter grants (75%) and Smarter Resources, Smarter Business grants (65%) were located in regional Victoria.</w:t>
      </w:r>
    </w:p>
    <w:p w:rsidR="00E674B0" w:rsidRDefault="00E674B0" w:rsidP="00E674B0">
      <w:pPr>
        <w:rPr>
          <w:bCs/>
          <w:sz w:val="24"/>
          <w:szCs w:val="24"/>
        </w:rPr>
      </w:pPr>
      <w:r w:rsidRPr="0012760D">
        <w:rPr>
          <w:bCs/>
          <w:sz w:val="24"/>
          <w:szCs w:val="24"/>
        </w:rPr>
        <w:t>&lt;pp&gt; 27</w:t>
      </w:r>
    </w:p>
    <w:p w:rsidR="00800153" w:rsidRDefault="00800153" w:rsidP="00E674B0">
      <w:pPr>
        <w:rPr>
          <w:bCs/>
          <w:sz w:val="24"/>
          <w:szCs w:val="24"/>
        </w:rPr>
      </w:pPr>
    </w:p>
    <w:p w:rsidR="00800153" w:rsidRPr="0012760D" w:rsidRDefault="00800153" w:rsidP="00E674B0">
      <w:pPr>
        <w:rPr>
          <w:sz w:val="24"/>
          <w:szCs w:val="24"/>
        </w:rPr>
      </w:pPr>
    </w:p>
    <w:p w:rsidR="00E674B0" w:rsidRDefault="00E674B0" w:rsidP="00800153">
      <w:pPr>
        <w:pStyle w:val="Heading1"/>
      </w:pPr>
      <w:r w:rsidRPr="0012760D">
        <w:t>Showcase</w:t>
      </w:r>
      <w:r w:rsidR="00800153">
        <w:br/>
      </w:r>
      <w:r w:rsidRPr="0012760D">
        <w:t>Reaching our stakeholders in regional Victoria</w:t>
      </w:r>
    </w:p>
    <w:p w:rsidR="00800153" w:rsidRPr="0012760D" w:rsidRDefault="00800153" w:rsidP="00E674B0">
      <w:pPr>
        <w:rPr>
          <w:sz w:val="24"/>
          <w:szCs w:val="24"/>
        </w:rPr>
      </w:pPr>
    </w:p>
    <w:p w:rsidR="00E674B0" w:rsidRDefault="00E674B0" w:rsidP="00E674B0">
      <w:pPr>
        <w:rPr>
          <w:sz w:val="24"/>
          <w:szCs w:val="24"/>
        </w:rPr>
      </w:pPr>
      <w:r w:rsidRPr="0012760D">
        <w:rPr>
          <w:sz w:val="24"/>
          <w:szCs w:val="24"/>
        </w:rPr>
        <w:t xml:space="preserve">Our review in 2011 indicated a widely held perception of Sustainability Victoria as a metro-centric organisation that is not accessible or relevant to regional stakeholders. As a result, the SV2015 plan specifically targeted statewide engagement as an </w:t>
      </w:r>
      <w:r w:rsidRPr="0012760D">
        <w:rPr>
          <w:sz w:val="24"/>
          <w:szCs w:val="24"/>
        </w:rPr>
        <w:lastRenderedPageBreak/>
        <w:t>essential core capability.</w:t>
      </w:r>
    </w:p>
    <w:p w:rsidR="00800153" w:rsidRPr="0012760D" w:rsidRDefault="00800153" w:rsidP="00E674B0">
      <w:pPr>
        <w:rPr>
          <w:sz w:val="24"/>
          <w:szCs w:val="24"/>
        </w:rPr>
      </w:pPr>
    </w:p>
    <w:p w:rsidR="00E674B0" w:rsidRDefault="00E674B0" w:rsidP="00E674B0">
      <w:pPr>
        <w:rPr>
          <w:sz w:val="24"/>
          <w:szCs w:val="24"/>
        </w:rPr>
      </w:pPr>
      <w:r w:rsidRPr="0012760D">
        <w:rPr>
          <w:sz w:val="24"/>
          <w:szCs w:val="24"/>
        </w:rPr>
        <w:t>Sustainability Victoria was created to Lead integrated waste management and resource efficiency in Victoria. However, an apparent focus on the state's capital has underpinned our failure to successfully engage many regional councils, businesses and households. To improve our ability to foster effective relationships with non-metropolitan stakeholders, five regional facilitators, two customer-service officers and one manager have been appointed.</w:t>
      </w:r>
    </w:p>
    <w:p w:rsidR="00800153" w:rsidRPr="0012760D" w:rsidRDefault="00800153" w:rsidP="00E674B0">
      <w:pPr>
        <w:rPr>
          <w:sz w:val="24"/>
          <w:szCs w:val="24"/>
        </w:rPr>
      </w:pPr>
    </w:p>
    <w:p w:rsidR="00E674B0" w:rsidRPr="0012760D" w:rsidRDefault="00E674B0" w:rsidP="00E674B0">
      <w:pPr>
        <w:rPr>
          <w:sz w:val="24"/>
          <w:szCs w:val="24"/>
        </w:rPr>
      </w:pPr>
      <w:r w:rsidRPr="0012760D">
        <w:rPr>
          <w:sz w:val="24"/>
          <w:szCs w:val="24"/>
        </w:rPr>
        <w:t>Furthermore, a new program called SV @ your doorstep has been launched, which focuses on delivering sustainable initiatives to rural areas and provincial cities. This program, which also includes an evaluation of the organisation, will promote us as a leading organisation that seeks to achieve a better environmental future for Victoria by partnering with regional area stakeholders, including:</w:t>
      </w:r>
    </w:p>
    <w:p w:rsidR="00E674B0" w:rsidRPr="0012760D" w:rsidRDefault="00E674B0" w:rsidP="00E674B0">
      <w:pPr>
        <w:rPr>
          <w:sz w:val="24"/>
          <w:szCs w:val="24"/>
        </w:rPr>
      </w:pPr>
      <w:r w:rsidRPr="0012760D">
        <w:rPr>
          <w:bCs/>
          <w:sz w:val="24"/>
          <w:szCs w:val="24"/>
        </w:rPr>
        <w:t xml:space="preserve">• </w:t>
      </w:r>
      <w:r w:rsidRPr="0012760D">
        <w:rPr>
          <w:sz w:val="24"/>
          <w:szCs w:val="24"/>
        </w:rPr>
        <w:t>subject-matter experts</w:t>
      </w:r>
    </w:p>
    <w:p w:rsidR="00E674B0" w:rsidRPr="0012760D" w:rsidRDefault="00E674B0" w:rsidP="00E674B0">
      <w:pPr>
        <w:rPr>
          <w:sz w:val="24"/>
          <w:szCs w:val="24"/>
        </w:rPr>
      </w:pPr>
      <w:r w:rsidRPr="0012760D">
        <w:rPr>
          <w:bCs/>
          <w:sz w:val="24"/>
          <w:szCs w:val="24"/>
        </w:rPr>
        <w:t xml:space="preserve">• </w:t>
      </w:r>
      <w:r w:rsidRPr="0012760D">
        <w:rPr>
          <w:sz w:val="24"/>
          <w:szCs w:val="24"/>
        </w:rPr>
        <w:t>councils</w:t>
      </w:r>
    </w:p>
    <w:p w:rsidR="00E674B0" w:rsidRPr="0012760D" w:rsidRDefault="00E674B0" w:rsidP="00E674B0">
      <w:pPr>
        <w:rPr>
          <w:sz w:val="24"/>
          <w:szCs w:val="24"/>
        </w:rPr>
      </w:pPr>
      <w:r w:rsidRPr="0012760D">
        <w:rPr>
          <w:bCs/>
          <w:sz w:val="24"/>
          <w:szCs w:val="24"/>
        </w:rPr>
        <w:t xml:space="preserve">• </w:t>
      </w:r>
      <w:r w:rsidRPr="0012760D">
        <w:rPr>
          <w:sz w:val="24"/>
          <w:szCs w:val="24"/>
        </w:rPr>
        <w:t>businesses in target sectors</w:t>
      </w:r>
    </w:p>
    <w:p w:rsidR="00E674B0" w:rsidRPr="0012760D" w:rsidRDefault="00E674B0" w:rsidP="00E674B0">
      <w:pPr>
        <w:rPr>
          <w:sz w:val="24"/>
          <w:szCs w:val="24"/>
        </w:rPr>
      </w:pPr>
      <w:r w:rsidRPr="0012760D">
        <w:rPr>
          <w:bCs/>
          <w:sz w:val="24"/>
          <w:szCs w:val="24"/>
        </w:rPr>
        <w:t xml:space="preserve">• </w:t>
      </w:r>
      <w:r w:rsidRPr="0012760D">
        <w:rPr>
          <w:sz w:val="24"/>
          <w:szCs w:val="24"/>
        </w:rPr>
        <w:t>business consultants and support services</w:t>
      </w:r>
    </w:p>
    <w:p w:rsidR="00E674B0" w:rsidRPr="0012760D" w:rsidRDefault="00E674B0" w:rsidP="00E674B0">
      <w:pPr>
        <w:rPr>
          <w:sz w:val="24"/>
          <w:szCs w:val="24"/>
        </w:rPr>
      </w:pPr>
      <w:r w:rsidRPr="0012760D">
        <w:rPr>
          <w:bCs/>
          <w:sz w:val="24"/>
          <w:szCs w:val="24"/>
        </w:rPr>
        <w:t xml:space="preserve">• </w:t>
      </w:r>
      <w:r w:rsidRPr="0012760D">
        <w:rPr>
          <w:sz w:val="24"/>
          <w:szCs w:val="24"/>
        </w:rPr>
        <w:t>schools and their networks.</w:t>
      </w:r>
    </w:p>
    <w:p w:rsidR="00800153" w:rsidRDefault="00800153" w:rsidP="00E674B0">
      <w:pPr>
        <w:rPr>
          <w:sz w:val="24"/>
          <w:szCs w:val="24"/>
        </w:rPr>
      </w:pPr>
    </w:p>
    <w:p w:rsidR="00E674B0" w:rsidRPr="0012760D" w:rsidRDefault="00E674B0" w:rsidP="00E674B0">
      <w:pPr>
        <w:rPr>
          <w:sz w:val="24"/>
          <w:szCs w:val="24"/>
        </w:rPr>
      </w:pPr>
      <w:r w:rsidRPr="0012760D">
        <w:rPr>
          <w:sz w:val="24"/>
          <w:szCs w:val="24"/>
        </w:rPr>
        <w:t>To date, as part of the SV ©your doorstep program:</w:t>
      </w:r>
    </w:p>
    <w:p w:rsidR="00E674B0" w:rsidRPr="0012760D" w:rsidRDefault="00E674B0" w:rsidP="00E674B0">
      <w:pPr>
        <w:rPr>
          <w:sz w:val="24"/>
          <w:szCs w:val="24"/>
        </w:rPr>
      </w:pPr>
      <w:r w:rsidRPr="0012760D">
        <w:rPr>
          <w:bCs/>
          <w:sz w:val="24"/>
          <w:szCs w:val="24"/>
        </w:rPr>
        <w:t xml:space="preserve">• </w:t>
      </w:r>
      <w:r w:rsidRPr="0012760D">
        <w:rPr>
          <w:sz w:val="24"/>
          <w:szCs w:val="24"/>
        </w:rPr>
        <w:t>Two formal events have been held, targeting organic-waste recovery in the municipal sector and organic-waste management in the commercial sector.</w:t>
      </w:r>
    </w:p>
    <w:p w:rsidR="00E674B0" w:rsidRPr="0012760D" w:rsidRDefault="00E674B0" w:rsidP="00E674B0">
      <w:pPr>
        <w:rPr>
          <w:sz w:val="24"/>
          <w:szCs w:val="24"/>
        </w:rPr>
      </w:pPr>
      <w:r w:rsidRPr="0012760D">
        <w:rPr>
          <w:bCs/>
          <w:sz w:val="24"/>
          <w:szCs w:val="24"/>
        </w:rPr>
        <w:t xml:space="preserve">• </w:t>
      </w:r>
      <w:r w:rsidRPr="0012760D">
        <w:rPr>
          <w:sz w:val="24"/>
          <w:szCs w:val="24"/>
        </w:rPr>
        <w:t>Stakeholder feedback has been received regarding the Get it Right on Bin Night program.</w:t>
      </w:r>
    </w:p>
    <w:p w:rsidR="00E674B0" w:rsidRPr="0012760D" w:rsidRDefault="00E674B0" w:rsidP="00E674B0">
      <w:pPr>
        <w:rPr>
          <w:sz w:val="24"/>
          <w:szCs w:val="24"/>
        </w:rPr>
      </w:pPr>
      <w:r w:rsidRPr="0012760D">
        <w:rPr>
          <w:bCs/>
          <w:sz w:val="24"/>
          <w:szCs w:val="24"/>
        </w:rPr>
        <w:t xml:space="preserve">• </w:t>
      </w:r>
      <w:r w:rsidRPr="0012760D">
        <w:rPr>
          <w:sz w:val="24"/>
          <w:szCs w:val="24"/>
        </w:rPr>
        <w:t>Web tools have been used to quickly connect people located at various sites across the state.</w:t>
      </w:r>
    </w:p>
    <w:p w:rsidR="00E674B0" w:rsidRPr="0012760D" w:rsidRDefault="00E674B0" w:rsidP="00E674B0">
      <w:pPr>
        <w:rPr>
          <w:sz w:val="24"/>
          <w:szCs w:val="24"/>
        </w:rPr>
      </w:pPr>
      <w:r w:rsidRPr="0012760D">
        <w:rPr>
          <w:bCs/>
          <w:sz w:val="24"/>
          <w:szCs w:val="24"/>
        </w:rPr>
        <w:t xml:space="preserve">• </w:t>
      </w:r>
      <w:r w:rsidRPr="0012760D">
        <w:rPr>
          <w:sz w:val="24"/>
          <w:szCs w:val="24"/>
        </w:rPr>
        <w:t>Customer-service training has been provided to our staff.</w:t>
      </w:r>
    </w:p>
    <w:p w:rsidR="00E674B0" w:rsidRPr="0012760D" w:rsidRDefault="00E674B0" w:rsidP="00E674B0">
      <w:pPr>
        <w:rPr>
          <w:sz w:val="24"/>
          <w:szCs w:val="24"/>
        </w:rPr>
      </w:pPr>
      <w:r w:rsidRPr="0012760D">
        <w:rPr>
          <w:bCs/>
          <w:sz w:val="24"/>
          <w:szCs w:val="24"/>
        </w:rPr>
        <w:t xml:space="preserve">• </w:t>
      </w:r>
      <w:r w:rsidRPr="0012760D">
        <w:rPr>
          <w:sz w:val="24"/>
          <w:szCs w:val="24"/>
        </w:rPr>
        <w:t>Regional profiles have been created to assist staff with program planning and delivery across Victoria.</w:t>
      </w:r>
    </w:p>
    <w:p w:rsidR="00E674B0" w:rsidRPr="0012760D" w:rsidRDefault="00E674B0" w:rsidP="00E674B0">
      <w:pPr>
        <w:rPr>
          <w:sz w:val="24"/>
          <w:szCs w:val="24"/>
        </w:rPr>
      </w:pPr>
      <w:r w:rsidRPr="0012760D">
        <w:rPr>
          <w:bCs/>
          <w:sz w:val="24"/>
          <w:szCs w:val="24"/>
        </w:rPr>
        <w:t xml:space="preserve">• </w:t>
      </w:r>
      <w:r w:rsidRPr="0012760D">
        <w:rPr>
          <w:sz w:val="24"/>
          <w:szCs w:val="24"/>
        </w:rPr>
        <w:t>The Statewide Engagement Team (SE Team) has successfully connected with regional Victoria and established networks.</w:t>
      </w:r>
    </w:p>
    <w:p w:rsidR="00800153" w:rsidRDefault="00800153" w:rsidP="00E674B0">
      <w:pPr>
        <w:rPr>
          <w:sz w:val="24"/>
          <w:szCs w:val="24"/>
        </w:rPr>
      </w:pPr>
    </w:p>
    <w:p w:rsidR="00E674B0" w:rsidRDefault="00E674B0" w:rsidP="00E674B0">
      <w:pPr>
        <w:rPr>
          <w:sz w:val="24"/>
          <w:szCs w:val="24"/>
        </w:rPr>
      </w:pPr>
      <w:r w:rsidRPr="0012760D">
        <w:rPr>
          <w:sz w:val="24"/>
          <w:szCs w:val="24"/>
        </w:rPr>
        <w:t>To increase uptake, we have facilitated regional events, while allowing the stakeholders to organise and plan their agendas. As a result of this heightened focus, attendance at information sessions and participation in programs/projects across the state have increased.</w:t>
      </w:r>
    </w:p>
    <w:p w:rsidR="00800153" w:rsidRDefault="00800153" w:rsidP="00E674B0">
      <w:pPr>
        <w:rPr>
          <w:sz w:val="24"/>
          <w:szCs w:val="24"/>
        </w:rPr>
      </w:pPr>
    </w:p>
    <w:p w:rsidR="00800153" w:rsidRPr="0012760D" w:rsidRDefault="00800153" w:rsidP="00E674B0">
      <w:pPr>
        <w:rPr>
          <w:sz w:val="24"/>
          <w:szCs w:val="24"/>
        </w:rPr>
      </w:pPr>
    </w:p>
    <w:p w:rsidR="00E674B0" w:rsidRDefault="00E674B0" w:rsidP="00800153">
      <w:pPr>
        <w:pStyle w:val="Heading2"/>
      </w:pPr>
      <w:r w:rsidRPr="0012760D">
        <w:t>What was delivered</w:t>
      </w:r>
    </w:p>
    <w:p w:rsidR="00800153" w:rsidRPr="0012760D" w:rsidRDefault="00800153" w:rsidP="00E674B0">
      <w:pPr>
        <w:rPr>
          <w:sz w:val="24"/>
          <w:szCs w:val="24"/>
        </w:rPr>
      </w:pPr>
    </w:p>
    <w:p w:rsidR="00E674B0" w:rsidRPr="0012760D" w:rsidRDefault="00E674B0" w:rsidP="00E674B0">
      <w:pPr>
        <w:rPr>
          <w:sz w:val="24"/>
          <w:szCs w:val="24"/>
        </w:rPr>
      </w:pPr>
      <w:r w:rsidRPr="0012760D">
        <w:rPr>
          <w:sz w:val="24"/>
          <w:szCs w:val="24"/>
        </w:rPr>
        <w:t>Regional and external stakeholders:</w:t>
      </w:r>
    </w:p>
    <w:p w:rsidR="00E674B0" w:rsidRPr="0012760D" w:rsidRDefault="00E674B0" w:rsidP="00E674B0">
      <w:pPr>
        <w:rPr>
          <w:sz w:val="24"/>
          <w:szCs w:val="24"/>
        </w:rPr>
      </w:pPr>
      <w:r w:rsidRPr="0012760D">
        <w:rPr>
          <w:bCs/>
          <w:sz w:val="24"/>
          <w:szCs w:val="24"/>
        </w:rPr>
        <w:t>• clearly understand what we offer</w:t>
      </w:r>
    </w:p>
    <w:p w:rsidR="00E674B0" w:rsidRPr="0012760D" w:rsidRDefault="00E674B0" w:rsidP="00E674B0">
      <w:pPr>
        <w:rPr>
          <w:sz w:val="24"/>
          <w:szCs w:val="24"/>
        </w:rPr>
      </w:pPr>
      <w:r w:rsidRPr="0012760D">
        <w:rPr>
          <w:bCs/>
          <w:sz w:val="24"/>
          <w:szCs w:val="24"/>
        </w:rPr>
        <w:t>• are able to easily access us through our SE Team</w:t>
      </w:r>
    </w:p>
    <w:p w:rsidR="00E674B0" w:rsidRPr="0012760D" w:rsidRDefault="00E674B0" w:rsidP="00E674B0">
      <w:pPr>
        <w:rPr>
          <w:sz w:val="24"/>
          <w:szCs w:val="24"/>
        </w:rPr>
      </w:pPr>
      <w:r w:rsidRPr="0012760D">
        <w:rPr>
          <w:bCs/>
          <w:sz w:val="24"/>
          <w:szCs w:val="24"/>
        </w:rPr>
        <w:t>• have queries answered promptly</w:t>
      </w:r>
    </w:p>
    <w:p w:rsidR="00E674B0" w:rsidRPr="0012760D" w:rsidRDefault="00E674B0" w:rsidP="00E674B0">
      <w:pPr>
        <w:rPr>
          <w:sz w:val="24"/>
          <w:szCs w:val="24"/>
        </w:rPr>
      </w:pPr>
      <w:r w:rsidRPr="0012760D">
        <w:rPr>
          <w:bCs/>
          <w:sz w:val="24"/>
          <w:szCs w:val="24"/>
        </w:rPr>
        <w:t>• participate in SV @ your doorstep events, both on- and off-site:</w:t>
      </w:r>
    </w:p>
    <w:p w:rsidR="00E674B0" w:rsidRPr="0012760D" w:rsidRDefault="00E674B0" w:rsidP="00E674B0">
      <w:pPr>
        <w:rPr>
          <w:sz w:val="24"/>
          <w:szCs w:val="24"/>
        </w:rPr>
      </w:pPr>
      <w:r w:rsidRPr="0012760D">
        <w:rPr>
          <w:sz w:val="24"/>
          <w:szCs w:val="24"/>
        </w:rPr>
        <w:t>- Trial 1 Bogong: 79 participants across five regional sites, 20 participants in Melbourne CBD and eight solo webinar attendees</w:t>
      </w:r>
    </w:p>
    <w:p w:rsidR="00E674B0" w:rsidRDefault="00E674B0" w:rsidP="00E674B0">
      <w:pPr>
        <w:rPr>
          <w:sz w:val="24"/>
          <w:szCs w:val="24"/>
        </w:rPr>
      </w:pPr>
      <w:r w:rsidRPr="0012760D">
        <w:rPr>
          <w:sz w:val="24"/>
          <w:szCs w:val="24"/>
        </w:rPr>
        <w:t>- Trial 2 Geelong: 88 participants across five sites and 13 solo webinar attendees.</w:t>
      </w:r>
    </w:p>
    <w:p w:rsidR="00800153" w:rsidRDefault="00800153" w:rsidP="00E674B0">
      <w:pPr>
        <w:rPr>
          <w:sz w:val="24"/>
          <w:szCs w:val="24"/>
        </w:rPr>
      </w:pPr>
    </w:p>
    <w:p w:rsidR="00E674B0" w:rsidRPr="0012760D" w:rsidRDefault="00E674B0" w:rsidP="00E674B0">
      <w:pPr>
        <w:rPr>
          <w:sz w:val="24"/>
          <w:szCs w:val="24"/>
        </w:rPr>
      </w:pPr>
      <w:r w:rsidRPr="0012760D">
        <w:rPr>
          <w:sz w:val="24"/>
          <w:szCs w:val="24"/>
        </w:rPr>
        <w:lastRenderedPageBreak/>
        <w:t>Our staff:</w:t>
      </w:r>
    </w:p>
    <w:p w:rsidR="00E674B0" w:rsidRPr="0012760D" w:rsidRDefault="00E674B0" w:rsidP="00E674B0">
      <w:pPr>
        <w:rPr>
          <w:sz w:val="24"/>
          <w:szCs w:val="24"/>
        </w:rPr>
      </w:pPr>
      <w:r w:rsidRPr="0012760D">
        <w:rPr>
          <w:bCs/>
          <w:sz w:val="24"/>
          <w:szCs w:val="24"/>
        </w:rPr>
        <w:t>• understand the need for internal and external stakeholders</w:t>
      </w:r>
    </w:p>
    <w:p w:rsidR="00E674B0" w:rsidRPr="0012760D" w:rsidRDefault="00E674B0" w:rsidP="00E674B0">
      <w:pPr>
        <w:rPr>
          <w:sz w:val="24"/>
          <w:szCs w:val="24"/>
        </w:rPr>
      </w:pPr>
      <w:r w:rsidRPr="0012760D">
        <w:rPr>
          <w:bCs/>
          <w:sz w:val="24"/>
          <w:szCs w:val="24"/>
        </w:rPr>
        <w:t>• understand the importance of engaging regional stakeholders</w:t>
      </w:r>
    </w:p>
    <w:p w:rsidR="00E674B0" w:rsidRPr="0012760D" w:rsidRDefault="00E674B0" w:rsidP="00E674B0">
      <w:pPr>
        <w:rPr>
          <w:sz w:val="24"/>
          <w:szCs w:val="24"/>
        </w:rPr>
      </w:pPr>
      <w:r w:rsidRPr="0012760D">
        <w:rPr>
          <w:bCs/>
          <w:sz w:val="24"/>
          <w:szCs w:val="24"/>
        </w:rPr>
        <w:t>• effectively employ the SE Team in program delivery to regional areas</w:t>
      </w:r>
    </w:p>
    <w:p w:rsidR="00E674B0" w:rsidRPr="0012760D" w:rsidRDefault="00E674B0" w:rsidP="00E674B0">
      <w:pPr>
        <w:rPr>
          <w:sz w:val="24"/>
          <w:szCs w:val="24"/>
        </w:rPr>
      </w:pPr>
      <w:r w:rsidRPr="0012760D">
        <w:rPr>
          <w:bCs/>
          <w:sz w:val="24"/>
          <w:szCs w:val="24"/>
        </w:rPr>
        <w:t>• have identified and adopted technology to reduce travel, improve accessibility and enhance stakeholder relationship management.</w:t>
      </w:r>
    </w:p>
    <w:p w:rsidR="0068183F" w:rsidRDefault="0068183F" w:rsidP="00E674B0">
      <w:pPr>
        <w:rPr>
          <w:sz w:val="24"/>
          <w:szCs w:val="24"/>
        </w:rPr>
      </w:pPr>
    </w:p>
    <w:p w:rsidR="00E674B0" w:rsidRPr="0012760D" w:rsidRDefault="00E674B0" w:rsidP="00E674B0">
      <w:pPr>
        <w:rPr>
          <w:sz w:val="24"/>
          <w:szCs w:val="24"/>
        </w:rPr>
      </w:pPr>
      <w:r w:rsidRPr="0012760D">
        <w:rPr>
          <w:sz w:val="24"/>
          <w:szCs w:val="24"/>
        </w:rPr>
        <w:t>We have demonstrated a clear commitment to achieving statewide engagement, which has included adopting engagement as one of our core capabilities. Ongoing successful efforts to connect with regional stakeholders are crucial to ensure equity of access for all Victorians.</w:t>
      </w:r>
    </w:p>
    <w:p w:rsidR="00921EC2" w:rsidRDefault="00921EC2" w:rsidP="00921EC2">
      <w:pPr>
        <w:rPr>
          <w:bCs/>
          <w:sz w:val="24"/>
          <w:szCs w:val="24"/>
        </w:rPr>
      </w:pPr>
      <w:r w:rsidRPr="0012760D">
        <w:rPr>
          <w:bCs/>
          <w:sz w:val="24"/>
          <w:szCs w:val="24"/>
        </w:rPr>
        <w:t>&lt;pp&gt; 28</w:t>
      </w:r>
    </w:p>
    <w:p w:rsidR="0068183F" w:rsidRDefault="0068183F" w:rsidP="00921EC2">
      <w:pPr>
        <w:rPr>
          <w:bCs/>
          <w:sz w:val="24"/>
          <w:szCs w:val="24"/>
        </w:rPr>
      </w:pPr>
    </w:p>
    <w:p w:rsidR="0068183F" w:rsidRPr="0012760D" w:rsidRDefault="0068183F" w:rsidP="00921EC2">
      <w:pPr>
        <w:rPr>
          <w:sz w:val="24"/>
          <w:szCs w:val="24"/>
        </w:rPr>
      </w:pPr>
    </w:p>
    <w:p w:rsidR="00921EC2" w:rsidRDefault="00921EC2" w:rsidP="0068183F">
      <w:pPr>
        <w:pStyle w:val="Heading2"/>
      </w:pPr>
      <w:r w:rsidRPr="0012760D">
        <w:t>2. Evidence-based investment and outcomes</w:t>
      </w:r>
    </w:p>
    <w:p w:rsidR="0068183F" w:rsidRPr="0012760D" w:rsidRDefault="0068183F" w:rsidP="00921EC2">
      <w:pPr>
        <w:rPr>
          <w:sz w:val="24"/>
          <w:szCs w:val="24"/>
        </w:rPr>
      </w:pPr>
    </w:p>
    <w:p w:rsidR="00921EC2" w:rsidRPr="0068183F" w:rsidRDefault="00921EC2" w:rsidP="00921EC2">
      <w:pPr>
        <w:rPr>
          <w:b/>
          <w:sz w:val="24"/>
          <w:szCs w:val="24"/>
        </w:rPr>
      </w:pPr>
      <w:r w:rsidRPr="0068183F">
        <w:rPr>
          <w:b/>
          <w:sz w:val="24"/>
          <w:szCs w:val="24"/>
        </w:rPr>
        <w:t>Building an evidence-based culture that informs our investments in integrated waste management and resource efficiency and demonstrates the outcomes of those investments.</w:t>
      </w:r>
    </w:p>
    <w:p w:rsidR="0068183F" w:rsidRDefault="0068183F" w:rsidP="00921EC2">
      <w:pPr>
        <w:rPr>
          <w:sz w:val="24"/>
          <w:szCs w:val="24"/>
        </w:rPr>
      </w:pPr>
    </w:p>
    <w:p w:rsidR="0068183F" w:rsidRPr="0012760D" w:rsidRDefault="0068183F" w:rsidP="00921EC2">
      <w:pPr>
        <w:rPr>
          <w:sz w:val="24"/>
          <w:szCs w:val="24"/>
        </w:rPr>
      </w:pPr>
    </w:p>
    <w:p w:rsidR="00921EC2" w:rsidRDefault="00921EC2" w:rsidP="0068183F">
      <w:pPr>
        <w:pStyle w:val="Heading3"/>
      </w:pPr>
      <w:r w:rsidRPr="0012760D">
        <w:t>Current Focus</w:t>
      </w:r>
    </w:p>
    <w:p w:rsidR="0068183F" w:rsidRPr="0012760D" w:rsidRDefault="0068183F" w:rsidP="00921EC2">
      <w:pPr>
        <w:rPr>
          <w:sz w:val="24"/>
          <w:szCs w:val="24"/>
        </w:rPr>
      </w:pPr>
    </w:p>
    <w:p w:rsidR="00921EC2" w:rsidRDefault="00921EC2" w:rsidP="00921EC2">
      <w:pPr>
        <w:rPr>
          <w:sz w:val="24"/>
          <w:szCs w:val="24"/>
        </w:rPr>
      </w:pPr>
      <w:r w:rsidRPr="0012760D">
        <w:rPr>
          <w:sz w:val="24"/>
          <w:szCs w:val="24"/>
        </w:rPr>
        <w:t>By building a robust evidence base, we can make informed decisions that allow us to design, plan, deliver and adapt our programs to achieve the best possible integrated waste management and resource efficiency outcomes.</w:t>
      </w:r>
    </w:p>
    <w:p w:rsidR="0068183F" w:rsidRPr="0012760D" w:rsidRDefault="0068183F" w:rsidP="00921EC2">
      <w:pPr>
        <w:rPr>
          <w:sz w:val="24"/>
          <w:szCs w:val="24"/>
        </w:rPr>
      </w:pPr>
    </w:p>
    <w:p w:rsidR="00921EC2" w:rsidRDefault="00921EC2" w:rsidP="00921EC2">
      <w:pPr>
        <w:rPr>
          <w:sz w:val="24"/>
          <w:szCs w:val="24"/>
        </w:rPr>
      </w:pPr>
      <w:r w:rsidRPr="0012760D">
        <w:rPr>
          <w:sz w:val="24"/>
          <w:szCs w:val="24"/>
        </w:rPr>
        <w:t>In past years, we had limited success in clearly articulating the basis for our investments and the value and contribution of our work to recover resources and achieve resource efficiencies. Therefore, in 2010 we implemented a more systematic approach to monitoring and evaluating our programs.</w:t>
      </w:r>
    </w:p>
    <w:p w:rsidR="0068183F" w:rsidRPr="0012760D" w:rsidRDefault="0068183F" w:rsidP="00921EC2">
      <w:pPr>
        <w:rPr>
          <w:sz w:val="24"/>
          <w:szCs w:val="24"/>
        </w:rPr>
      </w:pPr>
    </w:p>
    <w:p w:rsidR="00921EC2" w:rsidRDefault="00921EC2" w:rsidP="00921EC2">
      <w:pPr>
        <w:rPr>
          <w:sz w:val="24"/>
          <w:szCs w:val="24"/>
        </w:rPr>
      </w:pPr>
      <w:r w:rsidRPr="0012760D">
        <w:rPr>
          <w:sz w:val="24"/>
          <w:szCs w:val="24"/>
        </w:rPr>
        <w:t>It is important that we continue to develop this approach. By building a robust evidence base, we can make informed decisions that allow us to design, plan, deliver and adapt our programs to achieve the best possible integrated waste management and resource efficiency outcomes.</w:t>
      </w:r>
    </w:p>
    <w:p w:rsidR="0068183F" w:rsidRDefault="0068183F" w:rsidP="00921EC2">
      <w:pPr>
        <w:rPr>
          <w:sz w:val="24"/>
          <w:szCs w:val="24"/>
        </w:rPr>
      </w:pPr>
    </w:p>
    <w:p w:rsidR="0068183F" w:rsidRPr="0012760D" w:rsidRDefault="0068183F" w:rsidP="00921EC2">
      <w:pPr>
        <w:rPr>
          <w:sz w:val="24"/>
          <w:szCs w:val="24"/>
        </w:rPr>
      </w:pPr>
    </w:p>
    <w:p w:rsidR="00921EC2" w:rsidRDefault="0068183F" w:rsidP="0068183F">
      <w:pPr>
        <w:pStyle w:val="Heading3"/>
      </w:pPr>
      <w:r w:rsidRPr="0012760D">
        <w:t>Objectives</w:t>
      </w:r>
    </w:p>
    <w:p w:rsidR="0068183F" w:rsidRPr="0012760D" w:rsidRDefault="0068183F" w:rsidP="00921EC2">
      <w:pPr>
        <w:rPr>
          <w:sz w:val="24"/>
          <w:szCs w:val="24"/>
        </w:rPr>
      </w:pPr>
    </w:p>
    <w:p w:rsidR="00921EC2" w:rsidRPr="0012760D" w:rsidRDefault="00921EC2" w:rsidP="00921EC2">
      <w:pPr>
        <w:rPr>
          <w:sz w:val="24"/>
          <w:szCs w:val="24"/>
        </w:rPr>
      </w:pPr>
      <w:r w:rsidRPr="0012760D">
        <w:rPr>
          <w:sz w:val="24"/>
          <w:szCs w:val="24"/>
        </w:rPr>
        <w:t>To build an evidence-based culture, our objectives for the next three years are to:</w:t>
      </w:r>
    </w:p>
    <w:p w:rsidR="00921EC2" w:rsidRPr="0012760D" w:rsidRDefault="00921EC2" w:rsidP="00921EC2">
      <w:pPr>
        <w:rPr>
          <w:sz w:val="24"/>
          <w:szCs w:val="24"/>
        </w:rPr>
      </w:pPr>
      <w:r w:rsidRPr="0012760D">
        <w:rPr>
          <w:sz w:val="24"/>
          <w:szCs w:val="24"/>
        </w:rPr>
        <w:t>• prioritise investment decisions using our evidence base, within the broader priorities of our strategy</w:t>
      </w:r>
    </w:p>
    <w:p w:rsidR="00921EC2" w:rsidRPr="0012760D" w:rsidRDefault="00921EC2" w:rsidP="00921EC2">
      <w:pPr>
        <w:rPr>
          <w:sz w:val="24"/>
          <w:szCs w:val="24"/>
        </w:rPr>
      </w:pPr>
      <w:r w:rsidRPr="0012760D">
        <w:rPr>
          <w:sz w:val="24"/>
          <w:szCs w:val="24"/>
        </w:rPr>
        <w:t>• design, plan, implement, evaluate and adapt our programs, using an evidence base</w:t>
      </w:r>
    </w:p>
    <w:p w:rsidR="00921EC2" w:rsidRPr="0012760D" w:rsidRDefault="00921EC2" w:rsidP="00921EC2">
      <w:pPr>
        <w:rPr>
          <w:sz w:val="24"/>
          <w:szCs w:val="24"/>
        </w:rPr>
      </w:pPr>
      <w:r w:rsidRPr="0012760D">
        <w:rPr>
          <w:sz w:val="24"/>
          <w:szCs w:val="24"/>
        </w:rPr>
        <w:t>• demonstrate the outcomes of our strategy and associated programs</w:t>
      </w:r>
    </w:p>
    <w:p w:rsidR="00921EC2" w:rsidRPr="0012760D" w:rsidRDefault="00921EC2" w:rsidP="00921EC2">
      <w:pPr>
        <w:rPr>
          <w:sz w:val="24"/>
          <w:szCs w:val="24"/>
        </w:rPr>
      </w:pPr>
      <w:r w:rsidRPr="0012760D">
        <w:rPr>
          <w:sz w:val="24"/>
          <w:szCs w:val="24"/>
        </w:rPr>
        <w:t>• provide credible and useful advice that informs policy development, based on our program experience</w:t>
      </w:r>
    </w:p>
    <w:p w:rsidR="00921EC2" w:rsidRDefault="00921EC2" w:rsidP="00921EC2">
      <w:pPr>
        <w:rPr>
          <w:sz w:val="24"/>
          <w:szCs w:val="24"/>
        </w:rPr>
      </w:pPr>
      <w:r w:rsidRPr="0012760D">
        <w:rPr>
          <w:sz w:val="24"/>
          <w:szCs w:val="24"/>
        </w:rPr>
        <w:t>• develop and maintain an evidence base that supports our decision-making and demonstration of outcomes.</w:t>
      </w:r>
    </w:p>
    <w:p w:rsidR="0068183F" w:rsidRDefault="0068183F" w:rsidP="00921EC2">
      <w:pPr>
        <w:rPr>
          <w:sz w:val="24"/>
          <w:szCs w:val="24"/>
        </w:rPr>
      </w:pPr>
    </w:p>
    <w:p w:rsidR="0068183F" w:rsidRPr="0012760D" w:rsidRDefault="0068183F" w:rsidP="00921EC2">
      <w:pPr>
        <w:rPr>
          <w:sz w:val="24"/>
          <w:szCs w:val="24"/>
        </w:rPr>
      </w:pPr>
    </w:p>
    <w:p w:rsidR="00921EC2" w:rsidRDefault="00921EC2" w:rsidP="0068183F">
      <w:pPr>
        <w:pStyle w:val="Heading3"/>
      </w:pPr>
      <w:r w:rsidRPr="0012760D">
        <w:t>Key achievements</w:t>
      </w:r>
    </w:p>
    <w:p w:rsidR="0068183F" w:rsidRPr="0012760D" w:rsidRDefault="0068183F" w:rsidP="00921EC2">
      <w:pPr>
        <w:rPr>
          <w:sz w:val="24"/>
          <w:szCs w:val="24"/>
        </w:rPr>
      </w:pPr>
    </w:p>
    <w:p w:rsidR="00921EC2" w:rsidRDefault="00921EC2" w:rsidP="00921EC2">
      <w:pPr>
        <w:rPr>
          <w:sz w:val="24"/>
          <w:szCs w:val="24"/>
        </w:rPr>
      </w:pPr>
      <w:r w:rsidRPr="0012760D">
        <w:rPr>
          <w:sz w:val="24"/>
          <w:szCs w:val="24"/>
        </w:rPr>
        <w:t>This year, we further built our evidence base through research and market analysis to ensure that our projects are appropriately designed and targeted to our stakeholders.</w:t>
      </w:r>
    </w:p>
    <w:p w:rsidR="0068183F" w:rsidRPr="0012760D" w:rsidRDefault="0068183F" w:rsidP="00921EC2">
      <w:pPr>
        <w:rPr>
          <w:sz w:val="24"/>
          <w:szCs w:val="24"/>
        </w:rPr>
      </w:pPr>
    </w:p>
    <w:p w:rsidR="00921EC2" w:rsidRPr="0012760D" w:rsidRDefault="00921EC2" w:rsidP="00921EC2">
      <w:pPr>
        <w:rPr>
          <w:sz w:val="24"/>
          <w:szCs w:val="24"/>
        </w:rPr>
      </w:pPr>
      <w:r w:rsidRPr="0012760D">
        <w:rPr>
          <w:sz w:val="24"/>
          <w:szCs w:val="24"/>
        </w:rPr>
        <w:t>To this end, specific activities included:</w:t>
      </w:r>
    </w:p>
    <w:p w:rsidR="00921EC2" w:rsidRPr="0012760D" w:rsidRDefault="00921EC2" w:rsidP="00921EC2">
      <w:pPr>
        <w:rPr>
          <w:sz w:val="24"/>
          <w:szCs w:val="24"/>
        </w:rPr>
      </w:pPr>
      <w:r w:rsidRPr="0012760D">
        <w:rPr>
          <w:sz w:val="24"/>
          <w:szCs w:val="24"/>
        </w:rPr>
        <w:t>• increasing staff use of our results-based planning method</w:t>
      </w:r>
    </w:p>
    <w:p w:rsidR="00921EC2" w:rsidRPr="0012760D" w:rsidRDefault="00921EC2" w:rsidP="00921EC2">
      <w:pPr>
        <w:rPr>
          <w:sz w:val="24"/>
          <w:szCs w:val="24"/>
        </w:rPr>
      </w:pPr>
      <w:r w:rsidRPr="0012760D">
        <w:rPr>
          <w:sz w:val="24"/>
          <w:szCs w:val="24"/>
        </w:rPr>
        <w:t>• establishing Outcome Manager roles to assist our transition to a strategic outcome focus</w:t>
      </w:r>
    </w:p>
    <w:p w:rsidR="00921EC2" w:rsidRDefault="00921EC2" w:rsidP="00921EC2">
      <w:pPr>
        <w:rPr>
          <w:sz w:val="24"/>
          <w:szCs w:val="24"/>
        </w:rPr>
      </w:pPr>
      <w:r w:rsidRPr="0012760D">
        <w:rPr>
          <w:sz w:val="24"/>
          <w:szCs w:val="24"/>
        </w:rPr>
        <w:t>• investigating our contribution to waste management and resource efficiency, with a view to establishing headline indicators.</w:t>
      </w:r>
    </w:p>
    <w:p w:rsidR="0068183F" w:rsidRDefault="0068183F" w:rsidP="00921EC2">
      <w:pPr>
        <w:rPr>
          <w:sz w:val="24"/>
          <w:szCs w:val="24"/>
        </w:rPr>
      </w:pPr>
    </w:p>
    <w:p w:rsidR="0068183F" w:rsidRPr="0012760D" w:rsidRDefault="0068183F" w:rsidP="00921EC2">
      <w:pPr>
        <w:rPr>
          <w:sz w:val="24"/>
          <w:szCs w:val="24"/>
        </w:rPr>
      </w:pPr>
    </w:p>
    <w:p w:rsidR="00921EC2" w:rsidRDefault="00921EC2" w:rsidP="0068183F">
      <w:pPr>
        <w:pStyle w:val="Heading2"/>
      </w:pPr>
      <w:r w:rsidRPr="0012760D">
        <w:t>3. People and Leadership</w:t>
      </w:r>
    </w:p>
    <w:p w:rsidR="0068183F" w:rsidRPr="0012760D" w:rsidRDefault="0068183F" w:rsidP="00921EC2">
      <w:pPr>
        <w:rPr>
          <w:sz w:val="24"/>
          <w:szCs w:val="24"/>
        </w:rPr>
      </w:pPr>
    </w:p>
    <w:p w:rsidR="00921EC2" w:rsidRPr="0068183F" w:rsidRDefault="00921EC2" w:rsidP="00921EC2">
      <w:pPr>
        <w:rPr>
          <w:b/>
          <w:sz w:val="24"/>
          <w:szCs w:val="24"/>
        </w:rPr>
      </w:pPr>
      <w:r w:rsidRPr="0068183F">
        <w:rPr>
          <w:b/>
          <w:sz w:val="24"/>
          <w:szCs w:val="24"/>
        </w:rPr>
        <w:t>Ensuring that we are an accountable government organisation with a transparent and flexible approach</w:t>
      </w:r>
      <w:r w:rsidR="0068183F" w:rsidRPr="0068183F">
        <w:rPr>
          <w:b/>
          <w:sz w:val="24"/>
          <w:szCs w:val="24"/>
        </w:rPr>
        <w:t>.</w:t>
      </w:r>
    </w:p>
    <w:p w:rsidR="0068183F" w:rsidRDefault="0068183F" w:rsidP="00921EC2">
      <w:pPr>
        <w:rPr>
          <w:sz w:val="24"/>
          <w:szCs w:val="24"/>
        </w:rPr>
      </w:pPr>
    </w:p>
    <w:p w:rsidR="0068183F" w:rsidRPr="0012760D" w:rsidRDefault="0068183F" w:rsidP="00921EC2">
      <w:pPr>
        <w:rPr>
          <w:sz w:val="24"/>
          <w:szCs w:val="24"/>
        </w:rPr>
      </w:pPr>
    </w:p>
    <w:p w:rsidR="00921EC2" w:rsidRDefault="00921EC2" w:rsidP="0068183F">
      <w:pPr>
        <w:pStyle w:val="Heading3"/>
      </w:pPr>
      <w:r w:rsidRPr="0012760D">
        <w:t>Current Focus</w:t>
      </w:r>
    </w:p>
    <w:p w:rsidR="0068183F" w:rsidRPr="0012760D" w:rsidRDefault="0068183F" w:rsidP="00921EC2">
      <w:pPr>
        <w:rPr>
          <w:sz w:val="24"/>
          <w:szCs w:val="24"/>
        </w:rPr>
      </w:pPr>
    </w:p>
    <w:p w:rsidR="00921EC2" w:rsidRDefault="00921EC2" w:rsidP="00921EC2">
      <w:pPr>
        <w:rPr>
          <w:sz w:val="24"/>
          <w:szCs w:val="24"/>
        </w:rPr>
      </w:pPr>
      <w:r w:rsidRPr="0012760D">
        <w:rPr>
          <w:sz w:val="24"/>
          <w:szCs w:val="24"/>
        </w:rPr>
        <w:t>Maintaining and building the capabilities, skills, expertise and knowledge of our people will help us deliver on our SV2015 commitments.</w:t>
      </w:r>
    </w:p>
    <w:p w:rsidR="0068183F" w:rsidRPr="0012760D" w:rsidRDefault="0068183F" w:rsidP="00921EC2">
      <w:pPr>
        <w:rPr>
          <w:sz w:val="24"/>
          <w:szCs w:val="24"/>
        </w:rPr>
      </w:pPr>
    </w:p>
    <w:p w:rsidR="00921EC2" w:rsidRPr="0012760D" w:rsidRDefault="00921EC2" w:rsidP="00921EC2">
      <w:pPr>
        <w:rPr>
          <w:sz w:val="24"/>
          <w:szCs w:val="24"/>
        </w:rPr>
      </w:pPr>
      <w:r w:rsidRPr="0012760D">
        <w:rPr>
          <w:sz w:val="24"/>
          <w:szCs w:val="24"/>
        </w:rPr>
        <w:t>To ensure that we transform our organisation accordingly, it is crucial that we retain, develop and attract a motivated, capable and diverse workforce. This will specifically include building our waste management expertise and other necessary skills.</w:t>
      </w:r>
    </w:p>
    <w:p w:rsidR="00921EC2" w:rsidRDefault="00921EC2" w:rsidP="00921EC2">
      <w:pPr>
        <w:rPr>
          <w:sz w:val="24"/>
          <w:szCs w:val="24"/>
        </w:rPr>
      </w:pPr>
      <w:r w:rsidRPr="0012760D">
        <w:rPr>
          <w:sz w:val="24"/>
          <w:szCs w:val="24"/>
        </w:rPr>
        <w:t>Our people must be supported by leaders who are able to communicate clear performance expectations that lead to high-quality outcomes. We strive for a supportive workplace that values staff efforts, nurtures talent and is committed to safety and long-term wellbeing.</w:t>
      </w:r>
    </w:p>
    <w:p w:rsidR="0068183F" w:rsidRDefault="0068183F" w:rsidP="00921EC2">
      <w:pPr>
        <w:rPr>
          <w:sz w:val="24"/>
          <w:szCs w:val="24"/>
        </w:rPr>
      </w:pPr>
    </w:p>
    <w:p w:rsidR="0068183F" w:rsidRPr="0012760D" w:rsidRDefault="0068183F" w:rsidP="00921EC2">
      <w:pPr>
        <w:rPr>
          <w:sz w:val="24"/>
          <w:szCs w:val="24"/>
        </w:rPr>
      </w:pPr>
    </w:p>
    <w:p w:rsidR="00921EC2" w:rsidRDefault="00921EC2" w:rsidP="0068183F">
      <w:pPr>
        <w:pStyle w:val="Heading3"/>
      </w:pPr>
      <w:r w:rsidRPr="0012760D">
        <w:t>Objectives</w:t>
      </w:r>
    </w:p>
    <w:p w:rsidR="0068183F" w:rsidRPr="0012760D" w:rsidRDefault="0068183F" w:rsidP="00921EC2">
      <w:pPr>
        <w:rPr>
          <w:sz w:val="24"/>
          <w:szCs w:val="24"/>
        </w:rPr>
      </w:pPr>
    </w:p>
    <w:p w:rsidR="00921EC2" w:rsidRPr="0012760D" w:rsidRDefault="00921EC2" w:rsidP="00921EC2">
      <w:pPr>
        <w:rPr>
          <w:sz w:val="24"/>
          <w:szCs w:val="24"/>
        </w:rPr>
      </w:pPr>
      <w:r w:rsidRPr="0012760D">
        <w:rPr>
          <w:sz w:val="24"/>
          <w:szCs w:val="24"/>
        </w:rPr>
        <w:t>To ensure that we achieve our desired transformation, our objectives for the next three years are to:</w:t>
      </w:r>
    </w:p>
    <w:p w:rsidR="00921EC2" w:rsidRPr="0012760D" w:rsidRDefault="00921EC2" w:rsidP="00921EC2">
      <w:pPr>
        <w:rPr>
          <w:sz w:val="24"/>
          <w:szCs w:val="24"/>
        </w:rPr>
      </w:pPr>
      <w:r w:rsidRPr="0012760D">
        <w:rPr>
          <w:sz w:val="24"/>
          <w:szCs w:val="24"/>
        </w:rPr>
        <w:t>• attract, develop and retain the capabilities, skills, expertise and knowledge required to transform Sustainability Victoria and deliver the organisation</w:t>
      </w:r>
      <w:r w:rsidR="00907E0B" w:rsidRPr="0012760D">
        <w:rPr>
          <w:sz w:val="24"/>
          <w:szCs w:val="24"/>
        </w:rPr>
        <w:t>'</w:t>
      </w:r>
      <w:r w:rsidRPr="0012760D">
        <w:rPr>
          <w:sz w:val="24"/>
          <w:szCs w:val="24"/>
        </w:rPr>
        <w:t>s strategy</w:t>
      </w:r>
    </w:p>
    <w:p w:rsidR="00921EC2" w:rsidRPr="0012760D" w:rsidRDefault="00921EC2" w:rsidP="00921EC2">
      <w:pPr>
        <w:rPr>
          <w:sz w:val="24"/>
          <w:szCs w:val="24"/>
        </w:rPr>
      </w:pPr>
      <w:r w:rsidRPr="0012760D">
        <w:rPr>
          <w:sz w:val="24"/>
          <w:szCs w:val="24"/>
        </w:rPr>
        <w:t>• shift our actual culture towards the preferred organisational culture</w:t>
      </w:r>
    </w:p>
    <w:p w:rsidR="00921EC2" w:rsidRPr="0012760D" w:rsidRDefault="00921EC2" w:rsidP="00921EC2">
      <w:pPr>
        <w:rPr>
          <w:sz w:val="24"/>
          <w:szCs w:val="24"/>
        </w:rPr>
      </w:pPr>
      <w:r w:rsidRPr="0012760D">
        <w:rPr>
          <w:sz w:val="24"/>
          <w:szCs w:val="24"/>
        </w:rPr>
        <w:t>• support and develop our leaders to engage our people to maximise their potential in achieving our strategic objectives</w:t>
      </w:r>
    </w:p>
    <w:p w:rsidR="00921EC2" w:rsidRDefault="00921EC2" w:rsidP="00921EC2">
      <w:pPr>
        <w:rPr>
          <w:sz w:val="24"/>
          <w:szCs w:val="24"/>
        </w:rPr>
      </w:pPr>
      <w:r w:rsidRPr="0012760D">
        <w:rPr>
          <w:sz w:val="24"/>
          <w:szCs w:val="24"/>
        </w:rPr>
        <w:t>• embed a safe and supportive working environment.</w:t>
      </w:r>
    </w:p>
    <w:p w:rsidR="0068183F" w:rsidRDefault="0068183F" w:rsidP="00921EC2">
      <w:pPr>
        <w:rPr>
          <w:sz w:val="24"/>
          <w:szCs w:val="24"/>
        </w:rPr>
      </w:pPr>
    </w:p>
    <w:p w:rsidR="0068183F" w:rsidRPr="0012760D" w:rsidRDefault="0068183F" w:rsidP="00921EC2">
      <w:pPr>
        <w:rPr>
          <w:sz w:val="24"/>
          <w:szCs w:val="24"/>
        </w:rPr>
      </w:pPr>
    </w:p>
    <w:p w:rsidR="00921EC2" w:rsidRDefault="00921EC2" w:rsidP="0068183F">
      <w:pPr>
        <w:pStyle w:val="Heading3"/>
      </w:pPr>
      <w:r w:rsidRPr="0012760D">
        <w:t>Key achievements</w:t>
      </w:r>
    </w:p>
    <w:p w:rsidR="0068183F" w:rsidRPr="0012760D" w:rsidRDefault="0068183F" w:rsidP="00921EC2">
      <w:pPr>
        <w:rPr>
          <w:sz w:val="24"/>
          <w:szCs w:val="24"/>
        </w:rPr>
      </w:pPr>
    </w:p>
    <w:p w:rsidR="00921EC2" w:rsidRDefault="00921EC2" w:rsidP="0068183F">
      <w:pPr>
        <w:pStyle w:val="Heading4"/>
      </w:pPr>
      <w:r w:rsidRPr="0012760D">
        <w:lastRenderedPageBreak/>
        <w:t>i. Health, safety and wellbeing</w:t>
      </w:r>
    </w:p>
    <w:p w:rsidR="0068183F" w:rsidRPr="0012760D" w:rsidRDefault="0068183F" w:rsidP="00921EC2">
      <w:pPr>
        <w:rPr>
          <w:sz w:val="24"/>
          <w:szCs w:val="24"/>
        </w:rPr>
      </w:pPr>
    </w:p>
    <w:p w:rsidR="00921EC2" w:rsidRPr="0012760D" w:rsidRDefault="00921EC2" w:rsidP="00921EC2">
      <w:pPr>
        <w:rPr>
          <w:sz w:val="24"/>
          <w:szCs w:val="24"/>
        </w:rPr>
      </w:pPr>
      <w:r w:rsidRPr="0012760D">
        <w:rPr>
          <w:sz w:val="24"/>
          <w:szCs w:val="24"/>
        </w:rPr>
        <w:t>In 2012 to 13, Occupational Health and Safety was renamed Health, Safety and Wellbeing (HS</w:t>
      </w:r>
      <w:r w:rsidR="00236A13">
        <w:rPr>
          <w:sz w:val="24"/>
          <w:szCs w:val="24"/>
        </w:rPr>
        <w:t>and</w:t>
      </w:r>
      <w:r w:rsidRPr="0012760D">
        <w:rPr>
          <w:sz w:val="24"/>
          <w:szCs w:val="24"/>
        </w:rPr>
        <w:t>W) to reflect an increased focus on employee wellbeing. This change was accompanied by</w:t>
      </w:r>
    </w:p>
    <w:p w:rsidR="002D4A0A" w:rsidRPr="0012760D" w:rsidRDefault="002D4A0A" w:rsidP="002D4A0A">
      <w:pPr>
        <w:rPr>
          <w:sz w:val="24"/>
          <w:szCs w:val="24"/>
        </w:rPr>
      </w:pPr>
      <w:r w:rsidRPr="0012760D">
        <w:rPr>
          <w:bCs/>
          <w:sz w:val="24"/>
          <w:szCs w:val="24"/>
        </w:rPr>
        <w:t>&lt;pp&gt; 29</w:t>
      </w:r>
    </w:p>
    <w:p w:rsidR="002D4A0A" w:rsidRDefault="002D4A0A" w:rsidP="002D4A0A">
      <w:pPr>
        <w:rPr>
          <w:sz w:val="24"/>
          <w:szCs w:val="24"/>
        </w:rPr>
      </w:pPr>
      <w:r w:rsidRPr="0012760D">
        <w:rPr>
          <w:sz w:val="24"/>
          <w:szCs w:val="24"/>
        </w:rPr>
        <w:t>a new policy statement, which includes a greater emphasis on the psychological wellbeing of employees. We have also set up a refreshed HS</w:t>
      </w:r>
      <w:r w:rsidR="00236A13">
        <w:rPr>
          <w:sz w:val="24"/>
          <w:szCs w:val="24"/>
        </w:rPr>
        <w:t>and</w:t>
      </w:r>
      <w:r w:rsidRPr="0012760D">
        <w:rPr>
          <w:sz w:val="24"/>
          <w:szCs w:val="24"/>
        </w:rPr>
        <w:t>W working group to better respond to and prevent incidents, injuries and hazards.</w:t>
      </w:r>
    </w:p>
    <w:p w:rsidR="0068183F" w:rsidRPr="0012760D" w:rsidRDefault="0068183F" w:rsidP="002D4A0A">
      <w:pPr>
        <w:rPr>
          <w:sz w:val="24"/>
          <w:szCs w:val="24"/>
        </w:rPr>
      </w:pPr>
    </w:p>
    <w:p w:rsidR="002D4A0A" w:rsidRDefault="002D4A0A" w:rsidP="002D4A0A">
      <w:pPr>
        <w:rPr>
          <w:sz w:val="24"/>
          <w:szCs w:val="24"/>
        </w:rPr>
      </w:pPr>
      <w:r w:rsidRPr="0012760D">
        <w:rPr>
          <w:sz w:val="24"/>
          <w:szCs w:val="24"/>
        </w:rPr>
        <w:t>During 2012 to 13, a review of health and safety policies resulted in the development of an HS</w:t>
      </w:r>
      <w:r w:rsidR="00236A13">
        <w:rPr>
          <w:sz w:val="24"/>
          <w:szCs w:val="24"/>
        </w:rPr>
        <w:t>and</w:t>
      </w:r>
      <w:r w:rsidRPr="0012760D">
        <w:rPr>
          <w:sz w:val="24"/>
          <w:szCs w:val="24"/>
        </w:rPr>
        <w:t>W handbook. In addition, we have recorded an increase in participation in safety initiatives and increased awareness of hazards in the office environment and offsite. A new working parents' wellbeing program provided practical support to those balancing work and family responsibilities. Employees also have access to various other health and wellbeing initiatives, including flexible work hours, confidential professional counselling for work and personal issues, charity fundraising and flu vaccinations.</w:t>
      </w:r>
    </w:p>
    <w:p w:rsidR="0068183F" w:rsidRPr="0012760D" w:rsidRDefault="0068183F" w:rsidP="002D4A0A">
      <w:pPr>
        <w:rPr>
          <w:sz w:val="24"/>
          <w:szCs w:val="24"/>
        </w:rPr>
      </w:pPr>
    </w:p>
    <w:p w:rsidR="002D4A0A" w:rsidRDefault="002D4A0A" w:rsidP="002D4A0A">
      <w:pPr>
        <w:rPr>
          <w:sz w:val="24"/>
          <w:szCs w:val="24"/>
        </w:rPr>
      </w:pPr>
      <w:r w:rsidRPr="0012760D">
        <w:rPr>
          <w:sz w:val="24"/>
          <w:szCs w:val="24"/>
        </w:rPr>
        <w:t>We address employee concerns promptly and fairly, consistent with VPS merit and equity principles. Importantly, no days lost to industrial action were reported in 2012 to 13. One formal written complaint was lodged, as was the case in 2011 to 12.</w:t>
      </w:r>
    </w:p>
    <w:p w:rsidR="0068183F" w:rsidRDefault="0068183F" w:rsidP="002D4A0A">
      <w:pPr>
        <w:rPr>
          <w:sz w:val="24"/>
          <w:szCs w:val="24"/>
        </w:rPr>
      </w:pPr>
    </w:p>
    <w:p w:rsidR="0068183F" w:rsidRPr="0012760D" w:rsidRDefault="0068183F" w:rsidP="002D4A0A">
      <w:pPr>
        <w:rPr>
          <w:sz w:val="24"/>
          <w:szCs w:val="24"/>
        </w:rPr>
      </w:pPr>
    </w:p>
    <w:p w:rsidR="002D4A0A" w:rsidRDefault="002D4A0A" w:rsidP="0068183F">
      <w:pPr>
        <w:pStyle w:val="Heading4"/>
      </w:pPr>
      <w:r w:rsidRPr="0012760D">
        <w:t>i i. Capability Framework and Development Guide</w:t>
      </w:r>
    </w:p>
    <w:p w:rsidR="0068183F" w:rsidRPr="0012760D" w:rsidRDefault="0068183F" w:rsidP="002D4A0A">
      <w:pPr>
        <w:rPr>
          <w:sz w:val="24"/>
          <w:szCs w:val="24"/>
        </w:rPr>
      </w:pPr>
    </w:p>
    <w:p w:rsidR="002D4A0A" w:rsidRDefault="002D4A0A" w:rsidP="002D4A0A">
      <w:pPr>
        <w:rPr>
          <w:sz w:val="24"/>
          <w:szCs w:val="24"/>
        </w:rPr>
      </w:pPr>
      <w:r w:rsidRPr="0012760D">
        <w:rPr>
          <w:sz w:val="24"/>
          <w:szCs w:val="24"/>
        </w:rPr>
        <w:t>This year, we released our first Capability Framework and Development Guide. As well as defining the core capabilities required to deliver our strategy, this incorporates a development guide that supports employees seeking to improve their proficiency in core areas. We also launched a revised development plan template, which encourages targeted professional development discussions that align with our organisation's capabilities.</w:t>
      </w:r>
    </w:p>
    <w:p w:rsidR="0068183F" w:rsidRDefault="0068183F" w:rsidP="002D4A0A">
      <w:pPr>
        <w:rPr>
          <w:sz w:val="24"/>
          <w:szCs w:val="24"/>
        </w:rPr>
      </w:pPr>
    </w:p>
    <w:p w:rsidR="0068183F" w:rsidRPr="0012760D" w:rsidRDefault="0068183F" w:rsidP="002D4A0A">
      <w:pPr>
        <w:rPr>
          <w:sz w:val="24"/>
          <w:szCs w:val="24"/>
        </w:rPr>
      </w:pPr>
    </w:p>
    <w:p w:rsidR="002D4A0A" w:rsidRDefault="002D4A0A" w:rsidP="0068183F">
      <w:pPr>
        <w:pStyle w:val="Heading4"/>
      </w:pPr>
      <w:r w:rsidRPr="0012760D">
        <w:t>i. i. i. Improvement in our organisational culture</w:t>
      </w:r>
    </w:p>
    <w:p w:rsidR="0068183F" w:rsidRPr="0012760D" w:rsidRDefault="0068183F" w:rsidP="002D4A0A">
      <w:pPr>
        <w:rPr>
          <w:sz w:val="24"/>
          <w:szCs w:val="24"/>
        </w:rPr>
      </w:pPr>
    </w:p>
    <w:p w:rsidR="002D4A0A" w:rsidRDefault="002D4A0A" w:rsidP="002D4A0A">
      <w:pPr>
        <w:rPr>
          <w:sz w:val="24"/>
          <w:szCs w:val="24"/>
        </w:rPr>
      </w:pPr>
      <w:r w:rsidRPr="0012760D">
        <w:rPr>
          <w:sz w:val="24"/>
          <w:szCs w:val="24"/>
        </w:rPr>
        <w:t>Sustainability Victoria recognises that a highly constructive organisational culture is essential to enabling the successful delivery of its strategy. We continued to work towards a stronger workplace culture in 2012 to 13, achieving a 6% overall improvement in constructive behaviour styles, along with a significant decrease in passive/defensive and aggressive/ defensive behaviour styles, as measured by the Organisational Culture Inventory (OCI).</w:t>
      </w:r>
    </w:p>
    <w:p w:rsidR="0068183F" w:rsidRPr="0012760D" w:rsidRDefault="0068183F" w:rsidP="002D4A0A">
      <w:pPr>
        <w:rPr>
          <w:sz w:val="24"/>
          <w:szCs w:val="24"/>
        </w:rPr>
      </w:pPr>
    </w:p>
    <w:p w:rsidR="002D4A0A" w:rsidRDefault="002D4A0A" w:rsidP="002D4A0A">
      <w:pPr>
        <w:rPr>
          <w:sz w:val="24"/>
          <w:szCs w:val="24"/>
        </w:rPr>
      </w:pPr>
      <w:r w:rsidRPr="0012760D">
        <w:rPr>
          <w:sz w:val="24"/>
          <w:szCs w:val="24"/>
        </w:rPr>
        <w:t xml:space="preserve">We formally adopted the Victorian Public Service values and launched a Guide to Values </w:t>
      </w:r>
      <w:r w:rsidR="00236A13">
        <w:rPr>
          <w:sz w:val="24"/>
          <w:szCs w:val="24"/>
        </w:rPr>
        <w:t>and</w:t>
      </w:r>
      <w:r w:rsidRPr="0012760D">
        <w:rPr>
          <w:sz w:val="24"/>
          <w:szCs w:val="24"/>
        </w:rPr>
        <w:t xml:space="preserve"> Behaviours, which provides guidance for discussions about our values during performance appraisals. We also commenced a formal reward and recognition program, which rewards behaviour and performance that exemplifies our values and supports the delivery of our strategy.</w:t>
      </w:r>
    </w:p>
    <w:p w:rsidR="0068183F" w:rsidRDefault="0068183F" w:rsidP="002D4A0A">
      <w:pPr>
        <w:rPr>
          <w:sz w:val="24"/>
          <w:szCs w:val="24"/>
        </w:rPr>
      </w:pPr>
    </w:p>
    <w:p w:rsidR="0068183F" w:rsidRPr="0012760D" w:rsidRDefault="0068183F" w:rsidP="002D4A0A">
      <w:pPr>
        <w:rPr>
          <w:sz w:val="24"/>
          <w:szCs w:val="24"/>
        </w:rPr>
      </w:pPr>
    </w:p>
    <w:p w:rsidR="002D4A0A" w:rsidRDefault="002D4A0A" w:rsidP="0068183F">
      <w:pPr>
        <w:pStyle w:val="Heading3"/>
      </w:pPr>
      <w:r w:rsidRPr="0012760D">
        <w:lastRenderedPageBreak/>
        <w:t>Our Values</w:t>
      </w:r>
    </w:p>
    <w:p w:rsidR="0068183F" w:rsidRPr="0012760D" w:rsidRDefault="0068183F" w:rsidP="002D4A0A">
      <w:pPr>
        <w:rPr>
          <w:sz w:val="24"/>
          <w:szCs w:val="24"/>
        </w:rPr>
      </w:pPr>
    </w:p>
    <w:p w:rsidR="002D4A0A" w:rsidRPr="0012760D" w:rsidRDefault="002D4A0A" w:rsidP="002D4A0A">
      <w:pPr>
        <w:rPr>
          <w:sz w:val="24"/>
          <w:szCs w:val="24"/>
        </w:rPr>
      </w:pPr>
      <w:r w:rsidRPr="0012760D">
        <w:rPr>
          <w:sz w:val="24"/>
          <w:szCs w:val="24"/>
        </w:rPr>
        <w:t>We share the values of the Victorian Public Service and are committed to living these values through the behaviours we exhibit, both when working with each other and with our stakeholders.</w:t>
      </w:r>
    </w:p>
    <w:p w:rsidR="002D4A0A" w:rsidRPr="0012760D" w:rsidRDefault="002D4A0A" w:rsidP="002D4A0A">
      <w:pPr>
        <w:rPr>
          <w:sz w:val="24"/>
          <w:szCs w:val="24"/>
        </w:rPr>
      </w:pPr>
      <w:r w:rsidRPr="0012760D">
        <w:rPr>
          <w:sz w:val="24"/>
          <w:szCs w:val="24"/>
        </w:rPr>
        <w:t>1. Leadership</w:t>
      </w:r>
    </w:p>
    <w:p w:rsidR="002D4A0A" w:rsidRPr="0012760D" w:rsidRDefault="002D4A0A" w:rsidP="002D4A0A">
      <w:pPr>
        <w:rPr>
          <w:sz w:val="24"/>
          <w:szCs w:val="24"/>
        </w:rPr>
      </w:pPr>
      <w:r w:rsidRPr="0012760D">
        <w:rPr>
          <w:sz w:val="24"/>
          <w:szCs w:val="24"/>
        </w:rPr>
        <w:t>2. Responsiveness</w:t>
      </w:r>
    </w:p>
    <w:p w:rsidR="002D4A0A" w:rsidRPr="0012760D" w:rsidRDefault="002D4A0A" w:rsidP="002D4A0A">
      <w:pPr>
        <w:rPr>
          <w:sz w:val="24"/>
          <w:szCs w:val="24"/>
        </w:rPr>
      </w:pPr>
      <w:r w:rsidRPr="0012760D">
        <w:rPr>
          <w:sz w:val="24"/>
          <w:szCs w:val="24"/>
        </w:rPr>
        <w:t>3. Accountability</w:t>
      </w:r>
    </w:p>
    <w:p w:rsidR="002D4A0A" w:rsidRPr="0012760D" w:rsidRDefault="002D4A0A" w:rsidP="002D4A0A">
      <w:pPr>
        <w:rPr>
          <w:sz w:val="24"/>
          <w:szCs w:val="24"/>
        </w:rPr>
      </w:pPr>
      <w:r w:rsidRPr="0012760D">
        <w:rPr>
          <w:sz w:val="24"/>
          <w:szCs w:val="24"/>
        </w:rPr>
        <w:t>4. Human rights</w:t>
      </w:r>
    </w:p>
    <w:p w:rsidR="002D4A0A" w:rsidRPr="0012760D" w:rsidRDefault="002D4A0A" w:rsidP="002D4A0A">
      <w:pPr>
        <w:rPr>
          <w:sz w:val="24"/>
          <w:szCs w:val="24"/>
        </w:rPr>
      </w:pPr>
      <w:r w:rsidRPr="0012760D">
        <w:rPr>
          <w:sz w:val="24"/>
          <w:szCs w:val="24"/>
        </w:rPr>
        <w:t>5. Integrity</w:t>
      </w:r>
    </w:p>
    <w:p w:rsidR="002D4A0A" w:rsidRPr="0012760D" w:rsidRDefault="002D4A0A" w:rsidP="002D4A0A">
      <w:pPr>
        <w:rPr>
          <w:sz w:val="24"/>
          <w:szCs w:val="24"/>
        </w:rPr>
      </w:pPr>
      <w:r w:rsidRPr="0012760D">
        <w:rPr>
          <w:sz w:val="24"/>
          <w:szCs w:val="24"/>
        </w:rPr>
        <w:t>6. Impartiality</w:t>
      </w:r>
    </w:p>
    <w:p w:rsidR="002D4A0A" w:rsidRPr="0012760D" w:rsidRDefault="002D4A0A" w:rsidP="002D4A0A">
      <w:pPr>
        <w:rPr>
          <w:sz w:val="24"/>
          <w:szCs w:val="24"/>
        </w:rPr>
      </w:pPr>
      <w:r w:rsidRPr="0012760D">
        <w:rPr>
          <w:sz w:val="24"/>
          <w:szCs w:val="24"/>
        </w:rPr>
        <w:t>7. Respect</w:t>
      </w:r>
    </w:p>
    <w:p w:rsidR="002D4A0A" w:rsidRPr="0012760D" w:rsidRDefault="002D4A0A" w:rsidP="002D4A0A">
      <w:pPr>
        <w:rPr>
          <w:sz w:val="24"/>
          <w:szCs w:val="24"/>
        </w:rPr>
      </w:pPr>
    </w:p>
    <w:p w:rsidR="002D4A0A" w:rsidRPr="0012760D" w:rsidRDefault="002D4A0A" w:rsidP="002D4A0A">
      <w:pPr>
        <w:rPr>
          <w:sz w:val="24"/>
          <w:szCs w:val="24"/>
        </w:rPr>
      </w:pPr>
    </w:p>
    <w:p w:rsidR="002D4A0A" w:rsidRDefault="002D4A0A" w:rsidP="0068183F">
      <w:pPr>
        <w:pStyle w:val="Heading2"/>
      </w:pPr>
      <w:r w:rsidRPr="0012760D">
        <w:t>4. Governance and Coordination</w:t>
      </w:r>
    </w:p>
    <w:p w:rsidR="0068183F" w:rsidRPr="0012760D" w:rsidRDefault="0068183F" w:rsidP="002D4A0A">
      <w:pPr>
        <w:rPr>
          <w:sz w:val="24"/>
          <w:szCs w:val="24"/>
        </w:rPr>
      </w:pPr>
    </w:p>
    <w:p w:rsidR="002D4A0A" w:rsidRPr="0068183F" w:rsidRDefault="002D4A0A" w:rsidP="002D4A0A">
      <w:pPr>
        <w:rPr>
          <w:b/>
          <w:sz w:val="24"/>
          <w:szCs w:val="24"/>
        </w:rPr>
      </w:pPr>
      <w:r w:rsidRPr="0068183F">
        <w:rPr>
          <w:b/>
          <w:sz w:val="24"/>
          <w:szCs w:val="24"/>
        </w:rPr>
        <w:t>Providing high standards of governance, accountability and performance while delivering coordinated programs within our portfolio</w:t>
      </w:r>
      <w:r w:rsidR="0068183F" w:rsidRPr="0068183F">
        <w:rPr>
          <w:b/>
          <w:sz w:val="24"/>
          <w:szCs w:val="24"/>
        </w:rPr>
        <w:t>.</w:t>
      </w:r>
    </w:p>
    <w:p w:rsidR="0068183F" w:rsidRDefault="0068183F" w:rsidP="002D4A0A">
      <w:pPr>
        <w:rPr>
          <w:sz w:val="24"/>
          <w:szCs w:val="24"/>
        </w:rPr>
      </w:pPr>
    </w:p>
    <w:p w:rsidR="0068183F" w:rsidRPr="0012760D" w:rsidRDefault="0068183F" w:rsidP="002D4A0A">
      <w:pPr>
        <w:rPr>
          <w:sz w:val="24"/>
          <w:szCs w:val="24"/>
        </w:rPr>
      </w:pPr>
    </w:p>
    <w:p w:rsidR="002D4A0A" w:rsidRDefault="002D4A0A" w:rsidP="0068183F">
      <w:pPr>
        <w:pStyle w:val="Heading3"/>
      </w:pPr>
      <w:r w:rsidRPr="0012760D">
        <w:t>Current Focus</w:t>
      </w:r>
    </w:p>
    <w:p w:rsidR="0068183F" w:rsidRPr="0012760D" w:rsidRDefault="0068183F" w:rsidP="002D4A0A">
      <w:pPr>
        <w:rPr>
          <w:sz w:val="24"/>
          <w:szCs w:val="24"/>
        </w:rPr>
      </w:pPr>
    </w:p>
    <w:p w:rsidR="002D4A0A" w:rsidRDefault="002D4A0A" w:rsidP="002D4A0A">
      <w:pPr>
        <w:rPr>
          <w:sz w:val="24"/>
          <w:szCs w:val="24"/>
        </w:rPr>
      </w:pPr>
      <w:r w:rsidRPr="0012760D">
        <w:rPr>
          <w:sz w:val="24"/>
          <w:szCs w:val="24"/>
        </w:rPr>
        <w:t>In the context of integrated waste management and resource efficiency, we are committed to high standards of governance, accountability, performance and coordinated program delivery.</w:t>
      </w:r>
    </w:p>
    <w:p w:rsidR="0068183F" w:rsidRPr="0012760D" w:rsidRDefault="0068183F" w:rsidP="002D4A0A">
      <w:pPr>
        <w:rPr>
          <w:sz w:val="24"/>
          <w:szCs w:val="24"/>
        </w:rPr>
      </w:pPr>
    </w:p>
    <w:p w:rsidR="002D4A0A" w:rsidRDefault="002D4A0A" w:rsidP="002D4A0A">
      <w:pPr>
        <w:rPr>
          <w:sz w:val="24"/>
          <w:szCs w:val="24"/>
        </w:rPr>
      </w:pPr>
      <w:r w:rsidRPr="0012760D">
        <w:rPr>
          <w:sz w:val="24"/>
          <w:szCs w:val="24"/>
        </w:rPr>
        <w:t>Governance refers to the relationships between our board and senior management, the Minister, stakeholders (including clients) and others interested in our activities, including regulators and auditors. It encompasses authority, accountability, stewardship, leadership, direction and control exercised within an organisation.</w:t>
      </w:r>
    </w:p>
    <w:p w:rsidR="0068183F" w:rsidRPr="0012760D" w:rsidRDefault="0068183F" w:rsidP="002D4A0A">
      <w:pPr>
        <w:rPr>
          <w:sz w:val="24"/>
          <w:szCs w:val="24"/>
        </w:rPr>
      </w:pPr>
    </w:p>
    <w:p w:rsidR="002D4A0A" w:rsidRDefault="002D4A0A" w:rsidP="002D4A0A">
      <w:pPr>
        <w:rPr>
          <w:sz w:val="24"/>
          <w:szCs w:val="24"/>
        </w:rPr>
      </w:pPr>
      <w:r w:rsidRPr="0012760D">
        <w:rPr>
          <w:sz w:val="24"/>
          <w:szCs w:val="24"/>
        </w:rPr>
        <w:t xml:space="preserve">The Victorian Auditor-General's </w:t>
      </w:r>
      <w:r w:rsidRPr="0012760D">
        <w:rPr>
          <w:i/>
          <w:iCs/>
          <w:sz w:val="24"/>
          <w:szCs w:val="24"/>
        </w:rPr>
        <w:t xml:space="preserve">Municipal Solid Waste Management </w:t>
      </w:r>
      <w:r w:rsidRPr="0012760D">
        <w:rPr>
          <w:sz w:val="24"/>
          <w:szCs w:val="24"/>
        </w:rPr>
        <w:t xml:space="preserve">report and the 2011 </w:t>
      </w:r>
      <w:r w:rsidRPr="0012760D">
        <w:rPr>
          <w:i/>
          <w:iCs/>
          <w:sz w:val="24"/>
          <w:szCs w:val="24"/>
        </w:rPr>
        <w:t xml:space="preserve">Review of Sustainability Victoria's Strategic Direction </w:t>
      </w:r>
      <w:r w:rsidRPr="0012760D">
        <w:rPr>
          <w:sz w:val="24"/>
          <w:szCs w:val="24"/>
        </w:rPr>
        <w:t>were both critical of our level of accountability and governance, and of the governance across the environment portfolio. Now, six years after Sustainability Victoria's creation, we have matured and are committed to cultural changes that will result in good governance "from the ground up". Specifically, we must ensure that we have effective systems and processes in place and that we provide strong support for our people, as well as being better portfolio partners.</w:t>
      </w:r>
    </w:p>
    <w:p w:rsidR="0068183F" w:rsidRDefault="0068183F" w:rsidP="002D4A0A">
      <w:pPr>
        <w:rPr>
          <w:sz w:val="24"/>
          <w:szCs w:val="24"/>
        </w:rPr>
      </w:pPr>
    </w:p>
    <w:p w:rsidR="0068183F" w:rsidRPr="0012760D" w:rsidRDefault="0068183F" w:rsidP="002D4A0A">
      <w:pPr>
        <w:rPr>
          <w:sz w:val="24"/>
          <w:szCs w:val="24"/>
        </w:rPr>
      </w:pPr>
    </w:p>
    <w:p w:rsidR="002D4A0A" w:rsidRDefault="0068183F" w:rsidP="0068183F">
      <w:pPr>
        <w:pStyle w:val="Heading3"/>
      </w:pPr>
      <w:r w:rsidRPr="0012760D">
        <w:t>Objectives</w:t>
      </w:r>
    </w:p>
    <w:p w:rsidR="0068183F" w:rsidRPr="0012760D" w:rsidRDefault="0068183F" w:rsidP="002D4A0A">
      <w:pPr>
        <w:rPr>
          <w:sz w:val="24"/>
          <w:szCs w:val="24"/>
        </w:rPr>
      </w:pPr>
    </w:p>
    <w:p w:rsidR="002D4A0A" w:rsidRPr="0012760D" w:rsidRDefault="002D4A0A" w:rsidP="002D4A0A">
      <w:pPr>
        <w:rPr>
          <w:sz w:val="24"/>
          <w:szCs w:val="24"/>
        </w:rPr>
      </w:pPr>
      <w:r w:rsidRPr="0012760D">
        <w:rPr>
          <w:sz w:val="24"/>
          <w:szCs w:val="24"/>
        </w:rPr>
        <w:t>To ensure high standards of governance, accountability and performance, our objectives for the next three years are to:</w:t>
      </w:r>
    </w:p>
    <w:p w:rsidR="002D4A0A" w:rsidRPr="0012760D" w:rsidRDefault="002D4A0A" w:rsidP="002D4A0A">
      <w:pPr>
        <w:rPr>
          <w:sz w:val="24"/>
          <w:szCs w:val="24"/>
        </w:rPr>
      </w:pPr>
      <w:r w:rsidRPr="0012760D">
        <w:rPr>
          <w:sz w:val="24"/>
          <w:szCs w:val="24"/>
        </w:rPr>
        <w:t>• improve our compliance with Victorian Government standards</w:t>
      </w:r>
    </w:p>
    <w:p w:rsidR="002D4A0A" w:rsidRPr="0012760D" w:rsidRDefault="002D4A0A" w:rsidP="002D4A0A">
      <w:pPr>
        <w:rPr>
          <w:sz w:val="24"/>
          <w:szCs w:val="24"/>
        </w:rPr>
      </w:pPr>
      <w:r w:rsidRPr="0012760D">
        <w:rPr>
          <w:sz w:val="24"/>
          <w:szCs w:val="24"/>
        </w:rPr>
        <w:t>• increase our accountability, transparency, effectiveness and efficiency in line with Victorian Government standards</w:t>
      </w:r>
    </w:p>
    <w:p w:rsidR="002D4A0A" w:rsidRDefault="002D4A0A" w:rsidP="002D4A0A">
      <w:pPr>
        <w:rPr>
          <w:sz w:val="24"/>
          <w:szCs w:val="24"/>
        </w:rPr>
      </w:pPr>
      <w:r w:rsidRPr="0012760D">
        <w:rPr>
          <w:sz w:val="24"/>
          <w:szCs w:val="24"/>
        </w:rPr>
        <w:t>• increase the delivery of complementary and aligned programs that achieve s</w:t>
      </w:r>
      <w:r w:rsidR="0068183F">
        <w:rPr>
          <w:sz w:val="24"/>
          <w:szCs w:val="24"/>
        </w:rPr>
        <w:t xml:space="preserve">hared portfolio goals and align </w:t>
      </w:r>
      <w:r w:rsidRPr="0012760D">
        <w:rPr>
          <w:sz w:val="24"/>
          <w:szCs w:val="24"/>
        </w:rPr>
        <w:t>with Victorian Government directions.</w:t>
      </w:r>
    </w:p>
    <w:p w:rsidR="0068183F" w:rsidRDefault="0068183F" w:rsidP="002D4A0A">
      <w:pPr>
        <w:rPr>
          <w:sz w:val="24"/>
          <w:szCs w:val="24"/>
        </w:rPr>
      </w:pPr>
    </w:p>
    <w:p w:rsidR="0068183F" w:rsidRPr="0012760D" w:rsidRDefault="0068183F" w:rsidP="002D4A0A">
      <w:pPr>
        <w:rPr>
          <w:sz w:val="24"/>
          <w:szCs w:val="24"/>
        </w:rPr>
      </w:pPr>
    </w:p>
    <w:p w:rsidR="002D4A0A" w:rsidRDefault="002D4A0A" w:rsidP="0068183F">
      <w:pPr>
        <w:pStyle w:val="Heading3"/>
      </w:pPr>
      <w:r w:rsidRPr="0012760D">
        <w:t>Key achievements</w:t>
      </w:r>
    </w:p>
    <w:p w:rsidR="0068183F" w:rsidRPr="0012760D" w:rsidRDefault="0068183F" w:rsidP="002D4A0A">
      <w:pPr>
        <w:rPr>
          <w:sz w:val="24"/>
          <w:szCs w:val="24"/>
        </w:rPr>
      </w:pPr>
    </w:p>
    <w:p w:rsidR="002D4A0A" w:rsidRPr="0012760D" w:rsidRDefault="002D4A0A" w:rsidP="002D4A0A">
      <w:pPr>
        <w:rPr>
          <w:sz w:val="24"/>
          <w:szCs w:val="24"/>
        </w:rPr>
      </w:pPr>
      <w:r w:rsidRPr="0012760D">
        <w:rPr>
          <w:sz w:val="24"/>
          <w:szCs w:val="24"/>
        </w:rPr>
        <w:t>In 2012 to 13, we reviewed our Corporate Governance Charter, rebuilt our Chart of Accounts, refreshed all our policies and procedures, and developed and adopted a grants policy. We also helped design and deliver a portfolio coordination framework, together with the Environment Protection Authority and the Department of Environment and Primary Industries.</w:t>
      </w:r>
    </w:p>
    <w:p w:rsidR="00B25C07" w:rsidRDefault="00B25C07" w:rsidP="00B25C07">
      <w:pPr>
        <w:rPr>
          <w:bCs/>
          <w:sz w:val="24"/>
          <w:szCs w:val="24"/>
        </w:rPr>
      </w:pPr>
      <w:r w:rsidRPr="0012760D">
        <w:rPr>
          <w:bCs/>
          <w:sz w:val="24"/>
          <w:szCs w:val="24"/>
        </w:rPr>
        <w:t>&lt;pp&gt; 30</w:t>
      </w:r>
    </w:p>
    <w:p w:rsidR="0068183F" w:rsidRDefault="0068183F" w:rsidP="00B25C07">
      <w:pPr>
        <w:rPr>
          <w:bCs/>
          <w:sz w:val="24"/>
          <w:szCs w:val="24"/>
        </w:rPr>
      </w:pPr>
    </w:p>
    <w:p w:rsidR="0068183F" w:rsidRPr="0012760D" w:rsidRDefault="0068183F" w:rsidP="00B25C07">
      <w:pPr>
        <w:rPr>
          <w:sz w:val="24"/>
          <w:szCs w:val="24"/>
        </w:rPr>
      </w:pPr>
    </w:p>
    <w:p w:rsidR="00B25C07" w:rsidRDefault="00B25C07" w:rsidP="0068183F">
      <w:pPr>
        <w:pStyle w:val="Heading1"/>
      </w:pPr>
      <w:r w:rsidRPr="0012760D">
        <w:t>Part 5</w:t>
      </w:r>
      <w:r w:rsidR="0068183F">
        <w:br/>
      </w:r>
      <w:r w:rsidRPr="0012760D">
        <w:t>Summary of financial Performance</w:t>
      </w:r>
    </w:p>
    <w:p w:rsidR="0068183F" w:rsidRPr="0012760D" w:rsidRDefault="0068183F" w:rsidP="00B25C07">
      <w:pPr>
        <w:rPr>
          <w:sz w:val="24"/>
          <w:szCs w:val="24"/>
        </w:rPr>
      </w:pPr>
    </w:p>
    <w:p w:rsidR="00B25C07" w:rsidRPr="0012760D" w:rsidRDefault="00B25C07" w:rsidP="0068183F">
      <w:pPr>
        <w:pStyle w:val="Heading2"/>
      </w:pPr>
      <w:r w:rsidRPr="0012760D">
        <w:t>Financial Performance and Position Summary ($'000)</w:t>
      </w:r>
    </w:p>
    <w:p w:rsidR="00B25C07" w:rsidRPr="0012760D" w:rsidRDefault="00B25C07" w:rsidP="00B25C07">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3165"/>
        <w:gridCol w:w="1166"/>
        <w:gridCol w:w="1466"/>
        <w:gridCol w:w="1184"/>
        <w:gridCol w:w="1154"/>
        <w:gridCol w:w="974"/>
      </w:tblGrid>
      <w:tr w:rsidR="00B25C07" w:rsidRPr="0012760D" w:rsidTr="00D82E05">
        <w:tblPrEx>
          <w:tblCellMar>
            <w:top w:w="0" w:type="dxa"/>
            <w:bottom w:w="0" w:type="dxa"/>
          </w:tblCellMar>
        </w:tblPrEx>
        <w:tc>
          <w:tcPr>
            <w:tcW w:w="1741" w:type="pct"/>
            <w:shd w:val="clear" w:color="auto" w:fill="auto"/>
          </w:tcPr>
          <w:p w:rsidR="00B25C07" w:rsidRPr="0012760D" w:rsidRDefault="00B25C07" w:rsidP="00D82E05">
            <w:pPr>
              <w:rPr>
                <w:sz w:val="24"/>
                <w:szCs w:val="24"/>
              </w:rPr>
            </w:pPr>
          </w:p>
        </w:tc>
        <w:tc>
          <w:tcPr>
            <w:tcW w:w="644" w:type="pct"/>
            <w:shd w:val="clear" w:color="auto" w:fill="auto"/>
          </w:tcPr>
          <w:p w:rsidR="00B25C07" w:rsidRPr="0012760D" w:rsidRDefault="00B25C07" w:rsidP="00D82E05">
            <w:pPr>
              <w:jc w:val="right"/>
              <w:rPr>
                <w:sz w:val="24"/>
                <w:szCs w:val="24"/>
              </w:rPr>
            </w:pPr>
            <w:r w:rsidRPr="0012760D">
              <w:rPr>
                <w:bCs/>
                <w:sz w:val="24"/>
                <w:szCs w:val="24"/>
              </w:rPr>
              <w:t>2013</w:t>
            </w:r>
          </w:p>
        </w:tc>
        <w:tc>
          <w:tcPr>
            <w:tcW w:w="808" w:type="pct"/>
            <w:shd w:val="clear" w:color="auto" w:fill="auto"/>
          </w:tcPr>
          <w:p w:rsidR="00B25C07" w:rsidRPr="0012760D" w:rsidRDefault="00B25C07" w:rsidP="00D82E05">
            <w:pPr>
              <w:jc w:val="right"/>
              <w:rPr>
                <w:sz w:val="24"/>
                <w:szCs w:val="24"/>
              </w:rPr>
            </w:pPr>
            <w:r w:rsidRPr="0012760D">
              <w:rPr>
                <w:bCs/>
                <w:sz w:val="24"/>
                <w:szCs w:val="24"/>
              </w:rPr>
              <w:t>2012</w:t>
            </w:r>
          </w:p>
        </w:tc>
        <w:tc>
          <w:tcPr>
            <w:tcW w:w="653" w:type="pct"/>
            <w:shd w:val="clear" w:color="auto" w:fill="auto"/>
          </w:tcPr>
          <w:p w:rsidR="00B25C07" w:rsidRPr="0012760D" w:rsidRDefault="00B25C07" w:rsidP="00D82E05">
            <w:pPr>
              <w:jc w:val="right"/>
              <w:rPr>
                <w:sz w:val="24"/>
                <w:szCs w:val="24"/>
              </w:rPr>
            </w:pPr>
            <w:r w:rsidRPr="0012760D">
              <w:rPr>
                <w:bCs/>
                <w:sz w:val="24"/>
                <w:szCs w:val="24"/>
              </w:rPr>
              <w:t>2011</w:t>
            </w:r>
          </w:p>
        </w:tc>
        <w:tc>
          <w:tcPr>
            <w:tcW w:w="637" w:type="pct"/>
            <w:shd w:val="clear" w:color="auto" w:fill="auto"/>
          </w:tcPr>
          <w:p w:rsidR="00B25C07" w:rsidRPr="0012760D" w:rsidRDefault="00B25C07" w:rsidP="00D82E05">
            <w:pPr>
              <w:jc w:val="right"/>
              <w:rPr>
                <w:sz w:val="24"/>
                <w:szCs w:val="24"/>
              </w:rPr>
            </w:pPr>
            <w:r w:rsidRPr="0012760D">
              <w:rPr>
                <w:bCs/>
                <w:sz w:val="24"/>
                <w:szCs w:val="24"/>
              </w:rPr>
              <w:t>2010</w:t>
            </w:r>
          </w:p>
        </w:tc>
        <w:tc>
          <w:tcPr>
            <w:tcW w:w="517" w:type="pct"/>
            <w:shd w:val="clear" w:color="auto" w:fill="auto"/>
          </w:tcPr>
          <w:p w:rsidR="00B25C07" w:rsidRPr="0012760D" w:rsidRDefault="00B25C07" w:rsidP="00D82E05">
            <w:pPr>
              <w:jc w:val="right"/>
              <w:rPr>
                <w:sz w:val="24"/>
                <w:szCs w:val="24"/>
              </w:rPr>
            </w:pPr>
            <w:r w:rsidRPr="0012760D">
              <w:rPr>
                <w:bCs/>
                <w:sz w:val="24"/>
                <w:szCs w:val="24"/>
              </w:rPr>
              <w:t>2009</w:t>
            </w:r>
          </w:p>
        </w:tc>
      </w:tr>
      <w:tr w:rsidR="00B25C07" w:rsidRPr="0012760D" w:rsidTr="00D82E05">
        <w:tblPrEx>
          <w:tblCellMar>
            <w:top w:w="0" w:type="dxa"/>
            <w:bottom w:w="0" w:type="dxa"/>
          </w:tblCellMar>
        </w:tblPrEx>
        <w:tc>
          <w:tcPr>
            <w:tcW w:w="1741" w:type="pct"/>
            <w:shd w:val="clear" w:color="auto" w:fill="auto"/>
          </w:tcPr>
          <w:p w:rsidR="00B25C07" w:rsidRPr="0012760D" w:rsidRDefault="00B25C07" w:rsidP="00D82E05">
            <w:pPr>
              <w:rPr>
                <w:sz w:val="24"/>
                <w:szCs w:val="24"/>
              </w:rPr>
            </w:pPr>
            <w:r w:rsidRPr="0012760D">
              <w:rPr>
                <w:sz w:val="24"/>
                <w:szCs w:val="24"/>
              </w:rPr>
              <w:t>Revenue from Government</w:t>
            </w:r>
          </w:p>
        </w:tc>
        <w:tc>
          <w:tcPr>
            <w:tcW w:w="644" w:type="pct"/>
            <w:shd w:val="clear" w:color="auto" w:fill="auto"/>
          </w:tcPr>
          <w:p w:rsidR="00B25C07" w:rsidRPr="0012760D" w:rsidRDefault="00B25C07" w:rsidP="00D82E05">
            <w:pPr>
              <w:jc w:val="right"/>
              <w:rPr>
                <w:sz w:val="24"/>
                <w:szCs w:val="24"/>
              </w:rPr>
            </w:pPr>
            <w:r w:rsidRPr="0012760D">
              <w:rPr>
                <w:sz w:val="24"/>
                <w:szCs w:val="24"/>
              </w:rPr>
              <w:t>16,576</w:t>
            </w:r>
          </w:p>
        </w:tc>
        <w:tc>
          <w:tcPr>
            <w:tcW w:w="808" w:type="pct"/>
            <w:shd w:val="clear" w:color="auto" w:fill="auto"/>
          </w:tcPr>
          <w:p w:rsidR="00B25C07" w:rsidRPr="0012760D" w:rsidRDefault="00B25C07" w:rsidP="00D82E05">
            <w:pPr>
              <w:jc w:val="right"/>
              <w:rPr>
                <w:sz w:val="24"/>
                <w:szCs w:val="24"/>
              </w:rPr>
            </w:pPr>
            <w:r w:rsidRPr="0012760D">
              <w:rPr>
                <w:sz w:val="24"/>
                <w:szCs w:val="24"/>
              </w:rPr>
              <w:t>20,979</w:t>
            </w:r>
          </w:p>
        </w:tc>
        <w:tc>
          <w:tcPr>
            <w:tcW w:w="653" w:type="pct"/>
            <w:shd w:val="clear" w:color="auto" w:fill="auto"/>
          </w:tcPr>
          <w:p w:rsidR="00B25C07" w:rsidRPr="0012760D" w:rsidRDefault="00B25C07" w:rsidP="00D82E05">
            <w:pPr>
              <w:jc w:val="right"/>
              <w:rPr>
                <w:sz w:val="24"/>
                <w:szCs w:val="24"/>
              </w:rPr>
            </w:pPr>
            <w:r w:rsidRPr="0012760D">
              <w:rPr>
                <w:sz w:val="24"/>
                <w:szCs w:val="24"/>
              </w:rPr>
              <w:t>16,910</w:t>
            </w:r>
          </w:p>
        </w:tc>
        <w:tc>
          <w:tcPr>
            <w:tcW w:w="637" w:type="pct"/>
            <w:shd w:val="clear" w:color="auto" w:fill="auto"/>
          </w:tcPr>
          <w:p w:rsidR="00B25C07" w:rsidRPr="0012760D" w:rsidRDefault="00B25C07" w:rsidP="00D82E05">
            <w:pPr>
              <w:jc w:val="right"/>
              <w:rPr>
                <w:sz w:val="24"/>
                <w:szCs w:val="24"/>
              </w:rPr>
            </w:pPr>
            <w:r w:rsidRPr="0012760D">
              <w:rPr>
                <w:sz w:val="24"/>
                <w:szCs w:val="24"/>
              </w:rPr>
              <w:t>37,104</w:t>
            </w:r>
          </w:p>
        </w:tc>
        <w:tc>
          <w:tcPr>
            <w:tcW w:w="517" w:type="pct"/>
            <w:shd w:val="clear" w:color="auto" w:fill="auto"/>
          </w:tcPr>
          <w:p w:rsidR="00B25C07" w:rsidRPr="0012760D" w:rsidRDefault="00B25C07" w:rsidP="00D82E05">
            <w:pPr>
              <w:jc w:val="right"/>
              <w:rPr>
                <w:sz w:val="24"/>
                <w:szCs w:val="24"/>
              </w:rPr>
            </w:pPr>
            <w:r w:rsidRPr="0012760D">
              <w:rPr>
                <w:sz w:val="24"/>
                <w:szCs w:val="24"/>
              </w:rPr>
              <w:t>53,512</w:t>
            </w:r>
          </w:p>
        </w:tc>
      </w:tr>
      <w:tr w:rsidR="00B25C07" w:rsidRPr="0012760D" w:rsidTr="00D82E05">
        <w:tblPrEx>
          <w:tblCellMar>
            <w:top w:w="0" w:type="dxa"/>
            <w:bottom w:w="0" w:type="dxa"/>
          </w:tblCellMar>
        </w:tblPrEx>
        <w:tc>
          <w:tcPr>
            <w:tcW w:w="1741" w:type="pct"/>
            <w:shd w:val="clear" w:color="auto" w:fill="auto"/>
          </w:tcPr>
          <w:p w:rsidR="00B25C07" w:rsidRPr="0012760D" w:rsidRDefault="00B25C07" w:rsidP="00D82E05">
            <w:pPr>
              <w:rPr>
                <w:sz w:val="24"/>
                <w:szCs w:val="24"/>
              </w:rPr>
            </w:pPr>
            <w:r w:rsidRPr="0012760D">
              <w:rPr>
                <w:sz w:val="24"/>
                <w:szCs w:val="24"/>
              </w:rPr>
              <w:t>Other revenue</w:t>
            </w:r>
          </w:p>
        </w:tc>
        <w:tc>
          <w:tcPr>
            <w:tcW w:w="644" w:type="pct"/>
            <w:shd w:val="clear" w:color="auto" w:fill="auto"/>
          </w:tcPr>
          <w:p w:rsidR="00B25C07" w:rsidRPr="0012760D" w:rsidRDefault="00B25C07" w:rsidP="00D82E05">
            <w:pPr>
              <w:jc w:val="right"/>
              <w:rPr>
                <w:sz w:val="24"/>
                <w:szCs w:val="24"/>
              </w:rPr>
            </w:pPr>
            <w:r w:rsidRPr="0012760D">
              <w:rPr>
                <w:sz w:val="24"/>
                <w:szCs w:val="24"/>
              </w:rPr>
              <w:t>32,489</w:t>
            </w:r>
          </w:p>
        </w:tc>
        <w:tc>
          <w:tcPr>
            <w:tcW w:w="808" w:type="pct"/>
            <w:shd w:val="clear" w:color="auto" w:fill="auto"/>
          </w:tcPr>
          <w:p w:rsidR="00B25C07" w:rsidRPr="0012760D" w:rsidRDefault="00B25C07" w:rsidP="00D82E05">
            <w:pPr>
              <w:jc w:val="right"/>
              <w:rPr>
                <w:sz w:val="24"/>
                <w:szCs w:val="24"/>
              </w:rPr>
            </w:pPr>
            <w:r w:rsidRPr="0012760D">
              <w:rPr>
                <w:sz w:val="24"/>
                <w:szCs w:val="24"/>
              </w:rPr>
              <w:t>26,777</w:t>
            </w:r>
          </w:p>
        </w:tc>
        <w:tc>
          <w:tcPr>
            <w:tcW w:w="653" w:type="pct"/>
            <w:shd w:val="clear" w:color="auto" w:fill="auto"/>
          </w:tcPr>
          <w:p w:rsidR="00B25C07" w:rsidRPr="0012760D" w:rsidRDefault="00B25C07" w:rsidP="00D82E05">
            <w:pPr>
              <w:jc w:val="right"/>
              <w:rPr>
                <w:sz w:val="24"/>
                <w:szCs w:val="24"/>
              </w:rPr>
            </w:pPr>
            <w:r w:rsidRPr="0012760D">
              <w:rPr>
                <w:sz w:val="24"/>
                <w:szCs w:val="24"/>
              </w:rPr>
              <w:t>26,726</w:t>
            </w:r>
          </w:p>
        </w:tc>
        <w:tc>
          <w:tcPr>
            <w:tcW w:w="637" w:type="pct"/>
            <w:shd w:val="clear" w:color="auto" w:fill="auto"/>
          </w:tcPr>
          <w:p w:rsidR="00B25C07" w:rsidRPr="0012760D" w:rsidRDefault="00B25C07" w:rsidP="00D82E05">
            <w:pPr>
              <w:jc w:val="right"/>
              <w:rPr>
                <w:sz w:val="24"/>
                <w:szCs w:val="24"/>
              </w:rPr>
            </w:pPr>
            <w:r w:rsidRPr="0012760D">
              <w:rPr>
                <w:sz w:val="24"/>
                <w:szCs w:val="24"/>
              </w:rPr>
              <w:t>28,199</w:t>
            </w:r>
          </w:p>
        </w:tc>
        <w:tc>
          <w:tcPr>
            <w:tcW w:w="517" w:type="pct"/>
            <w:shd w:val="clear" w:color="auto" w:fill="auto"/>
          </w:tcPr>
          <w:p w:rsidR="00B25C07" w:rsidRPr="0012760D" w:rsidRDefault="00B25C07" w:rsidP="00D82E05">
            <w:pPr>
              <w:jc w:val="right"/>
              <w:rPr>
                <w:sz w:val="24"/>
                <w:szCs w:val="24"/>
              </w:rPr>
            </w:pPr>
            <w:r w:rsidRPr="0012760D">
              <w:rPr>
                <w:sz w:val="24"/>
                <w:szCs w:val="24"/>
              </w:rPr>
              <w:t>25,198</w:t>
            </w:r>
          </w:p>
        </w:tc>
      </w:tr>
      <w:tr w:rsidR="00B25C07" w:rsidRPr="0012760D" w:rsidTr="00D82E05">
        <w:tblPrEx>
          <w:tblCellMar>
            <w:top w:w="0" w:type="dxa"/>
            <w:bottom w:w="0" w:type="dxa"/>
          </w:tblCellMar>
        </w:tblPrEx>
        <w:tc>
          <w:tcPr>
            <w:tcW w:w="1741" w:type="pct"/>
            <w:shd w:val="clear" w:color="auto" w:fill="auto"/>
          </w:tcPr>
          <w:p w:rsidR="00B25C07" w:rsidRPr="0012760D" w:rsidRDefault="00B25C07" w:rsidP="00D82E05">
            <w:pPr>
              <w:rPr>
                <w:sz w:val="24"/>
                <w:szCs w:val="24"/>
              </w:rPr>
            </w:pPr>
            <w:r w:rsidRPr="0012760D">
              <w:rPr>
                <w:sz w:val="24"/>
                <w:szCs w:val="24"/>
              </w:rPr>
              <w:t>Total income</w:t>
            </w:r>
          </w:p>
        </w:tc>
        <w:tc>
          <w:tcPr>
            <w:tcW w:w="644" w:type="pct"/>
            <w:shd w:val="clear" w:color="auto" w:fill="auto"/>
          </w:tcPr>
          <w:p w:rsidR="00B25C07" w:rsidRPr="0012760D" w:rsidRDefault="00B25C07" w:rsidP="00D82E05">
            <w:pPr>
              <w:jc w:val="right"/>
              <w:rPr>
                <w:sz w:val="24"/>
                <w:szCs w:val="24"/>
              </w:rPr>
            </w:pPr>
            <w:r w:rsidRPr="0012760D">
              <w:rPr>
                <w:sz w:val="24"/>
                <w:szCs w:val="24"/>
              </w:rPr>
              <w:t>49,065</w:t>
            </w:r>
          </w:p>
        </w:tc>
        <w:tc>
          <w:tcPr>
            <w:tcW w:w="808" w:type="pct"/>
            <w:shd w:val="clear" w:color="auto" w:fill="auto"/>
          </w:tcPr>
          <w:p w:rsidR="00B25C07" w:rsidRPr="0012760D" w:rsidRDefault="00B25C07" w:rsidP="00D82E05">
            <w:pPr>
              <w:jc w:val="right"/>
              <w:rPr>
                <w:sz w:val="24"/>
                <w:szCs w:val="24"/>
              </w:rPr>
            </w:pPr>
            <w:r w:rsidRPr="0012760D">
              <w:rPr>
                <w:sz w:val="24"/>
                <w:szCs w:val="24"/>
              </w:rPr>
              <w:t>47,756</w:t>
            </w:r>
          </w:p>
        </w:tc>
        <w:tc>
          <w:tcPr>
            <w:tcW w:w="653" w:type="pct"/>
            <w:shd w:val="clear" w:color="auto" w:fill="auto"/>
          </w:tcPr>
          <w:p w:rsidR="00B25C07" w:rsidRPr="0012760D" w:rsidRDefault="00B25C07" w:rsidP="00D82E05">
            <w:pPr>
              <w:jc w:val="right"/>
              <w:rPr>
                <w:sz w:val="24"/>
                <w:szCs w:val="24"/>
              </w:rPr>
            </w:pPr>
            <w:r w:rsidRPr="0012760D">
              <w:rPr>
                <w:sz w:val="24"/>
                <w:szCs w:val="24"/>
              </w:rPr>
              <w:t>43,636</w:t>
            </w:r>
          </w:p>
        </w:tc>
        <w:tc>
          <w:tcPr>
            <w:tcW w:w="637" w:type="pct"/>
            <w:shd w:val="clear" w:color="auto" w:fill="auto"/>
          </w:tcPr>
          <w:p w:rsidR="00B25C07" w:rsidRPr="0012760D" w:rsidRDefault="00B25C07" w:rsidP="00D82E05">
            <w:pPr>
              <w:jc w:val="right"/>
              <w:rPr>
                <w:sz w:val="24"/>
                <w:szCs w:val="24"/>
              </w:rPr>
            </w:pPr>
            <w:r w:rsidRPr="0012760D">
              <w:rPr>
                <w:sz w:val="24"/>
                <w:szCs w:val="24"/>
              </w:rPr>
              <w:t>65,303</w:t>
            </w:r>
          </w:p>
        </w:tc>
        <w:tc>
          <w:tcPr>
            <w:tcW w:w="517" w:type="pct"/>
            <w:shd w:val="clear" w:color="auto" w:fill="auto"/>
          </w:tcPr>
          <w:p w:rsidR="00B25C07" w:rsidRPr="0012760D" w:rsidRDefault="00B25C07" w:rsidP="00D82E05">
            <w:pPr>
              <w:jc w:val="right"/>
              <w:rPr>
                <w:sz w:val="24"/>
                <w:szCs w:val="24"/>
              </w:rPr>
            </w:pPr>
            <w:r w:rsidRPr="0012760D">
              <w:rPr>
                <w:sz w:val="24"/>
                <w:szCs w:val="24"/>
              </w:rPr>
              <w:t>78,710</w:t>
            </w:r>
          </w:p>
        </w:tc>
      </w:tr>
      <w:tr w:rsidR="00B25C07" w:rsidRPr="0012760D" w:rsidTr="00D82E05">
        <w:tblPrEx>
          <w:tblCellMar>
            <w:top w:w="0" w:type="dxa"/>
            <w:bottom w:w="0" w:type="dxa"/>
          </w:tblCellMar>
        </w:tblPrEx>
        <w:tc>
          <w:tcPr>
            <w:tcW w:w="1741" w:type="pct"/>
            <w:shd w:val="clear" w:color="auto" w:fill="auto"/>
          </w:tcPr>
          <w:p w:rsidR="00B25C07" w:rsidRPr="0012760D" w:rsidRDefault="00B25C07" w:rsidP="00D82E05">
            <w:pPr>
              <w:rPr>
                <w:sz w:val="24"/>
                <w:szCs w:val="24"/>
              </w:rPr>
            </w:pPr>
            <w:r w:rsidRPr="0012760D">
              <w:rPr>
                <w:sz w:val="24"/>
                <w:szCs w:val="24"/>
              </w:rPr>
              <w:t>Total expenses</w:t>
            </w:r>
          </w:p>
        </w:tc>
        <w:tc>
          <w:tcPr>
            <w:tcW w:w="644" w:type="pct"/>
            <w:shd w:val="clear" w:color="auto" w:fill="auto"/>
          </w:tcPr>
          <w:p w:rsidR="00B25C07" w:rsidRPr="0012760D" w:rsidRDefault="00B25C07" w:rsidP="00D82E05">
            <w:pPr>
              <w:jc w:val="right"/>
              <w:rPr>
                <w:sz w:val="24"/>
                <w:szCs w:val="24"/>
              </w:rPr>
            </w:pPr>
            <w:r w:rsidRPr="0012760D">
              <w:rPr>
                <w:sz w:val="24"/>
                <w:szCs w:val="24"/>
              </w:rPr>
              <w:t>37,298</w:t>
            </w:r>
          </w:p>
        </w:tc>
        <w:tc>
          <w:tcPr>
            <w:tcW w:w="808" w:type="pct"/>
            <w:shd w:val="clear" w:color="auto" w:fill="auto"/>
          </w:tcPr>
          <w:p w:rsidR="00B25C07" w:rsidRPr="0012760D" w:rsidRDefault="00B25C07" w:rsidP="00D82E05">
            <w:pPr>
              <w:jc w:val="right"/>
              <w:rPr>
                <w:sz w:val="24"/>
                <w:szCs w:val="24"/>
              </w:rPr>
            </w:pPr>
            <w:r w:rsidRPr="0012760D">
              <w:rPr>
                <w:sz w:val="24"/>
                <w:szCs w:val="24"/>
              </w:rPr>
              <w:t>43,706</w:t>
            </w:r>
          </w:p>
        </w:tc>
        <w:tc>
          <w:tcPr>
            <w:tcW w:w="653" w:type="pct"/>
            <w:shd w:val="clear" w:color="auto" w:fill="auto"/>
          </w:tcPr>
          <w:p w:rsidR="00B25C07" w:rsidRPr="0012760D" w:rsidRDefault="00B25C07" w:rsidP="00D82E05">
            <w:pPr>
              <w:jc w:val="right"/>
              <w:rPr>
                <w:sz w:val="24"/>
                <w:szCs w:val="24"/>
              </w:rPr>
            </w:pPr>
            <w:r w:rsidRPr="0012760D">
              <w:rPr>
                <w:sz w:val="24"/>
                <w:szCs w:val="24"/>
              </w:rPr>
              <w:t>52,749</w:t>
            </w:r>
          </w:p>
        </w:tc>
        <w:tc>
          <w:tcPr>
            <w:tcW w:w="637" w:type="pct"/>
            <w:shd w:val="clear" w:color="auto" w:fill="auto"/>
          </w:tcPr>
          <w:p w:rsidR="00B25C07" w:rsidRPr="0012760D" w:rsidRDefault="00B25C07" w:rsidP="00D82E05">
            <w:pPr>
              <w:jc w:val="right"/>
              <w:rPr>
                <w:sz w:val="24"/>
                <w:szCs w:val="24"/>
              </w:rPr>
            </w:pPr>
            <w:r w:rsidRPr="0012760D">
              <w:rPr>
                <w:sz w:val="24"/>
                <w:szCs w:val="24"/>
              </w:rPr>
              <w:t>60,947</w:t>
            </w:r>
          </w:p>
        </w:tc>
        <w:tc>
          <w:tcPr>
            <w:tcW w:w="517" w:type="pct"/>
            <w:shd w:val="clear" w:color="auto" w:fill="auto"/>
          </w:tcPr>
          <w:p w:rsidR="00B25C07" w:rsidRPr="0012760D" w:rsidRDefault="00B25C07" w:rsidP="00D82E05">
            <w:pPr>
              <w:jc w:val="right"/>
              <w:rPr>
                <w:sz w:val="24"/>
                <w:szCs w:val="24"/>
              </w:rPr>
            </w:pPr>
            <w:r w:rsidRPr="0012760D">
              <w:rPr>
                <w:sz w:val="24"/>
                <w:szCs w:val="24"/>
              </w:rPr>
              <w:t>78,905</w:t>
            </w:r>
          </w:p>
        </w:tc>
      </w:tr>
      <w:tr w:rsidR="00B25C07" w:rsidRPr="0012760D" w:rsidTr="00D82E05">
        <w:tblPrEx>
          <w:tblCellMar>
            <w:top w:w="0" w:type="dxa"/>
            <w:bottom w:w="0" w:type="dxa"/>
          </w:tblCellMar>
        </w:tblPrEx>
        <w:tc>
          <w:tcPr>
            <w:tcW w:w="1741" w:type="pct"/>
            <w:shd w:val="clear" w:color="auto" w:fill="auto"/>
          </w:tcPr>
          <w:p w:rsidR="00B25C07" w:rsidRPr="0012760D" w:rsidRDefault="00B25C07" w:rsidP="00D82E05">
            <w:pPr>
              <w:rPr>
                <w:sz w:val="24"/>
                <w:szCs w:val="24"/>
              </w:rPr>
            </w:pPr>
            <w:r w:rsidRPr="0012760D">
              <w:rPr>
                <w:sz w:val="24"/>
                <w:szCs w:val="24"/>
              </w:rPr>
              <w:t>Net result for the period</w:t>
            </w:r>
          </w:p>
        </w:tc>
        <w:tc>
          <w:tcPr>
            <w:tcW w:w="644" w:type="pct"/>
            <w:shd w:val="clear" w:color="auto" w:fill="auto"/>
          </w:tcPr>
          <w:p w:rsidR="00B25C07" w:rsidRPr="0012760D" w:rsidRDefault="00B25C07" w:rsidP="00D82E05">
            <w:pPr>
              <w:jc w:val="right"/>
              <w:rPr>
                <w:sz w:val="24"/>
                <w:szCs w:val="24"/>
              </w:rPr>
            </w:pPr>
            <w:r w:rsidRPr="0012760D">
              <w:rPr>
                <w:sz w:val="24"/>
                <w:szCs w:val="24"/>
              </w:rPr>
              <w:t>11,767</w:t>
            </w:r>
          </w:p>
        </w:tc>
        <w:tc>
          <w:tcPr>
            <w:tcW w:w="808" w:type="pct"/>
            <w:shd w:val="clear" w:color="auto" w:fill="auto"/>
          </w:tcPr>
          <w:p w:rsidR="00B25C07" w:rsidRPr="0012760D" w:rsidRDefault="00B25C07" w:rsidP="00D82E05">
            <w:pPr>
              <w:jc w:val="right"/>
              <w:rPr>
                <w:sz w:val="24"/>
                <w:szCs w:val="24"/>
              </w:rPr>
            </w:pPr>
            <w:r w:rsidRPr="0012760D">
              <w:rPr>
                <w:sz w:val="24"/>
                <w:szCs w:val="24"/>
              </w:rPr>
              <w:t>4,050</w:t>
            </w:r>
          </w:p>
        </w:tc>
        <w:tc>
          <w:tcPr>
            <w:tcW w:w="653" w:type="pct"/>
            <w:shd w:val="clear" w:color="auto" w:fill="auto"/>
          </w:tcPr>
          <w:p w:rsidR="00B25C07" w:rsidRPr="0012760D" w:rsidRDefault="00B25C07" w:rsidP="00D82E05">
            <w:pPr>
              <w:jc w:val="right"/>
              <w:rPr>
                <w:sz w:val="24"/>
                <w:szCs w:val="24"/>
              </w:rPr>
            </w:pPr>
            <w:r w:rsidRPr="0012760D">
              <w:rPr>
                <w:sz w:val="24"/>
                <w:szCs w:val="24"/>
              </w:rPr>
              <w:t>(9,113)</w:t>
            </w:r>
          </w:p>
        </w:tc>
        <w:tc>
          <w:tcPr>
            <w:tcW w:w="637" w:type="pct"/>
            <w:shd w:val="clear" w:color="auto" w:fill="auto"/>
          </w:tcPr>
          <w:p w:rsidR="00B25C07" w:rsidRPr="0012760D" w:rsidRDefault="00B25C07" w:rsidP="00D82E05">
            <w:pPr>
              <w:jc w:val="right"/>
              <w:rPr>
                <w:sz w:val="24"/>
                <w:szCs w:val="24"/>
              </w:rPr>
            </w:pPr>
            <w:r w:rsidRPr="0012760D">
              <w:rPr>
                <w:sz w:val="24"/>
                <w:szCs w:val="24"/>
              </w:rPr>
              <w:t>4,356</w:t>
            </w:r>
          </w:p>
        </w:tc>
        <w:tc>
          <w:tcPr>
            <w:tcW w:w="517" w:type="pct"/>
            <w:shd w:val="clear" w:color="auto" w:fill="auto"/>
          </w:tcPr>
          <w:p w:rsidR="00B25C07" w:rsidRPr="0012760D" w:rsidRDefault="00B25C07" w:rsidP="00D82E05">
            <w:pPr>
              <w:jc w:val="right"/>
              <w:rPr>
                <w:sz w:val="24"/>
                <w:szCs w:val="24"/>
              </w:rPr>
            </w:pPr>
            <w:r w:rsidRPr="0012760D">
              <w:rPr>
                <w:sz w:val="24"/>
                <w:szCs w:val="24"/>
              </w:rPr>
              <w:t>(195)</w:t>
            </w:r>
          </w:p>
        </w:tc>
      </w:tr>
      <w:tr w:rsidR="00B25C07" w:rsidRPr="0012760D" w:rsidTr="00407410">
        <w:tblPrEx>
          <w:tblCellMar>
            <w:top w:w="0" w:type="dxa"/>
            <w:bottom w:w="0" w:type="dxa"/>
          </w:tblCellMar>
        </w:tblPrEx>
        <w:tc>
          <w:tcPr>
            <w:tcW w:w="1741" w:type="pct"/>
            <w:shd w:val="clear" w:color="auto" w:fill="auto"/>
          </w:tcPr>
          <w:p w:rsidR="00B25C07" w:rsidRPr="0012760D" w:rsidRDefault="00B25C07" w:rsidP="00D82E05">
            <w:pPr>
              <w:rPr>
                <w:sz w:val="24"/>
                <w:szCs w:val="24"/>
              </w:rPr>
            </w:pPr>
            <w:r w:rsidRPr="0012760D">
              <w:rPr>
                <w:sz w:val="24"/>
                <w:szCs w:val="24"/>
              </w:rPr>
              <w:t>Net cash flow from operating activities</w:t>
            </w:r>
          </w:p>
        </w:tc>
        <w:tc>
          <w:tcPr>
            <w:tcW w:w="644" w:type="pct"/>
            <w:shd w:val="clear" w:color="auto" w:fill="auto"/>
            <w:vAlign w:val="bottom"/>
          </w:tcPr>
          <w:p w:rsidR="00B25C07" w:rsidRPr="0012760D" w:rsidRDefault="00B25C07" w:rsidP="00407410">
            <w:pPr>
              <w:jc w:val="right"/>
              <w:rPr>
                <w:sz w:val="24"/>
                <w:szCs w:val="24"/>
              </w:rPr>
            </w:pPr>
            <w:r w:rsidRPr="0012760D">
              <w:rPr>
                <w:sz w:val="24"/>
                <w:szCs w:val="24"/>
              </w:rPr>
              <w:t>13,607</w:t>
            </w:r>
          </w:p>
        </w:tc>
        <w:tc>
          <w:tcPr>
            <w:tcW w:w="808" w:type="pct"/>
            <w:shd w:val="clear" w:color="auto" w:fill="auto"/>
            <w:vAlign w:val="bottom"/>
          </w:tcPr>
          <w:p w:rsidR="00B25C07" w:rsidRPr="0012760D" w:rsidRDefault="00B25C07" w:rsidP="00407410">
            <w:pPr>
              <w:jc w:val="right"/>
              <w:rPr>
                <w:sz w:val="24"/>
                <w:szCs w:val="24"/>
              </w:rPr>
            </w:pPr>
            <w:r w:rsidRPr="0012760D">
              <w:rPr>
                <w:sz w:val="24"/>
                <w:szCs w:val="24"/>
              </w:rPr>
              <w:t>4,281</w:t>
            </w:r>
          </w:p>
        </w:tc>
        <w:tc>
          <w:tcPr>
            <w:tcW w:w="653" w:type="pct"/>
            <w:shd w:val="clear" w:color="auto" w:fill="auto"/>
            <w:vAlign w:val="bottom"/>
          </w:tcPr>
          <w:p w:rsidR="00B25C07" w:rsidRPr="0012760D" w:rsidRDefault="00B25C07" w:rsidP="00407410">
            <w:pPr>
              <w:jc w:val="right"/>
              <w:rPr>
                <w:sz w:val="24"/>
                <w:szCs w:val="24"/>
              </w:rPr>
            </w:pPr>
            <w:r w:rsidRPr="0012760D">
              <w:rPr>
                <w:sz w:val="24"/>
                <w:szCs w:val="24"/>
              </w:rPr>
              <w:t>(107)</w:t>
            </w:r>
          </w:p>
        </w:tc>
        <w:tc>
          <w:tcPr>
            <w:tcW w:w="637" w:type="pct"/>
            <w:shd w:val="clear" w:color="auto" w:fill="auto"/>
            <w:vAlign w:val="bottom"/>
          </w:tcPr>
          <w:p w:rsidR="00B25C07" w:rsidRPr="0012760D" w:rsidRDefault="00B25C07" w:rsidP="00407410">
            <w:pPr>
              <w:jc w:val="right"/>
              <w:rPr>
                <w:sz w:val="24"/>
                <w:szCs w:val="24"/>
              </w:rPr>
            </w:pPr>
            <w:r w:rsidRPr="0012760D">
              <w:rPr>
                <w:sz w:val="24"/>
                <w:szCs w:val="24"/>
              </w:rPr>
              <w:t>15,919</w:t>
            </w:r>
          </w:p>
        </w:tc>
        <w:tc>
          <w:tcPr>
            <w:tcW w:w="517" w:type="pct"/>
            <w:shd w:val="clear" w:color="auto" w:fill="auto"/>
            <w:vAlign w:val="bottom"/>
          </w:tcPr>
          <w:p w:rsidR="00B25C07" w:rsidRPr="0012760D" w:rsidRDefault="00B25C07" w:rsidP="00407410">
            <w:pPr>
              <w:jc w:val="right"/>
              <w:rPr>
                <w:sz w:val="24"/>
                <w:szCs w:val="24"/>
              </w:rPr>
            </w:pPr>
            <w:r w:rsidRPr="0012760D">
              <w:rPr>
                <w:sz w:val="24"/>
                <w:szCs w:val="24"/>
              </w:rPr>
              <w:t>(13,658)</w:t>
            </w:r>
          </w:p>
        </w:tc>
      </w:tr>
      <w:tr w:rsidR="00B25C07" w:rsidRPr="0012760D" w:rsidTr="00D82E05">
        <w:tblPrEx>
          <w:tblCellMar>
            <w:top w:w="0" w:type="dxa"/>
            <w:bottom w:w="0" w:type="dxa"/>
          </w:tblCellMar>
        </w:tblPrEx>
        <w:tc>
          <w:tcPr>
            <w:tcW w:w="1741" w:type="pct"/>
            <w:shd w:val="clear" w:color="auto" w:fill="auto"/>
          </w:tcPr>
          <w:p w:rsidR="00B25C07" w:rsidRPr="0012760D" w:rsidRDefault="00B25C07" w:rsidP="00D82E05">
            <w:pPr>
              <w:rPr>
                <w:sz w:val="24"/>
                <w:szCs w:val="24"/>
              </w:rPr>
            </w:pPr>
            <w:r w:rsidRPr="0012760D">
              <w:rPr>
                <w:bCs/>
                <w:sz w:val="24"/>
                <w:szCs w:val="24"/>
              </w:rPr>
              <w:t>Total assets</w:t>
            </w:r>
          </w:p>
        </w:tc>
        <w:tc>
          <w:tcPr>
            <w:tcW w:w="644" w:type="pct"/>
            <w:shd w:val="clear" w:color="auto" w:fill="auto"/>
          </w:tcPr>
          <w:p w:rsidR="00B25C07" w:rsidRPr="0012760D" w:rsidRDefault="00B25C07" w:rsidP="00D82E05">
            <w:pPr>
              <w:jc w:val="right"/>
              <w:rPr>
                <w:sz w:val="24"/>
                <w:szCs w:val="24"/>
              </w:rPr>
            </w:pPr>
            <w:r w:rsidRPr="0012760D">
              <w:rPr>
                <w:bCs/>
                <w:sz w:val="24"/>
                <w:szCs w:val="24"/>
              </w:rPr>
              <w:t>47,944</w:t>
            </w:r>
          </w:p>
        </w:tc>
        <w:tc>
          <w:tcPr>
            <w:tcW w:w="808" w:type="pct"/>
            <w:shd w:val="clear" w:color="auto" w:fill="auto"/>
          </w:tcPr>
          <w:p w:rsidR="00B25C07" w:rsidRPr="0012760D" w:rsidRDefault="00B25C07" w:rsidP="00D82E05">
            <w:pPr>
              <w:jc w:val="right"/>
              <w:rPr>
                <w:sz w:val="24"/>
                <w:szCs w:val="24"/>
              </w:rPr>
            </w:pPr>
            <w:r w:rsidRPr="0012760D">
              <w:rPr>
                <w:bCs/>
                <w:sz w:val="24"/>
                <w:szCs w:val="24"/>
              </w:rPr>
              <w:t>32,769</w:t>
            </w:r>
          </w:p>
        </w:tc>
        <w:tc>
          <w:tcPr>
            <w:tcW w:w="653" w:type="pct"/>
            <w:shd w:val="clear" w:color="auto" w:fill="auto"/>
          </w:tcPr>
          <w:p w:rsidR="00B25C07" w:rsidRPr="0012760D" w:rsidRDefault="00B25C07" w:rsidP="00D82E05">
            <w:pPr>
              <w:jc w:val="right"/>
              <w:rPr>
                <w:sz w:val="24"/>
                <w:szCs w:val="24"/>
              </w:rPr>
            </w:pPr>
            <w:r w:rsidRPr="0012760D">
              <w:rPr>
                <w:bCs/>
                <w:sz w:val="24"/>
                <w:szCs w:val="24"/>
              </w:rPr>
              <w:t>28,794</w:t>
            </w:r>
          </w:p>
        </w:tc>
        <w:tc>
          <w:tcPr>
            <w:tcW w:w="637" w:type="pct"/>
            <w:shd w:val="clear" w:color="auto" w:fill="auto"/>
          </w:tcPr>
          <w:p w:rsidR="00B25C07" w:rsidRPr="0012760D" w:rsidRDefault="00B25C07" w:rsidP="00D82E05">
            <w:pPr>
              <w:jc w:val="right"/>
              <w:rPr>
                <w:sz w:val="24"/>
                <w:szCs w:val="24"/>
              </w:rPr>
            </w:pPr>
            <w:r w:rsidRPr="0012760D">
              <w:rPr>
                <w:bCs/>
                <w:sz w:val="24"/>
                <w:szCs w:val="24"/>
              </w:rPr>
              <w:t>37,970</w:t>
            </w:r>
          </w:p>
        </w:tc>
        <w:tc>
          <w:tcPr>
            <w:tcW w:w="517" w:type="pct"/>
            <w:shd w:val="clear" w:color="auto" w:fill="auto"/>
          </w:tcPr>
          <w:p w:rsidR="00B25C07" w:rsidRPr="0012760D" w:rsidRDefault="00B25C07" w:rsidP="00D82E05">
            <w:pPr>
              <w:jc w:val="right"/>
              <w:rPr>
                <w:sz w:val="24"/>
                <w:szCs w:val="24"/>
              </w:rPr>
            </w:pPr>
            <w:r w:rsidRPr="0012760D">
              <w:rPr>
                <w:bCs/>
                <w:sz w:val="24"/>
                <w:szCs w:val="24"/>
              </w:rPr>
              <w:t>37,073</w:t>
            </w:r>
          </w:p>
        </w:tc>
      </w:tr>
      <w:tr w:rsidR="00B25C07" w:rsidRPr="0012760D" w:rsidTr="00D82E05">
        <w:tblPrEx>
          <w:tblCellMar>
            <w:top w:w="0" w:type="dxa"/>
            <w:bottom w:w="0" w:type="dxa"/>
          </w:tblCellMar>
        </w:tblPrEx>
        <w:tc>
          <w:tcPr>
            <w:tcW w:w="1741" w:type="pct"/>
            <w:shd w:val="clear" w:color="auto" w:fill="auto"/>
          </w:tcPr>
          <w:p w:rsidR="00B25C07" w:rsidRPr="0012760D" w:rsidRDefault="00B25C07" w:rsidP="00D82E05">
            <w:pPr>
              <w:rPr>
                <w:sz w:val="24"/>
                <w:szCs w:val="24"/>
              </w:rPr>
            </w:pPr>
            <w:r w:rsidRPr="0012760D">
              <w:rPr>
                <w:bCs/>
                <w:sz w:val="24"/>
                <w:szCs w:val="24"/>
              </w:rPr>
              <w:t>Total liabilities</w:t>
            </w:r>
          </w:p>
        </w:tc>
        <w:tc>
          <w:tcPr>
            <w:tcW w:w="644" w:type="pct"/>
            <w:shd w:val="clear" w:color="auto" w:fill="auto"/>
          </w:tcPr>
          <w:p w:rsidR="00B25C07" w:rsidRPr="0012760D" w:rsidRDefault="00B25C07" w:rsidP="00D82E05">
            <w:pPr>
              <w:jc w:val="right"/>
              <w:rPr>
                <w:sz w:val="24"/>
                <w:szCs w:val="24"/>
              </w:rPr>
            </w:pPr>
            <w:r w:rsidRPr="0012760D">
              <w:rPr>
                <w:bCs/>
                <w:sz w:val="24"/>
                <w:szCs w:val="24"/>
              </w:rPr>
              <w:t>8,888</w:t>
            </w:r>
          </w:p>
        </w:tc>
        <w:tc>
          <w:tcPr>
            <w:tcW w:w="808" w:type="pct"/>
            <w:shd w:val="clear" w:color="auto" w:fill="auto"/>
          </w:tcPr>
          <w:p w:rsidR="00B25C07" w:rsidRPr="0012760D" w:rsidRDefault="00B25C07" w:rsidP="00D82E05">
            <w:pPr>
              <w:jc w:val="right"/>
              <w:rPr>
                <w:sz w:val="24"/>
                <w:szCs w:val="24"/>
              </w:rPr>
            </w:pPr>
            <w:r w:rsidRPr="0012760D">
              <w:rPr>
                <w:bCs/>
                <w:sz w:val="24"/>
                <w:szCs w:val="24"/>
              </w:rPr>
              <w:t>5,480</w:t>
            </w:r>
          </w:p>
        </w:tc>
        <w:tc>
          <w:tcPr>
            <w:tcW w:w="653" w:type="pct"/>
            <w:shd w:val="clear" w:color="auto" w:fill="auto"/>
          </w:tcPr>
          <w:p w:rsidR="00B25C07" w:rsidRPr="0012760D" w:rsidRDefault="00B25C07" w:rsidP="00D82E05">
            <w:pPr>
              <w:jc w:val="right"/>
              <w:rPr>
                <w:sz w:val="24"/>
                <w:szCs w:val="24"/>
              </w:rPr>
            </w:pPr>
            <w:r w:rsidRPr="0012760D">
              <w:rPr>
                <w:bCs/>
                <w:sz w:val="24"/>
                <w:szCs w:val="24"/>
              </w:rPr>
              <w:t>5,555</w:t>
            </w:r>
          </w:p>
        </w:tc>
        <w:tc>
          <w:tcPr>
            <w:tcW w:w="637" w:type="pct"/>
            <w:shd w:val="clear" w:color="auto" w:fill="auto"/>
          </w:tcPr>
          <w:p w:rsidR="00B25C07" w:rsidRPr="0012760D" w:rsidRDefault="00B25C07" w:rsidP="00D82E05">
            <w:pPr>
              <w:jc w:val="right"/>
              <w:rPr>
                <w:sz w:val="24"/>
                <w:szCs w:val="24"/>
              </w:rPr>
            </w:pPr>
            <w:r w:rsidRPr="0012760D">
              <w:rPr>
                <w:bCs/>
                <w:sz w:val="24"/>
                <w:szCs w:val="24"/>
              </w:rPr>
              <w:t>5,618</w:t>
            </w:r>
          </w:p>
        </w:tc>
        <w:tc>
          <w:tcPr>
            <w:tcW w:w="517" w:type="pct"/>
            <w:shd w:val="clear" w:color="auto" w:fill="auto"/>
          </w:tcPr>
          <w:p w:rsidR="00B25C07" w:rsidRPr="0012760D" w:rsidRDefault="00B25C07" w:rsidP="00D82E05">
            <w:pPr>
              <w:jc w:val="right"/>
              <w:rPr>
                <w:sz w:val="24"/>
                <w:szCs w:val="24"/>
              </w:rPr>
            </w:pPr>
            <w:r w:rsidRPr="0012760D">
              <w:rPr>
                <w:bCs/>
                <w:sz w:val="24"/>
                <w:szCs w:val="24"/>
              </w:rPr>
              <w:t>9,077</w:t>
            </w:r>
          </w:p>
        </w:tc>
      </w:tr>
    </w:tbl>
    <w:p w:rsidR="00B25C07" w:rsidRDefault="00B25C07" w:rsidP="00B25C07">
      <w:pPr>
        <w:rPr>
          <w:sz w:val="24"/>
          <w:szCs w:val="24"/>
        </w:rPr>
      </w:pPr>
    </w:p>
    <w:p w:rsidR="0068183F" w:rsidRPr="0012760D" w:rsidRDefault="0068183F" w:rsidP="00B25C07">
      <w:pPr>
        <w:rPr>
          <w:sz w:val="24"/>
          <w:szCs w:val="24"/>
        </w:rPr>
      </w:pPr>
    </w:p>
    <w:p w:rsidR="00B25C07" w:rsidRDefault="00B25C07" w:rsidP="0068183F">
      <w:pPr>
        <w:pStyle w:val="Heading2"/>
      </w:pPr>
      <w:r w:rsidRPr="0012760D">
        <w:t>Significant changes in financial performance and position during the year and subsequent events</w:t>
      </w:r>
    </w:p>
    <w:p w:rsidR="0068183F" w:rsidRPr="0012760D" w:rsidRDefault="0068183F" w:rsidP="00B25C07">
      <w:pPr>
        <w:rPr>
          <w:sz w:val="24"/>
          <w:szCs w:val="24"/>
        </w:rPr>
      </w:pPr>
    </w:p>
    <w:p w:rsidR="00B25C07" w:rsidRDefault="00B25C07" w:rsidP="00B25C07">
      <w:pPr>
        <w:rPr>
          <w:sz w:val="24"/>
          <w:szCs w:val="24"/>
        </w:rPr>
      </w:pPr>
      <w:r w:rsidRPr="0012760D">
        <w:rPr>
          <w:sz w:val="24"/>
          <w:szCs w:val="24"/>
        </w:rPr>
        <w:t>Revenue increased marginally, while the reduction in expenditure ($6.4m) was due largely to reduced program activity, as a result of delayed project approvals and launches. SV will continue to deliver its three-year strategic plan (SV2015) following the completion of the first year in 2012 to 13.</w:t>
      </w:r>
    </w:p>
    <w:p w:rsidR="0068183F" w:rsidRPr="0012760D" w:rsidRDefault="0068183F" w:rsidP="00B25C07">
      <w:pPr>
        <w:rPr>
          <w:sz w:val="24"/>
          <w:szCs w:val="24"/>
        </w:rPr>
      </w:pPr>
    </w:p>
    <w:p w:rsidR="00B25C07" w:rsidRDefault="00B25C07" w:rsidP="00B25C07">
      <w:pPr>
        <w:rPr>
          <w:sz w:val="24"/>
          <w:szCs w:val="24"/>
        </w:rPr>
      </w:pPr>
      <w:r w:rsidRPr="0012760D">
        <w:rPr>
          <w:sz w:val="24"/>
          <w:szCs w:val="24"/>
        </w:rPr>
        <w:t>In December 2012, the Victorian state Budget update 2012 to 13 announced the efficiency measure "supporting sustainability Victoria's functions more efficiently", which provided us the opportunity to renew our focus on frontline service delivery while achieving back office cost savings.</w:t>
      </w:r>
    </w:p>
    <w:p w:rsidR="0068183F" w:rsidRPr="0012760D" w:rsidRDefault="0068183F" w:rsidP="00B25C07">
      <w:pPr>
        <w:rPr>
          <w:sz w:val="24"/>
          <w:szCs w:val="24"/>
        </w:rPr>
      </w:pPr>
    </w:p>
    <w:p w:rsidR="00B25C07" w:rsidRDefault="00B25C07" w:rsidP="00B25C07">
      <w:pPr>
        <w:rPr>
          <w:sz w:val="24"/>
          <w:szCs w:val="24"/>
        </w:rPr>
      </w:pPr>
      <w:r w:rsidRPr="0012760D">
        <w:rPr>
          <w:sz w:val="24"/>
          <w:szCs w:val="24"/>
        </w:rPr>
        <w:t xml:space="preserve">On 31 July 2013, the board of SV approved the sale of 88,100 renewable energy certificates held by SV, with the proceeds to be forwarded to the department of environment and primary industries as part of SV's response to the efficiency measure announced in the Victorian state Budget update 2012 to 13. This sale occurred on 22 August 2013 and the impact has been built into SV's forward </w:t>
      </w:r>
      <w:r w:rsidRPr="0012760D">
        <w:rPr>
          <w:sz w:val="24"/>
          <w:szCs w:val="24"/>
        </w:rPr>
        <w:lastRenderedPageBreak/>
        <w:t>budgets.</w:t>
      </w:r>
    </w:p>
    <w:p w:rsidR="0068183F" w:rsidRPr="0012760D" w:rsidRDefault="0068183F" w:rsidP="00B25C07">
      <w:pPr>
        <w:rPr>
          <w:sz w:val="24"/>
          <w:szCs w:val="24"/>
        </w:rPr>
      </w:pPr>
    </w:p>
    <w:p w:rsidR="00B25C07" w:rsidRDefault="00B25C07" w:rsidP="00B25C07">
      <w:pPr>
        <w:rPr>
          <w:sz w:val="24"/>
          <w:szCs w:val="24"/>
        </w:rPr>
      </w:pPr>
      <w:r w:rsidRPr="0012760D">
        <w:rPr>
          <w:sz w:val="24"/>
          <w:szCs w:val="24"/>
        </w:rPr>
        <w:t>The Ministerial Advisory Committee on Waste and Resource Recovery Governance Reform delivered its final report to the Honourable Ryan Smith MP, Minister for Environment and Climate Change, on 31 May 2013. The government has supported the majority of the recommendations, which include strengthening SV's role in state-wide waste planning and coordination and will be implemented over the next 12 to 18 months. The financial impact of the reforms cannot be measured at the date of signing the financial report.</w:t>
      </w:r>
    </w:p>
    <w:p w:rsidR="0068183F" w:rsidRPr="0012760D" w:rsidRDefault="0068183F" w:rsidP="00B25C07">
      <w:pPr>
        <w:rPr>
          <w:sz w:val="24"/>
          <w:szCs w:val="24"/>
        </w:rPr>
      </w:pPr>
    </w:p>
    <w:p w:rsidR="00B25C07" w:rsidRDefault="00B25C07" w:rsidP="00B25C07">
      <w:pPr>
        <w:rPr>
          <w:sz w:val="24"/>
          <w:szCs w:val="24"/>
        </w:rPr>
      </w:pPr>
      <w:r w:rsidRPr="0012760D">
        <w:rPr>
          <w:sz w:val="24"/>
          <w:szCs w:val="24"/>
        </w:rPr>
        <w:t>There have been no other events subsequent to the balance date of 30 June 2013 that may significantly affect operations in subsequent years.</w:t>
      </w:r>
    </w:p>
    <w:p w:rsidR="0068183F" w:rsidRDefault="0068183F" w:rsidP="00B25C07">
      <w:pPr>
        <w:rPr>
          <w:sz w:val="24"/>
          <w:szCs w:val="24"/>
        </w:rPr>
      </w:pPr>
    </w:p>
    <w:p w:rsidR="0068183F" w:rsidRPr="0012760D" w:rsidRDefault="0068183F" w:rsidP="00B25C07">
      <w:pPr>
        <w:rPr>
          <w:sz w:val="24"/>
          <w:szCs w:val="24"/>
        </w:rPr>
      </w:pPr>
    </w:p>
    <w:p w:rsidR="00B25C07" w:rsidRDefault="00B25C07" w:rsidP="0068183F">
      <w:pPr>
        <w:pStyle w:val="Heading2"/>
      </w:pPr>
      <w:r w:rsidRPr="0012760D">
        <w:t>Major Contracts</w:t>
      </w:r>
    </w:p>
    <w:p w:rsidR="0068183F" w:rsidRPr="0012760D" w:rsidRDefault="0068183F" w:rsidP="00B25C07">
      <w:pPr>
        <w:rPr>
          <w:sz w:val="24"/>
          <w:szCs w:val="24"/>
        </w:rPr>
      </w:pPr>
    </w:p>
    <w:p w:rsidR="00B25C07" w:rsidRDefault="00B25C07" w:rsidP="00B25C07">
      <w:pPr>
        <w:rPr>
          <w:sz w:val="24"/>
          <w:szCs w:val="24"/>
        </w:rPr>
      </w:pPr>
      <w:r w:rsidRPr="0012760D">
        <w:rPr>
          <w:sz w:val="24"/>
          <w:szCs w:val="24"/>
        </w:rPr>
        <w:t>SV did not enter into any contracts greater than $10 million in value during the reporting period.</w:t>
      </w:r>
    </w:p>
    <w:p w:rsidR="0068183F" w:rsidRDefault="0068183F" w:rsidP="00B25C07">
      <w:pPr>
        <w:rPr>
          <w:sz w:val="24"/>
          <w:szCs w:val="24"/>
        </w:rPr>
      </w:pPr>
    </w:p>
    <w:p w:rsidR="0068183F" w:rsidRPr="0012760D" w:rsidRDefault="0068183F" w:rsidP="00B25C07">
      <w:pPr>
        <w:rPr>
          <w:sz w:val="24"/>
          <w:szCs w:val="24"/>
        </w:rPr>
      </w:pPr>
    </w:p>
    <w:p w:rsidR="00B25C07" w:rsidRDefault="00B25C07" w:rsidP="0068183F">
      <w:pPr>
        <w:pStyle w:val="Heading2"/>
      </w:pPr>
      <w:r w:rsidRPr="0012760D">
        <w:t>Information Available on Request</w:t>
      </w:r>
    </w:p>
    <w:p w:rsidR="0068183F" w:rsidRPr="0012760D" w:rsidRDefault="0068183F" w:rsidP="00B25C07">
      <w:pPr>
        <w:rPr>
          <w:sz w:val="24"/>
          <w:szCs w:val="24"/>
        </w:rPr>
      </w:pPr>
    </w:p>
    <w:p w:rsidR="00B25C07" w:rsidRDefault="00B25C07" w:rsidP="00B25C07">
      <w:pPr>
        <w:rPr>
          <w:i/>
          <w:iCs/>
          <w:sz w:val="24"/>
          <w:szCs w:val="24"/>
        </w:rPr>
      </w:pPr>
      <w:r w:rsidRPr="0012760D">
        <w:rPr>
          <w:sz w:val="24"/>
          <w:szCs w:val="24"/>
        </w:rPr>
        <w:t xml:space="preserve">Information relevant to the headings listed in Financial Reporting Direction 22B of the </w:t>
      </w:r>
      <w:r w:rsidRPr="0012760D">
        <w:rPr>
          <w:i/>
          <w:iCs/>
          <w:sz w:val="24"/>
          <w:szCs w:val="24"/>
        </w:rPr>
        <w:t xml:space="preserve">Financial management act 1994 </w:t>
      </w:r>
      <w:r w:rsidRPr="0012760D">
        <w:rPr>
          <w:sz w:val="24"/>
          <w:szCs w:val="24"/>
        </w:rPr>
        <w:t xml:space="preserve">(Vic) is held at Sustainability Victoria's office and is available on request, subject to the </w:t>
      </w:r>
      <w:r w:rsidRPr="0012760D">
        <w:rPr>
          <w:i/>
          <w:iCs/>
          <w:sz w:val="24"/>
          <w:szCs w:val="24"/>
        </w:rPr>
        <w:t>Freedom of Information Act 1982.</w:t>
      </w:r>
    </w:p>
    <w:p w:rsidR="0068183F" w:rsidRPr="0012760D" w:rsidRDefault="0068183F" w:rsidP="00B25C07">
      <w:pPr>
        <w:rPr>
          <w:sz w:val="24"/>
          <w:szCs w:val="24"/>
        </w:rPr>
      </w:pPr>
    </w:p>
    <w:p w:rsidR="00B25C07" w:rsidRPr="0012760D" w:rsidRDefault="00B25C07" w:rsidP="00B25C07">
      <w:pPr>
        <w:rPr>
          <w:sz w:val="24"/>
          <w:szCs w:val="24"/>
        </w:rPr>
      </w:pPr>
      <w:r w:rsidRPr="0012760D">
        <w:rPr>
          <w:sz w:val="24"/>
          <w:szCs w:val="24"/>
        </w:rPr>
        <w:t>Please contact 1</w:t>
      </w:r>
      <w:r w:rsidR="0071725E">
        <w:rPr>
          <w:sz w:val="24"/>
          <w:szCs w:val="24"/>
        </w:rPr>
        <w:t xml:space="preserve"> </w:t>
      </w:r>
      <w:r w:rsidRPr="0012760D">
        <w:rPr>
          <w:sz w:val="24"/>
          <w:szCs w:val="24"/>
        </w:rPr>
        <w:t>300 3</w:t>
      </w:r>
      <w:r w:rsidR="0071725E">
        <w:rPr>
          <w:sz w:val="24"/>
          <w:szCs w:val="24"/>
        </w:rPr>
        <w:t xml:space="preserve"> </w:t>
      </w:r>
      <w:r w:rsidRPr="0012760D">
        <w:rPr>
          <w:sz w:val="24"/>
          <w:szCs w:val="24"/>
        </w:rPr>
        <w:t>6</w:t>
      </w:r>
      <w:r w:rsidR="0071725E">
        <w:rPr>
          <w:sz w:val="24"/>
          <w:szCs w:val="24"/>
        </w:rPr>
        <w:t xml:space="preserve"> </w:t>
      </w:r>
      <w:r w:rsidRPr="0012760D">
        <w:rPr>
          <w:sz w:val="24"/>
          <w:szCs w:val="24"/>
        </w:rPr>
        <w:t>3 7</w:t>
      </w:r>
      <w:r w:rsidR="0071725E">
        <w:rPr>
          <w:sz w:val="24"/>
          <w:szCs w:val="24"/>
        </w:rPr>
        <w:t xml:space="preserve"> </w:t>
      </w:r>
      <w:r w:rsidRPr="0012760D">
        <w:rPr>
          <w:sz w:val="24"/>
          <w:szCs w:val="24"/>
        </w:rPr>
        <w:t>4</w:t>
      </w:r>
      <w:r w:rsidR="0071725E">
        <w:rPr>
          <w:sz w:val="24"/>
          <w:szCs w:val="24"/>
        </w:rPr>
        <w:t xml:space="preserve"> </w:t>
      </w:r>
      <w:r w:rsidRPr="0012760D">
        <w:rPr>
          <w:sz w:val="24"/>
          <w:szCs w:val="24"/>
        </w:rPr>
        <w:t>4 (Victoria only) or (03) 8</w:t>
      </w:r>
      <w:r w:rsidR="0071725E">
        <w:rPr>
          <w:sz w:val="24"/>
          <w:szCs w:val="24"/>
        </w:rPr>
        <w:t xml:space="preserve"> </w:t>
      </w:r>
      <w:r w:rsidRPr="0012760D">
        <w:rPr>
          <w:sz w:val="24"/>
          <w:szCs w:val="24"/>
        </w:rPr>
        <w:t>6</w:t>
      </w:r>
      <w:r w:rsidR="0071725E">
        <w:rPr>
          <w:sz w:val="24"/>
          <w:szCs w:val="24"/>
        </w:rPr>
        <w:t xml:space="preserve"> </w:t>
      </w:r>
      <w:r w:rsidRPr="0012760D">
        <w:rPr>
          <w:sz w:val="24"/>
          <w:szCs w:val="24"/>
        </w:rPr>
        <w:t>2</w:t>
      </w:r>
      <w:r w:rsidR="0071725E">
        <w:rPr>
          <w:sz w:val="24"/>
          <w:szCs w:val="24"/>
        </w:rPr>
        <w:t xml:space="preserve"> </w:t>
      </w:r>
      <w:r w:rsidRPr="0012760D">
        <w:rPr>
          <w:sz w:val="24"/>
          <w:szCs w:val="24"/>
        </w:rPr>
        <w:t>6 87</w:t>
      </w:r>
      <w:r w:rsidR="0071725E">
        <w:rPr>
          <w:sz w:val="24"/>
          <w:szCs w:val="24"/>
        </w:rPr>
        <w:t xml:space="preserve"> </w:t>
      </w:r>
      <w:r w:rsidRPr="0012760D">
        <w:rPr>
          <w:sz w:val="24"/>
          <w:szCs w:val="24"/>
        </w:rPr>
        <w:t>0</w:t>
      </w:r>
      <w:r w:rsidR="0071725E">
        <w:rPr>
          <w:sz w:val="24"/>
          <w:szCs w:val="24"/>
        </w:rPr>
        <w:t xml:space="preserve"> </w:t>
      </w:r>
      <w:r w:rsidRPr="0012760D">
        <w:rPr>
          <w:sz w:val="24"/>
          <w:szCs w:val="24"/>
        </w:rPr>
        <w:t>0 (within the rest of Australia).</w:t>
      </w:r>
    </w:p>
    <w:p w:rsidR="00195356" w:rsidRPr="0012760D" w:rsidRDefault="00195356" w:rsidP="00B25C07">
      <w:pPr>
        <w:rPr>
          <w:sz w:val="24"/>
          <w:szCs w:val="24"/>
        </w:rPr>
        <w:sectPr w:rsidR="00195356" w:rsidRPr="0012760D">
          <w:type w:val="continuous"/>
          <w:pgSz w:w="11909" w:h="16834"/>
          <w:pgMar w:top="1440" w:right="1440" w:bottom="1440" w:left="1440" w:header="720" w:footer="720" w:gutter="0"/>
          <w:cols w:space="720"/>
          <w:noEndnote/>
        </w:sectPr>
      </w:pPr>
    </w:p>
    <w:p w:rsidR="00195356" w:rsidRPr="0012760D" w:rsidRDefault="00195356" w:rsidP="00B25C07">
      <w:pPr>
        <w:rPr>
          <w:sz w:val="24"/>
          <w:szCs w:val="24"/>
        </w:rPr>
      </w:pPr>
    </w:p>
    <w:p w:rsidR="00195356" w:rsidRPr="0012760D" w:rsidRDefault="00195356" w:rsidP="00195356">
      <w:pPr>
        <w:rPr>
          <w:bCs/>
          <w:sz w:val="24"/>
          <w:szCs w:val="24"/>
        </w:rPr>
      </w:pPr>
      <w:r w:rsidRPr="0012760D">
        <w:rPr>
          <w:bCs/>
          <w:sz w:val="24"/>
          <w:szCs w:val="24"/>
        </w:rPr>
        <w:t>&lt;pp&gt; 31</w:t>
      </w:r>
    </w:p>
    <w:p w:rsidR="00195356" w:rsidRPr="0012760D" w:rsidRDefault="00195356" w:rsidP="00195356">
      <w:pPr>
        <w:rPr>
          <w:bCs/>
          <w:sz w:val="24"/>
          <w:szCs w:val="24"/>
        </w:rPr>
      </w:pPr>
    </w:p>
    <w:p w:rsidR="00195356" w:rsidRPr="0012760D" w:rsidRDefault="00195356" w:rsidP="00195356">
      <w:pPr>
        <w:rPr>
          <w:sz w:val="24"/>
          <w:szCs w:val="24"/>
        </w:rPr>
      </w:pPr>
    </w:p>
    <w:p w:rsidR="00195356" w:rsidRPr="0012760D" w:rsidRDefault="00195356" w:rsidP="0068183F">
      <w:pPr>
        <w:pStyle w:val="Heading3"/>
      </w:pPr>
      <w:r w:rsidRPr="0012760D">
        <w:t>Sustainability Victoria Revenue 2013</w:t>
      </w:r>
    </w:p>
    <w:p w:rsidR="00195356" w:rsidRPr="0012760D" w:rsidRDefault="00195356" w:rsidP="00195356">
      <w:pPr>
        <w:rPr>
          <w:sz w:val="24"/>
          <w:szCs w:val="24"/>
        </w:rPr>
      </w:pPr>
    </w:p>
    <w:p w:rsidR="00195356" w:rsidRPr="0012760D" w:rsidRDefault="00195356" w:rsidP="00195356">
      <w:pPr>
        <w:rPr>
          <w:sz w:val="24"/>
          <w:szCs w:val="24"/>
        </w:rPr>
      </w:pPr>
      <w:r w:rsidRPr="0012760D">
        <w:rPr>
          <w:bCs/>
          <w:sz w:val="24"/>
          <w:szCs w:val="24"/>
        </w:rPr>
        <w:t>Government grants</w:t>
      </w:r>
      <w:r w:rsidR="0068183F">
        <w:rPr>
          <w:bCs/>
          <w:sz w:val="24"/>
          <w:szCs w:val="24"/>
        </w:rPr>
        <w:t>:</w:t>
      </w:r>
      <w:r w:rsidRPr="0012760D">
        <w:rPr>
          <w:bCs/>
          <w:sz w:val="24"/>
          <w:szCs w:val="24"/>
        </w:rPr>
        <w:t xml:space="preserve"> $13,781,413</w:t>
      </w:r>
      <w:r w:rsidR="0068183F">
        <w:rPr>
          <w:sz w:val="24"/>
          <w:szCs w:val="24"/>
        </w:rPr>
        <w:t>;</w:t>
      </w:r>
      <w:r w:rsidRPr="0012760D">
        <w:rPr>
          <w:sz w:val="24"/>
          <w:szCs w:val="24"/>
        </w:rPr>
        <w:t xml:space="preserve"> </w:t>
      </w:r>
      <w:r w:rsidRPr="0012760D">
        <w:rPr>
          <w:bCs/>
          <w:sz w:val="24"/>
          <w:szCs w:val="24"/>
        </w:rPr>
        <w:t>28</w:t>
      </w:r>
      <w:r w:rsidRPr="0012760D">
        <w:rPr>
          <w:bCs/>
          <w:sz w:val="24"/>
          <w:szCs w:val="24"/>
          <w:vertAlign w:val="superscript"/>
        </w:rPr>
        <w:t>%</w:t>
      </w:r>
    </w:p>
    <w:p w:rsidR="00195356" w:rsidRPr="0012760D" w:rsidRDefault="00195356" w:rsidP="00195356">
      <w:pPr>
        <w:rPr>
          <w:sz w:val="24"/>
          <w:szCs w:val="24"/>
        </w:rPr>
      </w:pPr>
      <w:r w:rsidRPr="0012760D">
        <w:rPr>
          <w:bCs/>
          <w:sz w:val="24"/>
          <w:szCs w:val="24"/>
        </w:rPr>
        <w:t>Other revenue</w:t>
      </w:r>
      <w:r w:rsidR="0068183F">
        <w:rPr>
          <w:bCs/>
          <w:sz w:val="24"/>
          <w:szCs w:val="24"/>
        </w:rPr>
        <w:t>:</w:t>
      </w:r>
      <w:r w:rsidRPr="0012760D">
        <w:rPr>
          <w:bCs/>
          <w:sz w:val="24"/>
          <w:szCs w:val="24"/>
        </w:rPr>
        <w:t xml:space="preserve"> $7,396,061</w:t>
      </w:r>
      <w:r w:rsidR="0068183F">
        <w:rPr>
          <w:sz w:val="24"/>
          <w:szCs w:val="24"/>
        </w:rPr>
        <w:t>;</w:t>
      </w:r>
      <w:r w:rsidRPr="0012760D">
        <w:rPr>
          <w:sz w:val="24"/>
          <w:szCs w:val="24"/>
        </w:rPr>
        <w:t xml:space="preserve"> </w:t>
      </w:r>
      <w:r w:rsidRPr="0012760D">
        <w:rPr>
          <w:bCs/>
          <w:sz w:val="24"/>
          <w:szCs w:val="24"/>
        </w:rPr>
        <w:t>15</w:t>
      </w:r>
      <w:r w:rsidRPr="0012760D">
        <w:rPr>
          <w:bCs/>
          <w:sz w:val="24"/>
          <w:szCs w:val="24"/>
          <w:vertAlign w:val="superscript"/>
        </w:rPr>
        <w:t>%</w:t>
      </w:r>
    </w:p>
    <w:p w:rsidR="00195356" w:rsidRPr="0012760D" w:rsidRDefault="00195356" w:rsidP="00195356">
      <w:pPr>
        <w:rPr>
          <w:sz w:val="24"/>
          <w:szCs w:val="24"/>
        </w:rPr>
      </w:pPr>
      <w:r w:rsidRPr="0012760D">
        <w:rPr>
          <w:bCs/>
          <w:sz w:val="24"/>
          <w:szCs w:val="24"/>
        </w:rPr>
        <w:t>Other revenue from government</w:t>
      </w:r>
      <w:r w:rsidR="0068183F">
        <w:rPr>
          <w:bCs/>
          <w:sz w:val="24"/>
          <w:szCs w:val="24"/>
        </w:rPr>
        <w:t>:</w:t>
      </w:r>
      <w:r w:rsidRPr="0012760D">
        <w:rPr>
          <w:bCs/>
          <w:sz w:val="24"/>
          <w:szCs w:val="24"/>
        </w:rPr>
        <w:t xml:space="preserve"> $2,795,000</w:t>
      </w:r>
      <w:r w:rsidR="0068183F">
        <w:rPr>
          <w:sz w:val="24"/>
          <w:szCs w:val="24"/>
        </w:rPr>
        <w:t>;</w:t>
      </w:r>
      <w:r w:rsidRPr="0012760D">
        <w:rPr>
          <w:sz w:val="24"/>
          <w:szCs w:val="24"/>
        </w:rPr>
        <w:t xml:space="preserve"> </w:t>
      </w:r>
      <w:r w:rsidRPr="0012760D">
        <w:rPr>
          <w:bCs/>
          <w:sz w:val="24"/>
          <w:szCs w:val="24"/>
        </w:rPr>
        <w:t>6</w:t>
      </w:r>
      <w:r w:rsidRPr="0012760D">
        <w:rPr>
          <w:bCs/>
          <w:sz w:val="24"/>
          <w:szCs w:val="24"/>
          <w:vertAlign w:val="superscript"/>
        </w:rPr>
        <w:t>%</w:t>
      </w:r>
    </w:p>
    <w:p w:rsidR="00195356" w:rsidRPr="0012760D" w:rsidRDefault="00195356" w:rsidP="00195356">
      <w:pPr>
        <w:rPr>
          <w:sz w:val="24"/>
          <w:szCs w:val="24"/>
        </w:rPr>
      </w:pPr>
      <w:r w:rsidRPr="0012760D">
        <w:rPr>
          <w:bCs/>
          <w:sz w:val="24"/>
          <w:szCs w:val="24"/>
        </w:rPr>
        <w:t>Interest</w:t>
      </w:r>
      <w:r w:rsidR="0068183F">
        <w:rPr>
          <w:bCs/>
          <w:sz w:val="24"/>
          <w:szCs w:val="24"/>
        </w:rPr>
        <w:t>:</w:t>
      </w:r>
      <w:r w:rsidRPr="0012760D">
        <w:rPr>
          <w:bCs/>
          <w:sz w:val="24"/>
          <w:szCs w:val="24"/>
        </w:rPr>
        <w:t xml:space="preserve"> $1,017,076</w:t>
      </w:r>
      <w:r w:rsidR="0068183F">
        <w:rPr>
          <w:sz w:val="24"/>
          <w:szCs w:val="24"/>
        </w:rPr>
        <w:t>;</w:t>
      </w:r>
      <w:r w:rsidRPr="0012760D">
        <w:rPr>
          <w:sz w:val="24"/>
          <w:szCs w:val="24"/>
        </w:rPr>
        <w:t xml:space="preserve"> </w:t>
      </w:r>
      <w:r w:rsidRPr="0012760D">
        <w:rPr>
          <w:bCs/>
          <w:sz w:val="24"/>
          <w:szCs w:val="24"/>
        </w:rPr>
        <w:t>2%</w:t>
      </w:r>
    </w:p>
    <w:p w:rsidR="00195356" w:rsidRPr="0012760D" w:rsidRDefault="00195356" w:rsidP="00195356">
      <w:pPr>
        <w:rPr>
          <w:bCs/>
          <w:sz w:val="24"/>
          <w:szCs w:val="24"/>
        </w:rPr>
      </w:pPr>
      <w:r w:rsidRPr="0012760D">
        <w:rPr>
          <w:bCs/>
          <w:sz w:val="24"/>
          <w:szCs w:val="24"/>
        </w:rPr>
        <w:t>Landfill levy</w:t>
      </w:r>
      <w:r w:rsidR="0068183F">
        <w:rPr>
          <w:bCs/>
          <w:sz w:val="24"/>
          <w:szCs w:val="24"/>
        </w:rPr>
        <w:t>:</w:t>
      </w:r>
      <w:r w:rsidRPr="0012760D">
        <w:rPr>
          <w:bCs/>
          <w:sz w:val="24"/>
          <w:szCs w:val="24"/>
        </w:rPr>
        <w:t xml:space="preserve"> $24,075,636</w:t>
      </w:r>
      <w:r w:rsidR="0068183F">
        <w:rPr>
          <w:sz w:val="24"/>
          <w:szCs w:val="24"/>
        </w:rPr>
        <w:t>;</w:t>
      </w:r>
      <w:r w:rsidRPr="0012760D">
        <w:rPr>
          <w:sz w:val="24"/>
          <w:szCs w:val="24"/>
        </w:rPr>
        <w:t xml:space="preserve"> </w:t>
      </w:r>
      <w:r w:rsidRPr="0012760D">
        <w:rPr>
          <w:bCs/>
          <w:sz w:val="24"/>
          <w:szCs w:val="24"/>
        </w:rPr>
        <w:t>49%</w:t>
      </w:r>
    </w:p>
    <w:p w:rsidR="00195356" w:rsidRDefault="00195356" w:rsidP="00195356">
      <w:pPr>
        <w:rPr>
          <w:sz w:val="24"/>
          <w:szCs w:val="24"/>
        </w:rPr>
      </w:pPr>
    </w:p>
    <w:p w:rsidR="0068183F" w:rsidRPr="0012760D" w:rsidRDefault="0068183F" w:rsidP="00195356">
      <w:pPr>
        <w:rPr>
          <w:sz w:val="24"/>
          <w:szCs w:val="24"/>
        </w:rPr>
      </w:pPr>
    </w:p>
    <w:p w:rsidR="00195356" w:rsidRPr="0012760D" w:rsidRDefault="00195356" w:rsidP="0068183F">
      <w:pPr>
        <w:pStyle w:val="Heading3"/>
      </w:pPr>
      <w:r w:rsidRPr="0012760D">
        <w:t>Sustainability Victoria Expenditure 2013</w:t>
      </w:r>
    </w:p>
    <w:p w:rsidR="00195356" w:rsidRPr="0012760D" w:rsidRDefault="00195356" w:rsidP="00195356">
      <w:pPr>
        <w:rPr>
          <w:sz w:val="24"/>
          <w:szCs w:val="24"/>
        </w:rPr>
      </w:pPr>
    </w:p>
    <w:p w:rsidR="00195356" w:rsidRPr="0012760D" w:rsidRDefault="00195356" w:rsidP="00195356">
      <w:pPr>
        <w:rPr>
          <w:sz w:val="24"/>
          <w:szCs w:val="24"/>
        </w:rPr>
      </w:pPr>
      <w:r w:rsidRPr="0012760D">
        <w:rPr>
          <w:bCs/>
          <w:sz w:val="24"/>
          <w:szCs w:val="24"/>
        </w:rPr>
        <w:t>Employee benefits</w:t>
      </w:r>
      <w:r w:rsidR="0068183F">
        <w:rPr>
          <w:bCs/>
          <w:sz w:val="24"/>
          <w:szCs w:val="24"/>
        </w:rPr>
        <w:t>:</w:t>
      </w:r>
      <w:r w:rsidRPr="0012760D">
        <w:rPr>
          <w:bCs/>
          <w:sz w:val="24"/>
          <w:szCs w:val="24"/>
        </w:rPr>
        <w:t xml:space="preserve"> $12,308,876</w:t>
      </w:r>
      <w:r w:rsidR="0068183F">
        <w:rPr>
          <w:sz w:val="24"/>
          <w:szCs w:val="24"/>
        </w:rPr>
        <w:t>;</w:t>
      </w:r>
      <w:r w:rsidRPr="0012760D">
        <w:rPr>
          <w:sz w:val="24"/>
          <w:szCs w:val="24"/>
        </w:rPr>
        <w:t xml:space="preserve"> </w:t>
      </w:r>
      <w:r w:rsidRPr="0012760D">
        <w:rPr>
          <w:bCs/>
          <w:sz w:val="24"/>
          <w:szCs w:val="24"/>
        </w:rPr>
        <w:t>33%</w:t>
      </w:r>
    </w:p>
    <w:p w:rsidR="00195356" w:rsidRPr="0012760D" w:rsidRDefault="00195356" w:rsidP="00195356">
      <w:pPr>
        <w:rPr>
          <w:sz w:val="24"/>
          <w:szCs w:val="24"/>
        </w:rPr>
      </w:pPr>
      <w:r w:rsidRPr="0012760D">
        <w:rPr>
          <w:bCs/>
          <w:sz w:val="24"/>
          <w:szCs w:val="24"/>
        </w:rPr>
        <w:t>Telecommunication</w:t>
      </w:r>
      <w:r w:rsidR="0068183F">
        <w:rPr>
          <w:bCs/>
          <w:sz w:val="24"/>
          <w:szCs w:val="24"/>
        </w:rPr>
        <w:t>:</w:t>
      </w:r>
      <w:r w:rsidRPr="0012760D">
        <w:rPr>
          <w:sz w:val="24"/>
          <w:szCs w:val="24"/>
        </w:rPr>
        <w:t xml:space="preserve"> </w:t>
      </w:r>
      <w:r w:rsidR="00236A13">
        <w:rPr>
          <w:bCs/>
          <w:sz w:val="24"/>
          <w:szCs w:val="24"/>
        </w:rPr>
        <w:t>and</w:t>
      </w:r>
      <w:r w:rsidRPr="0012760D">
        <w:rPr>
          <w:bCs/>
          <w:sz w:val="24"/>
          <w:szCs w:val="24"/>
        </w:rPr>
        <w:t>IT</w:t>
      </w:r>
      <w:r w:rsidRPr="0012760D">
        <w:rPr>
          <w:sz w:val="24"/>
          <w:szCs w:val="24"/>
        </w:rPr>
        <w:t xml:space="preserve"> </w:t>
      </w:r>
      <w:r w:rsidR="0068183F">
        <w:rPr>
          <w:bCs/>
          <w:sz w:val="24"/>
          <w:szCs w:val="24"/>
        </w:rPr>
        <w:t>$2,538,880;</w:t>
      </w:r>
      <w:r w:rsidRPr="0012760D">
        <w:rPr>
          <w:bCs/>
          <w:sz w:val="24"/>
          <w:szCs w:val="24"/>
        </w:rPr>
        <w:t xml:space="preserve"> 7%</w:t>
      </w:r>
    </w:p>
    <w:p w:rsidR="00195356" w:rsidRPr="0012760D" w:rsidRDefault="00195356" w:rsidP="00195356">
      <w:pPr>
        <w:rPr>
          <w:sz w:val="24"/>
          <w:szCs w:val="24"/>
        </w:rPr>
      </w:pPr>
      <w:r w:rsidRPr="0012760D">
        <w:rPr>
          <w:bCs/>
          <w:sz w:val="24"/>
          <w:szCs w:val="24"/>
        </w:rPr>
        <w:t>Other</w:t>
      </w:r>
      <w:r w:rsidRPr="0012760D">
        <w:rPr>
          <w:sz w:val="24"/>
          <w:szCs w:val="24"/>
        </w:rPr>
        <w:t xml:space="preserve"> </w:t>
      </w:r>
      <w:r w:rsidRPr="0012760D">
        <w:rPr>
          <w:bCs/>
          <w:sz w:val="24"/>
          <w:szCs w:val="24"/>
        </w:rPr>
        <w:t>expenses</w:t>
      </w:r>
      <w:r w:rsidR="0068183F">
        <w:rPr>
          <w:bCs/>
          <w:sz w:val="24"/>
          <w:szCs w:val="24"/>
        </w:rPr>
        <w:t>:</w:t>
      </w:r>
      <w:r w:rsidRPr="0012760D">
        <w:rPr>
          <w:sz w:val="24"/>
          <w:szCs w:val="24"/>
        </w:rPr>
        <w:t xml:space="preserve"> </w:t>
      </w:r>
      <w:r w:rsidRPr="0012760D">
        <w:rPr>
          <w:bCs/>
          <w:sz w:val="24"/>
          <w:szCs w:val="24"/>
        </w:rPr>
        <w:t>$2,105,081</w:t>
      </w:r>
      <w:r w:rsidR="0068183F">
        <w:rPr>
          <w:sz w:val="24"/>
          <w:szCs w:val="24"/>
        </w:rPr>
        <w:t>;</w:t>
      </w:r>
      <w:r w:rsidRPr="0012760D">
        <w:rPr>
          <w:sz w:val="24"/>
          <w:szCs w:val="24"/>
        </w:rPr>
        <w:t xml:space="preserve"> 5%</w:t>
      </w:r>
    </w:p>
    <w:p w:rsidR="00195356" w:rsidRPr="0012760D" w:rsidRDefault="00195356" w:rsidP="00195356">
      <w:pPr>
        <w:rPr>
          <w:sz w:val="24"/>
          <w:szCs w:val="24"/>
        </w:rPr>
      </w:pPr>
      <w:r w:rsidRPr="0012760D">
        <w:rPr>
          <w:bCs/>
          <w:sz w:val="24"/>
          <w:szCs w:val="24"/>
        </w:rPr>
        <w:t>Occupancy</w:t>
      </w:r>
      <w:r w:rsidRPr="0012760D">
        <w:rPr>
          <w:sz w:val="24"/>
          <w:szCs w:val="24"/>
        </w:rPr>
        <w:t xml:space="preserve"> </w:t>
      </w:r>
      <w:r w:rsidRPr="0012760D">
        <w:rPr>
          <w:bCs/>
          <w:sz w:val="24"/>
          <w:szCs w:val="24"/>
        </w:rPr>
        <w:t>costs</w:t>
      </w:r>
      <w:r w:rsidR="0068183F">
        <w:rPr>
          <w:bCs/>
          <w:sz w:val="24"/>
          <w:szCs w:val="24"/>
        </w:rPr>
        <w:t>:</w:t>
      </w:r>
      <w:r w:rsidRPr="0012760D">
        <w:rPr>
          <w:sz w:val="24"/>
          <w:szCs w:val="24"/>
        </w:rPr>
        <w:t xml:space="preserve"> </w:t>
      </w:r>
      <w:r w:rsidRPr="0012760D">
        <w:rPr>
          <w:bCs/>
          <w:sz w:val="24"/>
          <w:szCs w:val="24"/>
        </w:rPr>
        <w:t>$1,196,832</w:t>
      </w:r>
      <w:r w:rsidR="0068183F">
        <w:rPr>
          <w:sz w:val="24"/>
          <w:szCs w:val="24"/>
        </w:rPr>
        <w:t>;</w:t>
      </w:r>
      <w:r w:rsidRPr="0012760D">
        <w:rPr>
          <w:sz w:val="24"/>
          <w:szCs w:val="24"/>
        </w:rPr>
        <w:t xml:space="preserve"> </w:t>
      </w:r>
      <w:r w:rsidRPr="0012760D">
        <w:rPr>
          <w:bCs/>
          <w:sz w:val="24"/>
          <w:szCs w:val="24"/>
        </w:rPr>
        <w:t>3%</w:t>
      </w:r>
    </w:p>
    <w:p w:rsidR="00195356" w:rsidRPr="0012760D" w:rsidRDefault="00195356" w:rsidP="00195356">
      <w:pPr>
        <w:rPr>
          <w:sz w:val="24"/>
          <w:szCs w:val="24"/>
        </w:rPr>
      </w:pPr>
      <w:r w:rsidRPr="0012760D">
        <w:rPr>
          <w:bCs/>
          <w:sz w:val="24"/>
          <w:szCs w:val="24"/>
        </w:rPr>
        <w:t>Depreciation</w:t>
      </w:r>
      <w:r w:rsidR="0068183F">
        <w:rPr>
          <w:bCs/>
          <w:sz w:val="24"/>
          <w:szCs w:val="24"/>
        </w:rPr>
        <w:t>:</w:t>
      </w:r>
      <w:r w:rsidRPr="0012760D">
        <w:rPr>
          <w:bCs/>
          <w:sz w:val="24"/>
          <w:szCs w:val="24"/>
        </w:rPr>
        <w:t xml:space="preserve"> $202,012</w:t>
      </w:r>
      <w:r w:rsidR="0068183F">
        <w:rPr>
          <w:sz w:val="24"/>
          <w:szCs w:val="24"/>
        </w:rPr>
        <w:t>;</w:t>
      </w:r>
      <w:r w:rsidRPr="0012760D">
        <w:rPr>
          <w:sz w:val="24"/>
          <w:szCs w:val="24"/>
        </w:rPr>
        <w:t xml:space="preserve"> </w:t>
      </w:r>
      <w:r w:rsidRPr="0012760D">
        <w:rPr>
          <w:bCs/>
          <w:sz w:val="24"/>
          <w:szCs w:val="24"/>
        </w:rPr>
        <w:t>1%</w:t>
      </w:r>
    </w:p>
    <w:p w:rsidR="00195356" w:rsidRPr="0012760D" w:rsidRDefault="00195356" w:rsidP="00195356">
      <w:pPr>
        <w:rPr>
          <w:bCs/>
          <w:sz w:val="24"/>
          <w:szCs w:val="24"/>
        </w:rPr>
      </w:pPr>
      <w:r w:rsidRPr="0012760D">
        <w:rPr>
          <w:bCs/>
          <w:sz w:val="24"/>
          <w:szCs w:val="24"/>
        </w:rPr>
        <w:t>Program expenses</w:t>
      </w:r>
      <w:r w:rsidR="0068183F">
        <w:rPr>
          <w:bCs/>
          <w:sz w:val="24"/>
          <w:szCs w:val="24"/>
        </w:rPr>
        <w:t>:</w:t>
      </w:r>
      <w:r w:rsidRPr="0012760D">
        <w:rPr>
          <w:bCs/>
          <w:sz w:val="24"/>
          <w:szCs w:val="24"/>
        </w:rPr>
        <w:t xml:space="preserve"> $18,934,744</w:t>
      </w:r>
      <w:r w:rsidR="0068183F">
        <w:rPr>
          <w:sz w:val="24"/>
          <w:szCs w:val="24"/>
        </w:rPr>
        <w:t>;</w:t>
      </w:r>
      <w:r w:rsidRPr="0012760D">
        <w:rPr>
          <w:sz w:val="24"/>
          <w:szCs w:val="24"/>
        </w:rPr>
        <w:t xml:space="preserve"> </w:t>
      </w:r>
      <w:r w:rsidRPr="0012760D">
        <w:rPr>
          <w:bCs/>
          <w:sz w:val="24"/>
          <w:szCs w:val="24"/>
        </w:rPr>
        <w:t>51%</w:t>
      </w:r>
    </w:p>
    <w:p w:rsidR="00195356" w:rsidRPr="0012760D" w:rsidRDefault="00195356" w:rsidP="00195356">
      <w:pPr>
        <w:rPr>
          <w:bCs/>
          <w:sz w:val="24"/>
          <w:szCs w:val="24"/>
        </w:rPr>
      </w:pPr>
    </w:p>
    <w:p w:rsidR="00195356" w:rsidRPr="0012760D" w:rsidRDefault="00195356" w:rsidP="00195356">
      <w:pPr>
        <w:rPr>
          <w:sz w:val="24"/>
          <w:szCs w:val="24"/>
        </w:rPr>
      </w:pPr>
    </w:p>
    <w:p w:rsidR="00195356" w:rsidRPr="0012760D" w:rsidRDefault="00195356" w:rsidP="0068183F">
      <w:pPr>
        <w:pStyle w:val="Heading3"/>
      </w:pPr>
      <w:r w:rsidRPr="0012760D">
        <w:t>Consultancy engagements in excess of $10,000</w:t>
      </w:r>
    </w:p>
    <w:p w:rsidR="00195356" w:rsidRPr="0012760D" w:rsidRDefault="00195356" w:rsidP="00195356">
      <w:pPr>
        <w:rPr>
          <w:sz w:val="24"/>
          <w:szCs w:val="24"/>
        </w:rPr>
      </w:pPr>
    </w:p>
    <w:p w:rsidR="00195356" w:rsidRPr="0012760D" w:rsidRDefault="00195356" w:rsidP="00195356">
      <w:pPr>
        <w:rPr>
          <w:sz w:val="24"/>
          <w:szCs w:val="24"/>
        </w:rPr>
      </w:pPr>
      <w:r w:rsidRPr="0012760D">
        <w:rPr>
          <w:sz w:val="24"/>
          <w:szCs w:val="24"/>
        </w:rPr>
        <w:t>There were 13 consultancies costing in excess of $10,000 for the year ended 30 June 2013, at a total cost of $436,760</w:t>
      </w:r>
      <w:r w:rsidR="00E750D5">
        <w:rPr>
          <w:sz w:val="24"/>
          <w:szCs w:val="24"/>
        </w:rPr>
        <w:t>.</w:t>
      </w:r>
    </w:p>
    <w:p w:rsidR="00195356" w:rsidRPr="0012760D" w:rsidRDefault="00195356" w:rsidP="00195356">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40" w:type="dxa"/>
          <w:right w:w="40" w:type="dxa"/>
        </w:tblCellMar>
        <w:tblLook w:val="0000" w:firstRow="0" w:lastRow="0" w:firstColumn="0" w:lastColumn="0" w:noHBand="0" w:noVBand="0"/>
      </w:tblPr>
      <w:tblGrid>
        <w:gridCol w:w="467"/>
        <w:gridCol w:w="707"/>
        <w:gridCol w:w="2888"/>
        <w:gridCol w:w="4912"/>
        <w:gridCol w:w="1580"/>
        <w:gridCol w:w="1468"/>
        <w:gridCol w:w="2012"/>
      </w:tblGrid>
      <w:tr w:rsidR="00195356" w:rsidRPr="0012760D" w:rsidTr="00D82E05">
        <w:tblPrEx>
          <w:tblCellMar>
            <w:top w:w="0" w:type="dxa"/>
            <w:bottom w:w="0" w:type="dxa"/>
          </w:tblCellMar>
        </w:tblPrEx>
        <w:trPr>
          <w:trHeight w:val="552"/>
        </w:trPr>
        <w:tc>
          <w:tcPr>
            <w:tcW w:w="166" w:type="pct"/>
            <w:shd w:val="clear" w:color="auto" w:fill="auto"/>
          </w:tcPr>
          <w:p w:rsidR="00195356" w:rsidRPr="0012760D" w:rsidRDefault="00195356" w:rsidP="00D82E05">
            <w:pPr>
              <w:rPr>
                <w:sz w:val="24"/>
                <w:szCs w:val="24"/>
              </w:rPr>
            </w:pPr>
          </w:p>
        </w:tc>
        <w:tc>
          <w:tcPr>
            <w:tcW w:w="252" w:type="pct"/>
            <w:shd w:val="clear" w:color="auto" w:fill="auto"/>
          </w:tcPr>
          <w:p w:rsidR="00195356" w:rsidRPr="0012760D" w:rsidRDefault="00195356" w:rsidP="00D82E05">
            <w:pPr>
              <w:rPr>
                <w:sz w:val="24"/>
                <w:szCs w:val="24"/>
              </w:rPr>
            </w:pPr>
            <w:r w:rsidRPr="0012760D">
              <w:rPr>
                <w:sz w:val="24"/>
                <w:szCs w:val="24"/>
              </w:rPr>
              <w:t>ID</w:t>
            </w:r>
          </w:p>
        </w:tc>
        <w:tc>
          <w:tcPr>
            <w:tcW w:w="1029" w:type="pct"/>
            <w:shd w:val="clear" w:color="auto" w:fill="auto"/>
          </w:tcPr>
          <w:p w:rsidR="00195356" w:rsidRPr="0012760D" w:rsidRDefault="00195356" w:rsidP="00D82E05">
            <w:pPr>
              <w:rPr>
                <w:sz w:val="24"/>
                <w:szCs w:val="24"/>
              </w:rPr>
            </w:pPr>
            <w:r w:rsidRPr="0012760D">
              <w:rPr>
                <w:bCs/>
                <w:sz w:val="24"/>
                <w:szCs w:val="24"/>
              </w:rPr>
              <w:t>Contract Title</w:t>
            </w:r>
          </w:p>
        </w:tc>
        <w:tc>
          <w:tcPr>
            <w:tcW w:w="1750" w:type="pct"/>
            <w:shd w:val="clear" w:color="auto" w:fill="auto"/>
          </w:tcPr>
          <w:p w:rsidR="00195356" w:rsidRPr="0012760D" w:rsidRDefault="00195356" w:rsidP="00D82E05">
            <w:pPr>
              <w:rPr>
                <w:sz w:val="24"/>
                <w:szCs w:val="24"/>
              </w:rPr>
            </w:pPr>
            <w:r w:rsidRPr="0012760D">
              <w:rPr>
                <w:bCs/>
                <w:sz w:val="24"/>
                <w:szCs w:val="24"/>
              </w:rPr>
              <w:t>Description</w:t>
            </w:r>
          </w:p>
        </w:tc>
        <w:tc>
          <w:tcPr>
            <w:tcW w:w="563" w:type="pct"/>
            <w:shd w:val="clear" w:color="auto" w:fill="auto"/>
          </w:tcPr>
          <w:p w:rsidR="00195356" w:rsidRPr="0012760D" w:rsidRDefault="00195356" w:rsidP="00D82E05">
            <w:pPr>
              <w:rPr>
                <w:sz w:val="24"/>
                <w:szCs w:val="24"/>
              </w:rPr>
            </w:pPr>
            <w:r w:rsidRPr="0012760D">
              <w:rPr>
                <w:bCs/>
                <w:sz w:val="24"/>
                <w:szCs w:val="24"/>
              </w:rPr>
              <w:t>Total Fees ($)</w:t>
            </w:r>
          </w:p>
        </w:tc>
        <w:tc>
          <w:tcPr>
            <w:tcW w:w="523" w:type="pct"/>
            <w:shd w:val="clear" w:color="auto" w:fill="auto"/>
          </w:tcPr>
          <w:p w:rsidR="00195356" w:rsidRPr="0012760D" w:rsidRDefault="00195356" w:rsidP="00D82E05">
            <w:pPr>
              <w:rPr>
                <w:sz w:val="24"/>
                <w:szCs w:val="24"/>
              </w:rPr>
            </w:pPr>
            <w:r w:rsidRPr="0012760D">
              <w:rPr>
                <w:bCs/>
                <w:sz w:val="24"/>
                <w:szCs w:val="24"/>
              </w:rPr>
              <w:t>Expenditure this year ($)</w:t>
            </w:r>
          </w:p>
        </w:tc>
        <w:tc>
          <w:tcPr>
            <w:tcW w:w="717" w:type="pct"/>
            <w:shd w:val="clear" w:color="auto" w:fill="auto"/>
          </w:tcPr>
          <w:p w:rsidR="00195356" w:rsidRPr="0012760D" w:rsidRDefault="00195356" w:rsidP="00E750D5">
            <w:pPr>
              <w:rPr>
                <w:sz w:val="24"/>
                <w:szCs w:val="24"/>
              </w:rPr>
            </w:pPr>
            <w:r w:rsidRPr="0012760D">
              <w:rPr>
                <w:bCs/>
                <w:sz w:val="24"/>
                <w:szCs w:val="24"/>
              </w:rPr>
              <w:t>Future</w:t>
            </w:r>
            <w:r w:rsidR="00E750D5">
              <w:rPr>
                <w:bCs/>
                <w:sz w:val="24"/>
                <w:szCs w:val="24"/>
              </w:rPr>
              <w:t xml:space="preserve"> </w:t>
            </w:r>
            <w:r w:rsidRPr="0012760D">
              <w:rPr>
                <w:bCs/>
                <w:sz w:val="24"/>
                <w:szCs w:val="24"/>
              </w:rPr>
              <w:t>Commitments</w:t>
            </w:r>
            <w:r w:rsidRPr="0012760D">
              <w:rPr>
                <w:sz w:val="24"/>
                <w:szCs w:val="24"/>
              </w:rPr>
              <w:t xml:space="preserve"> </w:t>
            </w:r>
            <w:r w:rsidRPr="0012760D">
              <w:rPr>
                <w:bCs/>
                <w:sz w:val="24"/>
                <w:szCs w:val="24"/>
              </w:rPr>
              <w:t>($)</w:t>
            </w:r>
          </w:p>
        </w:tc>
      </w:tr>
      <w:tr w:rsidR="00195356" w:rsidRPr="0012760D" w:rsidTr="00D82E05">
        <w:tblPrEx>
          <w:tblCellMar>
            <w:top w:w="0" w:type="dxa"/>
            <w:bottom w:w="0" w:type="dxa"/>
          </w:tblCellMar>
        </w:tblPrEx>
        <w:trPr>
          <w:trHeight w:val="662"/>
        </w:trPr>
        <w:tc>
          <w:tcPr>
            <w:tcW w:w="166" w:type="pct"/>
            <w:shd w:val="clear" w:color="auto" w:fill="auto"/>
          </w:tcPr>
          <w:p w:rsidR="00195356" w:rsidRPr="0012760D" w:rsidRDefault="00195356" w:rsidP="00D82E05">
            <w:pPr>
              <w:rPr>
                <w:sz w:val="24"/>
                <w:szCs w:val="24"/>
              </w:rPr>
            </w:pPr>
            <w:r w:rsidRPr="0012760D">
              <w:rPr>
                <w:sz w:val="24"/>
                <w:szCs w:val="24"/>
              </w:rPr>
              <w:t>1</w:t>
            </w:r>
          </w:p>
        </w:tc>
        <w:tc>
          <w:tcPr>
            <w:tcW w:w="252" w:type="pct"/>
            <w:shd w:val="clear" w:color="auto" w:fill="auto"/>
          </w:tcPr>
          <w:p w:rsidR="00195356" w:rsidRPr="0012760D" w:rsidRDefault="00195356" w:rsidP="00D82E05">
            <w:pPr>
              <w:rPr>
                <w:sz w:val="24"/>
                <w:szCs w:val="24"/>
              </w:rPr>
            </w:pPr>
            <w:r w:rsidRPr="0012760D">
              <w:rPr>
                <w:sz w:val="24"/>
                <w:szCs w:val="24"/>
              </w:rPr>
              <w:t>7271</w:t>
            </w:r>
          </w:p>
        </w:tc>
        <w:tc>
          <w:tcPr>
            <w:tcW w:w="1029" w:type="pct"/>
            <w:shd w:val="clear" w:color="auto" w:fill="auto"/>
          </w:tcPr>
          <w:p w:rsidR="00195356" w:rsidRPr="0012760D" w:rsidRDefault="00195356" w:rsidP="00D82E05">
            <w:pPr>
              <w:rPr>
                <w:sz w:val="24"/>
                <w:szCs w:val="24"/>
              </w:rPr>
            </w:pPr>
            <w:r w:rsidRPr="0012760D">
              <w:rPr>
                <w:sz w:val="24"/>
                <w:szCs w:val="24"/>
              </w:rPr>
              <w:t>FirstRate5 Expert Advice</w:t>
            </w:r>
          </w:p>
        </w:tc>
        <w:tc>
          <w:tcPr>
            <w:tcW w:w="1750" w:type="pct"/>
            <w:shd w:val="clear" w:color="auto" w:fill="auto"/>
          </w:tcPr>
          <w:p w:rsidR="00195356" w:rsidRPr="0012760D" w:rsidRDefault="00195356" w:rsidP="00D82E05">
            <w:pPr>
              <w:rPr>
                <w:sz w:val="24"/>
                <w:szCs w:val="24"/>
              </w:rPr>
            </w:pPr>
            <w:r w:rsidRPr="0012760D">
              <w:rPr>
                <w:sz w:val="24"/>
                <w:szCs w:val="24"/>
              </w:rPr>
              <w:t>Advice on the functioning, history and other building physics issues relevant to the maintenance and support of FirstRate5</w:t>
            </w:r>
          </w:p>
        </w:tc>
        <w:tc>
          <w:tcPr>
            <w:tcW w:w="563" w:type="pct"/>
            <w:shd w:val="clear" w:color="auto" w:fill="auto"/>
          </w:tcPr>
          <w:p w:rsidR="00195356" w:rsidRPr="0012760D" w:rsidRDefault="00195356" w:rsidP="00D82E05">
            <w:pPr>
              <w:jc w:val="right"/>
              <w:rPr>
                <w:sz w:val="24"/>
                <w:szCs w:val="24"/>
              </w:rPr>
            </w:pPr>
            <w:r w:rsidRPr="0012760D">
              <w:rPr>
                <w:sz w:val="24"/>
                <w:szCs w:val="24"/>
              </w:rPr>
              <w:t>15,000</w:t>
            </w:r>
          </w:p>
        </w:tc>
        <w:tc>
          <w:tcPr>
            <w:tcW w:w="523" w:type="pct"/>
            <w:shd w:val="clear" w:color="auto" w:fill="auto"/>
          </w:tcPr>
          <w:p w:rsidR="00195356" w:rsidRPr="0012760D" w:rsidRDefault="00195356" w:rsidP="00D82E05">
            <w:pPr>
              <w:jc w:val="right"/>
              <w:rPr>
                <w:sz w:val="24"/>
                <w:szCs w:val="24"/>
              </w:rPr>
            </w:pPr>
            <w:r w:rsidRPr="0012760D">
              <w:rPr>
                <w:sz w:val="24"/>
                <w:szCs w:val="24"/>
              </w:rPr>
              <w:t>0</w:t>
            </w:r>
          </w:p>
        </w:tc>
        <w:tc>
          <w:tcPr>
            <w:tcW w:w="717" w:type="pct"/>
            <w:shd w:val="clear" w:color="auto" w:fill="auto"/>
          </w:tcPr>
          <w:p w:rsidR="00195356" w:rsidRPr="0012760D" w:rsidRDefault="00195356" w:rsidP="00D82E05">
            <w:pPr>
              <w:jc w:val="right"/>
              <w:rPr>
                <w:sz w:val="24"/>
                <w:szCs w:val="24"/>
              </w:rPr>
            </w:pPr>
            <w:r w:rsidRPr="0012760D">
              <w:rPr>
                <w:sz w:val="24"/>
                <w:szCs w:val="24"/>
              </w:rPr>
              <w:t>15,000</w:t>
            </w:r>
          </w:p>
        </w:tc>
      </w:tr>
      <w:tr w:rsidR="00195356" w:rsidRPr="0012760D" w:rsidTr="00D82E05">
        <w:tblPrEx>
          <w:tblCellMar>
            <w:top w:w="0" w:type="dxa"/>
            <w:bottom w:w="0" w:type="dxa"/>
          </w:tblCellMar>
        </w:tblPrEx>
        <w:trPr>
          <w:trHeight w:val="451"/>
        </w:trPr>
        <w:tc>
          <w:tcPr>
            <w:tcW w:w="166" w:type="pct"/>
            <w:shd w:val="clear" w:color="auto" w:fill="auto"/>
          </w:tcPr>
          <w:p w:rsidR="00195356" w:rsidRPr="0012760D" w:rsidRDefault="00195356" w:rsidP="00D82E05">
            <w:pPr>
              <w:rPr>
                <w:sz w:val="24"/>
                <w:szCs w:val="24"/>
              </w:rPr>
            </w:pPr>
            <w:r w:rsidRPr="0012760D">
              <w:rPr>
                <w:sz w:val="24"/>
                <w:szCs w:val="24"/>
              </w:rPr>
              <w:lastRenderedPageBreak/>
              <w:t>2</w:t>
            </w:r>
          </w:p>
        </w:tc>
        <w:tc>
          <w:tcPr>
            <w:tcW w:w="252" w:type="pct"/>
            <w:shd w:val="clear" w:color="auto" w:fill="auto"/>
          </w:tcPr>
          <w:p w:rsidR="00195356" w:rsidRPr="0012760D" w:rsidRDefault="00195356" w:rsidP="00D82E05">
            <w:pPr>
              <w:rPr>
                <w:sz w:val="24"/>
                <w:szCs w:val="24"/>
              </w:rPr>
            </w:pPr>
            <w:r w:rsidRPr="0012760D">
              <w:rPr>
                <w:sz w:val="24"/>
                <w:szCs w:val="24"/>
              </w:rPr>
              <w:t>7139</w:t>
            </w:r>
          </w:p>
        </w:tc>
        <w:tc>
          <w:tcPr>
            <w:tcW w:w="1029" w:type="pct"/>
            <w:shd w:val="clear" w:color="auto" w:fill="auto"/>
          </w:tcPr>
          <w:p w:rsidR="00195356" w:rsidRPr="0012760D" w:rsidRDefault="00195356" w:rsidP="00D82E05">
            <w:pPr>
              <w:rPr>
                <w:sz w:val="24"/>
                <w:szCs w:val="24"/>
              </w:rPr>
            </w:pPr>
            <w:r w:rsidRPr="0012760D">
              <w:rPr>
                <w:sz w:val="24"/>
                <w:szCs w:val="24"/>
              </w:rPr>
              <w:t xml:space="preserve">Review of UK </w:t>
            </w:r>
            <w:r w:rsidR="00236A13">
              <w:rPr>
                <w:sz w:val="24"/>
                <w:szCs w:val="24"/>
              </w:rPr>
              <w:t>and</w:t>
            </w:r>
            <w:r w:rsidRPr="0012760D">
              <w:rPr>
                <w:sz w:val="24"/>
                <w:szCs w:val="24"/>
              </w:rPr>
              <w:t xml:space="preserve"> Irish Resource Efficiency Programs</w:t>
            </w:r>
          </w:p>
        </w:tc>
        <w:tc>
          <w:tcPr>
            <w:tcW w:w="1750" w:type="pct"/>
            <w:shd w:val="clear" w:color="auto" w:fill="auto"/>
          </w:tcPr>
          <w:p w:rsidR="00195356" w:rsidRPr="0012760D" w:rsidRDefault="00195356" w:rsidP="00D82E05">
            <w:pPr>
              <w:rPr>
                <w:sz w:val="24"/>
                <w:szCs w:val="24"/>
              </w:rPr>
            </w:pPr>
            <w:r w:rsidRPr="0012760D">
              <w:rPr>
                <w:sz w:val="24"/>
                <w:szCs w:val="24"/>
              </w:rPr>
              <w:t>A summary report of United Kingdom/Ireland programs in business resource efficiency.</w:t>
            </w:r>
          </w:p>
        </w:tc>
        <w:tc>
          <w:tcPr>
            <w:tcW w:w="563" w:type="pct"/>
            <w:shd w:val="clear" w:color="auto" w:fill="auto"/>
          </w:tcPr>
          <w:p w:rsidR="00195356" w:rsidRPr="0012760D" w:rsidRDefault="00195356" w:rsidP="00D82E05">
            <w:pPr>
              <w:jc w:val="right"/>
              <w:rPr>
                <w:sz w:val="24"/>
                <w:szCs w:val="24"/>
              </w:rPr>
            </w:pPr>
            <w:r w:rsidRPr="0012760D">
              <w:rPr>
                <w:sz w:val="24"/>
                <w:szCs w:val="24"/>
              </w:rPr>
              <w:t>16,616</w:t>
            </w:r>
          </w:p>
        </w:tc>
        <w:tc>
          <w:tcPr>
            <w:tcW w:w="523" w:type="pct"/>
            <w:shd w:val="clear" w:color="auto" w:fill="auto"/>
          </w:tcPr>
          <w:p w:rsidR="00195356" w:rsidRPr="0012760D" w:rsidRDefault="00195356" w:rsidP="00D82E05">
            <w:pPr>
              <w:jc w:val="right"/>
              <w:rPr>
                <w:sz w:val="24"/>
                <w:szCs w:val="24"/>
              </w:rPr>
            </w:pPr>
            <w:r w:rsidRPr="0012760D">
              <w:rPr>
                <w:sz w:val="24"/>
                <w:szCs w:val="24"/>
              </w:rPr>
              <w:t>16,616</w:t>
            </w:r>
          </w:p>
        </w:tc>
        <w:tc>
          <w:tcPr>
            <w:tcW w:w="717" w:type="pct"/>
            <w:shd w:val="clear" w:color="auto" w:fill="auto"/>
          </w:tcPr>
          <w:p w:rsidR="00195356" w:rsidRPr="0012760D" w:rsidRDefault="00195356" w:rsidP="00D82E05">
            <w:pPr>
              <w:jc w:val="right"/>
              <w:rPr>
                <w:sz w:val="24"/>
                <w:szCs w:val="24"/>
              </w:rPr>
            </w:pPr>
            <w:r w:rsidRPr="0012760D">
              <w:rPr>
                <w:sz w:val="24"/>
                <w:szCs w:val="24"/>
              </w:rPr>
              <w:t>0</w:t>
            </w:r>
          </w:p>
        </w:tc>
      </w:tr>
      <w:tr w:rsidR="00195356" w:rsidRPr="0012760D" w:rsidTr="00D82E05">
        <w:tblPrEx>
          <w:tblCellMar>
            <w:top w:w="0" w:type="dxa"/>
            <w:bottom w:w="0" w:type="dxa"/>
          </w:tblCellMar>
        </w:tblPrEx>
        <w:trPr>
          <w:trHeight w:val="830"/>
        </w:trPr>
        <w:tc>
          <w:tcPr>
            <w:tcW w:w="166" w:type="pct"/>
            <w:shd w:val="clear" w:color="auto" w:fill="auto"/>
          </w:tcPr>
          <w:p w:rsidR="00195356" w:rsidRPr="0012760D" w:rsidRDefault="00195356" w:rsidP="00D82E05">
            <w:pPr>
              <w:rPr>
                <w:sz w:val="24"/>
                <w:szCs w:val="24"/>
              </w:rPr>
            </w:pPr>
            <w:r w:rsidRPr="0012760D">
              <w:rPr>
                <w:sz w:val="24"/>
                <w:szCs w:val="24"/>
              </w:rPr>
              <w:t>3</w:t>
            </w:r>
          </w:p>
        </w:tc>
        <w:tc>
          <w:tcPr>
            <w:tcW w:w="252" w:type="pct"/>
            <w:shd w:val="clear" w:color="auto" w:fill="auto"/>
          </w:tcPr>
          <w:p w:rsidR="00195356" w:rsidRPr="0012760D" w:rsidRDefault="00195356" w:rsidP="00D82E05">
            <w:pPr>
              <w:rPr>
                <w:sz w:val="24"/>
                <w:szCs w:val="24"/>
              </w:rPr>
            </w:pPr>
            <w:r w:rsidRPr="0012760D">
              <w:rPr>
                <w:sz w:val="24"/>
                <w:szCs w:val="24"/>
              </w:rPr>
              <w:t>7324</w:t>
            </w:r>
          </w:p>
        </w:tc>
        <w:tc>
          <w:tcPr>
            <w:tcW w:w="1029" w:type="pct"/>
            <w:shd w:val="clear" w:color="auto" w:fill="auto"/>
          </w:tcPr>
          <w:p w:rsidR="00195356" w:rsidRPr="0012760D" w:rsidRDefault="00195356" w:rsidP="00D82E05">
            <w:pPr>
              <w:rPr>
                <w:sz w:val="24"/>
                <w:szCs w:val="24"/>
              </w:rPr>
            </w:pPr>
            <w:r w:rsidRPr="0012760D">
              <w:rPr>
                <w:sz w:val="24"/>
                <w:szCs w:val="24"/>
              </w:rPr>
              <w:t>Review of Charity Sector Waste Management Practices</w:t>
            </w:r>
          </w:p>
        </w:tc>
        <w:tc>
          <w:tcPr>
            <w:tcW w:w="1750" w:type="pct"/>
            <w:shd w:val="clear" w:color="auto" w:fill="auto"/>
          </w:tcPr>
          <w:p w:rsidR="00195356" w:rsidRPr="0012760D" w:rsidRDefault="00195356" w:rsidP="00D82E05">
            <w:pPr>
              <w:rPr>
                <w:sz w:val="24"/>
                <w:szCs w:val="24"/>
              </w:rPr>
            </w:pPr>
            <w:r w:rsidRPr="0012760D">
              <w:rPr>
                <w:sz w:val="24"/>
                <w:szCs w:val="24"/>
              </w:rPr>
              <w:t>Review of the Salvation Army and St Vincent de Paul's waste management approach for their stores and document appropriate checklist and contract specification guidance for use by the charitable sector.</w:t>
            </w:r>
          </w:p>
        </w:tc>
        <w:tc>
          <w:tcPr>
            <w:tcW w:w="563" w:type="pct"/>
            <w:shd w:val="clear" w:color="auto" w:fill="auto"/>
          </w:tcPr>
          <w:p w:rsidR="00195356" w:rsidRPr="0012760D" w:rsidRDefault="00195356" w:rsidP="00D82E05">
            <w:pPr>
              <w:jc w:val="right"/>
              <w:rPr>
                <w:sz w:val="24"/>
                <w:szCs w:val="24"/>
              </w:rPr>
            </w:pPr>
            <w:r w:rsidRPr="0012760D">
              <w:rPr>
                <w:sz w:val="24"/>
                <w:szCs w:val="24"/>
              </w:rPr>
              <w:t>18,182</w:t>
            </w:r>
          </w:p>
        </w:tc>
        <w:tc>
          <w:tcPr>
            <w:tcW w:w="523" w:type="pct"/>
            <w:shd w:val="clear" w:color="auto" w:fill="auto"/>
          </w:tcPr>
          <w:p w:rsidR="00195356" w:rsidRPr="0012760D" w:rsidRDefault="00195356" w:rsidP="00D82E05">
            <w:pPr>
              <w:jc w:val="right"/>
              <w:rPr>
                <w:sz w:val="24"/>
                <w:szCs w:val="24"/>
              </w:rPr>
            </w:pPr>
            <w:r w:rsidRPr="0012760D">
              <w:rPr>
                <w:sz w:val="24"/>
                <w:szCs w:val="24"/>
              </w:rPr>
              <w:t>14,000</w:t>
            </w:r>
          </w:p>
        </w:tc>
        <w:tc>
          <w:tcPr>
            <w:tcW w:w="717" w:type="pct"/>
            <w:shd w:val="clear" w:color="auto" w:fill="auto"/>
          </w:tcPr>
          <w:p w:rsidR="00195356" w:rsidRPr="0012760D" w:rsidRDefault="00195356" w:rsidP="00D82E05">
            <w:pPr>
              <w:jc w:val="right"/>
              <w:rPr>
                <w:sz w:val="24"/>
                <w:szCs w:val="24"/>
              </w:rPr>
            </w:pPr>
            <w:r w:rsidRPr="0012760D">
              <w:rPr>
                <w:sz w:val="24"/>
                <w:szCs w:val="24"/>
              </w:rPr>
              <w:t>4,182</w:t>
            </w:r>
          </w:p>
        </w:tc>
      </w:tr>
      <w:tr w:rsidR="00195356" w:rsidRPr="0012760D" w:rsidTr="00D82E05">
        <w:tblPrEx>
          <w:tblCellMar>
            <w:top w:w="0" w:type="dxa"/>
            <w:bottom w:w="0" w:type="dxa"/>
          </w:tblCellMar>
        </w:tblPrEx>
        <w:trPr>
          <w:trHeight w:val="446"/>
        </w:trPr>
        <w:tc>
          <w:tcPr>
            <w:tcW w:w="166" w:type="pct"/>
            <w:shd w:val="clear" w:color="auto" w:fill="auto"/>
          </w:tcPr>
          <w:p w:rsidR="00195356" w:rsidRPr="0012760D" w:rsidRDefault="00195356" w:rsidP="00D82E05">
            <w:pPr>
              <w:rPr>
                <w:sz w:val="24"/>
                <w:szCs w:val="24"/>
              </w:rPr>
            </w:pPr>
            <w:r w:rsidRPr="0012760D">
              <w:rPr>
                <w:sz w:val="24"/>
                <w:szCs w:val="24"/>
              </w:rPr>
              <w:t>4</w:t>
            </w:r>
          </w:p>
        </w:tc>
        <w:tc>
          <w:tcPr>
            <w:tcW w:w="252" w:type="pct"/>
            <w:shd w:val="clear" w:color="auto" w:fill="auto"/>
          </w:tcPr>
          <w:p w:rsidR="00195356" w:rsidRPr="0012760D" w:rsidRDefault="00195356" w:rsidP="00D82E05">
            <w:pPr>
              <w:rPr>
                <w:sz w:val="24"/>
                <w:szCs w:val="24"/>
              </w:rPr>
            </w:pPr>
            <w:r w:rsidRPr="0012760D">
              <w:rPr>
                <w:sz w:val="24"/>
                <w:szCs w:val="24"/>
              </w:rPr>
              <w:t>7215</w:t>
            </w:r>
          </w:p>
        </w:tc>
        <w:tc>
          <w:tcPr>
            <w:tcW w:w="1029" w:type="pct"/>
            <w:shd w:val="clear" w:color="auto" w:fill="auto"/>
          </w:tcPr>
          <w:p w:rsidR="00195356" w:rsidRPr="0012760D" w:rsidRDefault="00195356" w:rsidP="00D82E05">
            <w:pPr>
              <w:rPr>
                <w:sz w:val="24"/>
                <w:szCs w:val="24"/>
              </w:rPr>
            </w:pPr>
            <w:r w:rsidRPr="0012760D">
              <w:rPr>
                <w:sz w:val="24"/>
                <w:szCs w:val="24"/>
              </w:rPr>
              <w:t>Project Delivery Capability Assessment</w:t>
            </w:r>
          </w:p>
        </w:tc>
        <w:tc>
          <w:tcPr>
            <w:tcW w:w="1750" w:type="pct"/>
            <w:shd w:val="clear" w:color="auto" w:fill="auto"/>
          </w:tcPr>
          <w:p w:rsidR="00195356" w:rsidRPr="0012760D" w:rsidRDefault="00195356" w:rsidP="00D82E05">
            <w:pPr>
              <w:rPr>
                <w:sz w:val="24"/>
                <w:szCs w:val="24"/>
              </w:rPr>
            </w:pPr>
            <w:r w:rsidRPr="0012760D">
              <w:rPr>
                <w:sz w:val="24"/>
                <w:szCs w:val="24"/>
              </w:rPr>
              <w:t>Assessment and evaluation of SV's project delivery capability</w:t>
            </w:r>
          </w:p>
        </w:tc>
        <w:tc>
          <w:tcPr>
            <w:tcW w:w="563" w:type="pct"/>
            <w:shd w:val="clear" w:color="auto" w:fill="auto"/>
          </w:tcPr>
          <w:p w:rsidR="00195356" w:rsidRPr="0012760D" w:rsidRDefault="00195356" w:rsidP="00D82E05">
            <w:pPr>
              <w:jc w:val="right"/>
              <w:rPr>
                <w:sz w:val="24"/>
                <w:szCs w:val="24"/>
              </w:rPr>
            </w:pPr>
            <w:r w:rsidRPr="0012760D">
              <w:rPr>
                <w:sz w:val="24"/>
                <w:szCs w:val="24"/>
              </w:rPr>
              <w:t>21,600</w:t>
            </w:r>
          </w:p>
        </w:tc>
        <w:tc>
          <w:tcPr>
            <w:tcW w:w="523" w:type="pct"/>
            <w:shd w:val="clear" w:color="auto" w:fill="auto"/>
          </w:tcPr>
          <w:p w:rsidR="00195356" w:rsidRPr="0012760D" w:rsidRDefault="00195356" w:rsidP="00D82E05">
            <w:pPr>
              <w:jc w:val="right"/>
              <w:rPr>
                <w:sz w:val="24"/>
                <w:szCs w:val="24"/>
              </w:rPr>
            </w:pPr>
            <w:r w:rsidRPr="0012760D">
              <w:rPr>
                <w:sz w:val="24"/>
                <w:szCs w:val="24"/>
              </w:rPr>
              <w:t>21,600</w:t>
            </w:r>
          </w:p>
        </w:tc>
        <w:tc>
          <w:tcPr>
            <w:tcW w:w="717" w:type="pct"/>
            <w:shd w:val="clear" w:color="auto" w:fill="auto"/>
          </w:tcPr>
          <w:p w:rsidR="00195356" w:rsidRPr="0012760D" w:rsidRDefault="00195356" w:rsidP="00D82E05">
            <w:pPr>
              <w:jc w:val="right"/>
              <w:rPr>
                <w:sz w:val="24"/>
                <w:szCs w:val="24"/>
              </w:rPr>
            </w:pPr>
            <w:r w:rsidRPr="0012760D">
              <w:rPr>
                <w:sz w:val="24"/>
                <w:szCs w:val="24"/>
              </w:rPr>
              <w:t>0</w:t>
            </w:r>
          </w:p>
        </w:tc>
      </w:tr>
      <w:tr w:rsidR="00195356" w:rsidRPr="0012760D" w:rsidTr="00D82E05">
        <w:tblPrEx>
          <w:tblCellMar>
            <w:top w:w="0" w:type="dxa"/>
            <w:bottom w:w="0" w:type="dxa"/>
          </w:tblCellMar>
        </w:tblPrEx>
        <w:trPr>
          <w:trHeight w:val="826"/>
        </w:trPr>
        <w:tc>
          <w:tcPr>
            <w:tcW w:w="166" w:type="pct"/>
            <w:shd w:val="clear" w:color="auto" w:fill="auto"/>
          </w:tcPr>
          <w:p w:rsidR="00195356" w:rsidRPr="0012760D" w:rsidRDefault="00195356" w:rsidP="00D82E05">
            <w:pPr>
              <w:rPr>
                <w:sz w:val="24"/>
                <w:szCs w:val="24"/>
              </w:rPr>
            </w:pPr>
            <w:r w:rsidRPr="0012760D">
              <w:rPr>
                <w:sz w:val="24"/>
                <w:szCs w:val="24"/>
              </w:rPr>
              <w:t>5</w:t>
            </w:r>
          </w:p>
        </w:tc>
        <w:tc>
          <w:tcPr>
            <w:tcW w:w="252" w:type="pct"/>
            <w:shd w:val="clear" w:color="auto" w:fill="auto"/>
          </w:tcPr>
          <w:p w:rsidR="00195356" w:rsidRPr="0012760D" w:rsidRDefault="00195356" w:rsidP="00D82E05">
            <w:pPr>
              <w:rPr>
                <w:sz w:val="24"/>
                <w:szCs w:val="24"/>
              </w:rPr>
            </w:pPr>
            <w:r w:rsidRPr="0012760D">
              <w:rPr>
                <w:sz w:val="24"/>
                <w:szCs w:val="24"/>
              </w:rPr>
              <w:t>7482</w:t>
            </w:r>
          </w:p>
        </w:tc>
        <w:tc>
          <w:tcPr>
            <w:tcW w:w="1029" w:type="pct"/>
            <w:shd w:val="clear" w:color="auto" w:fill="auto"/>
          </w:tcPr>
          <w:p w:rsidR="00195356" w:rsidRPr="0012760D" w:rsidRDefault="00195356" w:rsidP="00D82E05">
            <w:pPr>
              <w:rPr>
                <w:sz w:val="24"/>
                <w:szCs w:val="24"/>
              </w:rPr>
            </w:pPr>
            <w:r w:rsidRPr="0012760D">
              <w:rPr>
                <w:sz w:val="24"/>
                <w:szCs w:val="24"/>
              </w:rPr>
              <w:t>Best Practice Guidelines -Donation Bin Management</w:t>
            </w:r>
          </w:p>
        </w:tc>
        <w:tc>
          <w:tcPr>
            <w:tcW w:w="1750" w:type="pct"/>
            <w:shd w:val="clear" w:color="auto" w:fill="auto"/>
          </w:tcPr>
          <w:p w:rsidR="00195356" w:rsidRPr="0012760D" w:rsidRDefault="00195356" w:rsidP="00D82E05">
            <w:pPr>
              <w:rPr>
                <w:sz w:val="24"/>
                <w:szCs w:val="24"/>
              </w:rPr>
            </w:pPr>
            <w:r w:rsidRPr="0012760D">
              <w:rPr>
                <w:sz w:val="24"/>
                <w:szCs w:val="24"/>
              </w:rPr>
              <w:t>Development of Best Practice Guidelines for local government, industry and charities outlining best practice standards for placement and management of donation bins.</w:t>
            </w:r>
          </w:p>
        </w:tc>
        <w:tc>
          <w:tcPr>
            <w:tcW w:w="563" w:type="pct"/>
            <w:shd w:val="clear" w:color="auto" w:fill="auto"/>
          </w:tcPr>
          <w:p w:rsidR="00195356" w:rsidRPr="0012760D" w:rsidRDefault="00195356" w:rsidP="00D82E05">
            <w:pPr>
              <w:jc w:val="right"/>
              <w:rPr>
                <w:sz w:val="24"/>
                <w:szCs w:val="24"/>
              </w:rPr>
            </w:pPr>
            <w:r w:rsidRPr="0012760D">
              <w:rPr>
                <w:sz w:val="24"/>
                <w:szCs w:val="24"/>
              </w:rPr>
              <w:t>22,420</w:t>
            </w:r>
          </w:p>
        </w:tc>
        <w:tc>
          <w:tcPr>
            <w:tcW w:w="523" w:type="pct"/>
            <w:shd w:val="clear" w:color="auto" w:fill="auto"/>
          </w:tcPr>
          <w:p w:rsidR="00195356" w:rsidRPr="0012760D" w:rsidRDefault="00195356" w:rsidP="00D82E05">
            <w:pPr>
              <w:jc w:val="right"/>
              <w:rPr>
                <w:sz w:val="24"/>
                <w:szCs w:val="24"/>
              </w:rPr>
            </w:pPr>
            <w:r w:rsidRPr="0012760D">
              <w:rPr>
                <w:sz w:val="24"/>
                <w:szCs w:val="24"/>
              </w:rPr>
              <w:t>17,000</w:t>
            </w:r>
          </w:p>
        </w:tc>
        <w:tc>
          <w:tcPr>
            <w:tcW w:w="717" w:type="pct"/>
            <w:shd w:val="clear" w:color="auto" w:fill="auto"/>
          </w:tcPr>
          <w:p w:rsidR="00195356" w:rsidRPr="0012760D" w:rsidRDefault="00195356" w:rsidP="00D82E05">
            <w:pPr>
              <w:jc w:val="right"/>
              <w:rPr>
                <w:sz w:val="24"/>
                <w:szCs w:val="24"/>
              </w:rPr>
            </w:pPr>
            <w:r w:rsidRPr="0012760D">
              <w:rPr>
                <w:sz w:val="24"/>
                <w:szCs w:val="24"/>
              </w:rPr>
              <w:t>5,420</w:t>
            </w:r>
          </w:p>
        </w:tc>
      </w:tr>
      <w:tr w:rsidR="00195356" w:rsidRPr="0012760D" w:rsidTr="00D82E05">
        <w:tblPrEx>
          <w:tblCellMar>
            <w:top w:w="0" w:type="dxa"/>
            <w:bottom w:w="0" w:type="dxa"/>
          </w:tblCellMar>
        </w:tblPrEx>
        <w:trPr>
          <w:trHeight w:val="451"/>
        </w:trPr>
        <w:tc>
          <w:tcPr>
            <w:tcW w:w="166" w:type="pct"/>
            <w:shd w:val="clear" w:color="auto" w:fill="auto"/>
          </w:tcPr>
          <w:p w:rsidR="00195356" w:rsidRPr="0012760D" w:rsidRDefault="00195356" w:rsidP="00D82E05">
            <w:pPr>
              <w:rPr>
                <w:sz w:val="24"/>
                <w:szCs w:val="24"/>
              </w:rPr>
            </w:pPr>
            <w:r w:rsidRPr="0012760D">
              <w:rPr>
                <w:sz w:val="24"/>
                <w:szCs w:val="24"/>
              </w:rPr>
              <w:t>6</w:t>
            </w:r>
          </w:p>
        </w:tc>
        <w:tc>
          <w:tcPr>
            <w:tcW w:w="252" w:type="pct"/>
            <w:shd w:val="clear" w:color="auto" w:fill="auto"/>
          </w:tcPr>
          <w:p w:rsidR="00195356" w:rsidRPr="0012760D" w:rsidRDefault="00195356" w:rsidP="00D82E05">
            <w:pPr>
              <w:rPr>
                <w:sz w:val="24"/>
                <w:szCs w:val="24"/>
              </w:rPr>
            </w:pPr>
            <w:r w:rsidRPr="0012760D">
              <w:rPr>
                <w:sz w:val="24"/>
                <w:szCs w:val="24"/>
              </w:rPr>
              <w:t>7202</w:t>
            </w:r>
          </w:p>
        </w:tc>
        <w:tc>
          <w:tcPr>
            <w:tcW w:w="1029" w:type="pct"/>
            <w:shd w:val="clear" w:color="auto" w:fill="auto"/>
          </w:tcPr>
          <w:p w:rsidR="00195356" w:rsidRPr="0012760D" w:rsidRDefault="00195356" w:rsidP="00D82E05">
            <w:pPr>
              <w:rPr>
                <w:sz w:val="24"/>
                <w:szCs w:val="24"/>
              </w:rPr>
            </w:pPr>
            <w:r w:rsidRPr="0012760D">
              <w:rPr>
                <w:sz w:val="24"/>
                <w:szCs w:val="24"/>
              </w:rPr>
              <w:t>Organics market and infrastructure project support</w:t>
            </w:r>
          </w:p>
        </w:tc>
        <w:tc>
          <w:tcPr>
            <w:tcW w:w="1750" w:type="pct"/>
            <w:shd w:val="clear" w:color="auto" w:fill="auto"/>
          </w:tcPr>
          <w:p w:rsidR="00195356" w:rsidRPr="0012760D" w:rsidRDefault="00195356" w:rsidP="0071725E">
            <w:pPr>
              <w:rPr>
                <w:sz w:val="24"/>
                <w:szCs w:val="24"/>
              </w:rPr>
            </w:pPr>
            <w:r w:rsidRPr="0012760D">
              <w:rPr>
                <w:sz w:val="24"/>
                <w:szCs w:val="24"/>
              </w:rPr>
              <w:t>Advice on the development and outputs of activities relating to organics undertaken by SV in 2012</w:t>
            </w:r>
            <w:r w:rsidR="0071725E">
              <w:rPr>
                <w:sz w:val="24"/>
                <w:szCs w:val="24"/>
              </w:rPr>
              <w:t xml:space="preserve"> to </w:t>
            </w:r>
            <w:r w:rsidRPr="0012760D">
              <w:rPr>
                <w:sz w:val="24"/>
                <w:szCs w:val="24"/>
              </w:rPr>
              <w:t>13.</w:t>
            </w:r>
          </w:p>
        </w:tc>
        <w:tc>
          <w:tcPr>
            <w:tcW w:w="563" w:type="pct"/>
            <w:shd w:val="clear" w:color="auto" w:fill="auto"/>
          </w:tcPr>
          <w:p w:rsidR="00195356" w:rsidRPr="0012760D" w:rsidRDefault="00195356" w:rsidP="00D82E05">
            <w:pPr>
              <w:jc w:val="right"/>
              <w:rPr>
                <w:sz w:val="24"/>
                <w:szCs w:val="24"/>
              </w:rPr>
            </w:pPr>
            <w:r w:rsidRPr="0012760D">
              <w:rPr>
                <w:sz w:val="24"/>
                <w:szCs w:val="24"/>
              </w:rPr>
              <w:t>24,000</w:t>
            </w:r>
          </w:p>
        </w:tc>
        <w:tc>
          <w:tcPr>
            <w:tcW w:w="523" w:type="pct"/>
            <w:shd w:val="clear" w:color="auto" w:fill="auto"/>
          </w:tcPr>
          <w:p w:rsidR="00195356" w:rsidRPr="0012760D" w:rsidRDefault="00195356" w:rsidP="00D82E05">
            <w:pPr>
              <w:jc w:val="right"/>
              <w:rPr>
                <w:sz w:val="24"/>
                <w:szCs w:val="24"/>
              </w:rPr>
            </w:pPr>
            <w:r w:rsidRPr="0012760D">
              <w:rPr>
                <w:sz w:val="24"/>
                <w:szCs w:val="24"/>
              </w:rPr>
              <w:t>19,167</w:t>
            </w:r>
          </w:p>
        </w:tc>
        <w:tc>
          <w:tcPr>
            <w:tcW w:w="717" w:type="pct"/>
            <w:shd w:val="clear" w:color="auto" w:fill="auto"/>
          </w:tcPr>
          <w:p w:rsidR="00195356" w:rsidRPr="0012760D" w:rsidRDefault="00195356" w:rsidP="00D82E05">
            <w:pPr>
              <w:jc w:val="right"/>
              <w:rPr>
                <w:sz w:val="24"/>
                <w:szCs w:val="24"/>
              </w:rPr>
            </w:pPr>
            <w:r w:rsidRPr="0012760D">
              <w:rPr>
                <w:sz w:val="24"/>
                <w:szCs w:val="24"/>
              </w:rPr>
              <w:t>4,833</w:t>
            </w:r>
          </w:p>
        </w:tc>
      </w:tr>
      <w:tr w:rsidR="00195356" w:rsidRPr="0012760D" w:rsidTr="00D82E05">
        <w:tblPrEx>
          <w:tblCellMar>
            <w:top w:w="0" w:type="dxa"/>
            <w:bottom w:w="0" w:type="dxa"/>
          </w:tblCellMar>
        </w:tblPrEx>
        <w:trPr>
          <w:trHeight w:val="821"/>
        </w:trPr>
        <w:tc>
          <w:tcPr>
            <w:tcW w:w="166" w:type="pct"/>
            <w:shd w:val="clear" w:color="auto" w:fill="auto"/>
          </w:tcPr>
          <w:p w:rsidR="00195356" w:rsidRPr="0012760D" w:rsidRDefault="00195356" w:rsidP="00D82E05">
            <w:pPr>
              <w:rPr>
                <w:sz w:val="24"/>
                <w:szCs w:val="24"/>
              </w:rPr>
            </w:pPr>
            <w:r w:rsidRPr="0012760D">
              <w:rPr>
                <w:sz w:val="24"/>
                <w:szCs w:val="24"/>
              </w:rPr>
              <w:t>7</w:t>
            </w:r>
          </w:p>
        </w:tc>
        <w:tc>
          <w:tcPr>
            <w:tcW w:w="252" w:type="pct"/>
            <w:shd w:val="clear" w:color="auto" w:fill="auto"/>
          </w:tcPr>
          <w:p w:rsidR="00195356" w:rsidRPr="0012760D" w:rsidRDefault="00195356" w:rsidP="00D82E05">
            <w:pPr>
              <w:rPr>
                <w:sz w:val="24"/>
                <w:szCs w:val="24"/>
              </w:rPr>
            </w:pPr>
            <w:r w:rsidRPr="0012760D">
              <w:rPr>
                <w:sz w:val="24"/>
                <w:szCs w:val="24"/>
              </w:rPr>
              <w:t>7261</w:t>
            </w:r>
          </w:p>
        </w:tc>
        <w:tc>
          <w:tcPr>
            <w:tcW w:w="1029" w:type="pct"/>
            <w:shd w:val="clear" w:color="auto" w:fill="auto"/>
          </w:tcPr>
          <w:p w:rsidR="00195356" w:rsidRPr="0012760D" w:rsidRDefault="00195356" w:rsidP="00D82E05">
            <w:pPr>
              <w:rPr>
                <w:sz w:val="24"/>
                <w:szCs w:val="24"/>
              </w:rPr>
            </w:pPr>
            <w:r w:rsidRPr="0012760D">
              <w:rPr>
                <w:sz w:val="24"/>
                <w:szCs w:val="24"/>
              </w:rPr>
              <w:t>ECO-Buy review of use of recycled materials in pavement construction</w:t>
            </w:r>
          </w:p>
        </w:tc>
        <w:tc>
          <w:tcPr>
            <w:tcW w:w="1750" w:type="pct"/>
            <w:shd w:val="clear" w:color="auto" w:fill="auto"/>
          </w:tcPr>
          <w:p w:rsidR="00195356" w:rsidRPr="0012760D" w:rsidRDefault="00195356" w:rsidP="00D82E05">
            <w:pPr>
              <w:rPr>
                <w:sz w:val="24"/>
                <w:szCs w:val="24"/>
              </w:rPr>
            </w:pPr>
            <w:r w:rsidRPr="0012760D">
              <w:rPr>
                <w:sz w:val="24"/>
                <w:szCs w:val="24"/>
              </w:rPr>
              <w:t>Review of projects, programs and research that have been undertaken in relation to the use of recycled materials (crushed brick, crushed concrete and glass) in pavement construction.</w:t>
            </w:r>
          </w:p>
        </w:tc>
        <w:tc>
          <w:tcPr>
            <w:tcW w:w="563" w:type="pct"/>
            <w:shd w:val="clear" w:color="auto" w:fill="auto"/>
          </w:tcPr>
          <w:p w:rsidR="00195356" w:rsidRPr="0012760D" w:rsidRDefault="00195356" w:rsidP="00D82E05">
            <w:pPr>
              <w:jc w:val="right"/>
              <w:rPr>
                <w:sz w:val="24"/>
                <w:szCs w:val="24"/>
              </w:rPr>
            </w:pPr>
            <w:r w:rsidRPr="0012760D">
              <w:rPr>
                <w:sz w:val="24"/>
                <w:szCs w:val="24"/>
              </w:rPr>
              <w:t>24,200</w:t>
            </w:r>
          </w:p>
        </w:tc>
        <w:tc>
          <w:tcPr>
            <w:tcW w:w="523" w:type="pct"/>
            <w:shd w:val="clear" w:color="auto" w:fill="auto"/>
          </w:tcPr>
          <w:p w:rsidR="00195356" w:rsidRPr="0012760D" w:rsidRDefault="00195356" w:rsidP="00D82E05">
            <w:pPr>
              <w:jc w:val="right"/>
              <w:rPr>
                <w:sz w:val="24"/>
                <w:szCs w:val="24"/>
              </w:rPr>
            </w:pPr>
            <w:r w:rsidRPr="0012760D">
              <w:rPr>
                <w:sz w:val="24"/>
                <w:szCs w:val="24"/>
              </w:rPr>
              <w:t>24,200</w:t>
            </w:r>
          </w:p>
        </w:tc>
        <w:tc>
          <w:tcPr>
            <w:tcW w:w="717" w:type="pct"/>
            <w:shd w:val="clear" w:color="auto" w:fill="auto"/>
          </w:tcPr>
          <w:p w:rsidR="00195356" w:rsidRPr="0012760D" w:rsidRDefault="00195356" w:rsidP="00D82E05">
            <w:pPr>
              <w:jc w:val="right"/>
              <w:rPr>
                <w:sz w:val="24"/>
                <w:szCs w:val="24"/>
              </w:rPr>
            </w:pPr>
            <w:r w:rsidRPr="0012760D">
              <w:rPr>
                <w:sz w:val="24"/>
                <w:szCs w:val="24"/>
              </w:rPr>
              <w:t>0</w:t>
            </w:r>
          </w:p>
        </w:tc>
      </w:tr>
      <w:tr w:rsidR="00195356" w:rsidRPr="0012760D" w:rsidTr="00D82E05">
        <w:tblPrEx>
          <w:tblCellMar>
            <w:top w:w="0" w:type="dxa"/>
            <w:bottom w:w="0" w:type="dxa"/>
          </w:tblCellMar>
        </w:tblPrEx>
        <w:trPr>
          <w:trHeight w:val="835"/>
        </w:trPr>
        <w:tc>
          <w:tcPr>
            <w:tcW w:w="166" w:type="pct"/>
            <w:shd w:val="clear" w:color="auto" w:fill="auto"/>
          </w:tcPr>
          <w:p w:rsidR="00195356" w:rsidRPr="0012760D" w:rsidRDefault="00195356" w:rsidP="00D82E05">
            <w:pPr>
              <w:rPr>
                <w:sz w:val="24"/>
                <w:szCs w:val="24"/>
              </w:rPr>
            </w:pPr>
            <w:r w:rsidRPr="0012760D">
              <w:rPr>
                <w:sz w:val="24"/>
                <w:szCs w:val="24"/>
              </w:rPr>
              <w:t>8</w:t>
            </w:r>
          </w:p>
        </w:tc>
        <w:tc>
          <w:tcPr>
            <w:tcW w:w="252" w:type="pct"/>
            <w:shd w:val="clear" w:color="auto" w:fill="auto"/>
          </w:tcPr>
          <w:p w:rsidR="00195356" w:rsidRPr="0012760D" w:rsidRDefault="00195356" w:rsidP="00D82E05">
            <w:pPr>
              <w:rPr>
                <w:sz w:val="24"/>
                <w:szCs w:val="24"/>
              </w:rPr>
            </w:pPr>
            <w:r w:rsidRPr="0012760D">
              <w:rPr>
                <w:sz w:val="24"/>
                <w:szCs w:val="24"/>
              </w:rPr>
              <w:t>7422</w:t>
            </w:r>
          </w:p>
        </w:tc>
        <w:tc>
          <w:tcPr>
            <w:tcW w:w="1029" w:type="pct"/>
            <w:shd w:val="clear" w:color="auto" w:fill="auto"/>
          </w:tcPr>
          <w:p w:rsidR="00195356" w:rsidRPr="0012760D" w:rsidRDefault="00195356" w:rsidP="00D82E05">
            <w:pPr>
              <w:rPr>
                <w:sz w:val="24"/>
                <w:szCs w:val="24"/>
              </w:rPr>
            </w:pPr>
            <w:r w:rsidRPr="0012760D">
              <w:rPr>
                <w:sz w:val="24"/>
                <w:szCs w:val="24"/>
              </w:rPr>
              <w:t>Commercial and Industrial Weight Based Charging Service Trial: Stage 1: Trial Design</w:t>
            </w:r>
          </w:p>
        </w:tc>
        <w:tc>
          <w:tcPr>
            <w:tcW w:w="1750" w:type="pct"/>
            <w:shd w:val="clear" w:color="auto" w:fill="auto"/>
          </w:tcPr>
          <w:p w:rsidR="00195356" w:rsidRPr="0012760D" w:rsidRDefault="00195356" w:rsidP="00D82E05">
            <w:pPr>
              <w:rPr>
                <w:sz w:val="24"/>
                <w:szCs w:val="24"/>
              </w:rPr>
            </w:pPr>
            <w:r w:rsidRPr="0012760D">
              <w:rPr>
                <w:sz w:val="24"/>
                <w:szCs w:val="24"/>
              </w:rPr>
              <w:t xml:space="preserve">Assessment of the viability of a trial to deliver weight based charging services in the Victorian </w:t>
            </w:r>
            <w:r w:rsidR="00932E3A">
              <w:rPr>
                <w:sz w:val="24"/>
                <w:szCs w:val="24"/>
              </w:rPr>
              <w:t>C and L</w:t>
            </w:r>
            <w:r w:rsidRPr="0012760D">
              <w:rPr>
                <w:sz w:val="24"/>
                <w:szCs w:val="24"/>
              </w:rPr>
              <w:t xml:space="preserve"> sector to improve source separation and resource recovery.</w:t>
            </w:r>
          </w:p>
        </w:tc>
        <w:tc>
          <w:tcPr>
            <w:tcW w:w="563" w:type="pct"/>
            <w:shd w:val="clear" w:color="auto" w:fill="auto"/>
          </w:tcPr>
          <w:p w:rsidR="00195356" w:rsidRPr="0012760D" w:rsidRDefault="00195356" w:rsidP="00D82E05">
            <w:pPr>
              <w:jc w:val="right"/>
              <w:rPr>
                <w:sz w:val="24"/>
                <w:szCs w:val="24"/>
              </w:rPr>
            </w:pPr>
            <w:r w:rsidRPr="0012760D">
              <w:rPr>
                <w:sz w:val="24"/>
                <w:szCs w:val="24"/>
              </w:rPr>
              <w:t>24,820</w:t>
            </w:r>
          </w:p>
        </w:tc>
        <w:tc>
          <w:tcPr>
            <w:tcW w:w="523" w:type="pct"/>
            <w:shd w:val="clear" w:color="auto" w:fill="auto"/>
          </w:tcPr>
          <w:p w:rsidR="00195356" w:rsidRPr="0012760D" w:rsidRDefault="00195356" w:rsidP="00D82E05">
            <w:pPr>
              <w:jc w:val="right"/>
              <w:rPr>
                <w:sz w:val="24"/>
                <w:szCs w:val="24"/>
              </w:rPr>
            </w:pPr>
            <w:r w:rsidRPr="0012760D">
              <w:rPr>
                <w:sz w:val="24"/>
                <w:szCs w:val="24"/>
              </w:rPr>
              <w:t>7,446</w:t>
            </w:r>
          </w:p>
        </w:tc>
        <w:tc>
          <w:tcPr>
            <w:tcW w:w="717" w:type="pct"/>
            <w:shd w:val="clear" w:color="auto" w:fill="auto"/>
          </w:tcPr>
          <w:p w:rsidR="00195356" w:rsidRPr="0012760D" w:rsidRDefault="00195356" w:rsidP="00D82E05">
            <w:pPr>
              <w:jc w:val="right"/>
              <w:rPr>
                <w:sz w:val="24"/>
                <w:szCs w:val="24"/>
              </w:rPr>
            </w:pPr>
            <w:r w:rsidRPr="0012760D">
              <w:rPr>
                <w:sz w:val="24"/>
                <w:szCs w:val="24"/>
              </w:rPr>
              <w:t>17,374</w:t>
            </w:r>
          </w:p>
        </w:tc>
      </w:tr>
      <w:tr w:rsidR="00195356" w:rsidRPr="0012760D" w:rsidTr="00D82E05">
        <w:tblPrEx>
          <w:tblCellMar>
            <w:top w:w="0" w:type="dxa"/>
            <w:bottom w:w="0" w:type="dxa"/>
          </w:tblCellMar>
        </w:tblPrEx>
        <w:trPr>
          <w:trHeight w:val="634"/>
        </w:trPr>
        <w:tc>
          <w:tcPr>
            <w:tcW w:w="166" w:type="pct"/>
            <w:shd w:val="clear" w:color="auto" w:fill="auto"/>
          </w:tcPr>
          <w:p w:rsidR="00195356" w:rsidRPr="0012760D" w:rsidRDefault="00195356" w:rsidP="00D82E05">
            <w:pPr>
              <w:rPr>
                <w:sz w:val="24"/>
                <w:szCs w:val="24"/>
              </w:rPr>
            </w:pPr>
            <w:r w:rsidRPr="0012760D">
              <w:rPr>
                <w:sz w:val="24"/>
                <w:szCs w:val="24"/>
              </w:rPr>
              <w:t>9</w:t>
            </w:r>
          </w:p>
        </w:tc>
        <w:tc>
          <w:tcPr>
            <w:tcW w:w="252" w:type="pct"/>
            <w:shd w:val="clear" w:color="auto" w:fill="auto"/>
          </w:tcPr>
          <w:p w:rsidR="00195356" w:rsidRPr="0012760D" w:rsidRDefault="00195356" w:rsidP="00D82E05">
            <w:pPr>
              <w:rPr>
                <w:sz w:val="24"/>
                <w:szCs w:val="24"/>
              </w:rPr>
            </w:pPr>
            <w:r w:rsidRPr="0012760D">
              <w:rPr>
                <w:sz w:val="24"/>
                <w:szCs w:val="24"/>
              </w:rPr>
              <w:t>7160</w:t>
            </w:r>
          </w:p>
        </w:tc>
        <w:tc>
          <w:tcPr>
            <w:tcW w:w="1029" w:type="pct"/>
            <w:shd w:val="clear" w:color="auto" w:fill="auto"/>
          </w:tcPr>
          <w:p w:rsidR="00195356" w:rsidRPr="0012760D" w:rsidRDefault="00195356" w:rsidP="00D82E05">
            <w:pPr>
              <w:rPr>
                <w:sz w:val="24"/>
                <w:szCs w:val="24"/>
              </w:rPr>
            </w:pPr>
            <w:r w:rsidRPr="0012760D">
              <w:rPr>
                <w:sz w:val="24"/>
                <w:szCs w:val="24"/>
              </w:rPr>
              <w:t>Improving the quality of Recycled Organic products -Baseline Research</w:t>
            </w:r>
          </w:p>
        </w:tc>
        <w:tc>
          <w:tcPr>
            <w:tcW w:w="1750" w:type="pct"/>
            <w:shd w:val="clear" w:color="auto" w:fill="auto"/>
          </w:tcPr>
          <w:p w:rsidR="00195356" w:rsidRPr="0012760D" w:rsidRDefault="00195356" w:rsidP="00D82E05">
            <w:pPr>
              <w:rPr>
                <w:sz w:val="24"/>
                <w:szCs w:val="24"/>
              </w:rPr>
            </w:pPr>
            <w:r w:rsidRPr="0012760D">
              <w:rPr>
                <w:sz w:val="24"/>
                <w:szCs w:val="24"/>
              </w:rPr>
              <w:t>Provision of baseline data to assist SV with developing a range of projects aimed at market development for organics products</w:t>
            </w:r>
          </w:p>
        </w:tc>
        <w:tc>
          <w:tcPr>
            <w:tcW w:w="563" w:type="pct"/>
            <w:shd w:val="clear" w:color="auto" w:fill="auto"/>
          </w:tcPr>
          <w:p w:rsidR="00195356" w:rsidRPr="0012760D" w:rsidRDefault="00195356" w:rsidP="00D82E05">
            <w:pPr>
              <w:jc w:val="right"/>
              <w:rPr>
                <w:sz w:val="24"/>
                <w:szCs w:val="24"/>
              </w:rPr>
            </w:pPr>
            <w:r w:rsidRPr="0012760D">
              <w:rPr>
                <w:sz w:val="24"/>
                <w:szCs w:val="24"/>
              </w:rPr>
              <w:t>24,900</w:t>
            </w:r>
          </w:p>
        </w:tc>
        <w:tc>
          <w:tcPr>
            <w:tcW w:w="523" w:type="pct"/>
            <w:shd w:val="clear" w:color="auto" w:fill="auto"/>
          </w:tcPr>
          <w:p w:rsidR="00195356" w:rsidRPr="0012760D" w:rsidRDefault="00195356" w:rsidP="00D82E05">
            <w:pPr>
              <w:jc w:val="right"/>
              <w:rPr>
                <w:sz w:val="24"/>
                <w:szCs w:val="24"/>
              </w:rPr>
            </w:pPr>
            <w:r w:rsidRPr="0012760D">
              <w:rPr>
                <w:sz w:val="24"/>
                <w:szCs w:val="24"/>
              </w:rPr>
              <w:t>24,900</w:t>
            </w:r>
          </w:p>
        </w:tc>
        <w:tc>
          <w:tcPr>
            <w:tcW w:w="717" w:type="pct"/>
            <w:shd w:val="clear" w:color="auto" w:fill="auto"/>
          </w:tcPr>
          <w:p w:rsidR="00195356" w:rsidRPr="0012760D" w:rsidRDefault="00195356" w:rsidP="00D82E05">
            <w:pPr>
              <w:jc w:val="right"/>
              <w:rPr>
                <w:sz w:val="24"/>
                <w:szCs w:val="24"/>
              </w:rPr>
            </w:pPr>
            <w:r w:rsidRPr="0012760D">
              <w:rPr>
                <w:sz w:val="24"/>
                <w:szCs w:val="24"/>
              </w:rPr>
              <w:t>0</w:t>
            </w:r>
          </w:p>
        </w:tc>
      </w:tr>
      <w:tr w:rsidR="00195356" w:rsidRPr="0012760D" w:rsidTr="00D82E05">
        <w:tblPrEx>
          <w:tblCellMar>
            <w:top w:w="0" w:type="dxa"/>
            <w:bottom w:w="0" w:type="dxa"/>
          </w:tblCellMar>
        </w:tblPrEx>
        <w:trPr>
          <w:trHeight w:val="830"/>
        </w:trPr>
        <w:tc>
          <w:tcPr>
            <w:tcW w:w="166" w:type="pct"/>
            <w:shd w:val="clear" w:color="auto" w:fill="auto"/>
          </w:tcPr>
          <w:p w:rsidR="00195356" w:rsidRPr="0012760D" w:rsidRDefault="00195356" w:rsidP="00D82E05">
            <w:pPr>
              <w:rPr>
                <w:sz w:val="24"/>
                <w:szCs w:val="24"/>
              </w:rPr>
            </w:pPr>
            <w:r w:rsidRPr="0012760D">
              <w:rPr>
                <w:sz w:val="24"/>
                <w:szCs w:val="24"/>
              </w:rPr>
              <w:lastRenderedPageBreak/>
              <w:t>10</w:t>
            </w:r>
          </w:p>
        </w:tc>
        <w:tc>
          <w:tcPr>
            <w:tcW w:w="252" w:type="pct"/>
            <w:shd w:val="clear" w:color="auto" w:fill="auto"/>
          </w:tcPr>
          <w:p w:rsidR="00195356" w:rsidRPr="0012760D" w:rsidRDefault="00195356" w:rsidP="00D82E05">
            <w:pPr>
              <w:rPr>
                <w:sz w:val="24"/>
                <w:szCs w:val="24"/>
              </w:rPr>
            </w:pPr>
            <w:r w:rsidRPr="0012760D">
              <w:rPr>
                <w:sz w:val="24"/>
                <w:szCs w:val="24"/>
              </w:rPr>
              <w:t>7269</w:t>
            </w:r>
          </w:p>
        </w:tc>
        <w:tc>
          <w:tcPr>
            <w:tcW w:w="1029" w:type="pct"/>
            <w:shd w:val="clear" w:color="auto" w:fill="auto"/>
          </w:tcPr>
          <w:p w:rsidR="00195356" w:rsidRPr="0012760D" w:rsidRDefault="00195356" w:rsidP="00D82E05">
            <w:pPr>
              <w:rPr>
                <w:sz w:val="24"/>
                <w:szCs w:val="24"/>
              </w:rPr>
            </w:pPr>
            <w:r w:rsidRPr="0012760D">
              <w:rPr>
                <w:sz w:val="24"/>
                <w:szCs w:val="24"/>
              </w:rPr>
              <w:t>Professional Services - D J Hart - Weekly costs for professional services rendered by David J Hart</w:t>
            </w:r>
          </w:p>
        </w:tc>
        <w:tc>
          <w:tcPr>
            <w:tcW w:w="1750" w:type="pct"/>
            <w:shd w:val="clear" w:color="auto" w:fill="auto"/>
          </w:tcPr>
          <w:p w:rsidR="00195356" w:rsidRPr="0012760D" w:rsidRDefault="00195356" w:rsidP="00D82E05">
            <w:pPr>
              <w:rPr>
                <w:sz w:val="24"/>
                <w:szCs w:val="24"/>
              </w:rPr>
            </w:pPr>
            <w:r w:rsidRPr="0012760D">
              <w:rPr>
                <w:sz w:val="24"/>
                <w:szCs w:val="24"/>
              </w:rPr>
              <w:t>Provision of expert consulting services as a member of the Information Systems Strategy Group (ISSG).</w:t>
            </w:r>
          </w:p>
        </w:tc>
        <w:tc>
          <w:tcPr>
            <w:tcW w:w="563" w:type="pct"/>
            <w:shd w:val="clear" w:color="auto" w:fill="auto"/>
          </w:tcPr>
          <w:p w:rsidR="00195356" w:rsidRPr="0012760D" w:rsidRDefault="00195356" w:rsidP="00D82E05">
            <w:pPr>
              <w:jc w:val="right"/>
              <w:rPr>
                <w:sz w:val="24"/>
                <w:szCs w:val="24"/>
              </w:rPr>
            </w:pPr>
            <w:r w:rsidRPr="0012760D">
              <w:rPr>
                <w:sz w:val="24"/>
                <w:szCs w:val="24"/>
              </w:rPr>
              <w:t>44,000</w:t>
            </w:r>
          </w:p>
        </w:tc>
        <w:tc>
          <w:tcPr>
            <w:tcW w:w="523" w:type="pct"/>
            <w:shd w:val="clear" w:color="auto" w:fill="auto"/>
          </w:tcPr>
          <w:p w:rsidR="00195356" w:rsidRPr="0012760D" w:rsidRDefault="00195356" w:rsidP="00D82E05">
            <w:pPr>
              <w:jc w:val="right"/>
              <w:rPr>
                <w:sz w:val="24"/>
                <w:szCs w:val="24"/>
              </w:rPr>
            </w:pPr>
            <w:r w:rsidRPr="0012760D">
              <w:rPr>
                <w:sz w:val="24"/>
                <w:szCs w:val="24"/>
              </w:rPr>
              <w:t>11,703</w:t>
            </w:r>
          </w:p>
        </w:tc>
        <w:tc>
          <w:tcPr>
            <w:tcW w:w="717" w:type="pct"/>
            <w:shd w:val="clear" w:color="auto" w:fill="auto"/>
          </w:tcPr>
          <w:p w:rsidR="00195356" w:rsidRPr="0012760D" w:rsidRDefault="00195356" w:rsidP="00D82E05">
            <w:pPr>
              <w:jc w:val="right"/>
              <w:rPr>
                <w:sz w:val="24"/>
                <w:szCs w:val="24"/>
              </w:rPr>
            </w:pPr>
            <w:r w:rsidRPr="0012760D">
              <w:rPr>
                <w:sz w:val="24"/>
                <w:szCs w:val="24"/>
              </w:rPr>
              <w:t>32,297</w:t>
            </w:r>
          </w:p>
        </w:tc>
      </w:tr>
      <w:tr w:rsidR="00195356" w:rsidRPr="0012760D" w:rsidTr="00D82E05">
        <w:tblPrEx>
          <w:tblCellMar>
            <w:top w:w="0" w:type="dxa"/>
            <w:bottom w:w="0" w:type="dxa"/>
          </w:tblCellMar>
        </w:tblPrEx>
        <w:trPr>
          <w:trHeight w:val="826"/>
        </w:trPr>
        <w:tc>
          <w:tcPr>
            <w:tcW w:w="166" w:type="pct"/>
            <w:shd w:val="clear" w:color="auto" w:fill="auto"/>
          </w:tcPr>
          <w:p w:rsidR="00195356" w:rsidRPr="0012760D" w:rsidRDefault="00195356" w:rsidP="00D82E05">
            <w:pPr>
              <w:rPr>
                <w:sz w:val="24"/>
                <w:szCs w:val="24"/>
              </w:rPr>
            </w:pPr>
            <w:r w:rsidRPr="0012760D">
              <w:rPr>
                <w:sz w:val="24"/>
                <w:szCs w:val="24"/>
              </w:rPr>
              <w:t>11</w:t>
            </w:r>
          </w:p>
        </w:tc>
        <w:tc>
          <w:tcPr>
            <w:tcW w:w="252" w:type="pct"/>
            <w:shd w:val="clear" w:color="auto" w:fill="auto"/>
          </w:tcPr>
          <w:p w:rsidR="00195356" w:rsidRPr="0012760D" w:rsidRDefault="00195356" w:rsidP="00D82E05">
            <w:pPr>
              <w:rPr>
                <w:sz w:val="24"/>
                <w:szCs w:val="24"/>
              </w:rPr>
            </w:pPr>
            <w:r w:rsidRPr="0012760D">
              <w:rPr>
                <w:sz w:val="24"/>
                <w:szCs w:val="24"/>
              </w:rPr>
              <w:t>7267</w:t>
            </w:r>
          </w:p>
        </w:tc>
        <w:tc>
          <w:tcPr>
            <w:tcW w:w="1029" w:type="pct"/>
            <w:shd w:val="clear" w:color="auto" w:fill="auto"/>
          </w:tcPr>
          <w:p w:rsidR="00195356" w:rsidRPr="0012760D" w:rsidRDefault="00195356" w:rsidP="00D82E05">
            <w:pPr>
              <w:rPr>
                <w:sz w:val="24"/>
                <w:szCs w:val="24"/>
              </w:rPr>
            </w:pPr>
            <w:r w:rsidRPr="0012760D">
              <w:rPr>
                <w:sz w:val="24"/>
                <w:szCs w:val="24"/>
              </w:rPr>
              <w:t>Resource Efficiency Horizon Scan</w:t>
            </w:r>
          </w:p>
        </w:tc>
        <w:tc>
          <w:tcPr>
            <w:tcW w:w="1750" w:type="pct"/>
            <w:shd w:val="clear" w:color="auto" w:fill="auto"/>
          </w:tcPr>
          <w:p w:rsidR="00195356" w:rsidRPr="0012760D" w:rsidRDefault="00195356" w:rsidP="00D82E05">
            <w:pPr>
              <w:rPr>
                <w:sz w:val="24"/>
                <w:szCs w:val="24"/>
              </w:rPr>
            </w:pPr>
            <w:r w:rsidRPr="0012760D">
              <w:rPr>
                <w:sz w:val="24"/>
                <w:szCs w:val="24"/>
              </w:rPr>
              <w:t>A "horizon scan" of emerging issues and solutions in the Resource Efficiency area which are of relevance to Sustainability Victoria, beyond its current strategic plan ofSV2015</w:t>
            </w:r>
          </w:p>
        </w:tc>
        <w:tc>
          <w:tcPr>
            <w:tcW w:w="563" w:type="pct"/>
            <w:shd w:val="clear" w:color="auto" w:fill="auto"/>
          </w:tcPr>
          <w:p w:rsidR="00195356" w:rsidRPr="0012760D" w:rsidRDefault="00195356" w:rsidP="00D82E05">
            <w:pPr>
              <w:jc w:val="right"/>
              <w:rPr>
                <w:sz w:val="24"/>
                <w:szCs w:val="24"/>
              </w:rPr>
            </w:pPr>
            <w:r w:rsidRPr="0012760D">
              <w:rPr>
                <w:sz w:val="24"/>
                <w:szCs w:val="24"/>
              </w:rPr>
              <w:t>49,712</w:t>
            </w:r>
          </w:p>
        </w:tc>
        <w:tc>
          <w:tcPr>
            <w:tcW w:w="523" w:type="pct"/>
            <w:shd w:val="clear" w:color="auto" w:fill="auto"/>
          </w:tcPr>
          <w:p w:rsidR="00195356" w:rsidRPr="0012760D" w:rsidRDefault="00195356" w:rsidP="00D82E05">
            <w:pPr>
              <w:jc w:val="right"/>
              <w:rPr>
                <w:sz w:val="24"/>
                <w:szCs w:val="24"/>
              </w:rPr>
            </w:pPr>
            <w:r w:rsidRPr="0012760D">
              <w:rPr>
                <w:sz w:val="24"/>
                <w:szCs w:val="24"/>
              </w:rPr>
              <w:t>49,712</w:t>
            </w:r>
          </w:p>
        </w:tc>
        <w:tc>
          <w:tcPr>
            <w:tcW w:w="717" w:type="pct"/>
            <w:shd w:val="clear" w:color="auto" w:fill="auto"/>
          </w:tcPr>
          <w:p w:rsidR="00195356" w:rsidRPr="0012760D" w:rsidRDefault="00195356" w:rsidP="00D82E05">
            <w:pPr>
              <w:jc w:val="right"/>
              <w:rPr>
                <w:sz w:val="24"/>
                <w:szCs w:val="24"/>
              </w:rPr>
            </w:pPr>
            <w:r w:rsidRPr="0012760D">
              <w:rPr>
                <w:sz w:val="24"/>
                <w:szCs w:val="24"/>
              </w:rPr>
              <w:t>0</w:t>
            </w:r>
          </w:p>
        </w:tc>
      </w:tr>
      <w:tr w:rsidR="00195356" w:rsidRPr="0012760D" w:rsidTr="00D82E05">
        <w:tblPrEx>
          <w:tblCellMar>
            <w:top w:w="0" w:type="dxa"/>
            <w:bottom w:w="0" w:type="dxa"/>
          </w:tblCellMar>
        </w:tblPrEx>
        <w:trPr>
          <w:trHeight w:val="830"/>
        </w:trPr>
        <w:tc>
          <w:tcPr>
            <w:tcW w:w="166" w:type="pct"/>
            <w:shd w:val="clear" w:color="auto" w:fill="auto"/>
          </w:tcPr>
          <w:p w:rsidR="00195356" w:rsidRPr="0012760D" w:rsidRDefault="00195356" w:rsidP="00D82E05">
            <w:pPr>
              <w:rPr>
                <w:sz w:val="24"/>
                <w:szCs w:val="24"/>
              </w:rPr>
            </w:pPr>
            <w:r w:rsidRPr="0012760D">
              <w:rPr>
                <w:sz w:val="24"/>
                <w:szCs w:val="24"/>
              </w:rPr>
              <w:t>12</w:t>
            </w:r>
          </w:p>
        </w:tc>
        <w:tc>
          <w:tcPr>
            <w:tcW w:w="252" w:type="pct"/>
            <w:shd w:val="clear" w:color="auto" w:fill="auto"/>
          </w:tcPr>
          <w:p w:rsidR="00195356" w:rsidRPr="0012760D" w:rsidRDefault="00195356" w:rsidP="00D82E05">
            <w:pPr>
              <w:rPr>
                <w:sz w:val="24"/>
                <w:szCs w:val="24"/>
              </w:rPr>
            </w:pPr>
            <w:r w:rsidRPr="0012760D">
              <w:rPr>
                <w:sz w:val="24"/>
                <w:szCs w:val="24"/>
              </w:rPr>
              <w:t>7163</w:t>
            </w:r>
          </w:p>
        </w:tc>
        <w:tc>
          <w:tcPr>
            <w:tcW w:w="1029" w:type="pct"/>
            <w:shd w:val="clear" w:color="auto" w:fill="auto"/>
          </w:tcPr>
          <w:p w:rsidR="00195356" w:rsidRPr="0012760D" w:rsidRDefault="00195356" w:rsidP="00D82E05">
            <w:pPr>
              <w:rPr>
                <w:sz w:val="24"/>
                <w:szCs w:val="24"/>
              </w:rPr>
            </w:pPr>
            <w:r w:rsidRPr="0012760D">
              <w:rPr>
                <w:sz w:val="24"/>
                <w:szCs w:val="24"/>
              </w:rPr>
              <w:t>Waste flows in the Victorian commercial and industrial sector.</w:t>
            </w:r>
          </w:p>
        </w:tc>
        <w:tc>
          <w:tcPr>
            <w:tcW w:w="1750" w:type="pct"/>
            <w:shd w:val="clear" w:color="auto" w:fill="auto"/>
          </w:tcPr>
          <w:p w:rsidR="00195356" w:rsidRPr="0012760D" w:rsidRDefault="00195356" w:rsidP="00D82E05">
            <w:pPr>
              <w:rPr>
                <w:sz w:val="24"/>
                <w:szCs w:val="24"/>
              </w:rPr>
            </w:pPr>
            <w:r w:rsidRPr="0012760D">
              <w:rPr>
                <w:sz w:val="24"/>
                <w:szCs w:val="24"/>
              </w:rPr>
              <w:t>An assessment of the commercial and industrial (</w:t>
            </w:r>
            <w:r w:rsidR="00932E3A">
              <w:rPr>
                <w:sz w:val="24"/>
                <w:szCs w:val="24"/>
              </w:rPr>
              <w:t>C and L</w:t>
            </w:r>
            <w:r w:rsidRPr="0012760D">
              <w:rPr>
                <w:sz w:val="24"/>
                <w:szCs w:val="24"/>
              </w:rPr>
              <w:t>) waste stream in Victoria to identify sources of waste generation and the associated waste reduction and resource recovery opportunities.</w:t>
            </w:r>
          </w:p>
        </w:tc>
        <w:tc>
          <w:tcPr>
            <w:tcW w:w="563" w:type="pct"/>
            <w:shd w:val="clear" w:color="auto" w:fill="auto"/>
          </w:tcPr>
          <w:p w:rsidR="00195356" w:rsidRPr="0012760D" w:rsidRDefault="00195356" w:rsidP="00D82E05">
            <w:pPr>
              <w:jc w:val="right"/>
              <w:rPr>
                <w:sz w:val="24"/>
                <w:szCs w:val="24"/>
              </w:rPr>
            </w:pPr>
            <w:r w:rsidRPr="0012760D">
              <w:rPr>
                <w:sz w:val="24"/>
                <w:szCs w:val="24"/>
              </w:rPr>
              <w:t>131,490</w:t>
            </w:r>
          </w:p>
        </w:tc>
        <w:tc>
          <w:tcPr>
            <w:tcW w:w="523" w:type="pct"/>
            <w:shd w:val="clear" w:color="auto" w:fill="auto"/>
          </w:tcPr>
          <w:p w:rsidR="00195356" w:rsidRPr="0012760D" w:rsidRDefault="00195356" w:rsidP="00D82E05">
            <w:pPr>
              <w:jc w:val="right"/>
              <w:rPr>
                <w:sz w:val="24"/>
                <w:szCs w:val="24"/>
              </w:rPr>
            </w:pPr>
            <w:r w:rsidRPr="0012760D">
              <w:rPr>
                <w:sz w:val="24"/>
                <w:szCs w:val="24"/>
              </w:rPr>
              <w:t>131,490</w:t>
            </w:r>
          </w:p>
        </w:tc>
        <w:tc>
          <w:tcPr>
            <w:tcW w:w="717" w:type="pct"/>
            <w:shd w:val="clear" w:color="auto" w:fill="auto"/>
          </w:tcPr>
          <w:p w:rsidR="00195356" w:rsidRPr="0012760D" w:rsidRDefault="00195356" w:rsidP="00D82E05">
            <w:pPr>
              <w:jc w:val="right"/>
              <w:rPr>
                <w:sz w:val="24"/>
                <w:szCs w:val="24"/>
              </w:rPr>
            </w:pPr>
            <w:r w:rsidRPr="0012760D">
              <w:rPr>
                <w:sz w:val="24"/>
                <w:szCs w:val="24"/>
              </w:rPr>
              <w:t>0</w:t>
            </w:r>
          </w:p>
        </w:tc>
      </w:tr>
      <w:tr w:rsidR="00195356" w:rsidRPr="0012760D" w:rsidTr="00D82E05">
        <w:tblPrEx>
          <w:tblCellMar>
            <w:top w:w="0" w:type="dxa"/>
            <w:bottom w:w="0" w:type="dxa"/>
          </w:tblCellMar>
        </w:tblPrEx>
        <w:trPr>
          <w:trHeight w:val="1133"/>
        </w:trPr>
        <w:tc>
          <w:tcPr>
            <w:tcW w:w="166" w:type="pct"/>
            <w:shd w:val="clear" w:color="auto" w:fill="auto"/>
          </w:tcPr>
          <w:p w:rsidR="00195356" w:rsidRPr="0012760D" w:rsidRDefault="00195356" w:rsidP="00D82E05">
            <w:pPr>
              <w:rPr>
                <w:sz w:val="24"/>
                <w:szCs w:val="24"/>
              </w:rPr>
            </w:pPr>
            <w:r w:rsidRPr="0012760D">
              <w:rPr>
                <w:sz w:val="24"/>
                <w:szCs w:val="24"/>
              </w:rPr>
              <w:t>13</w:t>
            </w:r>
          </w:p>
        </w:tc>
        <w:tc>
          <w:tcPr>
            <w:tcW w:w="252" w:type="pct"/>
            <w:shd w:val="clear" w:color="auto" w:fill="auto"/>
          </w:tcPr>
          <w:p w:rsidR="00195356" w:rsidRPr="0012760D" w:rsidRDefault="00195356" w:rsidP="00D82E05">
            <w:pPr>
              <w:rPr>
                <w:sz w:val="24"/>
                <w:szCs w:val="24"/>
              </w:rPr>
            </w:pPr>
            <w:r w:rsidRPr="0012760D">
              <w:rPr>
                <w:sz w:val="24"/>
                <w:szCs w:val="24"/>
              </w:rPr>
              <w:t>7443</w:t>
            </w:r>
          </w:p>
        </w:tc>
        <w:tc>
          <w:tcPr>
            <w:tcW w:w="1029" w:type="pct"/>
            <w:shd w:val="clear" w:color="auto" w:fill="auto"/>
          </w:tcPr>
          <w:p w:rsidR="00195356" w:rsidRPr="0012760D" w:rsidRDefault="00195356" w:rsidP="00D82E05">
            <w:pPr>
              <w:rPr>
                <w:sz w:val="24"/>
                <w:szCs w:val="24"/>
              </w:rPr>
            </w:pPr>
            <w:r w:rsidRPr="0012760D">
              <w:rPr>
                <w:sz w:val="24"/>
                <w:szCs w:val="24"/>
              </w:rPr>
              <w:t>Organic wastes to agricultural land regulatory framework mapping</w:t>
            </w:r>
          </w:p>
        </w:tc>
        <w:tc>
          <w:tcPr>
            <w:tcW w:w="1750" w:type="pct"/>
            <w:shd w:val="clear" w:color="auto" w:fill="auto"/>
          </w:tcPr>
          <w:p w:rsidR="00195356" w:rsidRPr="0012760D" w:rsidRDefault="00195356" w:rsidP="00D82E05">
            <w:pPr>
              <w:rPr>
                <w:sz w:val="24"/>
                <w:szCs w:val="24"/>
              </w:rPr>
            </w:pPr>
            <w:r w:rsidRPr="0012760D">
              <w:rPr>
                <w:sz w:val="24"/>
                <w:szCs w:val="24"/>
              </w:rPr>
              <w:t>Review of key state and federal legislation, policies and guidelines relevant to the processing of organic waste material on agricultural land and at transfer stations, as well as the application to land of organics wastes processed and raw in the state of Victoria</w:t>
            </w:r>
          </w:p>
        </w:tc>
        <w:tc>
          <w:tcPr>
            <w:tcW w:w="563" w:type="pct"/>
            <w:shd w:val="clear" w:color="auto" w:fill="auto"/>
          </w:tcPr>
          <w:p w:rsidR="00195356" w:rsidRPr="0012760D" w:rsidRDefault="00195356" w:rsidP="00D82E05">
            <w:pPr>
              <w:jc w:val="right"/>
              <w:rPr>
                <w:sz w:val="24"/>
                <w:szCs w:val="24"/>
              </w:rPr>
            </w:pPr>
            <w:r w:rsidRPr="0012760D">
              <w:rPr>
                <w:sz w:val="24"/>
                <w:szCs w:val="24"/>
              </w:rPr>
              <w:t>19,820</w:t>
            </w:r>
          </w:p>
        </w:tc>
        <w:tc>
          <w:tcPr>
            <w:tcW w:w="523" w:type="pct"/>
            <w:shd w:val="clear" w:color="auto" w:fill="auto"/>
          </w:tcPr>
          <w:p w:rsidR="00195356" w:rsidRPr="0012760D" w:rsidRDefault="00195356" w:rsidP="00D82E05">
            <w:pPr>
              <w:jc w:val="right"/>
              <w:rPr>
                <w:sz w:val="24"/>
                <w:szCs w:val="24"/>
              </w:rPr>
            </w:pPr>
            <w:r w:rsidRPr="0012760D">
              <w:rPr>
                <w:sz w:val="24"/>
                <w:szCs w:val="24"/>
              </w:rPr>
              <w:t>10,940</w:t>
            </w:r>
          </w:p>
        </w:tc>
        <w:tc>
          <w:tcPr>
            <w:tcW w:w="717" w:type="pct"/>
            <w:shd w:val="clear" w:color="auto" w:fill="auto"/>
          </w:tcPr>
          <w:p w:rsidR="00195356" w:rsidRPr="0012760D" w:rsidRDefault="00195356" w:rsidP="00D82E05">
            <w:pPr>
              <w:jc w:val="right"/>
              <w:rPr>
                <w:sz w:val="24"/>
                <w:szCs w:val="24"/>
              </w:rPr>
            </w:pPr>
            <w:r w:rsidRPr="0012760D">
              <w:rPr>
                <w:sz w:val="24"/>
                <w:szCs w:val="24"/>
              </w:rPr>
              <w:t>8,880</w:t>
            </w:r>
          </w:p>
        </w:tc>
      </w:tr>
    </w:tbl>
    <w:p w:rsidR="001813F1" w:rsidRPr="0012760D" w:rsidRDefault="001813F1" w:rsidP="0078679E">
      <w:pPr>
        <w:rPr>
          <w:sz w:val="24"/>
          <w:szCs w:val="24"/>
        </w:rPr>
      </w:pPr>
    </w:p>
    <w:p w:rsidR="00195356" w:rsidRPr="0012760D" w:rsidRDefault="00195356" w:rsidP="0078679E">
      <w:pPr>
        <w:rPr>
          <w:sz w:val="24"/>
          <w:szCs w:val="24"/>
        </w:rPr>
        <w:sectPr w:rsidR="00195356" w:rsidRPr="0012760D" w:rsidSect="00195356">
          <w:pgSz w:w="16834" w:h="11909" w:orient="landscape"/>
          <w:pgMar w:top="1440" w:right="1440" w:bottom="1440" w:left="1440" w:header="720" w:footer="720" w:gutter="0"/>
          <w:cols w:space="720"/>
          <w:noEndnote/>
          <w:docGrid w:linePitch="272"/>
        </w:sectPr>
      </w:pPr>
    </w:p>
    <w:p w:rsidR="00B42166" w:rsidRDefault="00B42166" w:rsidP="00B42166">
      <w:pPr>
        <w:rPr>
          <w:bCs/>
          <w:sz w:val="24"/>
          <w:szCs w:val="24"/>
          <w:lang w:val="en-US"/>
        </w:rPr>
      </w:pPr>
      <w:r w:rsidRPr="0012760D">
        <w:rPr>
          <w:bCs/>
          <w:sz w:val="24"/>
          <w:szCs w:val="24"/>
          <w:lang w:val="en-US"/>
        </w:rPr>
        <w:lastRenderedPageBreak/>
        <w:t>&lt;pp&gt; 32</w:t>
      </w:r>
    </w:p>
    <w:p w:rsidR="00E750D5" w:rsidRDefault="00E750D5" w:rsidP="00B42166">
      <w:pPr>
        <w:rPr>
          <w:bCs/>
          <w:sz w:val="24"/>
          <w:szCs w:val="24"/>
          <w:lang w:val="en-US"/>
        </w:rPr>
      </w:pPr>
    </w:p>
    <w:p w:rsidR="00E750D5" w:rsidRPr="0012760D" w:rsidRDefault="00E750D5" w:rsidP="00B42166">
      <w:pPr>
        <w:rPr>
          <w:sz w:val="24"/>
          <w:szCs w:val="24"/>
        </w:rPr>
      </w:pPr>
    </w:p>
    <w:p w:rsidR="00B42166" w:rsidRDefault="00B42166" w:rsidP="00E750D5">
      <w:pPr>
        <w:pStyle w:val="Heading1"/>
        <w:rPr>
          <w:lang w:val="en-US"/>
        </w:rPr>
      </w:pPr>
      <w:r w:rsidRPr="0012760D">
        <w:rPr>
          <w:lang w:val="en-US"/>
        </w:rPr>
        <w:t>Part 6</w:t>
      </w:r>
      <w:r w:rsidR="00E750D5">
        <w:rPr>
          <w:lang w:val="en-US"/>
        </w:rPr>
        <w:br/>
      </w:r>
      <w:r w:rsidRPr="0012760D">
        <w:rPr>
          <w:lang w:val="en-US"/>
        </w:rPr>
        <w:t>Annual Financial</w:t>
      </w:r>
      <w:r w:rsidRPr="0012760D">
        <w:t xml:space="preserve"> </w:t>
      </w:r>
      <w:r w:rsidRPr="0012760D">
        <w:rPr>
          <w:lang w:val="en-US"/>
        </w:rPr>
        <w:t>Statements</w:t>
      </w:r>
    </w:p>
    <w:p w:rsidR="00E750D5" w:rsidRPr="0012760D" w:rsidRDefault="00E750D5" w:rsidP="00B42166">
      <w:pPr>
        <w:rPr>
          <w:sz w:val="24"/>
          <w:szCs w:val="24"/>
        </w:rPr>
      </w:pPr>
    </w:p>
    <w:p w:rsidR="00B42166" w:rsidRPr="0012760D" w:rsidRDefault="00B42166" w:rsidP="00E750D5">
      <w:pPr>
        <w:pStyle w:val="Heading2"/>
        <w:rPr>
          <w:lang w:val="en-US"/>
        </w:rPr>
      </w:pPr>
      <w:r w:rsidRPr="0012760D">
        <w:rPr>
          <w:lang w:val="en-US"/>
        </w:rPr>
        <w:t>Comprehensive Operating Statement for the Financial Year Ended 30 June 2013</w:t>
      </w:r>
    </w:p>
    <w:p w:rsidR="00B42166" w:rsidRPr="0012760D" w:rsidRDefault="00B42166" w:rsidP="00B42166">
      <w:pPr>
        <w:rPr>
          <w:sz w:val="24"/>
          <w:szCs w:val="24"/>
        </w:rPr>
      </w:pPr>
    </w:p>
    <w:tbl>
      <w:tblPr>
        <w:tblW w:w="9360" w:type="dxa"/>
        <w:tblInd w:w="4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40" w:type="dxa"/>
          <w:right w:w="40" w:type="dxa"/>
        </w:tblCellMar>
        <w:tblLook w:val="0000" w:firstRow="0" w:lastRow="0" w:firstColumn="0" w:lastColumn="0" w:noHBand="0" w:noVBand="0"/>
      </w:tblPr>
      <w:tblGrid>
        <w:gridCol w:w="5011"/>
        <w:gridCol w:w="965"/>
        <w:gridCol w:w="1679"/>
        <w:gridCol w:w="20"/>
        <w:gridCol w:w="1685"/>
      </w:tblGrid>
      <w:tr w:rsidR="00B42166" w:rsidRPr="0012760D" w:rsidTr="00D82E05">
        <w:tblPrEx>
          <w:tblCellMar>
            <w:top w:w="0" w:type="dxa"/>
            <w:bottom w:w="0" w:type="dxa"/>
          </w:tblCellMar>
        </w:tblPrEx>
        <w:tc>
          <w:tcPr>
            <w:tcW w:w="5011" w:type="dxa"/>
            <w:shd w:val="clear" w:color="auto" w:fill="auto"/>
          </w:tcPr>
          <w:p w:rsidR="00B42166" w:rsidRPr="0012760D" w:rsidRDefault="00B42166" w:rsidP="00D82E05">
            <w:pPr>
              <w:rPr>
                <w:sz w:val="24"/>
                <w:szCs w:val="24"/>
              </w:rPr>
            </w:pPr>
          </w:p>
        </w:tc>
        <w:tc>
          <w:tcPr>
            <w:tcW w:w="965" w:type="dxa"/>
            <w:shd w:val="clear" w:color="auto" w:fill="auto"/>
          </w:tcPr>
          <w:p w:rsidR="00B42166" w:rsidRPr="0012760D" w:rsidRDefault="00B42166" w:rsidP="00D82E05">
            <w:pPr>
              <w:rPr>
                <w:sz w:val="24"/>
                <w:szCs w:val="24"/>
              </w:rPr>
            </w:pPr>
            <w:r w:rsidRPr="0012760D">
              <w:rPr>
                <w:bCs/>
                <w:sz w:val="24"/>
                <w:szCs w:val="24"/>
                <w:lang w:val="en-US"/>
              </w:rPr>
              <w:t>Notes</w:t>
            </w:r>
          </w:p>
        </w:tc>
        <w:tc>
          <w:tcPr>
            <w:tcW w:w="1699" w:type="dxa"/>
            <w:gridSpan w:val="2"/>
            <w:shd w:val="clear" w:color="auto" w:fill="auto"/>
          </w:tcPr>
          <w:p w:rsidR="00B42166" w:rsidRPr="0012760D" w:rsidRDefault="00B42166" w:rsidP="00D82E05">
            <w:pPr>
              <w:jc w:val="right"/>
              <w:rPr>
                <w:sz w:val="24"/>
                <w:szCs w:val="24"/>
              </w:rPr>
            </w:pPr>
            <w:r w:rsidRPr="0012760D">
              <w:rPr>
                <w:bCs/>
                <w:sz w:val="24"/>
                <w:szCs w:val="24"/>
                <w:lang w:val="en-US"/>
              </w:rPr>
              <w:t>2013 $</w:t>
            </w:r>
          </w:p>
        </w:tc>
        <w:tc>
          <w:tcPr>
            <w:tcW w:w="1685" w:type="dxa"/>
            <w:shd w:val="clear" w:color="auto" w:fill="auto"/>
          </w:tcPr>
          <w:p w:rsidR="00B42166" w:rsidRPr="0012760D" w:rsidRDefault="00B42166" w:rsidP="00D82E05">
            <w:pPr>
              <w:jc w:val="right"/>
              <w:rPr>
                <w:sz w:val="24"/>
                <w:szCs w:val="24"/>
              </w:rPr>
            </w:pPr>
            <w:r w:rsidRPr="0012760D">
              <w:rPr>
                <w:bCs/>
                <w:sz w:val="24"/>
                <w:szCs w:val="24"/>
                <w:lang w:val="en-US"/>
              </w:rPr>
              <w:t>2012 $</w:t>
            </w:r>
          </w:p>
        </w:tc>
      </w:tr>
      <w:tr w:rsidR="00B42166" w:rsidRPr="0012760D" w:rsidTr="00D82E05">
        <w:tblPrEx>
          <w:tblCellMar>
            <w:top w:w="0" w:type="dxa"/>
            <w:bottom w:w="0" w:type="dxa"/>
          </w:tblCellMar>
        </w:tblPrEx>
        <w:tc>
          <w:tcPr>
            <w:tcW w:w="9360" w:type="dxa"/>
            <w:gridSpan w:val="5"/>
            <w:shd w:val="clear" w:color="auto" w:fill="auto"/>
          </w:tcPr>
          <w:p w:rsidR="00B42166" w:rsidRPr="0012760D" w:rsidRDefault="00B42166" w:rsidP="00D82E05">
            <w:pPr>
              <w:rPr>
                <w:b/>
                <w:sz w:val="24"/>
                <w:szCs w:val="24"/>
              </w:rPr>
            </w:pPr>
            <w:r w:rsidRPr="0012760D">
              <w:rPr>
                <w:b/>
                <w:bCs/>
                <w:sz w:val="24"/>
                <w:szCs w:val="24"/>
                <w:lang w:val="en-US"/>
              </w:rPr>
              <w:t>Income from transactions</w:t>
            </w:r>
          </w:p>
        </w:tc>
      </w:tr>
      <w:tr w:rsidR="00B42166" w:rsidRPr="0012760D" w:rsidTr="00D82E05">
        <w:tblPrEx>
          <w:tblCellMar>
            <w:top w:w="0" w:type="dxa"/>
            <w:bottom w:w="0" w:type="dxa"/>
          </w:tblCellMar>
        </w:tblPrEx>
        <w:tc>
          <w:tcPr>
            <w:tcW w:w="5011" w:type="dxa"/>
            <w:shd w:val="clear" w:color="auto" w:fill="auto"/>
          </w:tcPr>
          <w:p w:rsidR="00B42166" w:rsidRPr="0012760D" w:rsidRDefault="00B42166" w:rsidP="00D82E05">
            <w:pPr>
              <w:rPr>
                <w:sz w:val="24"/>
                <w:szCs w:val="24"/>
              </w:rPr>
            </w:pPr>
            <w:r w:rsidRPr="0012760D">
              <w:rPr>
                <w:sz w:val="24"/>
                <w:szCs w:val="24"/>
                <w:lang w:val="en-US"/>
              </w:rPr>
              <w:t>Landfill levy</w:t>
            </w:r>
          </w:p>
        </w:tc>
        <w:tc>
          <w:tcPr>
            <w:tcW w:w="965" w:type="dxa"/>
            <w:shd w:val="clear" w:color="auto" w:fill="auto"/>
          </w:tcPr>
          <w:p w:rsidR="00B42166" w:rsidRPr="0012760D" w:rsidRDefault="00B42166" w:rsidP="00D82E05">
            <w:pPr>
              <w:jc w:val="right"/>
              <w:rPr>
                <w:sz w:val="24"/>
                <w:szCs w:val="24"/>
              </w:rPr>
            </w:pPr>
            <w:r w:rsidRPr="0012760D">
              <w:rPr>
                <w:sz w:val="24"/>
                <w:szCs w:val="24"/>
                <w:lang w:val="en-US"/>
              </w:rPr>
              <w:t>3</w:t>
            </w:r>
          </w:p>
        </w:tc>
        <w:tc>
          <w:tcPr>
            <w:tcW w:w="1699" w:type="dxa"/>
            <w:gridSpan w:val="2"/>
            <w:shd w:val="clear" w:color="auto" w:fill="auto"/>
          </w:tcPr>
          <w:p w:rsidR="00B42166" w:rsidRPr="0012760D" w:rsidRDefault="00B42166" w:rsidP="00D82E05">
            <w:pPr>
              <w:jc w:val="right"/>
              <w:rPr>
                <w:sz w:val="24"/>
                <w:szCs w:val="24"/>
              </w:rPr>
            </w:pPr>
            <w:r w:rsidRPr="0012760D">
              <w:rPr>
                <w:sz w:val="24"/>
                <w:szCs w:val="24"/>
                <w:lang w:val="en-US"/>
              </w:rPr>
              <w:t>24,075,636</w:t>
            </w:r>
          </w:p>
        </w:tc>
        <w:tc>
          <w:tcPr>
            <w:tcW w:w="1685" w:type="dxa"/>
            <w:shd w:val="clear" w:color="auto" w:fill="auto"/>
          </w:tcPr>
          <w:p w:rsidR="00B42166" w:rsidRPr="0012760D" w:rsidRDefault="00B42166" w:rsidP="00D82E05">
            <w:pPr>
              <w:jc w:val="right"/>
              <w:rPr>
                <w:sz w:val="24"/>
                <w:szCs w:val="24"/>
              </w:rPr>
            </w:pPr>
            <w:r w:rsidRPr="0012760D">
              <w:rPr>
                <w:sz w:val="24"/>
                <w:szCs w:val="24"/>
                <w:lang w:val="en-US"/>
              </w:rPr>
              <w:t>24,733,250</w:t>
            </w:r>
          </w:p>
        </w:tc>
      </w:tr>
      <w:tr w:rsidR="00B42166" w:rsidRPr="0012760D" w:rsidTr="00D82E05">
        <w:tblPrEx>
          <w:tblCellMar>
            <w:top w:w="0" w:type="dxa"/>
            <w:bottom w:w="0" w:type="dxa"/>
          </w:tblCellMar>
        </w:tblPrEx>
        <w:tc>
          <w:tcPr>
            <w:tcW w:w="5011" w:type="dxa"/>
            <w:shd w:val="clear" w:color="auto" w:fill="auto"/>
          </w:tcPr>
          <w:p w:rsidR="00B42166" w:rsidRPr="0012760D" w:rsidRDefault="00B42166" w:rsidP="00D82E05">
            <w:pPr>
              <w:rPr>
                <w:sz w:val="24"/>
                <w:szCs w:val="24"/>
              </w:rPr>
            </w:pPr>
            <w:r w:rsidRPr="0012760D">
              <w:rPr>
                <w:sz w:val="24"/>
                <w:szCs w:val="24"/>
                <w:lang w:val="en-US"/>
              </w:rPr>
              <w:t>Government grants</w:t>
            </w:r>
          </w:p>
        </w:tc>
        <w:tc>
          <w:tcPr>
            <w:tcW w:w="965" w:type="dxa"/>
            <w:shd w:val="clear" w:color="auto" w:fill="auto"/>
          </w:tcPr>
          <w:p w:rsidR="00B42166" w:rsidRPr="0012760D" w:rsidRDefault="00B42166" w:rsidP="00D82E05">
            <w:pPr>
              <w:jc w:val="right"/>
              <w:rPr>
                <w:sz w:val="24"/>
                <w:szCs w:val="24"/>
              </w:rPr>
            </w:pPr>
            <w:r w:rsidRPr="0012760D">
              <w:rPr>
                <w:sz w:val="24"/>
                <w:szCs w:val="24"/>
                <w:lang w:val="en-US"/>
              </w:rPr>
              <w:t>3</w:t>
            </w:r>
          </w:p>
        </w:tc>
        <w:tc>
          <w:tcPr>
            <w:tcW w:w="1699" w:type="dxa"/>
            <w:gridSpan w:val="2"/>
            <w:shd w:val="clear" w:color="auto" w:fill="auto"/>
          </w:tcPr>
          <w:p w:rsidR="00B42166" w:rsidRPr="0012760D" w:rsidRDefault="00B42166" w:rsidP="00D82E05">
            <w:pPr>
              <w:jc w:val="right"/>
              <w:rPr>
                <w:sz w:val="24"/>
                <w:szCs w:val="24"/>
              </w:rPr>
            </w:pPr>
            <w:r w:rsidRPr="0012760D">
              <w:rPr>
                <w:sz w:val="24"/>
                <w:szCs w:val="24"/>
                <w:lang w:val="en-US"/>
              </w:rPr>
              <w:t>13,781,413</w:t>
            </w:r>
          </w:p>
        </w:tc>
        <w:tc>
          <w:tcPr>
            <w:tcW w:w="1685" w:type="dxa"/>
            <w:shd w:val="clear" w:color="auto" w:fill="auto"/>
          </w:tcPr>
          <w:p w:rsidR="00B42166" w:rsidRPr="0012760D" w:rsidRDefault="00B42166" w:rsidP="00D82E05">
            <w:pPr>
              <w:jc w:val="right"/>
              <w:rPr>
                <w:sz w:val="24"/>
                <w:szCs w:val="24"/>
              </w:rPr>
            </w:pPr>
            <w:r w:rsidRPr="0012760D">
              <w:rPr>
                <w:sz w:val="24"/>
                <w:szCs w:val="24"/>
                <w:lang w:val="en-US"/>
              </w:rPr>
              <w:t>17,655,397</w:t>
            </w:r>
          </w:p>
        </w:tc>
      </w:tr>
      <w:tr w:rsidR="00B42166" w:rsidRPr="0012760D" w:rsidTr="00D82E05">
        <w:tblPrEx>
          <w:tblCellMar>
            <w:top w:w="0" w:type="dxa"/>
            <w:bottom w:w="0" w:type="dxa"/>
          </w:tblCellMar>
        </w:tblPrEx>
        <w:tc>
          <w:tcPr>
            <w:tcW w:w="5011" w:type="dxa"/>
            <w:shd w:val="clear" w:color="auto" w:fill="auto"/>
          </w:tcPr>
          <w:p w:rsidR="00B42166" w:rsidRPr="0012760D" w:rsidRDefault="00B42166" w:rsidP="00D82E05">
            <w:pPr>
              <w:rPr>
                <w:sz w:val="24"/>
                <w:szCs w:val="24"/>
              </w:rPr>
            </w:pPr>
            <w:r w:rsidRPr="0012760D">
              <w:rPr>
                <w:sz w:val="24"/>
                <w:szCs w:val="24"/>
                <w:lang w:val="en-US"/>
              </w:rPr>
              <w:t>Other income from government</w:t>
            </w:r>
          </w:p>
        </w:tc>
        <w:tc>
          <w:tcPr>
            <w:tcW w:w="965" w:type="dxa"/>
            <w:shd w:val="clear" w:color="auto" w:fill="auto"/>
          </w:tcPr>
          <w:p w:rsidR="00B42166" w:rsidRPr="0012760D" w:rsidRDefault="00B42166" w:rsidP="00D82E05">
            <w:pPr>
              <w:jc w:val="right"/>
              <w:rPr>
                <w:sz w:val="24"/>
                <w:szCs w:val="24"/>
              </w:rPr>
            </w:pPr>
            <w:r w:rsidRPr="0012760D">
              <w:rPr>
                <w:sz w:val="24"/>
                <w:szCs w:val="24"/>
                <w:lang w:val="en-US"/>
              </w:rPr>
              <w:t>3</w:t>
            </w:r>
          </w:p>
        </w:tc>
        <w:tc>
          <w:tcPr>
            <w:tcW w:w="1699" w:type="dxa"/>
            <w:gridSpan w:val="2"/>
            <w:shd w:val="clear" w:color="auto" w:fill="auto"/>
          </w:tcPr>
          <w:p w:rsidR="00B42166" w:rsidRPr="0012760D" w:rsidRDefault="00B42166" w:rsidP="00D82E05">
            <w:pPr>
              <w:jc w:val="right"/>
              <w:rPr>
                <w:sz w:val="24"/>
                <w:szCs w:val="24"/>
              </w:rPr>
            </w:pPr>
            <w:r w:rsidRPr="0012760D">
              <w:rPr>
                <w:sz w:val="24"/>
                <w:szCs w:val="24"/>
                <w:lang w:val="en-US"/>
              </w:rPr>
              <w:t>2,795,000</w:t>
            </w:r>
          </w:p>
        </w:tc>
        <w:tc>
          <w:tcPr>
            <w:tcW w:w="1685" w:type="dxa"/>
            <w:shd w:val="clear" w:color="auto" w:fill="auto"/>
          </w:tcPr>
          <w:p w:rsidR="00B42166" w:rsidRPr="0012760D" w:rsidRDefault="00B42166" w:rsidP="00D82E05">
            <w:pPr>
              <w:jc w:val="right"/>
              <w:rPr>
                <w:sz w:val="24"/>
                <w:szCs w:val="24"/>
              </w:rPr>
            </w:pPr>
            <w:r w:rsidRPr="0012760D">
              <w:rPr>
                <w:sz w:val="24"/>
                <w:szCs w:val="24"/>
                <w:lang w:val="en-US"/>
              </w:rPr>
              <w:t>3,323,450</w:t>
            </w:r>
          </w:p>
        </w:tc>
      </w:tr>
      <w:tr w:rsidR="00B42166" w:rsidRPr="0012760D" w:rsidTr="00D82E05">
        <w:tblPrEx>
          <w:tblCellMar>
            <w:top w:w="0" w:type="dxa"/>
            <w:bottom w:w="0" w:type="dxa"/>
          </w:tblCellMar>
        </w:tblPrEx>
        <w:tc>
          <w:tcPr>
            <w:tcW w:w="5011" w:type="dxa"/>
            <w:shd w:val="clear" w:color="auto" w:fill="auto"/>
          </w:tcPr>
          <w:p w:rsidR="00B42166" w:rsidRPr="0012760D" w:rsidRDefault="00B42166" w:rsidP="00D82E05">
            <w:pPr>
              <w:rPr>
                <w:sz w:val="24"/>
                <w:szCs w:val="24"/>
              </w:rPr>
            </w:pPr>
            <w:r w:rsidRPr="0012760D">
              <w:rPr>
                <w:sz w:val="24"/>
                <w:szCs w:val="24"/>
                <w:lang w:val="en-US"/>
              </w:rPr>
              <w:t>Interest</w:t>
            </w:r>
          </w:p>
        </w:tc>
        <w:tc>
          <w:tcPr>
            <w:tcW w:w="965" w:type="dxa"/>
            <w:shd w:val="clear" w:color="auto" w:fill="auto"/>
          </w:tcPr>
          <w:p w:rsidR="00B42166" w:rsidRPr="0012760D" w:rsidRDefault="00B42166" w:rsidP="00D82E05">
            <w:pPr>
              <w:jc w:val="right"/>
              <w:rPr>
                <w:sz w:val="24"/>
                <w:szCs w:val="24"/>
              </w:rPr>
            </w:pPr>
            <w:r w:rsidRPr="0012760D">
              <w:rPr>
                <w:sz w:val="24"/>
                <w:szCs w:val="24"/>
                <w:lang w:val="en-US"/>
              </w:rPr>
              <w:t>3</w:t>
            </w:r>
          </w:p>
        </w:tc>
        <w:tc>
          <w:tcPr>
            <w:tcW w:w="1699" w:type="dxa"/>
            <w:gridSpan w:val="2"/>
            <w:shd w:val="clear" w:color="auto" w:fill="auto"/>
          </w:tcPr>
          <w:p w:rsidR="00B42166" w:rsidRPr="0012760D" w:rsidRDefault="00B42166" w:rsidP="00D82E05">
            <w:pPr>
              <w:jc w:val="right"/>
              <w:rPr>
                <w:sz w:val="24"/>
                <w:szCs w:val="24"/>
              </w:rPr>
            </w:pPr>
            <w:r w:rsidRPr="0012760D">
              <w:rPr>
                <w:sz w:val="24"/>
                <w:szCs w:val="24"/>
                <w:lang w:val="en-US"/>
              </w:rPr>
              <w:t>1,017,076</w:t>
            </w:r>
          </w:p>
        </w:tc>
        <w:tc>
          <w:tcPr>
            <w:tcW w:w="1685" w:type="dxa"/>
            <w:shd w:val="clear" w:color="auto" w:fill="auto"/>
          </w:tcPr>
          <w:p w:rsidR="00B42166" w:rsidRPr="0012760D" w:rsidRDefault="00B42166" w:rsidP="00D82E05">
            <w:pPr>
              <w:jc w:val="right"/>
              <w:rPr>
                <w:sz w:val="24"/>
                <w:szCs w:val="24"/>
              </w:rPr>
            </w:pPr>
            <w:r w:rsidRPr="0012760D">
              <w:rPr>
                <w:sz w:val="24"/>
                <w:szCs w:val="24"/>
                <w:lang w:val="en-US"/>
              </w:rPr>
              <w:t>1,045,301</w:t>
            </w:r>
          </w:p>
        </w:tc>
      </w:tr>
      <w:tr w:rsidR="00B42166" w:rsidRPr="0012760D" w:rsidTr="00D82E05">
        <w:tblPrEx>
          <w:tblCellMar>
            <w:top w:w="0" w:type="dxa"/>
            <w:bottom w:w="0" w:type="dxa"/>
          </w:tblCellMar>
        </w:tblPrEx>
        <w:tc>
          <w:tcPr>
            <w:tcW w:w="5011" w:type="dxa"/>
            <w:shd w:val="clear" w:color="auto" w:fill="auto"/>
          </w:tcPr>
          <w:p w:rsidR="00B42166" w:rsidRPr="0012760D" w:rsidRDefault="00B42166" w:rsidP="00D82E05">
            <w:pPr>
              <w:rPr>
                <w:sz w:val="24"/>
                <w:szCs w:val="24"/>
              </w:rPr>
            </w:pPr>
            <w:r w:rsidRPr="0012760D">
              <w:rPr>
                <w:sz w:val="24"/>
                <w:szCs w:val="24"/>
                <w:lang w:val="en-US"/>
              </w:rPr>
              <w:t>Other income</w:t>
            </w:r>
          </w:p>
        </w:tc>
        <w:tc>
          <w:tcPr>
            <w:tcW w:w="965" w:type="dxa"/>
            <w:shd w:val="clear" w:color="auto" w:fill="auto"/>
          </w:tcPr>
          <w:p w:rsidR="00B42166" w:rsidRPr="0012760D" w:rsidRDefault="00B42166" w:rsidP="00D82E05">
            <w:pPr>
              <w:jc w:val="right"/>
              <w:rPr>
                <w:sz w:val="24"/>
                <w:szCs w:val="24"/>
              </w:rPr>
            </w:pPr>
            <w:r w:rsidRPr="0012760D">
              <w:rPr>
                <w:sz w:val="24"/>
                <w:szCs w:val="24"/>
                <w:lang w:val="en-US"/>
              </w:rPr>
              <w:t>3</w:t>
            </w:r>
          </w:p>
        </w:tc>
        <w:tc>
          <w:tcPr>
            <w:tcW w:w="1699" w:type="dxa"/>
            <w:gridSpan w:val="2"/>
            <w:shd w:val="clear" w:color="auto" w:fill="auto"/>
          </w:tcPr>
          <w:p w:rsidR="00B42166" w:rsidRPr="0012760D" w:rsidRDefault="00B42166" w:rsidP="00D82E05">
            <w:pPr>
              <w:jc w:val="right"/>
              <w:rPr>
                <w:sz w:val="24"/>
                <w:szCs w:val="24"/>
              </w:rPr>
            </w:pPr>
            <w:r w:rsidRPr="0012760D">
              <w:rPr>
                <w:sz w:val="24"/>
                <w:szCs w:val="24"/>
                <w:lang w:val="en-US"/>
              </w:rPr>
              <w:t>7,392,635</w:t>
            </w:r>
          </w:p>
        </w:tc>
        <w:tc>
          <w:tcPr>
            <w:tcW w:w="1685" w:type="dxa"/>
            <w:shd w:val="clear" w:color="auto" w:fill="auto"/>
          </w:tcPr>
          <w:p w:rsidR="00B42166" w:rsidRPr="0012760D" w:rsidRDefault="00B42166" w:rsidP="00D82E05">
            <w:pPr>
              <w:jc w:val="right"/>
              <w:rPr>
                <w:sz w:val="24"/>
                <w:szCs w:val="24"/>
              </w:rPr>
            </w:pPr>
            <w:r w:rsidRPr="0012760D">
              <w:rPr>
                <w:sz w:val="24"/>
                <w:szCs w:val="24"/>
                <w:lang w:val="en-US"/>
              </w:rPr>
              <w:t>995,755</w:t>
            </w:r>
          </w:p>
        </w:tc>
      </w:tr>
      <w:tr w:rsidR="00B42166" w:rsidRPr="0012760D" w:rsidTr="00D82E05">
        <w:tblPrEx>
          <w:tblCellMar>
            <w:top w:w="0" w:type="dxa"/>
            <w:bottom w:w="0" w:type="dxa"/>
          </w:tblCellMar>
        </w:tblPrEx>
        <w:tc>
          <w:tcPr>
            <w:tcW w:w="5976" w:type="dxa"/>
            <w:gridSpan w:val="2"/>
            <w:shd w:val="clear" w:color="auto" w:fill="auto"/>
          </w:tcPr>
          <w:p w:rsidR="00B42166" w:rsidRPr="0012760D" w:rsidRDefault="00B42166" w:rsidP="00D82E05">
            <w:pPr>
              <w:rPr>
                <w:sz w:val="24"/>
                <w:szCs w:val="24"/>
              </w:rPr>
            </w:pPr>
            <w:r w:rsidRPr="0012760D">
              <w:rPr>
                <w:bCs/>
                <w:sz w:val="24"/>
                <w:szCs w:val="24"/>
                <w:lang w:val="en-US"/>
              </w:rPr>
              <w:t>Total income from transactions</w:t>
            </w:r>
          </w:p>
        </w:tc>
        <w:tc>
          <w:tcPr>
            <w:tcW w:w="1699" w:type="dxa"/>
            <w:gridSpan w:val="2"/>
            <w:shd w:val="clear" w:color="auto" w:fill="auto"/>
          </w:tcPr>
          <w:p w:rsidR="00B42166" w:rsidRPr="0012760D" w:rsidRDefault="00B42166" w:rsidP="00407410">
            <w:pPr>
              <w:jc w:val="right"/>
              <w:rPr>
                <w:sz w:val="24"/>
                <w:szCs w:val="24"/>
              </w:rPr>
            </w:pPr>
            <w:r w:rsidRPr="0012760D">
              <w:rPr>
                <w:bCs/>
                <w:sz w:val="24"/>
                <w:szCs w:val="24"/>
                <w:lang w:val="en-US"/>
              </w:rPr>
              <w:t>49,061,760</w:t>
            </w:r>
          </w:p>
        </w:tc>
        <w:tc>
          <w:tcPr>
            <w:tcW w:w="1685" w:type="dxa"/>
            <w:shd w:val="clear" w:color="auto" w:fill="auto"/>
          </w:tcPr>
          <w:p w:rsidR="00B42166" w:rsidRPr="0012760D" w:rsidRDefault="00B42166" w:rsidP="00407410">
            <w:pPr>
              <w:jc w:val="right"/>
              <w:rPr>
                <w:sz w:val="24"/>
                <w:szCs w:val="24"/>
              </w:rPr>
            </w:pPr>
            <w:r w:rsidRPr="0012760D">
              <w:rPr>
                <w:bCs/>
                <w:sz w:val="24"/>
                <w:szCs w:val="24"/>
                <w:lang w:val="en-US"/>
              </w:rPr>
              <w:t>47,753,153</w:t>
            </w:r>
          </w:p>
        </w:tc>
      </w:tr>
      <w:tr w:rsidR="00B42166" w:rsidRPr="0012760D" w:rsidTr="00D82E05">
        <w:tblPrEx>
          <w:tblCellMar>
            <w:top w:w="0" w:type="dxa"/>
            <w:bottom w:w="0" w:type="dxa"/>
          </w:tblCellMar>
        </w:tblPrEx>
        <w:tc>
          <w:tcPr>
            <w:tcW w:w="9360" w:type="dxa"/>
            <w:gridSpan w:val="5"/>
            <w:shd w:val="clear" w:color="auto" w:fill="auto"/>
          </w:tcPr>
          <w:p w:rsidR="00B42166" w:rsidRPr="0012760D" w:rsidRDefault="00B42166" w:rsidP="00D82E05">
            <w:pPr>
              <w:rPr>
                <w:b/>
                <w:sz w:val="24"/>
                <w:szCs w:val="24"/>
              </w:rPr>
            </w:pPr>
            <w:r w:rsidRPr="0012760D">
              <w:rPr>
                <w:b/>
                <w:bCs/>
                <w:sz w:val="24"/>
                <w:szCs w:val="24"/>
                <w:lang w:val="en-US"/>
              </w:rPr>
              <w:t>Expenses from transactions</w:t>
            </w:r>
          </w:p>
        </w:tc>
      </w:tr>
      <w:tr w:rsidR="00B42166" w:rsidRPr="0012760D" w:rsidTr="00D82E05">
        <w:tblPrEx>
          <w:tblCellMar>
            <w:top w:w="0" w:type="dxa"/>
            <w:bottom w:w="0" w:type="dxa"/>
          </w:tblCellMar>
        </w:tblPrEx>
        <w:tc>
          <w:tcPr>
            <w:tcW w:w="5011" w:type="dxa"/>
            <w:shd w:val="clear" w:color="auto" w:fill="auto"/>
          </w:tcPr>
          <w:p w:rsidR="00B42166" w:rsidRPr="0012760D" w:rsidRDefault="00B42166" w:rsidP="00D82E05">
            <w:pPr>
              <w:rPr>
                <w:sz w:val="24"/>
                <w:szCs w:val="24"/>
              </w:rPr>
            </w:pPr>
            <w:r w:rsidRPr="0012760D">
              <w:rPr>
                <w:sz w:val="24"/>
                <w:szCs w:val="24"/>
                <w:lang w:val="en-US"/>
              </w:rPr>
              <w:t>Program expenses</w:t>
            </w:r>
          </w:p>
        </w:tc>
        <w:tc>
          <w:tcPr>
            <w:tcW w:w="965" w:type="dxa"/>
            <w:shd w:val="clear" w:color="auto" w:fill="auto"/>
          </w:tcPr>
          <w:p w:rsidR="00B42166" w:rsidRPr="0012760D" w:rsidRDefault="00B42166" w:rsidP="00D82E05">
            <w:pPr>
              <w:jc w:val="right"/>
              <w:rPr>
                <w:sz w:val="24"/>
                <w:szCs w:val="24"/>
              </w:rPr>
            </w:pPr>
            <w:r w:rsidRPr="0012760D">
              <w:rPr>
                <w:sz w:val="24"/>
                <w:szCs w:val="24"/>
                <w:lang w:val="en-US"/>
              </w:rPr>
              <w:t>4 (a)</w:t>
            </w:r>
          </w:p>
        </w:tc>
        <w:tc>
          <w:tcPr>
            <w:tcW w:w="1699" w:type="dxa"/>
            <w:gridSpan w:val="2"/>
            <w:shd w:val="clear" w:color="auto" w:fill="auto"/>
          </w:tcPr>
          <w:p w:rsidR="00B42166" w:rsidRPr="0012760D" w:rsidRDefault="00B42166" w:rsidP="00D82E05">
            <w:pPr>
              <w:jc w:val="right"/>
              <w:rPr>
                <w:sz w:val="24"/>
                <w:szCs w:val="24"/>
              </w:rPr>
            </w:pPr>
            <w:r w:rsidRPr="0012760D">
              <w:rPr>
                <w:sz w:val="24"/>
                <w:szCs w:val="24"/>
                <w:lang w:val="en-US"/>
              </w:rPr>
              <w:t>(18,934,744)</w:t>
            </w:r>
          </w:p>
        </w:tc>
        <w:tc>
          <w:tcPr>
            <w:tcW w:w="1685" w:type="dxa"/>
            <w:shd w:val="clear" w:color="auto" w:fill="auto"/>
          </w:tcPr>
          <w:p w:rsidR="00B42166" w:rsidRPr="0012760D" w:rsidRDefault="00B42166" w:rsidP="00D82E05">
            <w:pPr>
              <w:jc w:val="right"/>
              <w:rPr>
                <w:sz w:val="24"/>
                <w:szCs w:val="24"/>
              </w:rPr>
            </w:pPr>
            <w:r w:rsidRPr="0012760D">
              <w:rPr>
                <w:sz w:val="24"/>
                <w:szCs w:val="24"/>
                <w:lang w:val="en-US"/>
              </w:rPr>
              <w:t>(22,398,140)</w:t>
            </w:r>
          </w:p>
        </w:tc>
      </w:tr>
      <w:tr w:rsidR="00B42166" w:rsidRPr="0012760D" w:rsidTr="00D82E05">
        <w:tblPrEx>
          <w:tblCellMar>
            <w:top w:w="0" w:type="dxa"/>
            <w:bottom w:w="0" w:type="dxa"/>
          </w:tblCellMar>
        </w:tblPrEx>
        <w:tc>
          <w:tcPr>
            <w:tcW w:w="5011" w:type="dxa"/>
            <w:shd w:val="clear" w:color="auto" w:fill="auto"/>
          </w:tcPr>
          <w:p w:rsidR="00B42166" w:rsidRPr="0012760D" w:rsidRDefault="00B42166" w:rsidP="00D82E05">
            <w:pPr>
              <w:rPr>
                <w:sz w:val="24"/>
                <w:szCs w:val="24"/>
              </w:rPr>
            </w:pPr>
            <w:r w:rsidRPr="0012760D">
              <w:rPr>
                <w:sz w:val="24"/>
                <w:szCs w:val="24"/>
                <w:lang w:val="en-US"/>
              </w:rPr>
              <w:t>Employee benefits</w:t>
            </w:r>
          </w:p>
        </w:tc>
        <w:tc>
          <w:tcPr>
            <w:tcW w:w="965" w:type="dxa"/>
            <w:shd w:val="clear" w:color="auto" w:fill="auto"/>
          </w:tcPr>
          <w:p w:rsidR="00B42166" w:rsidRPr="0012760D" w:rsidRDefault="00B42166" w:rsidP="00D82E05">
            <w:pPr>
              <w:jc w:val="right"/>
              <w:rPr>
                <w:sz w:val="24"/>
                <w:szCs w:val="24"/>
              </w:rPr>
            </w:pPr>
            <w:r w:rsidRPr="0012760D">
              <w:rPr>
                <w:sz w:val="24"/>
                <w:szCs w:val="24"/>
                <w:lang w:val="en-US"/>
              </w:rPr>
              <w:t>4 (b)</w:t>
            </w:r>
          </w:p>
        </w:tc>
        <w:tc>
          <w:tcPr>
            <w:tcW w:w="1699" w:type="dxa"/>
            <w:gridSpan w:val="2"/>
            <w:shd w:val="clear" w:color="auto" w:fill="auto"/>
          </w:tcPr>
          <w:p w:rsidR="00B42166" w:rsidRPr="0012760D" w:rsidRDefault="00B42166" w:rsidP="00D82E05">
            <w:pPr>
              <w:jc w:val="right"/>
              <w:rPr>
                <w:sz w:val="24"/>
                <w:szCs w:val="24"/>
              </w:rPr>
            </w:pPr>
            <w:r w:rsidRPr="0012760D">
              <w:rPr>
                <w:sz w:val="24"/>
                <w:szCs w:val="24"/>
                <w:lang w:val="en-US"/>
              </w:rPr>
              <w:t>(12,470,392)</w:t>
            </w:r>
          </w:p>
        </w:tc>
        <w:tc>
          <w:tcPr>
            <w:tcW w:w="1685" w:type="dxa"/>
            <w:shd w:val="clear" w:color="auto" w:fill="auto"/>
          </w:tcPr>
          <w:p w:rsidR="00B42166" w:rsidRPr="0012760D" w:rsidRDefault="00B42166" w:rsidP="00D82E05">
            <w:pPr>
              <w:jc w:val="right"/>
              <w:rPr>
                <w:sz w:val="24"/>
                <w:szCs w:val="24"/>
              </w:rPr>
            </w:pPr>
            <w:r w:rsidRPr="0012760D">
              <w:rPr>
                <w:sz w:val="24"/>
                <w:szCs w:val="24"/>
                <w:lang w:val="en-US"/>
              </w:rPr>
              <w:t>(14,962,238)</w:t>
            </w:r>
          </w:p>
        </w:tc>
      </w:tr>
      <w:tr w:rsidR="00B42166" w:rsidRPr="0012760D" w:rsidTr="00D82E05">
        <w:tblPrEx>
          <w:tblCellMar>
            <w:top w:w="0" w:type="dxa"/>
            <w:bottom w:w="0" w:type="dxa"/>
          </w:tblCellMar>
        </w:tblPrEx>
        <w:tc>
          <w:tcPr>
            <w:tcW w:w="5011" w:type="dxa"/>
            <w:shd w:val="clear" w:color="auto" w:fill="auto"/>
          </w:tcPr>
          <w:p w:rsidR="00B42166" w:rsidRPr="0012760D" w:rsidRDefault="00B42166" w:rsidP="00D82E05">
            <w:pPr>
              <w:rPr>
                <w:sz w:val="24"/>
                <w:szCs w:val="24"/>
              </w:rPr>
            </w:pPr>
            <w:r w:rsidRPr="0012760D">
              <w:rPr>
                <w:sz w:val="24"/>
                <w:szCs w:val="24"/>
                <w:lang w:val="en-US"/>
              </w:rPr>
              <w:t>Depreciation</w:t>
            </w:r>
          </w:p>
        </w:tc>
        <w:tc>
          <w:tcPr>
            <w:tcW w:w="965" w:type="dxa"/>
            <w:shd w:val="clear" w:color="auto" w:fill="auto"/>
          </w:tcPr>
          <w:p w:rsidR="00B42166" w:rsidRPr="0012760D" w:rsidRDefault="00B42166" w:rsidP="00D82E05">
            <w:pPr>
              <w:jc w:val="right"/>
              <w:rPr>
                <w:sz w:val="24"/>
                <w:szCs w:val="24"/>
              </w:rPr>
            </w:pPr>
            <w:r w:rsidRPr="0012760D">
              <w:rPr>
                <w:sz w:val="24"/>
                <w:szCs w:val="24"/>
                <w:lang w:val="en-US"/>
              </w:rPr>
              <w:t>7</w:t>
            </w:r>
          </w:p>
        </w:tc>
        <w:tc>
          <w:tcPr>
            <w:tcW w:w="1699" w:type="dxa"/>
            <w:gridSpan w:val="2"/>
            <w:shd w:val="clear" w:color="auto" w:fill="auto"/>
          </w:tcPr>
          <w:p w:rsidR="00B42166" w:rsidRPr="0012760D" w:rsidRDefault="00B42166" w:rsidP="00D82E05">
            <w:pPr>
              <w:jc w:val="right"/>
              <w:rPr>
                <w:sz w:val="24"/>
                <w:szCs w:val="24"/>
              </w:rPr>
            </w:pPr>
            <w:r w:rsidRPr="0012760D">
              <w:rPr>
                <w:sz w:val="24"/>
                <w:szCs w:val="24"/>
                <w:lang w:val="en-US"/>
              </w:rPr>
              <w:t>(202,012)</w:t>
            </w:r>
          </w:p>
        </w:tc>
        <w:tc>
          <w:tcPr>
            <w:tcW w:w="1685" w:type="dxa"/>
            <w:shd w:val="clear" w:color="auto" w:fill="auto"/>
          </w:tcPr>
          <w:p w:rsidR="00B42166" w:rsidRPr="0012760D" w:rsidRDefault="00B42166" w:rsidP="00D82E05">
            <w:pPr>
              <w:jc w:val="right"/>
              <w:rPr>
                <w:sz w:val="24"/>
                <w:szCs w:val="24"/>
              </w:rPr>
            </w:pPr>
            <w:r w:rsidRPr="0012760D">
              <w:rPr>
                <w:sz w:val="24"/>
                <w:szCs w:val="24"/>
                <w:lang w:val="en-US"/>
              </w:rPr>
              <w:t>(279,009)</w:t>
            </w:r>
          </w:p>
        </w:tc>
      </w:tr>
      <w:tr w:rsidR="00B42166" w:rsidRPr="0012760D" w:rsidTr="00D82E05">
        <w:tblPrEx>
          <w:tblCellMar>
            <w:top w:w="0" w:type="dxa"/>
            <w:bottom w:w="0" w:type="dxa"/>
          </w:tblCellMar>
        </w:tblPrEx>
        <w:tc>
          <w:tcPr>
            <w:tcW w:w="5976" w:type="dxa"/>
            <w:gridSpan w:val="2"/>
            <w:shd w:val="clear" w:color="auto" w:fill="auto"/>
          </w:tcPr>
          <w:p w:rsidR="00B42166" w:rsidRPr="0012760D" w:rsidRDefault="00B42166" w:rsidP="00D82E05">
            <w:pPr>
              <w:rPr>
                <w:sz w:val="24"/>
                <w:szCs w:val="24"/>
              </w:rPr>
            </w:pPr>
            <w:r w:rsidRPr="0012760D">
              <w:rPr>
                <w:sz w:val="24"/>
                <w:szCs w:val="24"/>
                <w:lang w:val="en-US"/>
              </w:rPr>
              <w:t>Occupancy costs</w:t>
            </w:r>
          </w:p>
        </w:tc>
        <w:tc>
          <w:tcPr>
            <w:tcW w:w="1699" w:type="dxa"/>
            <w:gridSpan w:val="2"/>
            <w:shd w:val="clear" w:color="auto" w:fill="auto"/>
          </w:tcPr>
          <w:p w:rsidR="00B42166" w:rsidRPr="0012760D" w:rsidRDefault="00B42166" w:rsidP="00D82E05">
            <w:pPr>
              <w:jc w:val="right"/>
              <w:rPr>
                <w:sz w:val="24"/>
                <w:szCs w:val="24"/>
              </w:rPr>
            </w:pPr>
            <w:r w:rsidRPr="0012760D">
              <w:rPr>
                <w:sz w:val="24"/>
                <w:szCs w:val="24"/>
                <w:lang w:val="en-US"/>
              </w:rPr>
              <w:t>(1,196,832)</w:t>
            </w:r>
          </w:p>
        </w:tc>
        <w:tc>
          <w:tcPr>
            <w:tcW w:w="1685" w:type="dxa"/>
            <w:shd w:val="clear" w:color="auto" w:fill="auto"/>
          </w:tcPr>
          <w:p w:rsidR="00B42166" w:rsidRPr="0012760D" w:rsidRDefault="00B42166" w:rsidP="00D82E05">
            <w:pPr>
              <w:jc w:val="right"/>
              <w:rPr>
                <w:sz w:val="24"/>
                <w:szCs w:val="24"/>
              </w:rPr>
            </w:pPr>
            <w:r w:rsidRPr="0012760D">
              <w:rPr>
                <w:sz w:val="24"/>
                <w:szCs w:val="24"/>
                <w:lang w:val="en-US"/>
              </w:rPr>
              <w:t>(1,148,428)</w:t>
            </w:r>
          </w:p>
        </w:tc>
      </w:tr>
      <w:tr w:rsidR="00B42166" w:rsidRPr="0012760D" w:rsidTr="00D82E05">
        <w:tblPrEx>
          <w:tblCellMar>
            <w:top w:w="0" w:type="dxa"/>
            <w:bottom w:w="0" w:type="dxa"/>
          </w:tblCellMar>
        </w:tblPrEx>
        <w:tc>
          <w:tcPr>
            <w:tcW w:w="5976" w:type="dxa"/>
            <w:gridSpan w:val="2"/>
            <w:shd w:val="clear" w:color="auto" w:fill="auto"/>
          </w:tcPr>
          <w:p w:rsidR="00B42166" w:rsidRPr="0012760D" w:rsidRDefault="00B42166" w:rsidP="00D82E05">
            <w:pPr>
              <w:ind w:left="1440" w:hanging="1440"/>
              <w:rPr>
                <w:sz w:val="24"/>
                <w:szCs w:val="24"/>
              </w:rPr>
            </w:pPr>
            <w:r w:rsidRPr="0012760D">
              <w:rPr>
                <w:sz w:val="24"/>
                <w:szCs w:val="24"/>
                <w:lang w:val="en-US"/>
              </w:rPr>
              <w:t xml:space="preserve">Telecommunication </w:t>
            </w:r>
            <w:r w:rsidR="00236A13">
              <w:rPr>
                <w:sz w:val="24"/>
                <w:szCs w:val="24"/>
                <w:lang w:val="en-US"/>
              </w:rPr>
              <w:t>and</w:t>
            </w:r>
            <w:r w:rsidRPr="0012760D">
              <w:rPr>
                <w:sz w:val="24"/>
                <w:szCs w:val="24"/>
                <w:lang w:val="en-US"/>
              </w:rPr>
              <w:t xml:space="preserve"> IT</w:t>
            </w:r>
          </w:p>
        </w:tc>
        <w:tc>
          <w:tcPr>
            <w:tcW w:w="1699" w:type="dxa"/>
            <w:gridSpan w:val="2"/>
            <w:shd w:val="clear" w:color="auto" w:fill="auto"/>
          </w:tcPr>
          <w:p w:rsidR="00B42166" w:rsidRPr="0012760D" w:rsidRDefault="00B42166" w:rsidP="00D82E05">
            <w:pPr>
              <w:jc w:val="right"/>
              <w:rPr>
                <w:sz w:val="24"/>
                <w:szCs w:val="24"/>
              </w:rPr>
            </w:pPr>
            <w:r w:rsidRPr="0012760D">
              <w:rPr>
                <w:sz w:val="24"/>
                <w:szCs w:val="24"/>
                <w:lang w:val="en-US"/>
              </w:rPr>
              <w:t>(2,538,880)</w:t>
            </w:r>
          </w:p>
        </w:tc>
        <w:tc>
          <w:tcPr>
            <w:tcW w:w="1685" w:type="dxa"/>
            <w:shd w:val="clear" w:color="auto" w:fill="auto"/>
          </w:tcPr>
          <w:p w:rsidR="00B42166" w:rsidRPr="0012760D" w:rsidRDefault="00B42166" w:rsidP="00D82E05">
            <w:pPr>
              <w:jc w:val="right"/>
              <w:rPr>
                <w:sz w:val="24"/>
                <w:szCs w:val="24"/>
              </w:rPr>
            </w:pPr>
            <w:r w:rsidRPr="0012760D">
              <w:rPr>
                <w:sz w:val="24"/>
                <w:szCs w:val="24"/>
                <w:lang w:val="en-US"/>
              </w:rPr>
              <w:t>(2,434,618)</w:t>
            </w:r>
          </w:p>
        </w:tc>
      </w:tr>
      <w:tr w:rsidR="00B42166" w:rsidRPr="0012760D" w:rsidTr="00D82E05">
        <w:tblPrEx>
          <w:tblCellMar>
            <w:top w:w="0" w:type="dxa"/>
            <w:bottom w:w="0" w:type="dxa"/>
          </w:tblCellMar>
        </w:tblPrEx>
        <w:tc>
          <w:tcPr>
            <w:tcW w:w="5976" w:type="dxa"/>
            <w:gridSpan w:val="2"/>
            <w:shd w:val="clear" w:color="auto" w:fill="auto"/>
          </w:tcPr>
          <w:p w:rsidR="00B42166" w:rsidRPr="0012760D" w:rsidRDefault="00B42166" w:rsidP="00D82E05">
            <w:pPr>
              <w:rPr>
                <w:sz w:val="24"/>
                <w:szCs w:val="24"/>
              </w:rPr>
            </w:pPr>
            <w:r w:rsidRPr="0012760D">
              <w:rPr>
                <w:sz w:val="24"/>
                <w:szCs w:val="24"/>
                <w:lang w:val="en-US"/>
              </w:rPr>
              <w:t>Finance costs</w:t>
            </w:r>
          </w:p>
        </w:tc>
        <w:tc>
          <w:tcPr>
            <w:tcW w:w="1699" w:type="dxa"/>
            <w:gridSpan w:val="2"/>
            <w:shd w:val="clear" w:color="auto" w:fill="auto"/>
          </w:tcPr>
          <w:p w:rsidR="00B42166" w:rsidRPr="0012760D" w:rsidRDefault="00B42166" w:rsidP="00D82E05">
            <w:pPr>
              <w:jc w:val="right"/>
              <w:rPr>
                <w:sz w:val="24"/>
                <w:szCs w:val="24"/>
              </w:rPr>
            </w:pPr>
            <w:r w:rsidRPr="0012760D">
              <w:rPr>
                <w:sz w:val="24"/>
                <w:szCs w:val="24"/>
                <w:lang w:val="en-US"/>
              </w:rPr>
              <w:t>(11,504)</w:t>
            </w:r>
          </w:p>
        </w:tc>
        <w:tc>
          <w:tcPr>
            <w:tcW w:w="1685" w:type="dxa"/>
            <w:shd w:val="clear" w:color="auto" w:fill="auto"/>
          </w:tcPr>
          <w:p w:rsidR="00B42166" w:rsidRPr="0012760D" w:rsidRDefault="00B42166" w:rsidP="00D82E05">
            <w:pPr>
              <w:jc w:val="right"/>
              <w:rPr>
                <w:sz w:val="24"/>
                <w:szCs w:val="24"/>
              </w:rPr>
            </w:pPr>
            <w:r w:rsidRPr="0012760D">
              <w:rPr>
                <w:sz w:val="24"/>
                <w:szCs w:val="24"/>
                <w:lang w:val="en-US"/>
              </w:rPr>
              <w:t>(15,809)</w:t>
            </w:r>
          </w:p>
        </w:tc>
      </w:tr>
      <w:tr w:rsidR="00B42166" w:rsidRPr="0012760D" w:rsidTr="00D82E05">
        <w:tblPrEx>
          <w:tblCellMar>
            <w:top w:w="0" w:type="dxa"/>
            <w:bottom w:w="0" w:type="dxa"/>
          </w:tblCellMar>
        </w:tblPrEx>
        <w:tc>
          <w:tcPr>
            <w:tcW w:w="5976" w:type="dxa"/>
            <w:gridSpan w:val="2"/>
            <w:shd w:val="clear" w:color="auto" w:fill="auto"/>
          </w:tcPr>
          <w:p w:rsidR="00B42166" w:rsidRPr="0012760D" w:rsidRDefault="00B42166" w:rsidP="00D82E05">
            <w:pPr>
              <w:rPr>
                <w:sz w:val="24"/>
                <w:szCs w:val="24"/>
              </w:rPr>
            </w:pPr>
            <w:r w:rsidRPr="0012760D">
              <w:rPr>
                <w:sz w:val="24"/>
                <w:szCs w:val="24"/>
                <w:lang w:val="en-US"/>
              </w:rPr>
              <w:t>Other expenses</w:t>
            </w:r>
          </w:p>
        </w:tc>
        <w:tc>
          <w:tcPr>
            <w:tcW w:w="1699" w:type="dxa"/>
            <w:gridSpan w:val="2"/>
            <w:shd w:val="clear" w:color="auto" w:fill="auto"/>
          </w:tcPr>
          <w:p w:rsidR="00B42166" w:rsidRPr="0012760D" w:rsidRDefault="00B42166" w:rsidP="00D82E05">
            <w:pPr>
              <w:jc w:val="right"/>
              <w:rPr>
                <w:sz w:val="24"/>
                <w:szCs w:val="24"/>
              </w:rPr>
            </w:pPr>
            <w:r w:rsidRPr="0012760D">
              <w:rPr>
                <w:sz w:val="24"/>
                <w:szCs w:val="24"/>
                <w:lang w:val="en-US"/>
              </w:rPr>
              <w:t>(2,105,081)</w:t>
            </w:r>
          </w:p>
        </w:tc>
        <w:tc>
          <w:tcPr>
            <w:tcW w:w="1685" w:type="dxa"/>
            <w:shd w:val="clear" w:color="auto" w:fill="auto"/>
          </w:tcPr>
          <w:p w:rsidR="00B42166" w:rsidRPr="0012760D" w:rsidRDefault="00B42166" w:rsidP="00D82E05">
            <w:pPr>
              <w:jc w:val="right"/>
              <w:rPr>
                <w:sz w:val="24"/>
                <w:szCs w:val="24"/>
              </w:rPr>
            </w:pPr>
            <w:r w:rsidRPr="0012760D">
              <w:rPr>
                <w:sz w:val="24"/>
                <w:szCs w:val="24"/>
                <w:lang w:val="en-US"/>
              </w:rPr>
              <w:t>(2,418,887)</w:t>
            </w:r>
          </w:p>
        </w:tc>
      </w:tr>
      <w:tr w:rsidR="00B42166" w:rsidRPr="0012760D" w:rsidTr="00D82E05">
        <w:tblPrEx>
          <w:tblCellMar>
            <w:top w:w="0" w:type="dxa"/>
            <w:bottom w:w="0" w:type="dxa"/>
          </w:tblCellMar>
        </w:tblPrEx>
        <w:tc>
          <w:tcPr>
            <w:tcW w:w="5976" w:type="dxa"/>
            <w:gridSpan w:val="2"/>
            <w:shd w:val="clear" w:color="auto" w:fill="auto"/>
          </w:tcPr>
          <w:p w:rsidR="00B42166" w:rsidRPr="0012760D" w:rsidRDefault="00B42166" w:rsidP="00D82E05">
            <w:pPr>
              <w:rPr>
                <w:b/>
                <w:sz w:val="24"/>
                <w:szCs w:val="24"/>
              </w:rPr>
            </w:pPr>
            <w:r w:rsidRPr="0012760D">
              <w:rPr>
                <w:b/>
                <w:bCs/>
                <w:sz w:val="24"/>
                <w:szCs w:val="24"/>
                <w:lang w:val="en-US"/>
              </w:rPr>
              <w:t>Total expenses from transactions</w:t>
            </w:r>
          </w:p>
        </w:tc>
        <w:tc>
          <w:tcPr>
            <w:tcW w:w="1699" w:type="dxa"/>
            <w:gridSpan w:val="2"/>
            <w:shd w:val="clear" w:color="auto" w:fill="auto"/>
          </w:tcPr>
          <w:p w:rsidR="00B42166" w:rsidRPr="0012760D" w:rsidRDefault="00B42166" w:rsidP="00D82E05">
            <w:pPr>
              <w:jc w:val="right"/>
              <w:rPr>
                <w:sz w:val="24"/>
                <w:szCs w:val="24"/>
              </w:rPr>
            </w:pPr>
            <w:r w:rsidRPr="0012760D">
              <w:rPr>
                <w:bCs/>
                <w:sz w:val="24"/>
                <w:szCs w:val="24"/>
                <w:lang w:val="en-US"/>
              </w:rPr>
              <w:t>(37,459,445)</w:t>
            </w:r>
          </w:p>
        </w:tc>
        <w:tc>
          <w:tcPr>
            <w:tcW w:w="1685" w:type="dxa"/>
            <w:shd w:val="clear" w:color="auto" w:fill="auto"/>
          </w:tcPr>
          <w:p w:rsidR="00B42166" w:rsidRPr="0012760D" w:rsidRDefault="00B42166" w:rsidP="00D82E05">
            <w:pPr>
              <w:jc w:val="right"/>
              <w:rPr>
                <w:sz w:val="24"/>
                <w:szCs w:val="24"/>
              </w:rPr>
            </w:pPr>
            <w:r w:rsidRPr="0012760D">
              <w:rPr>
                <w:bCs/>
                <w:sz w:val="24"/>
                <w:szCs w:val="24"/>
                <w:lang w:val="en-US"/>
              </w:rPr>
              <w:t>(43,657,129)</w:t>
            </w:r>
          </w:p>
        </w:tc>
      </w:tr>
      <w:tr w:rsidR="00B42166" w:rsidRPr="0012760D" w:rsidTr="00D82E05">
        <w:tblPrEx>
          <w:tblCellMar>
            <w:top w:w="0" w:type="dxa"/>
            <w:bottom w:w="0" w:type="dxa"/>
          </w:tblCellMar>
        </w:tblPrEx>
        <w:tc>
          <w:tcPr>
            <w:tcW w:w="5976" w:type="dxa"/>
            <w:gridSpan w:val="2"/>
            <w:shd w:val="clear" w:color="auto" w:fill="auto"/>
          </w:tcPr>
          <w:p w:rsidR="00B42166" w:rsidRPr="0012760D" w:rsidRDefault="00B42166" w:rsidP="00D82E05">
            <w:pPr>
              <w:rPr>
                <w:b/>
                <w:sz w:val="24"/>
                <w:szCs w:val="24"/>
              </w:rPr>
            </w:pPr>
            <w:r w:rsidRPr="0012760D">
              <w:rPr>
                <w:b/>
                <w:bCs/>
                <w:sz w:val="24"/>
                <w:szCs w:val="24"/>
                <w:lang w:val="en-US"/>
              </w:rPr>
              <w:t>Net result from transactions (net operating balance)</w:t>
            </w:r>
          </w:p>
        </w:tc>
        <w:tc>
          <w:tcPr>
            <w:tcW w:w="1699" w:type="dxa"/>
            <w:gridSpan w:val="2"/>
            <w:shd w:val="clear" w:color="auto" w:fill="auto"/>
          </w:tcPr>
          <w:p w:rsidR="00B42166" w:rsidRPr="0012760D" w:rsidRDefault="00B42166" w:rsidP="00D82E05">
            <w:pPr>
              <w:jc w:val="right"/>
              <w:rPr>
                <w:sz w:val="24"/>
                <w:szCs w:val="24"/>
              </w:rPr>
            </w:pPr>
            <w:r w:rsidRPr="0012760D">
              <w:rPr>
                <w:bCs/>
                <w:sz w:val="24"/>
                <w:szCs w:val="24"/>
                <w:lang w:val="en-US"/>
              </w:rPr>
              <w:t>11,602,315</w:t>
            </w:r>
          </w:p>
        </w:tc>
        <w:tc>
          <w:tcPr>
            <w:tcW w:w="1685" w:type="dxa"/>
            <w:shd w:val="clear" w:color="auto" w:fill="auto"/>
          </w:tcPr>
          <w:p w:rsidR="00B42166" w:rsidRPr="0012760D" w:rsidRDefault="00B42166" w:rsidP="00D82E05">
            <w:pPr>
              <w:jc w:val="right"/>
              <w:rPr>
                <w:sz w:val="24"/>
                <w:szCs w:val="24"/>
              </w:rPr>
            </w:pPr>
            <w:r w:rsidRPr="0012760D">
              <w:rPr>
                <w:bCs/>
                <w:sz w:val="24"/>
                <w:szCs w:val="24"/>
                <w:lang w:val="en-US"/>
              </w:rPr>
              <w:t>4,096,024</w:t>
            </w:r>
          </w:p>
        </w:tc>
      </w:tr>
      <w:tr w:rsidR="00B42166" w:rsidRPr="0012760D" w:rsidTr="00D82E05">
        <w:tblPrEx>
          <w:tblCellMar>
            <w:top w:w="0" w:type="dxa"/>
            <w:bottom w:w="0" w:type="dxa"/>
          </w:tblCellMar>
        </w:tblPrEx>
        <w:tc>
          <w:tcPr>
            <w:tcW w:w="9360" w:type="dxa"/>
            <w:gridSpan w:val="5"/>
            <w:shd w:val="clear" w:color="auto" w:fill="auto"/>
          </w:tcPr>
          <w:p w:rsidR="00B42166" w:rsidRPr="0012760D" w:rsidRDefault="00B42166" w:rsidP="00D82E05">
            <w:pPr>
              <w:rPr>
                <w:b/>
                <w:sz w:val="24"/>
                <w:szCs w:val="24"/>
              </w:rPr>
            </w:pPr>
            <w:r w:rsidRPr="0012760D">
              <w:rPr>
                <w:b/>
                <w:bCs/>
                <w:sz w:val="24"/>
                <w:szCs w:val="24"/>
                <w:lang w:val="en-US"/>
              </w:rPr>
              <w:t>Other economic flows included in net result</w:t>
            </w:r>
          </w:p>
        </w:tc>
      </w:tr>
      <w:tr w:rsidR="00B42166" w:rsidRPr="0012760D" w:rsidTr="00D82E05">
        <w:tblPrEx>
          <w:tblCellMar>
            <w:top w:w="0" w:type="dxa"/>
            <w:bottom w:w="0" w:type="dxa"/>
          </w:tblCellMar>
        </w:tblPrEx>
        <w:tc>
          <w:tcPr>
            <w:tcW w:w="5011" w:type="dxa"/>
            <w:shd w:val="clear" w:color="auto" w:fill="auto"/>
          </w:tcPr>
          <w:p w:rsidR="00B42166" w:rsidRPr="0012760D" w:rsidRDefault="00B42166" w:rsidP="00D82E05">
            <w:pPr>
              <w:rPr>
                <w:sz w:val="24"/>
                <w:szCs w:val="24"/>
              </w:rPr>
            </w:pPr>
            <w:r w:rsidRPr="0012760D">
              <w:rPr>
                <w:sz w:val="24"/>
                <w:szCs w:val="24"/>
                <w:lang w:val="en-US"/>
              </w:rPr>
              <w:t>Gain on disposal of assets</w:t>
            </w:r>
          </w:p>
        </w:tc>
        <w:tc>
          <w:tcPr>
            <w:tcW w:w="965" w:type="dxa"/>
            <w:shd w:val="clear" w:color="auto" w:fill="auto"/>
          </w:tcPr>
          <w:p w:rsidR="00B42166" w:rsidRPr="0012760D" w:rsidRDefault="00B42166" w:rsidP="00D82E05">
            <w:pPr>
              <w:jc w:val="right"/>
              <w:rPr>
                <w:sz w:val="24"/>
                <w:szCs w:val="24"/>
              </w:rPr>
            </w:pPr>
            <w:r w:rsidRPr="0012760D">
              <w:rPr>
                <w:sz w:val="24"/>
                <w:szCs w:val="24"/>
                <w:lang w:val="en-US"/>
              </w:rPr>
              <w:t>4 (c)</w:t>
            </w:r>
          </w:p>
        </w:tc>
        <w:tc>
          <w:tcPr>
            <w:tcW w:w="1679" w:type="dxa"/>
            <w:shd w:val="clear" w:color="auto" w:fill="auto"/>
          </w:tcPr>
          <w:p w:rsidR="00B42166" w:rsidRPr="0012760D" w:rsidRDefault="00B42166" w:rsidP="00D82E05">
            <w:pPr>
              <w:jc w:val="right"/>
              <w:rPr>
                <w:sz w:val="24"/>
                <w:szCs w:val="24"/>
              </w:rPr>
            </w:pPr>
            <w:r w:rsidRPr="0012760D">
              <w:rPr>
                <w:sz w:val="24"/>
                <w:szCs w:val="24"/>
                <w:lang w:val="en-US"/>
              </w:rPr>
              <w:t>3,426</w:t>
            </w:r>
          </w:p>
        </w:tc>
        <w:tc>
          <w:tcPr>
            <w:tcW w:w="1705" w:type="dxa"/>
            <w:gridSpan w:val="2"/>
            <w:shd w:val="clear" w:color="auto" w:fill="auto"/>
          </w:tcPr>
          <w:p w:rsidR="00B42166" w:rsidRPr="0012760D" w:rsidRDefault="00B42166" w:rsidP="00D82E05">
            <w:pPr>
              <w:jc w:val="right"/>
              <w:rPr>
                <w:sz w:val="24"/>
                <w:szCs w:val="24"/>
              </w:rPr>
            </w:pPr>
            <w:r w:rsidRPr="0012760D">
              <w:rPr>
                <w:sz w:val="24"/>
                <w:szCs w:val="24"/>
                <w:lang w:val="en-US"/>
              </w:rPr>
              <w:t>2,641</w:t>
            </w:r>
          </w:p>
        </w:tc>
      </w:tr>
      <w:tr w:rsidR="00B42166" w:rsidRPr="0012760D" w:rsidTr="00407410">
        <w:tblPrEx>
          <w:tblCellMar>
            <w:top w:w="0" w:type="dxa"/>
            <w:bottom w:w="0" w:type="dxa"/>
          </w:tblCellMar>
        </w:tblPrEx>
        <w:tc>
          <w:tcPr>
            <w:tcW w:w="5011" w:type="dxa"/>
            <w:shd w:val="clear" w:color="auto" w:fill="auto"/>
          </w:tcPr>
          <w:p w:rsidR="00B42166" w:rsidRPr="0012760D" w:rsidRDefault="00B42166" w:rsidP="00D82E05">
            <w:pPr>
              <w:rPr>
                <w:sz w:val="24"/>
                <w:szCs w:val="24"/>
              </w:rPr>
            </w:pPr>
            <w:r w:rsidRPr="0012760D">
              <w:rPr>
                <w:sz w:val="24"/>
                <w:szCs w:val="24"/>
                <w:lang w:val="en-US"/>
              </w:rPr>
              <w:t>Gain/(loss) arising from revaluation of LSL liability</w:t>
            </w:r>
          </w:p>
        </w:tc>
        <w:tc>
          <w:tcPr>
            <w:tcW w:w="965" w:type="dxa"/>
            <w:shd w:val="clear" w:color="auto" w:fill="auto"/>
            <w:vAlign w:val="bottom"/>
          </w:tcPr>
          <w:p w:rsidR="00B42166" w:rsidRPr="0012760D" w:rsidRDefault="00B42166" w:rsidP="00407410">
            <w:pPr>
              <w:jc w:val="right"/>
              <w:rPr>
                <w:sz w:val="24"/>
                <w:szCs w:val="24"/>
              </w:rPr>
            </w:pPr>
            <w:r w:rsidRPr="0012760D">
              <w:rPr>
                <w:sz w:val="24"/>
                <w:szCs w:val="24"/>
                <w:lang w:val="en-US"/>
              </w:rPr>
              <w:t>1.6 (b)</w:t>
            </w:r>
          </w:p>
        </w:tc>
        <w:tc>
          <w:tcPr>
            <w:tcW w:w="1679" w:type="dxa"/>
            <w:shd w:val="clear" w:color="auto" w:fill="auto"/>
            <w:vAlign w:val="bottom"/>
          </w:tcPr>
          <w:p w:rsidR="00B42166" w:rsidRPr="0012760D" w:rsidRDefault="00B42166" w:rsidP="00407410">
            <w:pPr>
              <w:jc w:val="right"/>
              <w:rPr>
                <w:sz w:val="24"/>
                <w:szCs w:val="24"/>
              </w:rPr>
            </w:pPr>
            <w:r w:rsidRPr="0012760D">
              <w:rPr>
                <w:sz w:val="24"/>
                <w:szCs w:val="24"/>
                <w:lang w:val="en-US"/>
              </w:rPr>
              <w:t>161,516</w:t>
            </w:r>
          </w:p>
        </w:tc>
        <w:tc>
          <w:tcPr>
            <w:tcW w:w="1705" w:type="dxa"/>
            <w:gridSpan w:val="2"/>
            <w:shd w:val="clear" w:color="auto" w:fill="auto"/>
            <w:vAlign w:val="bottom"/>
          </w:tcPr>
          <w:p w:rsidR="00B42166" w:rsidRPr="0012760D" w:rsidRDefault="00B42166" w:rsidP="00407410">
            <w:pPr>
              <w:jc w:val="right"/>
              <w:rPr>
                <w:sz w:val="24"/>
                <w:szCs w:val="24"/>
              </w:rPr>
            </w:pPr>
            <w:r w:rsidRPr="0012760D">
              <w:rPr>
                <w:sz w:val="24"/>
                <w:szCs w:val="24"/>
                <w:lang w:val="en-US"/>
              </w:rPr>
              <w:t>(48,967)</w:t>
            </w:r>
          </w:p>
        </w:tc>
      </w:tr>
      <w:tr w:rsidR="00B42166" w:rsidRPr="0012760D" w:rsidTr="00D82E05">
        <w:tblPrEx>
          <w:tblCellMar>
            <w:top w:w="0" w:type="dxa"/>
            <w:bottom w:w="0" w:type="dxa"/>
          </w:tblCellMar>
        </w:tblPrEx>
        <w:tc>
          <w:tcPr>
            <w:tcW w:w="5976" w:type="dxa"/>
            <w:gridSpan w:val="2"/>
            <w:shd w:val="clear" w:color="auto" w:fill="auto"/>
          </w:tcPr>
          <w:p w:rsidR="00B42166" w:rsidRPr="0012760D" w:rsidRDefault="00B42166" w:rsidP="00D82E05">
            <w:pPr>
              <w:rPr>
                <w:b/>
                <w:sz w:val="24"/>
                <w:szCs w:val="24"/>
              </w:rPr>
            </w:pPr>
            <w:r w:rsidRPr="0012760D">
              <w:rPr>
                <w:b/>
                <w:bCs/>
                <w:sz w:val="24"/>
                <w:szCs w:val="24"/>
                <w:lang w:val="en-US"/>
              </w:rPr>
              <w:t>Total other economic flows included in net result</w:t>
            </w:r>
          </w:p>
        </w:tc>
        <w:tc>
          <w:tcPr>
            <w:tcW w:w="1679" w:type="dxa"/>
            <w:shd w:val="clear" w:color="auto" w:fill="auto"/>
          </w:tcPr>
          <w:p w:rsidR="00B42166" w:rsidRPr="0012760D" w:rsidRDefault="00B42166" w:rsidP="00D82E05">
            <w:pPr>
              <w:jc w:val="right"/>
              <w:rPr>
                <w:sz w:val="24"/>
                <w:szCs w:val="24"/>
              </w:rPr>
            </w:pPr>
            <w:r w:rsidRPr="0012760D">
              <w:rPr>
                <w:bCs/>
                <w:sz w:val="24"/>
                <w:szCs w:val="24"/>
                <w:lang w:val="en-US"/>
              </w:rPr>
              <w:t>164,942</w:t>
            </w:r>
          </w:p>
        </w:tc>
        <w:tc>
          <w:tcPr>
            <w:tcW w:w="1705" w:type="dxa"/>
            <w:gridSpan w:val="2"/>
            <w:shd w:val="clear" w:color="auto" w:fill="auto"/>
          </w:tcPr>
          <w:p w:rsidR="00B42166" w:rsidRPr="0012760D" w:rsidRDefault="00B42166" w:rsidP="00D82E05">
            <w:pPr>
              <w:jc w:val="right"/>
              <w:rPr>
                <w:sz w:val="24"/>
                <w:szCs w:val="24"/>
              </w:rPr>
            </w:pPr>
            <w:r w:rsidRPr="0012760D">
              <w:rPr>
                <w:bCs/>
                <w:sz w:val="24"/>
                <w:szCs w:val="24"/>
                <w:lang w:val="en-US"/>
              </w:rPr>
              <w:t>(46,326)</w:t>
            </w:r>
          </w:p>
        </w:tc>
      </w:tr>
      <w:tr w:rsidR="00B42166" w:rsidRPr="0012760D" w:rsidTr="00D82E05">
        <w:tblPrEx>
          <w:tblCellMar>
            <w:top w:w="0" w:type="dxa"/>
            <w:bottom w:w="0" w:type="dxa"/>
          </w:tblCellMar>
        </w:tblPrEx>
        <w:tc>
          <w:tcPr>
            <w:tcW w:w="5976" w:type="dxa"/>
            <w:gridSpan w:val="2"/>
            <w:shd w:val="clear" w:color="auto" w:fill="auto"/>
          </w:tcPr>
          <w:p w:rsidR="00B42166" w:rsidRPr="0012760D" w:rsidRDefault="00B42166" w:rsidP="00D82E05">
            <w:pPr>
              <w:rPr>
                <w:b/>
                <w:sz w:val="24"/>
                <w:szCs w:val="24"/>
              </w:rPr>
            </w:pPr>
            <w:r w:rsidRPr="0012760D">
              <w:rPr>
                <w:b/>
                <w:bCs/>
                <w:sz w:val="24"/>
                <w:szCs w:val="24"/>
                <w:lang w:val="en-US"/>
              </w:rPr>
              <w:t>Net result</w:t>
            </w:r>
          </w:p>
        </w:tc>
        <w:tc>
          <w:tcPr>
            <w:tcW w:w="1679" w:type="dxa"/>
            <w:shd w:val="clear" w:color="auto" w:fill="auto"/>
          </w:tcPr>
          <w:p w:rsidR="00B42166" w:rsidRPr="0012760D" w:rsidRDefault="00B42166" w:rsidP="00D82E05">
            <w:pPr>
              <w:jc w:val="right"/>
              <w:rPr>
                <w:sz w:val="24"/>
                <w:szCs w:val="24"/>
              </w:rPr>
            </w:pPr>
            <w:r w:rsidRPr="0012760D">
              <w:rPr>
                <w:sz w:val="24"/>
                <w:szCs w:val="24"/>
                <w:lang w:val="en-US"/>
              </w:rPr>
              <w:t>11,767,257</w:t>
            </w:r>
          </w:p>
        </w:tc>
        <w:tc>
          <w:tcPr>
            <w:tcW w:w="1705" w:type="dxa"/>
            <w:gridSpan w:val="2"/>
            <w:shd w:val="clear" w:color="auto" w:fill="auto"/>
          </w:tcPr>
          <w:p w:rsidR="00B42166" w:rsidRPr="0012760D" w:rsidRDefault="00B42166" w:rsidP="00D82E05">
            <w:pPr>
              <w:jc w:val="right"/>
              <w:rPr>
                <w:sz w:val="24"/>
                <w:szCs w:val="24"/>
              </w:rPr>
            </w:pPr>
            <w:r w:rsidRPr="0012760D">
              <w:rPr>
                <w:sz w:val="24"/>
                <w:szCs w:val="24"/>
                <w:lang w:val="en-US"/>
              </w:rPr>
              <w:t>4,049,698</w:t>
            </w:r>
          </w:p>
        </w:tc>
      </w:tr>
      <w:tr w:rsidR="00B42166" w:rsidRPr="0012760D" w:rsidTr="00D82E05">
        <w:tblPrEx>
          <w:tblCellMar>
            <w:top w:w="0" w:type="dxa"/>
            <w:bottom w:w="0" w:type="dxa"/>
          </w:tblCellMar>
        </w:tblPrEx>
        <w:tc>
          <w:tcPr>
            <w:tcW w:w="5976" w:type="dxa"/>
            <w:gridSpan w:val="2"/>
            <w:shd w:val="clear" w:color="auto" w:fill="auto"/>
          </w:tcPr>
          <w:p w:rsidR="00B42166" w:rsidRPr="0012760D" w:rsidRDefault="00B42166" w:rsidP="00D82E05">
            <w:pPr>
              <w:rPr>
                <w:b/>
                <w:sz w:val="24"/>
                <w:szCs w:val="24"/>
              </w:rPr>
            </w:pPr>
            <w:r w:rsidRPr="0012760D">
              <w:rPr>
                <w:b/>
                <w:bCs/>
                <w:sz w:val="24"/>
                <w:szCs w:val="24"/>
                <w:lang w:val="en-US"/>
              </w:rPr>
              <w:t>Comprehensive result</w:t>
            </w:r>
          </w:p>
        </w:tc>
        <w:tc>
          <w:tcPr>
            <w:tcW w:w="1679" w:type="dxa"/>
            <w:shd w:val="clear" w:color="auto" w:fill="auto"/>
          </w:tcPr>
          <w:p w:rsidR="00B42166" w:rsidRPr="0012760D" w:rsidRDefault="00B42166" w:rsidP="00D82E05">
            <w:pPr>
              <w:jc w:val="right"/>
              <w:rPr>
                <w:sz w:val="24"/>
                <w:szCs w:val="24"/>
              </w:rPr>
            </w:pPr>
            <w:r w:rsidRPr="0012760D">
              <w:rPr>
                <w:bCs/>
                <w:sz w:val="24"/>
                <w:szCs w:val="24"/>
                <w:lang w:val="en-US"/>
              </w:rPr>
              <w:t>11,767,257</w:t>
            </w:r>
          </w:p>
        </w:tc>
        <w:tc>
          <w:tcPr>
            <w:tcW w:w="1705" w:type="dxa"/>
            <w:gridSpan w:val="2"/>
            <w:shd w:val="clear" w:color="auto" w:fill="auto"/>
          </w:tcPr>
          <w:p w:rsidR="00B42166" w:rsidRPr="0012760D" w:rsidRDefault="00B42166" w:rsidP="00D82E05">
            <w:pPr>
              <w:jc w:val="right"/>
              <w:rPr>
                <w:sz w:val="24"/>
                <w:szCs w:val="24"/>
              </w:rPr>
            </w:pPr>
            <w:r w:rsidRPr="0012760D">
              <w:rPr>
                <w:bCs/>
                <w:sz w:val="24"/>
                <w:szCs w:val="24"/>
                <w:lang w:val="en-US"/>
              </w:rPr>
              <w:t>4,049,698</w:t>
            </w:r>
          </w:p>
        </w:tc>
      </w:tr>
    </w:tbl>
    <w:p w:rsidR="00B42166" w:rsidRPr="0012760D" w:rsidRDefault="00B42166" w:rsidP="00B42166">
      <w:pPr>
        <w:rPr>
          <w:sz w:val="24"/>
          <w:szCs w:val="24"/>
          <w:lang w:val="en-US"/>
        </w:rPr>
      </w:pPr>
    </w:p>
    <w:p w:rsidR="00B42166" w:rsidRPr="0012760D" w:rsidRDefault="00B42166" w:rsidP="00B42166">
      <w:pPr>
        <w:rPr>
          <w:sz w:val="24"/>
          <w:szCs w:val="24"/>
        </w:rPr>
      </w:pPr>
      <w:r w:rsidRPr="0012760D">
        <w:rPr>
          <w:sz w:val="24"/>
          <w:szCs w:val="24"/>
          <w:lang w:val="en-US"/>
        </w:rPr>
        <w:t>The comprehensive operating statement should be read in conjunction with the notes to the financial statements.</w:t>
      </w:r>
    </w:p>
    <w:p w:rsidR="00D82E05" w:rsidRDefault="00D82E05" w:rsidP="00D82E05">
      <w:pPr>
        <w:rPr>
          <w:bCs/>
          <w:sz w:val="24"/>
          <w:szCs w:val="24"/>
        </w:rPr>
      </w:pPr>
      <w:r w:rsidRPr="0012760D">
        <w:rPr>
          <w:bCs/>
          <w:sz w:val="24"/>
          <w:szCs w:val="24"/>
        </w:rPr>
        <w:t>&lt;pp&gt; 33</w:t>
      </w:r>
    </w:p>
    <w:p w:rsidR="00E750D5" w:rsidRDefault="00E750D5" w:rsidP="00D82E05">
      <w:pPr>
        <w:rPr>
          <w:bCs/>
          <w:sz w:val="24"/>
          <w:szCs w:val="24"/>
        </w:rPr>
      </w:pPr>
    </w:p>
    <w:p w:rsidR="00E750D5" w:rsidRPr="0012760D" w:rsidRDefault="00E750D5" w:rsidP="00D82E05">
      <w:pPr>
        <w:rPr>
          <w:sz w:val="24"/>
          <w:szCs w:val="24"/>
        </w:rPr>
      </w:pPr>
    </w:p>
    <w:p w:rsidR="00E750D5" w:rsidRPr="0012760D" w:rsidRDefault="00D82E05" w:rsidP="00E750D5">
      <w:pPr>
        <w:pStyle w:val="Heading2"/>
      </w:pPr>
      <w:r w:rsidRPr="0012760D">
        <w:t>Balance Sheet as at 30 June 2013</w:t>
      </w:r>
    </w:p>
    <w:p w:rsidR="00D82E05" w:rsidRPr="0012760D" w:rsidRDefault="00D82E05" w:rsidP="00D82E05">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4868"/>
        <w:gridCol w:w="936"/>
        <w:gridCol w:w="1651"/>
        <w:gridCol w:w="1654"/>
      </w:tblGrid>
      <w:tr w:rsidR="00D82E05" w:rsidRPr="0012760D" w:rsidTr="00D82E05">
        <w:tblPrEx>
          <w:tblCellMar>
            <w:top w:w="0" w:type="dxa"/>
            <w:bottom w:w="0" w:type="dxa"/>
          </w:tblCellMar>
        </w:tblPrEx>
        <w:trPr>
          <w:trHeight w:val="317"/>
        </w:trPr>
        <w:tc>
          <w:tcPr>
            <w:tcW w:w="2672" w:type="pct"/>
            <w:shd w:val="clear" w:color="auto" w:fill="auto"/>
          </w:tcPr>
          <w:p w:rsidR="00D82E05" w:rsidRPr="0012760D" w:rsidRDefault="00D82E05" w:rsidP="00D82E05">
            <w:pPr>
              <w:rPr>
                <w:sz w:val="24"/>
                <w:szCs w:val="24"/>
              </w:rPr>
            </w:pPr>
          </w:p>
        </w:tc>
        <w:tc>
          <w:tcPr>
            <w:tcW w:w="514" w:type="pct"/>
            <w:shd w:val="clear" w:color="auto" w:fill="auto"/>
          </w:tcPr>
          <w:p w:rsidR="00D82E05" w:rsidRPr="0012760D" w:rsidRDefault="00D82E05" w:rsidP="00D82E05">
            <w:pPr>
              <w:rPr>
                <w:sz w:val="24"/>
                <w:szCs w:val="24"/>
              </w:rPr>
            </w:pPr>
            <w:r w:rsidRPr="0012760D">
              <w:rPr>
                <w:b/>
                <w:bCs/>
                <w:sz w:val="24"/>
                <w:szCs w:val="24"/>
              </w:rPr>
              <w:t>Notes</w:t>
            </w:r>
          </w:p>
        </w:tc>
        <w:tc>
          <w:tcPr>
            <w:tcW w:w="906" w:type="pct"/>
            <w:shd w:val="clear" w:color="auto" w:fill="auto"/>
          </w:tcPr>
          <w:p w:rsidR="00D82E05" w:rsidRPr="0012760D" w:rsidRDefault="00D82E05" w:rsidP="00D82E05">
            <w:pPr>
              <w:jc w:val="right"/>
              <w:rPr>
                <w:sz w:val="24"/>
                <w:szCs w:val="24"/>
              </w:rPr>
            </w:pPr>
            <w:r w:rsidRPr="0012760D">
              <w:rPr>
                <w:b/>
                <w:bCs/>
                <w:sz w:val="24"/>
                <w:szCs w:val="24"/>
              </w:rPr>
              <w:t>2013 $</w:t>
            </w:r>
          </w:p>
        </w:tc>
        <w:tc>
          <w:tcPr>
            <w:tcW w:w="908" w:type="pct"/>
            <w:shd w:val="clear" w:color="auto" w:fill="auto"/>
          </w:tcPr>
          <w:p w:rsidR="00D82E05" w:rsidRPr="0012760D" w:rsidRDefault="00D82E05" w:rsidP="00D82E05">
            <w:pPr>
              <w:jc w:val="right"/>
              <w:rPr>
                <w:sz w:val="24"/>
                <w:szCs w:val="24"/>
              </w:rPr>
            </w:pPr>
            <w:r w:rsidRPr="0012760D">
              <w:rPr>
                <w:b/>
                <w:bCs/>
                <w:sz w:val="24"/>
                <w:szCs w:val="24"/>
              </w:rPr>
              <w:t>2012 $</w:t>
            </w:r>
          </w:p>
        </w:tc>
      </w:tr>
      <w:tr w:rsidR="00D82E05" w:rsidRPr="0012760D" w:rsidTr="00D82E05">
        <w:tblPrEx>
          <w:tblCellMar>
            <w:top w:w="0" w:type="dxa"/>
            <w:bottom w:w="0" w:type="dxa"/>
          </w:tblCellMar>
        </w:tblPrEx>
        <w:trPr>
          <w:trHeight w:val="288"/>
        </w:trPr>
        <w:tc>
          <w:tcPr>
            <w:tcW w:w="5000" w:type="pct"/>
            <w:gridSpan w:val="4"/>
            <w:shd w:val="clear" w:color="auto" w:fill="auto"/>
          </w:tcPr>
          <w:p w:rsidR="00D82E05" w:rsidRPr="0012760D" w:rsidRDefault="00D82E05" w:rsidP="00D82E05">
            <w:pPr>
              <w:rPr>
                <w:sz w:val="24"/>
                <w:szCs w:val="24"/>
              </w:rPr>
            </w:pPr>
            <w:r w:rsidRPr="0012760D">
              <w:rPr>
                <w:b/>
                <w:bCs/>
                <w:sz w:val="24"/>
                <w:szCs w:val="24"/>
              </w:rPr>
              <w:lastRenderedPageBreak/>
              <w:t>Assets</w:t>
            </w:r>
          </w:p>
        </w:tc>
      </w:tr>
      <w:tr w:rsidR="00D82E05" w:rsidRPr="0012760D" w:rsidTr="00D82E05">
        <w:tblPrEx>
          <w:tblCellMar>
            <w:top w:w="0" w:type="dxa"/>
            <w:bottom w:w="0" w:type="dxa"/>
          </w:tblCellMar>
        </w:tblPrEx>
        <w:trPr>
          <w:trHeight w:val="278"/>
        </w:trPr>
        <w:tc>
          <w:tcPr>
            <w:tcW w:w="5000" w:type="pct"/>
            <w:gridSpan w:val="4"/>
            <w:shd w:val="clear" w:color="auto" w:fill="auto"/>
          </w:tcPr>
          <w:p w:rsidR="00D82E05" w:rsidRPr="0012760D" w:rsidRDefault="00D82E05" w:rsidP="00D82E05">
            <w:pPr>
              <w:rPr>
                <w:sz w:val="24"/>
                <w:szCs w:val="24"/>
              </w:rPr>
            </w:pPr>
            <w:r w:rsidRPr="0012760D">
              <w:rPr>
                <w:b/>
                <w:bCs/>
                <w:sz w:val="24"/>
                <w:szCs w:val="24"/>
              </w:rPr>
              <w:t>Financial assets</w:t>
            </w:r>
          </w:p>
        </w:tc>
      </w:tr>
      <w:tr w:rsidR="00D82E05" w:rsidRPr="0012760D" w:rsidTr="00D82E05">
        <w:tblPrEx>
          <w:tblCellMar>
            <w:top w:w="0" w:type="dxa"/>
            <w:bottom w:w="0" w:type="dxa"/>
          </w:tblCellMar>
        </w:tblPrEx>
        <w:trPr>
          <w:trHeight w:val="298"/>
        </w:trPr>
        <w:tc>
          <w:tcPr>
            <w:tcW w:w="2672" w:type="pct"/>
            <w:shd w:val="clear" w:color="auto" w:fill="auto"/>
          </w:tcPr>
          <w:p w:rsidR="00D82E05" w:rsidRPr="0012760D" w:rsidRDefault="00D82E05" w:rsidP="00D82E05">
            <w:pPr>
              <w:rPr>
                <w:sz w:val="24"/>
                <w:szCs w:val="24"/>
              </w:rPr>
            </w:pPr>
            <w:r w:rsidRPr="0012760D">
              <w:rPr>
                <w:sz w:val="24"/>
                <w:szCs w:val="24"/>
              </w:rPr>
              <w:t xml:space="preserve">Cash </w:t>
            </w:r>
            <w:r w:rsidR="00236A13">
              <w:rPr>
                <w:sz w:val="24"/>
                <w:szCs w:val="24"/>
              </w:rPr>
              <w:t>and</w:t>
            </w:r>
            <w:r w:rsidRPr="0012760D">
              <w:rPr>
                <w:sz w:val="24"/>
                <w:szCs w:val="24"/>
              </w:rPr>
              <w:t xml:space="preserve"> cash equivalents</w:t>
            </w:r>
          </w:p>
        </w:tc>
        <w:tc>
          <w:tcPr>
            <w:tcW w:w="514" w:type="pct"/>
            <w:shd w:val="clear" w:color="auto" w:fill="auto"/>
          </w:tcPr>
          <w:p w:rsidR="00D82E05" w:rsidRPr="0012760D" w:rsidRDefault="00D82E05" w:rsidP="00D82E05">
            <w:pPr>
              <w:jc w:val="right"/>
              <w:rPr>
                <w:sz w:val="24"/>
                <w:szCs w:val="24"/>
              </w:rPr>
            </w:pPr>
            <w:r w:rsidRPr="0012760D">
              <w:rPr>
                <w:sz w:val="24"/>
                <w:szCs w:val="24"/>
              </w:rPr>
              <w:t>5</w:t>
            </w:r>
          </w:p>
        </w:tc>
        <w:tc>
          <w:tcPr>
            <w:tcW w:w="906" w:type="pct"/>
            <w:shd w:val="clear" w:color="auto" w:fill="auto"/>
          </w:tcPr>
          <w:p w:rsidR="00D82E05" w:rsidRPr="0012760D" w:rsidRDefault="00D82E05" w:rsidP="00D82E05">
            <w:pPr>
              <w:jc w:val="right"/>
              <w:rPr>
                <w:sz w:val="24"/>
                <w:szCs w:val="24"/>
              </w:rPr>
            </w:pPr>
            <w:r w:rsidRPr="0012760D">
              <w:rPr>
                <w:sz w:val="24"/>
                <w:szCs w:val="24"/>
              </w:rPr>
              <w:t>36,633,167</w:t>
            </w:r>
          </w:p>
        </w:tc>
        <w:tc>
          <w:tcPr>
            <w:tcW w:w="908" w:type="pct"/>
            <w:shd w:val="clear" w:color="auto" w:fill="auto"/>
          </w:tcPr>
          <w:p w:rsidR="00D82E05" w:rsidRPr="0012760D" w:rsidRDefault="00D82E05" w:rsidP="00D82E05">
            <w:pPr>
              <w:jc w:val="right"/>
              <w:rPr>
                <w:sz w:val="24"/>
                <w:szCs w:val="24"/>
              </w:rPr>
            </w:pPr>
            <w:r w:rsidRPr="0012760D">
              <w:rPr>
                <w:sz w:val="24"/>
                <w:szCs w:val="24"/>
              </w:rPr>
              <w:t>23,422,200</w:t>
            </w:r>
          </w:p>
        </w:tc>
      </w:tr>
      <w:tr w:rsidR="00D82E05" w:rsidRPr="0012760D" w:rsidTr="00D82E05">
        <w:tblPrEx>
          <w:tblCellMar>
            <w:top w:w="0" w:type="dxa"/>
            <w:bottom w:w="0" w:type="dxa"/>
          </w:tblCellMar>
        </w:tblPrEx>
        <w:trPr>
          <w:trHeight w:val="283"/>
        </w:trPr>
        <w:tc>
          <w:tcPr>
            <w:tcW w:w="2672" w:type="pct"/>
            <w:shd w:val="clear" w:color="auto" w:fill="auto"/>
          </w:tcPr>
          <w:p w:rsidR="00D82E05" w:rsidRPr="0012760D" w:rsidRDefault="00D82E05" w:rsidP="00D82E05">
            <w:pPr>
              <w:rPr>
                <w:sz w:val="24"/>
                <w:szCs w:val="24"/>
              </w:rPr>
            </w:pPr>
            <w:r w:rsidRPr="0012760D">
              <w:rPr>
                <w:sz w:val="24"/>
                <w:szCs w:val="24"/>
              </w:rPr>
              <w:t>Receivables</w:t>
            </w:r>
          </w:p>
        </w:tc>
        <w:tc>
          <w:tcPr>
            <w:tcW w:w="514" w:type="pct"/>
            <w:shd w:val="clear" w:color="auto" w:fill="auto"/>
          </w:tcPr>
          <w:p w:rsidR="00D82E05" w:rsidRPr="0012760D" w:rsidRDefault="00D82E05" w:rsidP="00D82E05">
            <w:pPr>
              <w:jc w:val="right"/>
              <w:rPr>
                <w:sz w:val="24"/>
                <w:szCs w:val="24"/>
              </w:rPr>
            </w:pPr>
            <w:r w:rsidRPr="0012760D">
              <w:rPr>
                <w:sz w:val="24"/>
                <w:szCs w:val="24"/>
              </w:rPr>
              <w:t>6</w:t>
            </w:r>
          </w:p>
        </w:tc>
        <w:tc>
          <w:tcPr>
            <w:tcW w:w="906" w:type="pct"/>
            <w:shd w:val="clear" w:color="auto" w:fill="auto"/>
          </w:tcPr>
          <w:p w:rsidR="00D82E05" w:rsidRPr="0012760D" w:rsidRDefault="00D82E05" w:rsidP="00D82E05">
            <w:pPr>
              <w:jc w:val="right"/>
              <w:rPr>
                <w:sz w:val="24"/>
                <w:szCs w:val="24"/>
              </w:rPr>
            </w:pPr>
            <w:r w:rsidRPr="0012760D">
              <w:rPr>
                <w:sz w:val="24"/>
                <w:szCs w:val="24"/>
              </w:rPr>
              <w:t>8,291,223</w:t>
            </w:r>
          </w:p>
        </w:tc>
        <w:tc>
          <w:tcPr>
            <w:tcW w:w="908" w:type="pct"/>
            <w:shd w:val="clear" w:color="auto" w:fill="auto"/>
          </w:tcPr>
          <w:p w:rsidR="00D82E05" w:rsidRPr="0012760D" w:rsidRDefault="00D82E05" w:rsidP="00D82E05">
            <w:pPr>
              <w:jc w:val="right"/>
              <w:rPr>
                <w:sz w:val="24"/>
                <w:szCs w:val="24"/>
              </w:rPr>
            </w:pPr>
            <w:r w:rsidRPr="0012760D">
              <w:rPr>
                <w:sz w:val="24"/>
                <w:szCs w:val="24"/>
              </w:rPr>
              <w:t>6,477,736</w:t>
            </w:r>
          </w:p>
        </w:tc>
      </w:tr>
      <w:tr w:rsidR="00D82E05" w:rsidRPr="0012760D" w:rsidTr="00D82E05">
        <w:tblPrEx>
          <w:tblCellMar>
            <w:top w:w="0" w:type="dxa"/>
            <w:bottom w:w="0" w:type="dxa"/>
          </w:tblCellMar>
        </w:tblPrEx>
        <w:trPr>
          <w:trHeight w:val="283"/>
        </w:trPr>
        <w:tc>
          <w:tcPr>
            <w:tcW w:w="3186" w:type="pct"/>
            <w:gridSpan w:val="2"/>
            <w:shd w:val="clear" w:color="auto" w:fill="auto"/>
          </w:tcPr>
          <w:p w:rsidR="00D82E05" w:rsidRPr="0012760D" w:rsidRDefault="00D82E05" w:rsidP="00D82E05">
            <w:pPr>
              <w:rPr>
                <w:sz w:val="24"/>
                <w:szCs w:val="24"/>
              </w:rPr>
            </w:pPr>
            <w:r w:rsidRPr="0012760D">
              <w:rPr>
                <w:b/>
                <w:bCs/>
                <w:sz w:val="24"/>
                <w:szCs w:val="24"/>
              </w:rPr>
              <w:t>Total financial assets</w:t>
            </w:r>
          </w:p>
        </w:tc>
        <w:tc>
          <w:tcPr>
            <w:tcW w:w="906" w:type="pct"/>
            <w:shd w:val="clear" w:color="auto" w:fill="auto"/>
          </w:tcPr>
          <w:p w:rsidR="00D82E05" w:rsidRPr="0012760D" w:rsidRDefault="00D82E05" w:rsidP="00D82E05">
            <w:pPr>
              <w:jc w:val="right"/>
              <w:rPr>
                <w:sz w:val="24"/>
                <w:szCs w:val="24"/>
              </w:rPr>
            </w:pPr>
            <w:r w:rsidRPr="0012760D">
              <w:rPr>
                <w:b/>
                <w:bCs/>
                <w:sz w:val="24"/>
                <w:szCs w:val="24"/>
              </w:rPr>
              <w:t>44,924,390</w:t>
            </w:r>
          </w:p>
        </w:tc>
        <w:tc>
          <w:tcPr>
            <w:tcW w:w="908" w:type="pct"/>
            <w:shd w:val="clear" w:color="auto" w:fill="auto"/>
          </w:tcPr>
          <w:p w:rsidR="00D82E05" w:rsidRPr="0012760D" w:rsidRDefault="00D82E05" w:rsidP="00D82E05">
            <w:pPr>
              <w:jc w:val="right"/>
              <w:rPr>
                <w:sz w:val="24"/>
                <w:szCs w:val="24"/>
              </w:rPr>
            </w:pPr>
            <w:r w:rsidRPr="0012760D">
              <w:rPr>
                <w:b/>
                <w:bCs/>
                <w:sz w:val="24"/>
                <w:szCs w:val="24"/>
              </w:rPr>
              <w:t>29,899,936</w:t>
            </w:r>
          </w:p>
        </w:tc>
      </w:tr>
      <w:tr w:rsidR="00D82E05" w:rsidRPr="0012760D" w:rsidTr="00D82E05">
        <w:tblPrEx>
          <w:tblCellMar>
            <w:top w:w="0" w:type="dxa"/>
            <w:bottom w:w="0" w:type="dxa"/>
          </w:tblCellMar>
        </w:tblPrEx>
        <w:trPr>
          <w:trHeight w:val="288"/>
        </w:trPr>
        <w:tc>
          <w:tcPr>
            <w:tcW w:w="5000" w:type="pct"/>
            <w:gridSpan w:val="4"/>
            <w:shd w:val="clear" w:color="auto" w:fill="auto"/>
          </w:tcPr>
          <w:p w:rsidR="00D82E05" w:rsidRPr="0012760D" w:rsidRDefault="00D82E05" w:rsidP="00D82E05">
            <w:pPr>
              <w:rPr>
                <w:sz w:val="24"/>
                <w:szCs w:val="24"/>
              </w:rPr>
            </w:pPr>
            <w:r w:rsidRPr="0012760D">
              <w:rPr>
                <w:b/>
                <w:bCs/>
                <w:sz w:val="24"/>
                <w:szCs w:val="24"/>
              </w:rPr>
              <w:t>Non-financial assets</w:t>
            </w:r>
          </w:p>
        </w:tc>
      </w:tr>
      <w:tr w:rsidR="00D82E05" w:rsidRPr="0012760D" w:rsidTr="00D82E05">
        <w:tblPrEx>
          <w:tblCellMar>
            <w:top w:w="0" w:type="dxa"/>
            <w:bottom w:w="0" w:type="dxa"/>
          </w:tblCellMar>
        </w:tblPrEx>
        <w:trPr>
          <w:trHeight w:val="302"/>
        </w:trPr>
        <w:tc>
          <w:tcPr>
            <w:tcW w:w="2672" w:type="pct"/>
            <w:shd w:val="clear" w:color="auto" w:fill="auto"/>
          </w:tcPr>
          <w:p w:rsidR="00D82E05" w:rsidRPr="0012760D" w:rsidRDefault="00D82E05" w:rsidP="00D82E05">
            <w:pPr>
              <w:rPr>
                <w:sz w:val="24"/>
                <w:szCs w:val="24"/>
              </w:rPr>
            </w:pPr>
            <w:r w:rsidRPr="0012760D">
              <w:rPr>
                <w:sz w:val="24"/>
                <w:szCs w:val="24"/>
              </w:rPr>
              <w:t xml:space="preserve">Property, plant </w:t>
            </w:r>
            <w:r w:rsidR="00236A13">
              <w:rPr>
                <w:sz w:val="24"/>
                <w:szCs w:val="24"/>
              </w:rPr>
              <w:t>and</w:t>
            </w:r>
            <w:r w:rsidRPr="0012760D">
              <w:rPr>
                <w:sz w:val="24"/>
                <w:szCs w:val="24"/>
              </w:rPr>
              <w:t xml:space="preserve"> equipment</w:t>
            </w:r>
          </w:p>
        </w:tc>
        <w:tc>
          <w:tcPr>
            <w:tcW w:w="514" w:type="pct"/>
            <w:shd w:val="clear" w:color="auto" w:fill="auto"/>
          </w:tcPr>
          <w:p w:rsidR="00D82E05" w:rsidRPr="0012760D" w:rsidRDefault="00D82E05" w:rsidP="00D82E05">
            <w:pPr>
              <w:jc w:val="right"/>
              <w:rPr>
                <w:sz w:val="24"/>
                <w:szCs w:val="24"/>
              </w:rPr>
            </w:pPr>
            <w:r w:rsidRPr="0012760D">
              <w:rPr>
                <w:sz w:val="24"/>
                <w:szCs w:val="24"/>
              </w:rPr>
              <w:t>7</w:t>
            </w:r>
          </w:p>
        </w:tc>
        <w:tc>
          <w:tcPr>
            <w:tcW w:w="906" w:type="pct"/>
            <w:shd w:val="clear" w:color="auto" w:fill="auto"/>
          </w:tcPr>
          <w:p w:rsidR="00D82E05" w:rsidRPr="0012760D" w:rsidRDefault="00D82E05" w:rsidP="00D82E05">
            <w:pPr>
              <w:jc w:val="right"/>
              <w:rPr>
                <w:sz w:val="24"/>
                <w:szCs w:val="24"/>
              </w:rPr>
            </w:pPr>
            <w:r w:rsidRPr="0012760D">
              <w:rPr>
                <w:sz w:val="24"/>
                <w:szCs w:val="24"/>
              </w:rPr>
              <w:t>631,282</w:t>
            </w:r>
          </w:p>
        </w:tc>
        <w:tc>
          <w:tcPr>
            <w:tcW w:w="908" w:type="pct"/>
            <w:shd w:val="clear" w:color="auto" w:fill="auto"/>
          </w:tcPr>
          <w:p w:rsidR="00D82E05" w:rsidRPr="0012760D" w:rsidRDefault="00D82E05" w:rsidP="00D82E05">
            <w:pPr>
              <w:jc w:val="right"/>
              <w:rPr>
                <w:sz w:val="24"/>
                <w:szCs w:val="24"/>
              </w:rPr>
            </w:pPr>
            <w:r w:rsidRPr="0012760D">
              <w:rPr>
                <w:sz w:val="24"/>
                <w:szCs w:val="24"/>
              </w:rPr>
              <w:t>484,616</w:t>
            </w:r>
          </w:p>
        </w:tc>
      </w:tr>
      <w:tr w:rsidR="00D82E05" w:rsidRPr="0012760D" w:rsidTr="00D82E05">
        <w:tblPrEx>
          <w:tblCellMar>
            <w:top w:w="0" w:type="dxa"/>
            <w:bottom w:w="0" w:type="dxa"/>
          </w:tblCellMar>
        </w:tblPrEx>
        <w:trPr>
          <w:trHeight w:val="283"/>
        </w:trPr>
        <w:tc>
          <w:tcPr>
            <w:tcW w:w="2672" w:type="pct"/>
            <w:shd w:val="clear" w:color="auto" w:fill="auto"/>
          </w:tcPr>
          <w:p w:rsidR="00D82E05" w:rsidRPr="0012760D" w:rsidRDefault="00D82E05" w:rsidP="00D82E05">
            <w:pPr>
              <w:rPr>
                <w:sz w:val="24"/>
                <w:szCs w:val="24"/>
              </w:rPr>
            </w:pPr>
            <w:r w:rsidRPr="0012760D">
              <w:rPr>
                <w:sz w:val="24"/>
                <w:szCs w:val="24"/>
              </w:rPr>
              <w:t>Prepayments</w:t>
            </w:r>
          </w:p>
        </w:tc>
        <w:tc>
          <w:tcPr>
            <w:tcW w:w="514" w:type="pct"/>
            <w:shd w:val="clear" w:color="auto" w:fill="auto"/>
          </w:tcPr>
          <w:p w:rsidR="00D82E05" w:rsidRPr="0012760D" w:rsidRDefault="00D82E05" w:rsidP="00D82E05">
            <w:pPr>
              <w:jc w:val="right"/>
              <w:rPr>
                <w:sz w:val="24"/>
                <w:szCs w:val="24"/>
              </w:rPr>
            </w:pPr>
          </w:p>
        </w:tc>
        <w:tc>
          <w:tcPr>
            <w:tcW w:w="906" w:type="pct"/>
            <w:shd w:val="clear" w:color="auto" w:fill="auto"/>
          </w:tcPr>
          <w:p w:rsidR="00D82E05" w:rsidRPr="0012760D" w:rsidRDefault="00D82E05" w:rsidP="00D82E05">
            <w:pPr>
              <w:jc w:val="right"/>
              <w:rPr>
                <w:sz w:val="24"/>
                <w:szCs w:val="24"/>
              </w:rPr>
            </w:pPr>
            <w:r w:rsidRPr="0012760D">
              <w:rPr>
                <w:sz w:val="24"/>
                <w:szCs w:val="24"/>
              </w:rPr>
              <w:t>97,448</w:t>
            </w:r>
          </w:p>
        </w:tc>
        <w:tc>
          <w:tcPr>
            <w:tcW w:w="908" w:type="pct"/>
            <w:shd w:val="clear" w:color="auto" w:fill="auto"/>
          </w:tcPr>
          <w:p w:rsidR="00D82E05" w:rsidRPr="0012760D" w:rsidRDefault="00D82E05" w:rsidP="00D82E05">
            <w:pPr>
              <w:jc w:val="right"/>
              <w:rPr>
                <w:sz w:val="24"/>
                <w:szCs w:val="24"/>
              </w:rPr>
            </w:pPr>
            <w:r w:rsidRPr="0012760D">
              <w:rPr>
                <w:sz w:val="24"/>
                <w:szCs w:val="24"/>
              </w:rPr>
              <w:t>93,743</w:t>
            </w:r>
          </w:p>
        </w:tc>
      </w:tr>
      <w:tr w:rsidR="00D82E05" w:rsidRPr="0012760D" w:rsidTr="00D82E05">
        <w:tblPrEx>
          <w:tblCellMar>
            <w:top w:w="0" w:type="dxa"/>
            <w:bottom w:w="0" w:type="dxa"/>
          </w:tblCellMar>
        </w:tblPrEx>
        <w:trPr>
          <w:trHeight w:val="293"/>
        </w:trPr>
        <w:tc>
          <w:tcPr>
            <w:tcW w:w="2672" w:type="pct"/>
            <w:shd w:val="clear" w:color="auto" w:fill="auto"/>
          </w:tcPr>
          <w:p w:rsidR="00D82E05" w:rsidRPr="0012760D" w:rsidRDefault="00D82E05" w:rsidP="00D82E05">
            <w:pPr>
              <w:rPr>
                <w:sz w:val="24"/>
                <w:szCs w:val="24"/>
              </w:rPr>
            </w:pPr>
            <w:r w:rsidRPr="0012760D">
              <w:rPr>
                <w:sz w:val="24"/>
                <w:szCs w:val="24"/>
              </w:rPr>
              <w:t>Intangibles</w:t>
            </w:r>
          </w:p>
        </w:tc>
        <w:tc>
          <w:tcPr>
            <w:tcW w:w="514" w:type="pct"/>
            <w:shd w:val="clear" w:color="auto" w:fill="auto"/>
          </w:tcPr>
          <w:p w:rsidR="00D82E05" w:rsidRPr="0012760D" w:rsidRDefault="00D82E05" w:rsidP="00D82E05">
            <w:pPr>
              <w:jc w:val="right"/>
              <w:rPr>
                <w:sz w:val="24"/>
                <w:szCs w:val="24"/>
              </w:rPr>
            </w:pPr>
            <w:r w:rsidRPr="0012760D">
              <w:rPr>
                <w:sz w:val="24"/>
                <w:szCs w:val="24"/>
              </w:rPr>
              <w:t>8</w:t>
            </w:r>
          </w:p>
        </w:tc>
        <w:tc>
          <w:tcPr>
            <w:tcW w:w="906" w:type="pct"/>
            <w:shd w:val="clear" w:color="auto" w:fill="auto"/>
          </w:tcPr>
          <w:p w:rsidR="00D82E05" w:rsidRPr="0012760D" w:rsidRDefault="00D82E05" w:rsidP="00D82E05">
            <w:pPr>
              <w:jc w:val="right"/>
              <w:rPr>
                <w:sz w:val="24"/>
                <w:szCs w:val="24"/>
              </w:rPr>
            </w:pPr>
            <w:r w:rsidRPr="0012760D">
              <w:rPr>
                <w:sz w:val="24"/>
                <w:szCs w:val="24"/>
              </w:rPr>
              <w:t>-</w:t>
            </w:r>
          </w:p>
        </w:tc>
        <w:tc>
          <w:tcPr>
            <w:tcW w:w="908" w:type="pct"/>
            <w:shd w:val="clear" w:color="auto" w:fill="auto"/>
          </w:tcPr>
          <w:p w:rsidR="00D82E05" w:rsidRPr="0012760D" w:rsidRDefault="00D82E05" w:rsidP="00D82E05">
            <w:pPr>
              <w:jc w:val="right"/>
              <w:rPr>
                <w:sz w:val="24"/>
                <w:szCs w:val="24"/>
              </w:rPr>
            </w:pPr>
            <w:r w:rsidRPr="0012760D">
              <w:rPr>
                <w:sz w:val="24"/>
                <w:szCs w:val="24"/>
              </w:rPr>
              <w:t>2,290,803</w:t>
            </w:r>
          </w:p>
        </w:tc>
      </w:tr>
      <w:tr w:rsidR="00D82E05" w:rsidRPr="0012760D" w:rsidTr="00D82E05">
        <w:tblPrEx>
          <w:tblCellMar>
            <w:top w:w="0" w:type="dxa"/>
            <w:bottom w:w="0" w:type="dxa"/>
          </w:tblCellMar>
        </w:tblPrEx>
        <w:trPr>
          <w:trHeight w:val="254"/>
        </w:trPr>
        <w:tc>
          <w:tcPr>
            <w:tcW w:w="2672" w:type="pct"/>
            <w:shd w:val="clear" w:color="auto" w:fill="auto"/>
          </w:tcPr>
          <w:p w:rsidR="00D82E05" w:rsidRPr="0012760D" w:rsidRDefault="00D82E05" w:rsidP="00D82E05">
            <w:pPr>
              <w:rPr>
                <w:sz w:val="24"/>
                <w:szCs w:val="24"/>
              </w:rPr>
            </w:pPr>
            <w:r w:rsidRPr="0012760D">
              <w:rPr>
                <w:sz w:val="24"/>
                <w:szCs w:val="24"/>
              </w:rPr>
              <w:t>Non-Financial assets classified as held for sale</w:t>
            </w:r>
          </w:p>
        </w:tc>
        <w:tc>
          <w:tcPr>
            <w:tcW w:w="514" w:type="pct"/>
            <w:shd w:val="clear" w:color="auto" w:fill="auto"/>
          </w:tcPr>
          <w:p w:rsidR="00D82E05" w:rsidRPr="0012760D" w:rsidRDefault="00D82E05" w:rsidP="00D82E05">
            <w:pPr>
              <w:jc w:val="right"/>
              <w:rPr>
                <w:sz w:val="24"/>
                <w:szCs w:val="24"/>
              </w:rPr>
            </w:pPr>
            <w:r w:rsidRPr="0012760D">
              <w:rPr>
                <w:sz w:val="24"/>
                <w:szCs w:val="24"/>
              </w:rPr>
              <w:t>9</w:t>
            </w:r>
          </w:p>
        </w:tc>
        <w:tc>
          <w:tcPr>
            <w:tcW w:w="906" w:type="pct"/>
            <w:shd w:val="clear" w:color="auto" w:fill="auto"/>
          </w:tcPr>
          <w:p w:rsidR="00D82E05" w:rsidRPr="0012760D" w:rsidRDefault="00D82E05" w:rsidP="00D82E05">
            <w:pPr>
              <w:jc w:val="right"/>
              <w:rPr>
                <w:sz w:val="24"/>
                <w:szCs w:val="24"/>
              </w:rPr>
            </w:pPr>
            <w:r w:rsidRPr="0012760D">
              <w:rPr>
                <w:sz w:val="24"/>
                <w:szCs w:val="24"/>
              </w:rPr>
              <w:t>2,290,803</w:t>
            </w:r>
          </w:p>
        </w:tc>
        <w:tc>
          <w:tcPr>
            <w:tcW w:w="908" w:type="pct"/>
            <w:shd w:val="clear" w:color="auto" w:fill="auto"/>
          </w:tcPr>
          <w:p w:rsidR="00D82E05" w:rsidRPr="0012760D" w:rsidRDefault="00D82E05" w:rsidP="00D82E05">
            <w:pPr>
              <w:jc w:val="right"/>
              <w:rPr>
                <w:sz w:val="24"/>
                <w:szCs w:val="24"/>
              </w:rPr>
            </w:pPr>
            <w:r w:rsidRPr="0012760D">
              <w:rPr>
                <w:sz w:val="24"/>
                <w:szCs w:val="24"/>
              </w:rPr>
              <w:t>-</w:t>
            </w:r>
          </w:p>
        </w:tc>
      </w:tr>
      <w:tr w:rsidR="00D82E05" w:rsidRPr="0012760D" w:rsidTr="00D82E05">
        <w:tblPrEx>
          <w:tblCellMar>
            <w:top w:w="0" w:type="dxa"/>
            <w:bottom w:w="0" w:type="dxa"/>
          </w:tblCellMar>
        </w:tblPrEx>
        <w:trPr>
          <w:trHeight w:val="283"/>
        </w:trPr>
        <w:tc>
          <w:tcPr>
            <w:tcW w:w="3186" w:type="pct"/>
            <w:gridSpan w:val="2"/>
            <w:shd w:val="clear" w:color="auto" w:fill="auto"/>
          </w:tcPr>
          <w:p w:rsidR="00D82E05" w:rsidRPr="0012760D" w:rsidRDefault="00D82E05" w:rsidP="00D82E05">
            <w:pPr>
              <w:rPr>
                <w:sz w:val="24"/>
                <w:szCs w:val="24"/>
              </w:rPr>
            </w:pPr>
            <w:r w:rsidRPr="0012760D">
              <w:rPr>
                <w:b/>
                <w:bCs/>
                <w:sz w:val="24"/>
                <w:szCs w:val="24"/>
              </w:rPr>
              <w:t>Total non-financial assets</w:t>
            </w:r>
          </w:p>
        </w:tc>
        <w:tc>
          <w:tcPr>
            <w:tcW w:w="906" w:type="pct"/>
            <w:shd w:val="clear" w:color="auto" w:fill="auto"/>
          </w:tcPr>
          <w:p w:rsidR="00D82E05" w:rsidRPr="0012760D" w:rsidRDefault="00D82E05" w:rsidP="00D82E05">
            <w:pPr>
              <w:jc w:val="right"/>
              <w:rPr>
                <w:sz w:val="24"/>
                <w:szCs w:val="24"/>
              </w:rPr>
            </w:pPr>
            <w:r w:rsidRPr="0012760D">
              <w:rPr>
                <w:b/>
                <w:bCs/>
                <w:sz w:val="24"/>
                <w:szCs w:val="24"/>
              </w:rPr>
              <w:t>3,019,533</w:t>
            </w:r>
          </w:p>
        </w:tc>
        <w:tc>
          <w:tcPr>
            <w:tcW w:w="908" w:type="pct"/>
            <w:shd w:val="clear" w:color="auto" w:fill="auto"/>
          </w:tcPr>
          <w:p w:rsidR="00D82E05" w:rsidRPr="0012760D" w:rsidRDefault="00D82E05" w:rsidP="00D82E05">
            <w:pPr>
              <w:jc w:val="right"/>
              <w:rPr>
                <w:sz w:val="24"/>
                <w:szCs w:val="24"/>
              </w:rPr>
            </w:pPr>
            <w:r w:rsidRPr="0012760D">
              <w:rPr>
                <w:b/>
                <w:bCs/>
                <w:sz w:val="24"/>
                <w:szCs w:val="24"/>
              </w:rPr>
              <w:t xml:space="preserve">2,869,162 </w:t>
            </w:r>
          </w:p>
        </w:tc>
      </w:tr>
      <w:tr w:rsidR="00D82E05" w:rsidRPr="0012760D" w:rsidTr="00D82E05">
        <w:tblPrEx>
          <w:tblCellMar>
            <w:top w:w="0" w:type="dxa"/>
            <w:bottom w:w="0" w:type="dxa"/>
          </w:tblCellMar>
        </w:tblPrEx>
        <w:trPr>
          <w:trHeight w:val="288"/>
        </w:trPr>
        <w:tc>
          <w:tcPr>
            <w:tcW w:w="3186" w:type="pct"/>
            <w:gridSpan w:val="2"/>
            <w:shd w:val="clear" w:color="auto" w:fill="auto"/>
          </w:tcPr>
          <w:p w:rsidR="00D82E05" w:rsidRPr="0012760D" w:rsidRDefault="00D82E05" w:rsidP="00D82E05">
            <w:pPr>
              <w:rPr>
                <w:sz w:val="24"/>
                <w:szCs w:val="24"/>
              </w:rPr>
            </w:pPr>
            <w:r w:rsidRPr="0012760D">
              <w:rPr>
                <w:b/>
                <w:bCs/>
                <w:sz w:val="24"/>
                <w:szCs w:val="24"/>
              </w:rPr>
              <w:t>Total assets</w:t>
            </w:r>
          </w:p>
        </w:tc>
        <w:tc>
          <w:tcPr>
            <w:tcW w:w="906" w:type="pct"/>
            <w:shd w:val="clear" w:color="auto" w:fill="auto"/>
          </w:tcPr>
          <w:p w:rsidR="00D82E05" w:rsidRPr="0012760D" w:rsidRDefault="00D82E05" w:rsidP="00D82E05">
            <w:pPr>
              <w:jc w:val="right"/>
              <w:rPr>
                <w:sz w:val="24"/>
                <w:szCs w:val="24"/>
              </w:rPr>
            </w:pPr>
            <w:r w:rsidRPr="0012760D">
              <w:rPr>
                <w:b/>
                <w:bCs/>
                <w:sz w:val="24"/>
                <w:szCs w:val="24"/>
              </w:rPr>
              <w:t>47,943,923</w:t>
            </w:r>
          </w:p>
        </w:tc>
        <w:tc>
          <w:tcPr>
            <w:tcW w:w="908" w:type="pct"/>
            <w:shd w:val="clear" w:color="auto" w:fill="auto"/>
          </w:tcPr>
          <w:p w:rsidR="00D82E05" w:rsidRPr="0012760D" w:rsidRDefault="00D82E05" w:rsidP="00D82E05">
            <w:pPr>
              <w:jc w:val="right"/>
              <w:rPr>
                <w:sz w:val="24"/>
                <w:szCs w:val="24"/>
              </w:rPr>
            </w:pPr>
            <w:r w:rsidRPr="0012760D">
              <w:rPr>
                <w:b/>
                <w:bCs/>
                <w:sz w:val="24"/>
                <w:szCs w:val="24"/>
              </w:rPr>
              <w:t>32,769,098</w:t>
            </w:r>
          </w:p>
        </w:tc>
      </w:tr>
      <w:tr w:rsidR="00D82E05" w:rsidRPr="0012760D" w:rsidTr="00D82E05">
        <w:tblPrEx>
          <w:tblCellMar>
            <w:top w:w="0" w:type="dxa"/>
            <w:bottom w:w="0" w:type="dxa"/>
          </w:tblCellMar>
        </w:tblPrEx>
        <w:trPr>
          <w:trHeight w:val="278"/>
        </w:trPr>
        <w:tc>
          <w:tcPr>
            <w:tcW w:w="5000" w:type="pct"/>
            <w:gridSpan w:val="4"/>
            <w:shd w:val="clear" w:color="auto" w:fill="auto"/>
          </w:tcPr>
          <w:p w:rsidR="00D82E05" w:rsidRPr="0012760D" w:rsidRDefault="00D82E05" w:rsidP="00D82E05">
            <w:pPr>
              <w:rPr>
                <w:sz w:val="24"/>
                <w:szCs w:val="24"/>
              </w:rPr>
            </w:pPr>
            <w:r w:rsidRPr="0012760D">
              <w:rPr>
                <w:b/>
                <w:bCs/>
                <w:sz w:val="24"/>
                <w:szCs w:val="24"/>
              </w:rPr>
              <w:t>Liabilities</w:t>
            </w:r>
          </w:p>
        </w:tc>
      </w:tr>
      <w:tr w:rsidR="00D82E05" w:rsidRPr="0012760D" w:rsidTr="00D82E05">
        <w:tblPrEx>
          <w:tblCellMar>
            <w:top w:w="0" w:type="dxa"/>
            <w:bottom w:w="0" w:type="dxa"/>
          </w:tblCellMar>
        </w:tblPrEx>
        <w:trPr>
          <w:trHeight w:val="293"/>
        </w:trPr>
        <w:tc>
          <w:tcPr>
            <w:tcW w:w="2672" w:type="pct"/>
            <w:shd w:val="clear" w:color="auto" w:fill="auto"/>
          </w:tcPr>
          <w:p w:rsidR="00D82E05" w:rsidRPr="0012760D" w:rsidRDefault="00D82E05" w:rsidP="00D82E05">
            <w:pPr>
              <w:rPr>
                <w:sz w:val="24"/>
                <w:szCs w:val="24"/>
              </w:rPr>
            </w:pPr>
            <w:r w:rsidRPr="0012760D">
              <w:rPr>
                <w:sz w:val="24"/>
                <w:szCs w:val="24"/>
              </w:rPr>
              <w:t>Payables</w:t>
            </w:r>
          </w:p>
        </w:tc>
        <w:tc>
          <w:tcPr>
            <w:tcW w:w="514" w:type="pct"/>
            <w:shd w:val="clear" w:color="auto" w:fill="auto"/>
          </w:tcPr>
          <w:p w:rsidR="00D82E05" w:rsidRPr="0012760D" w:rsidRDefault="00D82E05" w:rsidP="00D82E05">
            <w:pPr>
              <w:jc w:val="right"/>
              <w:rPr>
                <w:sz w:val="24"/>
                <w:szCs w:val="24"/>
              </w:rPr>
            </w:pPr>
            <w:r w:rsidRPr="0012760D">
              <w:rPr>
                <w:sz w:val="24"/>
                <w:szCs w:val="24"/>
              </w:rPr>
              <w:t>10</w:t>
            </w:r>
          </w:p>
        </w:tc>
        <w:tc>
          <w:tcPr>
            <w:tcW w:w="906" w:type="pct"/>
            <w:shd w:val="clear" w:color="auto" w:fill="auto"/>
          </w:tcPr>
          <w:p w:rsidR="00D82E05" w:rsidRPr="0012760D" w:rsidRDefault="00D82E05" w:rsidP="00D82E05">
            <w:pPr>
              <w:jc w:val="right"/>
              <w:rPr>
                <w:sz w:val="24"/>
                <w:szCs w:val="24"/>
              </w:rPr>
            </w:pPr>
            <w:r w:rsidRPr="0012760D">
              <w:rPr>
                <w:sz w:val="24"/>
                <w:szCs w:val="24"/>
              </w:rPr>
              <w:t>6,444,059</w:t>
            </w:r>
          </w:p>
        </w:tc>
        <w:tc>
          <w:tcPr>
            <w:tcW w:w="908" w:type="pct"/>
            <w:shd w:val="clear" w:color="auto" w:fill="auto"/>
          </w:tcPr>
          <w:p w:rsidR="00D82E05" w:rsidRPr="0012760D" w:rsidRDefault="00D82E05" w:rsidP="00D82E05">
            <w:pPr>
              <w:jc w:val="right"/>
              <w:rPr>
                <w:sz w:val="24"/>
                <w:szCs w:val="24"/>
              </w:rPr>
            </w:pPr>
            <w:r w:rsidRPr="0012760D">
              <w:rPr>
                <w:sz w:val="24"/>
                <w:szCs w:val="24"/>
              </w:rPr>
              <w:t>2,772,995</w:t>
            </w:r>
          </w:p>
        </w:tc>
      </w:tr>
      <w:tr w:rsidR="00D82E05" w:rsidRPr="0012760D" w:rsidTr="00D82E05">
        <w:tblPrEx>
          <w:tblCellMar>
            <w:top w:w="0" w:type="dxa"/>
            <w:bottom w:w="0" w:type="dxa"/>
          </w:tblCellMar>
        </w:tblPrEx>
        <w:trPr>
          <w:trHeight w:val="278"/>
        </w:trPr>
        <w:tc>
          <w:tcPr>
            <w:tcW w:w="2672" w:type="pct"/>
            <w:shd w:val="clear" w:color="auto" w:fill="auto"/>
          </w:tcPr>
          <w:p w:rsidR="00D82E05" w:rsidRPr="0012760D" w:rsidRDefault="00D82E05" w:rsidP="00D82E05">
            <w:pPr>
              <w:rPr>
                <w:sz w:val="24"/>
                <w:szCs w:val="24"/>
              </w:rPr>
            </w:pPr>
            <w:r w:rsidRPr="0012760D">
              <w:rPr>
                <w:sz w:val="24"/>
                <w:szCs w:val="24"/>
              </w:rPr>
              <w:t>Provisions</w:t>
            </w:r>
          </w:p>
        </w:tc>
        <w:tc>
          <w:tcPr>
            <w:tcW w:w="514" w:type="pct"/>
            <w:shd w:val="clear" w:color="auto" w:fill="auto"/>
          </w:tcPr>
          <w:p w:rsidR="00D82E05" w:rsidRPr="0012760D" w:rsidRDefault="00D82E05" w:rsidP="00D82E05">
            <w:pPr>
              <w:jc w:val="right"/>
              <w:rPr>
                <w:sz w:val="24"/>
                <w:szCs w:val="24"/>
              </w:rPr>
            </w:pPr>
            <w:r w:rsidRPr="0012760D">
              <w:rPr>
                <w:sz w:val="24"/>
                <w:szCs w:val="24"/>
              </w:rPr>
              <w:t>11</w:t>
            </w:r>
          </w:p>
        </w:tc>
        <w:tc>
          <w:tcPr>
            <w:tcW w:w="906" w:type="pct"/>
            <w:shd w:val="clear" w:color="auto" w:fill="auto"/>
          </w:tcPr>
          <w:p w:rsidR="00D82E05" w:rsidRPr="0012760D" w:rsidRDefault="00D82E05" w:rsidP="00D82E05">
            <w:pPr>
              <w:jc w:val="right"/>
              <w:rPr>
                <w:sz w:val="24"/>
                <w:szCs w:val="24"/>
              </w:rPr>
            </w:pPr>
            <w:r w:rsidRPr="0012760D">
              <w:rPr>
                <w:sz w:val="24"/>
                <w:szCs w:val="24"/>
              </w:rPr>
              <w:t>2,263,953</w:t>
            </w:r>
          </w:p>
        </w:tc>
        <w:tc>
          <w:tcPr>
            <w:tcW w:w="908" w:type="pct"/>
            <w:shd w:val="clear" w:color="auto" w:fill="auto"/>
          </w:tcPr>
          <w:p w:rsidR="00D82E05" w:rsidRPr="0012760D" w:rsidRDefault="00D82E05" w:rsidP="00D82E05">
            <w:pPr>
              <w:jc w:val="right"/>
              <w:rPr>
                <w:sz w:val="24"/>
                <w:szCs w:val="24"/>
              </w:rPr>
            </w:pPr>
            <w:r w:rsidRPr="0012760D">
              <w:rPr>
                <w:sz w:val="24"/>
                <w:szCs w:val="24"/>
              </w:rPr>
              <w:t>2,514,805</w:t>
            </w:r>
          </w:p>
        </w:tc>
      </w:tr>
      <w:tr w:rsidR="00D82E05" w:rsidRPr="0012760D" w:rsidTr="00D82E05">
        <w:tblPrEx>
          <w:tblCellMar>
            <w:top w:w="0" w:type="dxa"/>
            <w:bottom w:w="0" w:type="dxa"/>
          </w:tblCellMar>
        </w:tblPrEx>
        <w:trPr>
          <w:trHeight w:val="278"/>
        </w:trPr>
        <w:tc>
          <w:tcPr>
            <w:tcW w:w="2672" w:type="pct"/>
            <w:shd w:val="clear" w:color="auto" w:fill="auto"/>
          </w:tcPr>
          <w:p w:rsidR="00D82E05" w:rsidRPr="0012760D" w:rsidRDefault="00D82E05" w:rsidP="00D82E05">
            <w:pPr>
              <w:rPr>
                <w:sz w:val="24"/>
                <w:szCs w:val="24"/>
              </w:rPr>
            </w:pPr>
            <w:r w:rsidRPr="0012760D">
              <w:rPr>
                <w:sz w:val="24"/>
                <w:szCs w:val="24"/>
              </w:rPr>
              <w:t>Borrowings</w:t>
            </w:r>
          </w:p>
        </w:tc>
        <w:tc>
          <w:tcPr>
            <w:tcW w:w="514" w:type="pct"/>
            <w:shd w:val="clear" w:color="auto" w:fill="auto"/>
          </w:tcPr>
          <w:p w:rsidR="00D82E05" w:rsidRPr="0012760D" w:rsidRDefault="00D82E05" w:rsidP="00D82E05">
            <w:pPr>
              <w:jc w:val="right"/>
              <w:rPr>
                <w:sz w:val="24"/>
                <w:szCs w:val="24"/>
              </w:rPr>
            </w:pPr>
            <w:r w:rsidRPr="0012760D">
              <w:rPr>
                <w:sz w:val="24"/>
                <w:szCs w:val="24"/>
              </w:rPr>
              <w:t>12</w:t>
            </w:r>
          </w:p>
        </w:tc>
        <w:tc>
          <w:tcPr>
            <w:tcW w:w="906" w:type="pct"/>
            <w:shd w:val="clear" w:color="auto" w:fill="auto"/>
          </w:tcPr>
          <w:p w:rsidR="00D82E05" w:rsidRPr="0012760D" w:rsidRDefault="00D82E05" w:rsidP="00D82E05">
            <w:pPr>
              <w:jc w:val="right"/>
              <w:rPr>
                <w:sz w:val="24"/>
                <w:szCs w:val="24"/>
              </w:rPr>
            </w:pPr>
            <w:r w:rsidRPr="0012760D">
              <w:rPr>
                <w:sz w:val="24"/>
                <w:szCs w:val="24"/>
              </w:rPr>
              <w:t>179,512</w:t>
            </w:r>
          </w:p>
        </w:tc>
        <w:tc>
          <w:tcPr>
            <w:tcW w:w="908" w:type="pct"/>
            <w:shd w:val="clear" w:color="auto" w:fill="auto"/>
          </w:tcPr>
          <w:p w:rsidR="00D82E05" w:rsidRPr="0012760D" w:rsidRDefault="00D82E05" w:rsidP="00D82E05">
            <w:pPr>
              <w:jc w:val="right"/>
              <w:rPr>
                <w:sz w:val="24"/>
                <w:szCs w:val="24"/>
              </w:rPr>
            </w:pPr>
            <w:r w:rsidRPr="0012760D">
              <w:rPr>
                <w:sz w:val="24"/>
                <w:szCs w:val="24"/>
              </w:rPr>
              <w:t>192,156</w:t>
            </w:r>
          </w:p>
        </w:tc>
      </w:tr>
      <w:tr w:rsidR="00D82E05" w:rsidRPr="0012760D" w:rsidTr="00D82E05">
        <w:tblPrEx>
          <w:tblCellMar>
            <w:top w:w="0" w:type="dxa"/>
            <w:bottom w:w="0" w:type="dxa"/>
          </w:tblCellMar>
        </w:tblPrEx>
        <w:trPr>
          <w:trHeight w:val="283"/>
        </w:trPr>
        <w:tc>
          <w:tcPr>
            <w:tcW w:w="2672" w:type="pct"/>
            <w:shd w:val="clear" w:color="auto" w:fill="auto"/>
          </w:tcPr>
          <w:p w:rsidR="00D82E05" w:rsidRPr="0012760D" w:rsidRDefault="00D82E05" w:rsidP="00D82E05">
            <w:pPr>
              <w:rPr>
                <w:sz w:val="24"/>
                <w:szCs w:val="24"/>
              </w:rPr>
            </w:pPr>
            <w:r w:rsidRPr="0012760D">
              <w:rPr>
                <w:b/>
                <w:bCs/>
                <w:sz w:val="24"/>
                <w:szCs w:val="24"/>
              </w:rPr>
              <w:t>Total liabilities</w:t>
            </w:r>
          </w:p>
        </w:tc>
        <w:tc>
          <w:tcPr>
            <w:tcW w:w="514" w:type="pct"/>
            <w:shd w:val="clear" w:color="auto" w:fill="auto"/>
          </w:tcPr>
          <w:p w:rsidR="00D82E05" w:rsidRPr="0012760D" w:rsidRDefault="00D82E05" w:rsidP="00D82E05">
            <w:pPr>
              <w:jc w:val="right"/>
              <w:rPr>
                <w:sz w:val="24"/>
                <w:szCs w:val="24"/>
              </w:rPr>
            </w:pPr>
          </w:p>
        </w:tc>
        <w:tc>
          <w:tcPr>
            <w:tcW w:w="906" w:type="pct"/>
            <w:shd w:val="clear" w:color="auto" w:fill="auto"/>
          </w:tcPr>
          <w:p w:rsidR="00D82E05" w:rsidRPr="0012760D" w:rsidRDefault="00D82E05" w:rsidP="00D82E05">
            <w:pPr>
              <w:jc w:val="right"/>
              <w:rPr>
                <w:sz w:val="24"/>
                <w:szCs w:val="24"/>
              </w:rPr>
            </w:pPr>
            <w:r w:rsidRPr="0012760D">
              <w:rPr>
                <w:b/>
                <w:bCs/>
                <w:sz w:val="24"/>
                <w:szCs w:val="24"/>
              </w:rPr>
              <w:t>8,887,524</w:t>
            </w:r>
          </w:p>
        </w:tc>
        <w:tc>
          <w:tcPr>
            <w:tcW w:w="908" w:type="pct"/>
            <w:shd w:val="clear" w:color="auto" w:fill="auto"/>
          </w:tcPr>
          <w:p w:rsidR="00D82E05" w:rsidRPr="0012760D" w:rsidRDefault="00D82E05" w:rsidP="00D82E05">
            <w:pPr>
              <w:jc w:val="right"/>
              <w:rPr>
                <w:sz w:val="24"/>
                <w:szCs w:val="24"/>
              </w:rPr>
            </w:pPr>
            <w:r w:rsidRPr="0012760D">
              <w:rPr>
                <w:b/>
                <w:bCs/>
                <w:sz w:val="24"/>
                <w:szCs w:val="24"/>
              </w:rPr>
              <w:t xml:space="preserve">5,479,956 </w:t>
            </w:r>
          </w:p>
        </w:tc>
      </w:tr>
      <w:tr w:rsidR="00D82E05" w:rsidRPr="0012760D" w:rsidTr="00D82E05">
        <w:tblPrEx>
          <w:tblCellMar>
            <w:top w:w="0" w:type="dxa"/>
            <w:bottom w:w="0" w:type="dxa"/>
          </w:tblCellMar>
        </w:tblPrEx>
        <w:trPr>
          <w:trHeight w:val="283"/>
        </w:trPr>
        <w:tc>
          <w:tcPr>
            <w:tcW w:w="2672" w:type="pct"/>
            <w:shd w:val="clear" w:color="auto" w:fill="auto"/>
          </w:tcPr>
          <w:p w:rsidR="00D82E05" w:rsidRPr="0012760D" w:rsidRDefault="00D82E05" w:rsidP="00D82E05">
            <w:pPr>
              <w:rPr>
                <w:sz w:val="24"/>
                <w:szCs w:val="24"/>
              </w:rPr>
            </w:pPr>
            <w:r w:rsidRPr="0012760D">
              <w:rPr>
                <w:b/>
                <w:bCs/>
                <w:sz w:val="24"/>
                <w:szCs w:val="24"/>
              </w:rPr>
              <w:t>Net assets</w:t>
            </w:r>
          </w:p>
        </w:tc>
        <w:tc>
          <w:tcPr>
            <w:tcW w:w="514" w:type="pct"/>
            <w:shd w:val="clear" w:color="auto" w:fill="auto"/>
          </w:tcPr>
          <w:p w:rsidR="00D82E05" w:rsidRPr="0012760D" w:rsidRDefault="00D82E05" w:rsidP="00D82E05">
            <w:pPr>
              <w:jc w:val="right"/>
              <w:rPr>
                <w:sz w:val="24"/>
                <w:szCs w:val="24"/>
              </w:rPr>
            </w:pPr>
          </w:p>
        </w:tc>
        <w:tc>
          <w:tcPr>
            <w:tcW w:w="906" w:type="pct"/>
            <w:shd w:val="clear" w:color="auto" w:fill="auto"/>
          </w:tcPr>
          <w:p w:rsidR="00D82E05" w:rsidRPr="0012760D" w:rsidRDefault="00D82E05" w:rsidP="00D82E05">
            <w:pPr>
              <w:jc w:val="right"/>
              <w:rPr>
                <w:sz w:val="24"/>
                <w:szCs w:val="24"/>
              </w:rPr>
            </w:pPr>
            <w:r w:rsidRPr="0012760D">
              <w:rPr>
                <w:b/>
                <w:bCs/>
                <w:sz w:val="24"/>
                <w:szCs w:val="24"/>
              </w:rPr>
              <w:t>39,056,399</w:t>
            </w:r>
          </w:p>
        </w:tc>
        <w:tc>
          <w:tcPr>
            <w:tcW w:w="908" w:type="pct"/>
            <w:shd w:val="clear" w:color="auto" w:fill="auto"/>
          </w:tcPr>
          <w:p w:rsidR="00D82E05" w:rsidRPr="0012760D" w:rsidRDefault="00D82E05" w:rsidP="00D82E05">
            <w:pPr>
              <w:jc w:val="right"/>
              <w:rPr>
                <w:sz w:val="24"/>
                <w:szCs w:val="24"/>
              </w:rPr>
            </w:pPr>
            <w:r w:rsidRPr="0012760D">
              <w:rPr>
                <w:b/>
                <w:bCs/>
                <w:sz w:val="24"/>
                <w:szCs w:val="24"/>
              </w:rPr>
              <w:t>27,289,142</w:t>
            </w:r>
          </w:p>
        </w:tc>
      </w:tr>
      <w:tr w:rsidR="00D82E05" w:rsidRPr="0012760D" w:rsidTr="00D82E05">
        <w:tblPrEx>
          <w:tblCellMar>
            <w:top w:w="0" w:type="dxa"/>
            <w:bottom w:w="0" w:type="dxa"/>
          </w:tblCellMar>
        </w:tblPrEx>
        <w:trPr>
          <w:trHeight w:val="293"/>
        </w:trPr>
        <w:tc>
          <w:tcPr>
            <w:tcW w:w="5000" w:type="pct"/>
            <w:gridSpan w:val="4"/>
            <w:shd w:val="clear" w:color="auto" w:fill="auto"/>
          </w:tcPr>
          <w:p w:rsidR="00D82E05" w:rsidRPr="0012760D" w:rsidRDefault="00D82E05" w:rsidP="00D82E05">
            <w:pPr>
              <w:rPr>
                <w:sz w:val="24"/>
                <w:szCs w:val="24"/>
              </w:rPr>
            </w:pPr>
            <w:r w:rsidRPr="0012760D">
              <w:rPr>
                <w:b/>
                <w:bCs/>
                <w:sz w:val="24"/>
                <w:szCs w:val="24"/>
              </w:rPr>
              <w:t>Equity</w:t>
            </w:r>
          </w:p>
        </w:tc>
      </w:tr>
      <w:tr w:rsidR="00D82E05" w:rsidRPr="0012760D" w:rsidTr="00D82E05">
        <w:tblPrEx>
          <w:tblCellMar>
            <w:top w:w="0" w:type="dxa"/>
            <w:bottom w:w="0" w:type="dxa"/>
          </w:tblCellMar>
        </w:tblPrEx>
        <w:trPr>
          <w:trHeight w:val="283"/>
        </w:trPr>
        <w:tc>
          <w:tcPr>
            <w:tcW w:w="3186" w:type="pct"/>
            <w:gridSpan w:val="2"/>
            <w:shd w:val="clear" w:color="auto" w:fill="auto"/>
          </w:tcPr>
          <w:p w:rsidR="00D82E05" w:rsidRPr="0012760D" w:rsidRDefault="00D82E05" w:rsidP="00D82E05">
            <w:pPr>
              <w:rPr>
                <w:sz w:val="24"/>
                <w:szCs w:val="24"/>
              </w:rPr>
            </w:pPr>
            <w:r w:rsidRPr="0012760D">
              <w:rPr>
                <w:sz w:val="24"/>
                <w:szCs w:val="24"/>
              </w:rPr>
              <w:t>Contributed capital</w:t>
            </w:r>
          </w:p>
        </w:tc>
        <w:tc>
          <w:tcPr>
            <w:tcW w:w="906" w:type="pct"/>
            <w:shd w:val="clear" w:color="auto" w:fill="auto"/>
          </w:tcPr>
          <w:p w:rsidR="00D82E05" w:rsidRPr="0012760D" w:rsidRDefault="00D82E05" w:rsidP="00D82E05">
            <w:pPr>
              <w:jc w:val="right"/>
              <w:rPr>
                <w:sz w:val="24"/>
                <w:szCs w:val="24"/>
              </w:rPr>
            </w:pPr>
            <w:r w:rsidRPr="0012760D">
              <w:rPr>
                <w:sz w:val="24"/>
                <w:szCs w:val="24"/>
              </w:rPr>
              <w:t>26,048,806</w:t>
            </w:r>
          </w:p>
        </w:tc>
        <w:tc>
          <w:tcPr>
            <w:tcW w:w="908" w:type="pct"/>
            <w:shd w:val="clear" w:color="auto" w:fill="auto"/>
          </w:tcPr>
          <w:p w:rsidR="00D82E05" w:rsidRPr="0012760D" w:rsidRDefault="00D82E05" w:rsidP="00D82E05">
            <w:pPr>
              <w:jc w:val="right"/>
              <w:rPr>
                <w:sz w:val="24"/>
                <w:szCs w:val="24"/>
              </w:rPr>
            </w:pPr>
            <w:r w:rsidRPr="0012760D">
              <w:rPr>
                <w:sz w:val="24"/>
                <w:szCs w:val="24"/>
              </w:rPr>
              <w:t>26,048,806</w:t>
            </w:r>
          </w:p>
        </w:tc>
      </w:tr>
      <w:tr w:rsidR="00D82E05" w:rsidRPr="0012760D" w:rsidTr="00D82E05">
        <w:tblPrEx>
          <w:tblCellMar>
            <w:top w:w="0" w:type="dxa"/>
            <w:bottom w:w="0" w:type="dxa"/>
          </w:tblCellMar>
        </w:tblPrEx>
        <w:trPr>
          <w:trHeight w:val="274"/>
        </w:trPr>
        <w:tc>
          <w:tcPr>
            <w:tcW w:w="3186" w:type="pct"/>
            <w:gridSpan w:val="2"/>
            <w:shd w:val="clear" w:color="auto" w:fill="auto"/>
          </w:tcPr>
          <w:p w:rsidR="00D82E05" w:rsidRPr="0012760D" w:rsidRDefault="00D82E05" w:rsidP="00D82E05">
            <w:pPr>
              <w:rPr>
                <w:sz w:val="24"/>
                <w:szCs w:val="24"/>
              </w:rPr>
            </w:pPr>
            <w:r w:rsidRPr="0012760D">
              <w:rPr>
                <w:sz w:val="24"/>
                <w:szCs w:val="24"/>
              </w:rPr>
              <w:t>Accumulated surplus</w:t>
            </w:r>
          </w:p>
        </w:tc>
        <w:tc>
          <w:tcPr>
            <w:tcW w:w="906" w:type="pct"/>
            <w:shd w:val="clear" w:color="auto" w:fill="auto"/>
          </w:tcPr>
          <w:p w:rsidR="00D82E05" w:rsidRPr="0012760D" w:rsidRDefault="00D82E05" w:rsidP="00D82E05">
            <w:pPr>
              <w:jc w:val="right"/>
              <w:rPr>
                <w:sz w:val="24"/>
                <w:szCs w:val="24"/>
              </w:rPr>
            </w:pPr>
            <w:r w:rsidRPr="0012760D">
              <w:rPr>
                <w:sz w:val="24"/>
                <w:szCs w:val="24"/>
              </w:rPr>
              <w:t>13,007,593</w:t>
            </w:r>
          </w:p>
        </w:tc>
        <w:tc>
          <w:tcPr>
            <w:tcW w:w="908" w:type="pct"/>
            <w:shd w:val="clear" w:color="auto" w:fill="auto"/>
          </w:tcPr>
          <w:p w:rsidR="00D82E05" w:rsidRPr="0012760D" w:rsidRDefault="00D82E05" w:rsidP="00D82E05">
            <w:pPr>
              <w:jc w:val="right"/>
              <w:rPr>
                <w:sz w:val="24"/>
                <w:szCs w:val="24"/>
              </w:rPr>
            </w:pPr>
            <w:r w:rsidRPr="0012760D">
              <w:rPr>
                <w:sz w:val="24"/>
                <w:szCs w:val="24"/>
              </w:rPr>
              <w:t>1,240,336</w:t>
            </w:r>
          </w:p>
        </w:tc>
      </w:tr>
      <w:tr w:rsidR="00D82E05" w:rsidRPr="0012760D" w:rsidTr="00D82E05">
        <w:tblPrEx>
          <w:tblCellMar>
            <w:top w:w="0" w:type="dxa"/>
            <w:bottom w:w="0" w:type="dxa"/>
          </w:tblCellMar>
        </w:tblPrEx>
        <w:trPr>
          <w:trHeight w:val="293"/>
        </w:trPr>
        <w:tc>
          <w:tcPr>
            <w:tcW w:w="3186" w:type="pct"/>
            <w:gridSpan w:val="2"/>
            <w:shd w:val="clear" w:color="auto" w:fill="auto"/>
          </w:tcPr>
          <w:p w:rsidR="00D82E05" w:rsidRPr="0012760D" w:rsidRDefault="00D82E05" w:rsidP="00D82E05">
            <w:pPr>
              <w:rPr>
                <w:sz w:val="24"/>
                <w:szCs w:val="24"/>
              </w:rPr>
            </w:pPr>
            <w:r w:rsidRPr="0012760D">
              <w:rPr>
                <w:b/>
                <w:bCs/>
                <w:sz w:val="24"/>
                <w:szCs w:val="24"/>
              </w:rPr>
              <w:t>Total equity</w:t>
            </w:r>
          </w:p>
        </w:tc>
        <w:tc>
          <w:tcPr>
            <w:tcW w:w="906" w:type="pct"/>
            <w:shd w:val="clear" w:color="auto" w:fill="auto"/>
          </w:tcPr>
          <w:p w:rsidR="00D82E05" w:rsidRPr="0012760D" w:rsidRDefault="00D82E05" w:rsidP="00D82E05">
            <w:pPr>
              <w:jc w:val="right"/>
              <w:rPr>
                <w:sz w:val="24"/>
                <w:szCs w:val="24"/>
              </w:rPr>
            </w:pPr>
            <w:r w:rsidRPr="0012760D">
              <w:rPr>
                <w:b/>
                <w:bCs/>
                <w:sz w:val="24"/>
                <w:szCs w:val="24"/>
              </w:rPr>
              <w:t>39,056,399</w:t>
            </w:r>
          </w:p>
        </w:tc>
        <w:tc>
          <w:tcPr>
            <w:tcW w:w="908" w:type="pct"/>
            <w:shd w:val="clear" w:color="auto" w:fill="auto"/>
          </w:tcPr>
          <w:p w:rsidR="00D82E05" w:rsidRPr="0012760D" w:rsidRDefault="00D82E05" w:rsidP="00D82E05">
            <w:pPr>
              <w:jc w:val="right"/>
              <w:rPr>
                <w:sz w:val="24"/>
                <w:szCs w:val="24"/>
              </w:rPr>
            </w:pPr>
            <w:r w:rsidRPr="0012760D">
              <w:rPr>
                <w:b/>
                <w:bCs/>
                <w:sz w:val="24"/>
                <w:szCs w:val="24"/>
              </w:rPr>
              <w:t>27,289,142</w:t>
            </w:r>
          </w:p>
        </w:tc>
      </w:tr>
    </w:tbl>
    <w:p w:rsidR="00D82E05" w:rsidRPr="0012760D" w:rsidRDefault="00D82E05" w:rsidP="00D82E05">
      <w:pPr>
        <w:rPr>
          <w:sz w:val="24"/>
          <w:szCs w:val="24"/>
        </w:rPr>
      </w:pPr>
    </w:p>
    <w:p w:rsidR="00D82E05" w:rsidRDefault="00D82E05" w:rsidP="00D82E05">
      <w:pPr>
        <w:rPr>
          <w:sz w:val="24"/>
          <w:szCs w:val="24"/>
        </w:rPr>
      </w:pPr>
      <w:r w:rsidRPr="0012760D">
        <w:rPr>
          <w:sz w:val="24"/>
          <w:szCs w:val="24"/>
        </w:rPr>
        <w:t>As at 30 June 2013, $14.9 million was committed in contracts and payable upon the successful delivery of milestones in 2013 to 14 and beyond - see note 17.</w:t>
      </w:r>
    </w:p>
    <w:p w:rsidR="00E750D5" w:rsidRPr="0012760D" w:rsidRDefault="00E750D5" w:rsidP="00D82E05">
      <w:pPr>
        <w:rPr>
          <w:sz w:val="24"/>
          <w:szCs w:val="24"/>
        </w:rPr>
      </w:pPr>
    </w:p>
    <w:p w:rsidR="00D82E05" w:rsidRPr="0012760D" w:rsidRDefault="00D82E05" w:rsidP="00D82E05">
      <w:pPr>
        <w:rPr>
          <w:sz w:val="24"/>
          <w:szCs w:val="24"/>
        </w:rPr>
      </w:pPr>
      <w:r w:rsidRPr="0012760D">
        <w:rPr>
          <w:sz w:val="24"/>
          <w:szCs w:val="24"/>
        </w:rPr>
        <w:t>The balance sheet should be read in conjunction with the notes to the financial statements.</w:t>
      </w:r>
    </w:p>
    <w:p w:rsidR="00D657E7" w:rsidRDefault="00D657E7" w:rsidP="00D657E7">
      <w:pPr>
        <w:rPr>
          <w:bCs/>
          <w:sz w:val="24"/>
          <w:szCs w:val="24"/>
        </w:rPr>
      </w:pPr>
      <w:r w:rsidRPr="0012760D">
        <w:rPr>
          <w:bCs/>
          <w:sz w:val="24"/>
          <w:szCs w:val="24"/>
        </w:rPr>
        <w:t>&lt;pp&gt; 34</w:t>
      </w:r>
    </w:p>
    <w:p w:rsidR="00E750D5" w:rsidRDefault="00E750D5" w:rsidP="00D657E7">
      <w:pPr>
        <w:rPr>
          <w:bCs/>
          <w:sz w:val="24"/>
          <w:szCs w:val="24"/>
        </w:rPr>
      </w:pPr>
    </w:p>
    <w:p w:rsidR="00E750D5" w:rsidRPr="0012760D" w:rsidRDefault="00E750D5" w:rsidP="00D657E7">
      <w:pPr>
        <w:rPr>
          <w:sz w:val="24"/>
          <w:szCs w:val="24"/>
        </w:rPr>
      </w:pPr>
    </w:p>
    <w:p w:rsidR="00D657E7" w:rsidRPr="0012760D" w:rsidRDefault="00D657E7" w:rsidP="00E750D5">
      <w:pPr>
        <w:pStyle w:val="Heading2"/>
      </w:pPr>
      <w:r w:rsidRPr="0012760D">
        <w:t>Sustainability Victoria</w:t>
      </w:r>
    </w:p>
    <w:p w:rsidR="00D657E7" w:rsidRPr="0012760D" w:rsidRDefault="00D657E7" w:rsidP="00E750D5">
      <w:pPr>
        <w:pStyle w:val="Heading2"/>
      </w:pPr>
      <w:r w:rsidRPr="0012760D">
        <w:t>Statement of changes in equity for the financial year ended 30 June 2013</w:t>
      </w:r>
    </w:p>
    <w:p w:rsidR="00D657E7" w:rsidRPr="0012760D" w:rsidRDefault="00D657E7" w:rsidP="00D657E7">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2874"/>
        <w:gridCol w:w="1128"/>
        <w:gridCol w:w="1935"/>
        <w:gridCol w:w="1654"/>
        <w:gridCol w:w="1518"/>
      </w:tblGrid>
      <w:tr w:rsidR="00D657E7" w:rsidRPr="0012760D" w:rsidTr="00133F16">
        <w:tblPrEx>
          <w:tblCellMar>
            <w:top w:w="0" w:type="dxa"/>
            <w:bottom w:w="0" w:type="dxa"/>
          </w:tblCellMar>
        </w:tblPrEx>
        <w:trPr>
          <w:trHeight w:val="298"/>
        </w:trPr>
        <w:tc>
          <w:tcPr>
            <w:tcW w:w="1578" w:type="pct"/>
            <w:shd w:val="clear" w:color="auto" w:fill="auto"/>
          </w:tcPr>
          <w:p w:rsidR="00D657E7" w:rsidRPr="0012760D" w:rsidRDefault="00D657E7" w:rsidP="00133F16">
            <w:pPr>
              <w:rPr>
                <w:sz w:val="24"/>
                <w:szCs w:val="24"/>
              </w:rPr>
            </w:pPr>
          </w:p>
        </w:tc>
        <w:tc>
          <w:tcPr>
            <w:tcW w:w="619" w:type="pct"/>
            <w:shd w:val="clear" w:color="auto" w:fill="auto"/>
          </w:tcPr>
          <w:p w:rsidR="00D657E7" w:rsidRPr="0012760D" w:rsidRDefault="00D657E7" w:rsidP="00133F16">
            <w:pPr>
              <w:rPr>
                <w:sz w:val="24"/>
                <w:szCs w:val="24"/>
              </w:rPr>
            </w:pPr>
            <w:r w:rsidRPr="0012760D">
              <w:rPr>
                <w:b/>
                <w:bCs/>
                <w:sz w:val="24"/>
                <w:szCs w:val="24"/>
              </w:rPr>
              <w:t>Notes</w:t>
            </w:r>
          </w:p>
        </w:tc>
        <w:tc>
          <w:tcPr>
            <w:tcW w:w="1062" w:type="pct"/>
            <w:shd w:val="clear" w:color="auto" w:fill="auto"/>
          </w:tcPr>
          <w:p w:rsidR="00D657E7" w:rsidRPr="0012760D" w:rsidRDefault="00D657E7" w:rsidP="00133F16">
            <w:pPr>
              <w:rPr>
                <w:sz w:val="24"/>
                <w:szCs w:val="24"/>
              </w:rPr>
            </w:pPr>
            <w:r w:rsidRPr="0012760D">
              <w:rPr>
                <w:b/>
                <w:bCs/>
                <w:sz w:val="24"/>
                <w:szCs w:val="24"/>
              </w:rPr>
              <w:t>Accumulated Surplus/(Deficit)</w:t>
            </w:r>
          </w:p>
        </w:tc>
        <w:tc>
          <w:tcPr>
            <w:tcW w:w="908" w:type="pct"/>
            <w:shd w:val="clear" w:color="auto" w:fill="auto"/>
          </w:tcPr>
          <w:p w:rsidR="00D657E7" w:rsidRPr="0012760D" w:rsidRDefault="00D657E7" w:rsidP="00133F16">
            <w:pPr>
              <w:rPr>
                <w:sz w:val="24"/>
                <w:szCs w:val="24"/>
              </w:rPr>
            </w:pPr>
            <w:r w:rsidRPr="0012760D">
              <w:rPr>
                <w:b/>
                <w:bCs/>
                <w:sz w:val="24"/>
                <w:szCs w:val="24"/>
              </w:rPr>
              <w:t>Contributions by Owner</w:t>
            </w:r>
          </w:p>
        </w:tc>
        <w:tc>
          <w:tcPr>
            <w:tcW w:w="833" w:type="pct"/>
            <w:shd w:val="clear" w:color="auto" w:fill="auto"/>
          </w:tcPr>
          <w:p w:rsidR="00D657E7" w:rsidRPr="0012760D" w:rsidRDefault="00D657E7" w:rsidP="00133F16">
            <w:pPr>
              <w:rPr>
                <w:sz w:val="24"/>
                <w:szCs w:val="24"/>
              </w:rPr>
            </w:pPr>
            <w:r w:rsidRPr="0012760D">
              <w:rPr>
                <w:b/>
                <w:bCs/>
                <w:sz w:val="24"/>
                <w:szCs w:val="24"/>
              </w:rPr>
              <w:t>Total</w:t>
            </w:r>
          </w:p>
        </w:tc>
      </w:tr>
      <w:tr w:rsidR="00D657E7" w:rsidRPr="0012760D" w:rsidTr="00133F16">
        <w:tblPrEx>
          <w:tblCellMar>
            <w:top w:w="0" w:type="dxa"/>
            <w:bottom w:w="0" w:type="dxa"/>
          </w:tblCellMar>
        </w:tblPrEx>
        <w:trPr>
          <w:trHeight w:val="264"/>
        </w:trPr>
        <w:tc>
          <w:tcPr>
            <w:tcW w:w="2197" w:type="pct"/>
            <w:gridSpan w:val="2"/>
            <w:shd w:val="clear" w:color="auto" w:fill="auto"/>
          </w:tcPr>
          <w:p w:rsidR="00D657E7" w:rsidRPr="0012760D" w:rsidRDefault="00D657E7" w:rsidP="00133F16">
            <w:pPr>
              <w:rPr>
                <w:sz w:val="24"/>
                <w:szCs w:val="24"/>
              </w:rPr>
            </w:pPr>
            <w:r w:rsidRPr="0012760D">
              <w:rPr>
                <w:b/>
                <w:bCs/>
                <w:sz w:val="24"/>
                <w:szCs w:val="24"/>
              </w:rPr>
              <w:t>Balance at 1 July 2011</w:t>
            </w:r>
          </w:p>
        </w:tc>
        <w:tc>
          <w:tcPr>
            <w:tcW w:w="1062" w:type="pct"/>
            <w:shd w:val="clear" w:color="auto" w:fill="auto"/>
          </w:tcPr>
          <w:p w:rsidR="00D657E7" w:rsidRPr="0012760D" w:rsidRDefault="00D657E7" w:rsidP="00133F16">
            <w:pPr>
              <w:jc w:val="right"/>
              <w:rPr>
                <w:sz w:val="24"/>
                <w:szCs w:val="24"/>
              </w:rPr>
            </w:pPr>
            <w:r w:rsidRPr="0012760D">
              <w:rPr>
                <w:sz w:val="24"/>
                <w:szCs w:val="24"/>
              </w:rPr>
              <w:t>(2,809,362)</w:t>
            </w:r>
          </w:p>
        </w:tc>
        <w:tc>
          <w:tcPr>
            <w:tcW w:w="908" w:type="pct"/>
            <w:shd w:val="clear" w:color="auto" w:fill="auto"/>
          </w:tcPr>
          <w:p w:rsidR="00D657E7" w:rsidRPr="0012760D" w:rsidRDefault="00D657E7" w:rsidP="00133F16">
            <w:pPr>
              <w:jc w:val="right"/>
              <w:rPr>
                <w:sz w:val="24"/>
                <w:szCs w:val="24"/>
              </w:rPr>
            </w:pPr>
            <w:r w:rsidRPr="0012760D">
              <w:rPr>
                <w:sz w:val="24"/>
                <w:szCs w:val="24"/>
              </w:rPr>
              <w:t>26,048,806</w:t>
            </w:r>
          </w:p>
        </w:tc>
        <w:tc>
          <w:tcPr>
            <w:tcW w:w="833" w:type="pct"/>
            <w:shd w:val="clear" w:color="auto" w:fill="auto"/>
          </w:tcPr>
          <w:p w:rsidR="00D657E7" w:rsidRPr="0012760D" w:rsidRDefault="00D657E7" w:rsidP="00133F16">
            <w:pPr>
              <w:jc w:val="right"/>
              <w:rPr>
                <w:sz w:val="24"/>
                <w:szCs w:val="24"/>
              </w:rPr>
            </w:pPr>
            <w:r w:rsidRPr="0012760D">
              <w:rPr>
                <w:sz w:val="24"/>
                <w:szCs w:val="24"/>
              </w:rPr>
              <w:t>23,239,444</w:t>
            </w:r>
          </w:p>
        </w:tc>
      </w:tr>
      <w:tr w:rsidR="00D657E7" w:rsidRPr="0012760D" w:rsidTr="00133F16">
        <w:tblPrEx>
          <w:tblCellMar>
            <w:top w:w="0" w:type="dxa"/>
            <w:bottom w:w="0" w:type="dxa"/>
          </w:tblCellMar>
        </w:tblPrEx>
        <w:trPr>
          <w:trHeight w:val="254"/>
        </w:trPr>
        <w:tc>
          <w:tcPr>
            <w:tcW w:w="2197" w:type="pct"/>
            <w:gridSpan w:val="2"/>
            <w:shd w:val="clear" w:color="auto" w:fill="auto"/>
          </w:tcPr>
          <w:p w:rsidR="00D657E7" w:rsidRPr="0012760D" w:rsidRDefault="00D657E7" w:rsidP="00133F16">
            <w:pPr>
              <w:rPr>
                <w:sz w:val="24"/>
                <w:szCs w:val="24"/>
              </w:rPr>
            </w:pPr>
            <w:r w:rsidRPr="0012760D">
              <w:rPr>
                <w:sz w:val="24"/>
                <w:szCs w:val="24"/>
              </w:rPr>
              <w:t>net result for the year</w:t>
            </w:r>
          </w:p>
        </w:tc>
        <w:tc>
          <w:tcPr>
            <w:tcW w:w="1062" w:type="pct"/>
            <w:shd w:val="clear" w:color="auto" w:fill="auto"/>
          </w:tcPr>
          <w:p w:rsidR="00D657E7" w:rsidRPr="0012760D" w:rsidRDefault="00D657E7" w:rsidP="00133F16">
            <w:pPr>
              <w:jc w:val="right"/>
              <w:rPr>
                <w:sz w:val="24"/>
                <w:szCs w:val="24"/>
              </w:rPr>
            </w:pPr>
            <w:r w:rsidRPr="0012760D">
              <w:rPr>
                <w:sz w:val="24"/>
                <w:szCs w:val="24"/>
              </w:rPr>
              <w:t>4,049,698</w:t>
            </w:r>
          </w:p>
        </w:tc>
        <w:tc>
          <w:tcPr>
            <w:tcW w:w="908" w:type="pct"/>
            <w:shd w:val="clear" w:color="auto" w:fill="auto"/>
          </w:tcPr>
          <w:p w:rsidR="00D657E7" w:rsidRPr="0012760D" w:rsidRDefault="00D657E7" w:rsidP="00133F16">
            <w:pPr>
              <w:jc w:val="right"/>
              <w:rPr>
                <w:sz w:val="24"/>
                <w:szCs w:val="24"/>
              </w:rPr>
            </w:pPr>
            <w:r w:rsidRPr="0012760D">
              <w:rPr>
                <w:sz w:val="24"/>
                <w:szCs w:val="24"/>
              </w:rPr>
              <w:t>-</w:t>
            </w:r>
          </w:p>
        </w:tc>
        <w:tc>
          <w:tcPr>
            <w:tcW w:w="833" w:type="pct"/>
            <w:shd w:val="clear" w:color="auto" w:fill="auto"/>
          </w:tcPr>
          <w:p w:rsidR="00D657E7" w:rsidRPr="0012760D" w:rsidRDefault="00D657E7" w:rsidP="00133F16">
            <w:pPr>
              <w:jc w:val="right"/>
              <w:rPr>
                <w:sz w:val="24"/>
                <w:szCs w:val="24"/>
              </w:rPr>
            </w:pPr>
            <w:r w:rsidRPr="0012760D">
              <w:rPr>
                <w:sz w:val="24"/>
                <w:szCs w:val="24"/>
              </w:rPr>
              <w:t>4,049,698</w:t>
            </w:r>
          </w:p>
        </w:tc>
      </w:tr>
      <w:tr w:rsidR="00D657E7" w:rsidRPr="0012760D" w:rsidTr="00133F16">
        <w:tblPrEx>
          <w:tblCellMar>
            <w:top w:w="0" w:type="dxa"/>
            <w:bottom w:w="0" w:type="dxa"/>
          </w:tblCellMar>
        </w:tblPrEx>
        <w:trPr>
          <w:trHeight w:val="240"/>
        </w:trPr>
        <w:tc>
          <w:tcPr>
            <w:tcW w:w="2197" w:type="pct"/>
            <w:gridSpan w:val="2"/>
            <w:shd w:val="clear" w:color="auto" w:fill="auto"/>
          </w:tcPr>
          <w:p w:rsidR="00D657E7" w:rsidRPr="0012760D" w:rsidRDefault="00D657E7" w:rsidP="00133F16">
            <w:pPr>
              <w:rPr>
                <w:sz w:val="24"/>
                <w:szCs w:val="24"/>
              </w:rPr>
            </w:pPr>
            <w:r w:rsidRPr="0012760D">
              <w:rPr>
                <w:b/>
                <w:bCs/>
                <w:sz w:val="24"/>
                <w:szCs w:val="24"/>
              </w:rPr>
              <w:t>Balance at 30 June 2012</w:t>
            </w:r>
          </w:p>
        </w:tc>
        <w:tc>
          <w:tcPr>
            <w:tcW w:w="1062" w:type="pct"/>
            <w:shd w:val="clear" w:color="auto" w:fill="auto"/>
          </w:tcPr>
          <w:p w:rsidR="00D657E7" w:rsidRPr="0012760D" w:rsidRDefault="00D657E7" w:rsidP="00133F16">
            <w:pPr>
              <w:jc w:val="right"/>
              <w:rPr>
                <w:sz w:val="24"/>
                <w:szCs w:val="24"/>
              </w:rPr>
            </w:pPr>
            <w:r w:rsidRPr="0012760D">
              <w:rPr>
                <w:sz w:val="24"/>
                <w:szCs w:val="24"/>
              </w:rPr>
              <w:t>1,240,336</w:t>
            </w:r>
          </w:p>
        </w:tc>
        <w:tc>
          <w:tcPr>
            <w:tcW w:w="908" w:type="pct"/>
            <w:shd w:val="clear" w:color="auto" w:fill="auto"/>
          </w:tcPr>
          <w:p w:rsidR="00D657E7" w:rsidRPr="0012760D" w:rsidRDefault="00D657E7" w:rsidP="00133F16">
            <w:pPr>
              <w:jc w:val="right"/>
              <w:rPr>
                <w:sz w:val="24"/>
                <w:szCs w:val="24"/>
              </w:rPr>
            </w:pPr>
            <w:r w:rsidRPr="0012760D">
              <w:rPr>
                <w:sz w:val="24"/>
                <w:szCs w:val="24"/>
              </w:rPr>
              <w:t>26,048,806</w:t>
            </w:r>
          </w:p>
        </w:tc>
        <w:tc>
          <w:tcPr>
            <w:tcW w:w="833" w:type="pct"/>
            <w:shd w:val="clear" w:color="auto" w:fill="auto"/>
          </w:tcPr>
          <w:p w:rsidR="00D657E7" w:rsidRPr="0012760D" w:rsidRDefault="00D657E7" w:rsidP="00133F16">
            <w:pPr>
              <w:jc w:val="right"/>
              <w:rPr>
                <w:sz w:val="24"/>
                <w:szCs w:val="24"/>
              </w:rPr>
            </w:pPr>
            <w:r w:rsidRPr="0012760D">
              <w:rPr>
                <w:sz w:val="24"/>
                <w:szCs w:val="24"/>
              </w:rPr>
              <w:t>27,289,142</w:t>
            </w:r>
          </w:p>
        </w:tc>
      </w:tr>
      <w:tr w:rsidR="00D657E7" w:rsidRPr="0012760D" w:rsidTr="00133F16">
        <w:tblPrEx>
          <w:tblCellMar>
            <w:top w:w="0" w:type="dxa"/>
            <w:bottom w:w="0" w:type="dxa"/>
          </w:tblCellMar>
        </w:tblPrEx>
        <w:trPr>
          <w:trHeight w:val="235"/>
        </w:trPr>
        <w:tc>
          <w:tcPr>
            <w:tcW w:w="2197" w:type="pct"/>
            <w:gridSpan w:val="2"/>
            <w:shd w:val="clear" w:color="auto" w:fill="auto"/>
          </w:tcPr>
          <w:p w:rsidR="00D657E7" w:rsidRPr="0012760D" w:rsidRDefault="00D657E7" w:rsidP="00133F16">
            <w:pPr>
              <w:rPr>
                <w:sz w:val="24"/>
                <w:szCs w:val="24"/>
              </w:rPr>
            </w:pPr>
            <w:r w:rsidRPr="0012760D">
              <w:rPr>
                <w:sz w:val="24"/>
                <w:szCs w:val="24"/>
              </w:rPr>
              <w:t>net result for the year</w:t>
            </w:r>
          </w:p>
        </w:tc>
        <w:tc>
          <w:tcPr>
            <w:tcW w:w="1062" w:type="pct"/>
            <w:vMerge w:val="restart"/>
            <w:shd w:val="clear" w:color="auto" w:fill="auto"/>
          </w:tcPr>
          <w:p w:rsidR="00D657E7" w:rsidRPr="0012760D" w:rsidRDefault="00D657E7" w:rsidP="00133F16">
            <w:pPr>
              <w:jc w:val="right"/>
              <w:rPr>
                <w:sz w:val="24"/>
                <w:szCs w:val="24"/>
              </w:rPr>
            </w:pPr>
            <w:r w:rsidRPr="0012760D">
              <w:rPr>
                <w:sz w:val="24"/>
                <w:szCs w:val="24"/>
              </w:rPr>
              <w:t>11,767,257</w:t>
            </w:r>
          </w:p>
        </w:tc>
        <w:tc>
          <w:tcPr>
            <w:tcW w:w="908" w:type="pct"/>
            <w:vMerge w:val="restart"/>
            <w:shd w:val="clear" w:color="auto" w:fill="auto"/>
          </w:tcPr>
          <w:p w:rsidR="00D657E7" w:rsidRPr="0012760D" w:rsidRDefault="00D657E7" w:rsidP="00133F16">
            <w:pPr>
              <w:jc w:val="right"/>
              <w:rPr>
                <w:sz w:val="24"/>
                <w:szCs w:val="24"/>
              </w:rPr>
            </w:pPr>
            <w:r w:rsidRPr="0012760D">
              <w:rPr>
                <w:sz w:val="24"/>
                <w:szCs w:val="24"/>
              </w:rPr>
              <w:t>-</w:t>
            </w:r>
          </w:p>
        </w:tc>
        <w:tc>
          <w:tcPr>
            <w:tcW w:w="833" w:type="pct"/>
            <w:vMerge w:val="restart"/>
            <w:shd w:val="clear" w:color="auto" w:fill="auto"/>
          </w:tcPr>
          <w:p w:rsidR="00D657E7" w:rsidRPr="0012760D" w:rsidRDefault="00D657E7" w:rsidP="00133F16">
            <w:pPr>
              <w:jc w:val="right"/>
              <w:rPr>
                <w:sz w:val="24"/>
                <w:szCs w:val="24"/>
              </w:rPr>
            </w:pPr>
            <w:r w:rsidRPr="0012760D">
              <w:rPr>
                <w:sz w:val="24"/>
                <w:szCs w:val="24"/>
              </w:rPr>
              <w:t>11,767,257</w:t>
            </w:r>
          </w:p>
        </w:tc>
      </w:tr>
      <w:tr w:rsidR="00D657E7" w:rsidRPr="0012760D" w:rsidTr="00133F16">
        <w:tblPrEx>
          <w:tblCellMar>
            <w:top w:w="0" w:type="dxa"/>
            <w:bottom w:w="0" w:type="dxa"/>
          </w:tblCellMar>
        </w:tblPrEx>
        <w:trPr>
          <w:trHeight w:val="250"/>
        </w:trPr>
        <w:tc>
          <w:tcPr>
            <w:tcW w:w="2197" w:type="pct"/>
            <w:gridSpan w:val="2"/>
            <w:shd w:val="clear" w:color="auto" w:fill="auto"/>
          </w:tcPr>
          <w:p w:rsidR="00D657E7" w:rsidRPr="0012760D" w:rsidRDefault="00D657E7" w:rsidP="00133F16">
            <w:pPr>
              <w:rPr>
                <w:sz w:val="24"/>
                <w:szCs w:val="24"/>
              </w:rPr>
            </w:pPr>
            <w:r w:rsidRPr="0012760D">
              <w:rPr>
                <w:b/>
                <w:bCs/>
                <w:sz w:val="24"/>
                <w:szCs w:val="24"/>
              </w:rPr>
              <w:t>Balance at 30 June 2013</w:t>
            </w:r>
          </w:p>
        </w:tc>
        <w:tc>
          <w:tcPr>
            <w:tcW w:w="1062" w:type="pct"/>
            <w:shd w:val="clear" w:color="auto" w:fill="auto"/>
          </w:tcPr>
          <w:p w:rsidR="00D657E7" w:rsidRPr="0012760D" w:rsidRDefault="00D657E7" w:rsidP="00133F16">
            <w:pPr>
              <w:jc w:val="right"/>
              <w:rPr>
                <w:sz w:val="24"/>
                <w:szCs w:val="24"/>
              </w:rPr>
            </w:pPr>
            <w:r w:rsidRPr="0012760D">
              <w:rPr>
                <w:b/>
                <w:bCs/>
                <w:sz w:val="24"/>
                <w:szCs w:val="24"/>
              </w:rPr>
              <w:t>13,007,593</w:t>
            </w:r>
          </w:p>
        </w:tc>
        <w:tc>
          <w:tcPr>
            <w:tcW w:w="908" w:type="pct"/>
            <w:shd w:val="clear" w:color="auto" w:fill="auto"/>
          </w:tcPr>
          <w:p w:rsidR="00D657E7" w:rsidRPr="0012760D" w:rsidRDefault="00D657E7" w:rsidP="00133F16">
            <w:pPr>
              <w:jc w:val="right"/>
              <w:rPr>
                <w:sz w:val="24"/>
                <w:szCs w:val="24"/>
              </w:rPr>
            </w:pPr>
            <w:r w:rsidRPr="0012760D">
              <w:rPr>
                <w:b/>
                <w:bCs/>
                <w:sz w:val="24"/>
                <w:szCs w:val="24"/>
              </w:rPr>
              <w:t>26,048,806</w:t>
            </w:r>
          </w:p>
        </w:tc>
        <w:tc>
          <w:tcPr>
            <w:tcW w:w="833" w:type="pct"/>
            <w:shd w:val="clear" w:color="auto" w:fill="auto"/>
          </w:tcPr>
          <w:p w:rsidR="00D657E7" w:rsidRPr="0012760D" w:rsidRDefault="00D657E7" w:rsidP="00133F16">
            <w:pPr>
              <w:jc w:val="right"/>
              <w:rPr>
                <w:sz w:val="24"/>
                <w:szCs w:val="24"/>
              </w:rPr>
            </w:pPr>
            <w:r w:rsidRPr="0012760D">
              <w:rPr>
                <w:b/>
                <w:bCs/>
                <w:sz w:val="24"/>
                <w:szCs w:val="24"/>
              </w:rPr>
              <w:t>39,056,399</w:t>
            </w:r>
          </w:p>
        </w:tc>
      </w:tr>
    </w:tbl>
    <w:p w:rsidR="00D657E7" w:rsidRPr="0012760D" w:rsidRDefault="00D657E7" w:rsidP="00D657E7">
      <w:pPr>
        <w:rPr>
          <w:sz w:val="24"/>
          <w:szCs w:val="24"/>
        </w:rPr>
      </w:pPr>
    </w:p>
    <w:p w:rsidR="00D657E7" w:rsidRPr="0012760D" w:rsidRDefault="00D657E7" w:rsidP="00D657E7">
      <w:pPr>
        <w:rPr>
          <w:sz w:val="24"/>
          <w:szCs w:val="24"/>
        </w:rPr>
      </w:pPr>
      <w:r w:rsidRPr="0012760D">
        <w:rPr>
          <w:sz w:val="24"/>
          <w:szCs w:val="24"/>
        </w:rPr>
        <w:t xml:space="preserve">The statement of changes in equity should be read in conjunction with the notes to </w:t>
      </w:r>
      <w:r w:rsidRPr="0012760D">
        <w:rPr>
          <w:sz w:val="24"/>
          <w:szCs w:val="24"/>
        </w:rPr>
        <w:lastRenderedPageBreak/>
        <w:t>the financial statements.</w:t>
      </w:r>
    </w:p>
    <w:p w:rsidR="00D657E7" w:rsidRDefault="00D657E7" w:rsidP="00D657E7">
      <w:pPr>
        <w:rPr>
          <w:sz w:val="24"/>
          <w:szCs w:val="24"/>
        </w:rPr>
      </w:pPr>
    </w:p>
    <w:p w:rsidR="00E750D5" w:rsidRPr="0012760D" w:rsidRDefault="00E750D5" w:rsidP="00D657E7">
      <w:pPr>
        <w:rPr>
          <w:sz w:val="24"/>
          <w:szCs w:val="24"/>
        </w:rPr>
      </w:pPr>
    </w:p>
    <w:p w:rsidR="00D657E7" w:rsidRPr="0012760D" w:rsidRDefault="00D657E7" w:rsidP="00E750D5">
      <w:pPr>
        <w:pStyle w:val="Heading2"/>
      </w:pPr>
      <w:r w:rsidRPr="0012760D">
        <w:t>Cash flow statement for the financial year ended 30 June 2013</w:t>
      </w:r>
    </w:p>
    <w:p w:rsidR="00D657E7" w:rsidRPr="0012760D" w:rsidRDefault="00D657E7" w:rsidP="00D657E7">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4831"/>
        <w:gridCol w:w="946"/>
        <w:gridCol w:w="1663"/>
        <w:gridCol w:w="1669"/>
      </w:tblGrid>
      <w:tr w:rsidR="00D657E7" w:rsidRPr="0012760D" w:rsidTr="00407410">
        <w:tblPrEx>
          <w:tblCellMar>
            <w:top w:w="0" w:type="dxa"/>
            <w:bottom w:w="0" w:type="dxa"/>
          </w:tblCellMar>
        </w:tblPrEx>
        <w:tc>
          <w:tcPr>
            <w:tcW w:w="2652" w:type="pct"/>
            <w:shd w:val="clear" w:color="auto" w:fill="auto"/>
          </w:tcPr>
          <w:p w:rsidR="00D657E7" w:rsidRPr="0012760D" w:rsidRDefault="00D657E7" w:rsidP="00133F16">
            <w:pPr>
              <w:rPr>
                <w:sz w:val="24"/>
                <w:szCs w:val="24"/>
              </w:rPr>
            </w:pPr>
          </w:p>
        </w:tc>
        <w:tc>
          <w:tcPr>
            <w:tcW w:w="519" w:type="pct"/>
            <w:shd w:val="clear" w:color="auto" w:fill="auto"/>
          </w:tcPr>
          <w:p w:rsidR="00D657E7" w:rsidRPr="0012760D" w:rsidRDefault="00D657E7" w:rsidP="00133F16">
            <w:pPr>
              <w:rPr>
                <w:sz w:val="24"/>
                <w:szCs w:val="24"/>
              </w:rPr>
            </w:pPr>
            <w:r w:rsidRPr="0012760D">
              <w:rPr>
                <w:b/>
                <w:bCs/>
                <w:sz w:val="24"/>
                <w:szCs w:val="24"/>
              </w:rPr>
              <w:t>Notes</w:t>
            </w:r>
          </w:p>
        </w:tc>
        <w:tc>
          <w:tcPr>
            <w:tcW w:w="913" w:type="pct"/>
            <w:shd w:val="clear" w:color="auto" w:fill="auto"/>
          </w:tcPr>
          <w:p w:rsidR="00D657E7" w:rsidRPr="0012760D" w:rsidRDefault="00D657E7" w:rsidP="00133F16">
            <w:pPr>
              <w:jc w:val="right"/>
              <w:rPr>
                <w:sz w:val="24"/>
                <w:szCs w:val="24"/>
              </w:rPr>
            </w:pPr>
            <w:r w:rsidRPr="0012760D">
              <w:rPr>
                <w:b/>
                <w:bCs/>
                <w:sz w:val="24"/>
                <w:szCs w:val="24"/>
              </w:rPr>
              <w:t>2013 $</w:t>
            </w:r>
          </w:p>
        </w:tc>
        <w:tc>
          <w:tcPr>
            <w:tcW w:w="916" w:type="pct"/>
            <w:shd w:val="clear" w:color="auto" w:fill="auto"/>
          </w:tcPr>
          <w:p w:rsidR="00D657E7" w:rsidRPr="0012760D" w:rsidRDefault="00D657E7" w:rsidP="00133F16">
            <w:pPr>
              <w:jc w:val="right"/>
              <w:rPr>
                <w:sz w:val="24"/>
                <w:szCs w:val="24"/>
              </w:rPr>
            </w:pPr>
            <w:r w:rsidRPr="0012760D">
              <w:rPr>
                <w:b/>
                <w:bCs/>
                <w:sz w:val="24"/>
                <w:szCs w:val="24"/>
              </w:rPr>
              <w:t>2012 $</w:t>
            </w:r>
          </w:p>
        </w:tc>
      </w:tr>
      <w:tr w:rsidR="00D657E7" w:rsidRPr="0012760D" w:rsidTr="00407410">
        <w:tblPrEx>
          <w:tblCellMar>
            <w:top w:w="0" w:type="dxa"/>
            <w:bottom w:w="0" w:type="dxa"/>
          </w:tblCellMar>
        </w:tblPrEx>
        <w:tc>
          <w:tcPr>
            <w:tcW w:w="5000" w:type="pct"/>
            <w:gridSpan w:val="4"/>
            <w:shd w:val="clear" w:color="auto" w:fill="auto"/>
          </w:tcPr>
          <w:p w:rsidR="00D657E7" w:rsidRPr="0012760D" w:rsidRDefault="00D657E7" w:rsidP="00133F16">
            <w:pPr>
              <w:rPr>
                <w:sz w:val="24"/>
                <w:szCs w:val="24"/>
              </w:rPr>
            </w:pPr>
            <w:r w:rsidRPr="0012760D">
              <w:rPr>
                <w:b/>
                <w:bCs/>
                <w:sz w:val="24"/>
                <w:szCs w:val="24"/>
              </w:rPr>
              <w:t>Cash flows from operating activities</w:t>
            </w:r>
          </w:p>
        </w:tc>
      </w:tr>
      <w:tr w:rsidR="00D657E7" w:rsidRPr="0012760D" w:rsidTr="00407410">
        <w:tblPrEx>
          <w:tblCellMar>
            <w:top w:w="0" w:type="dxa"/>
            <w:bottom w:w="0" w:type="dxa"/>
          </w:tblCellMar>
        </w:tblPrEx>
        <w:tc>
          <w:tcPr>
            <w:tcW w:w="3171" w:type="pct"/>
            <w:gridSpan w:val="2"/>
            <w:shd w:val="clear" w:color="auto" w:fill="auto"/>
          </w:tcPr>
          <w:p w:rsidR="00D657E7" w:rsidRPr="0012760D" w:rsidRDefault="00D657E7" w:rsidP="00133F16">
            <w:pPr>
              <w:rPr>
                <w:sz w:val="24"/>
                <w:szCs w:val="24"/>
              </w:rPr>
            </w:pPr>
            <w:r w:rsidRPr="0012760D">
              <w:rPr>
                <w:sz w:val="24"/>
                <w:szCs w:val="24"/>
              </w:rPr>
              <w:t>Receipts from government grants</w:t>
            </w:r>
          </w:p>
        </w:tc>
        <w:tc>
          <w:tcPr>
            <w:tcW w:w="913" w:type="pct"/>
            <w:shd w:val="clear" w:color="auto" w:fill="auto"/>
          </w:tcPr>
          <w:p w:rsidR="00D657E7" w:rsidRPr="0012760D" w:rsidRDefault="00D657E7" w:rsidP="00133F16">
            <w:pPr>
              <w:jc w:val="right"/>
              <w:rPr>
                <w:sz w:val="24"/>
                <w:szCs w:val="24"/>
              </w:rPr>
            </w:pPr>
            <w:r w:rsidRPr="0012760D">
              <w:rPr>
                <w:sz w:val="24"/>
                <w:szCs w:val="24"/>
              </w:rPr>
              <w:t>16,972,022</w:t>
            </w:r>
          </w:p>
        </w:tc>
        <w:tc>
          <w:tcPr>
            <w:tcW w:w="916" w:type="pct"/>
            <w:shd w:val="clear" w:color="auto" w:fill="auto"/>
          </w:tcPr>
          <w:p w:rsidR="00D657E7" w:rsidRPr="0012760D" w:rsidRDefault="00D657E7" w:rsidP="00133F16">
            <w:pPr>
              <w:jc w:val="right"/>
              <w:rPr>
                <w:sz w:val="24"/>
                <w:szCs w:val="24"/>
              </w:rPr>
            </w:pPr>
            <w:r w:rsidRPr="0012760D">
              <w:rPr>
                <w:sz w:val="24"/>
                <w:szCs w:val="24"/>
              </w:rPr>
              <w:t>18,360,997</w:t>
            </w:r>
          </w:p>
        </w:tc>
      </w:tr>
      <w:tr w:rsidR="00D657E7" w:rsidRPr="0012760D" w:rsidTr="00407410">
        <w:tblPrEx>
          <w:tblCellMar>
            <w:top w:w="0" w:type="dxa"/>
            <w:bottom w:w="0" w:type="dxa"/>
          </w:tblCellMar>
        </w:tblPrEx>
        <w:tc>
          <w:tcPr>
            <w:tcW w:w="3171" w:type="pct"/>
            <w:gridSpan w:val="2"/>
            <w:shd w:val="clear" w:color="auto" w:fill="auto"/>
          </w:tcPr>
          <w:p w:rsidR="00D657E7" w:rsidRPr="0012760D" w:rsidRDefault="00D657E7" w:rsidP="00133F16">
            <w:pPr>
              <w:rPr>
                <w:sz w:val="24"/>
                <w:szCs w:val="24"/>
              </w:rPr>
            </w:pPr>
            <w:r w:rsidRPr="0012760D">
              <w:rPr>
                <w:sz w:val="24"/>
                <w:szCs w:val="24"/>
              </w:rPr>
              <w:t>Receipts from government - other</w:t>
            </w:r>
          </w:p>
        </w:tc>
        <w:tc>
          <w:tcPr>
            <w:tcW w:w="913" w:type="pct"/>
            <w:shd w:val="clear" w:color="auto" w:fill="auto"/>
          </w:tcPr>
          <w:p w:rsidR="00D657E7" w:rsidRPr="0012760D" w:rsidRDefault="00D657E7" w:rsidP="00133F16">
            <w:pPr>
              <w:jc w:val="right"/>
              <w:rPr>
                <w:sz w:val="24"/>
                <w:szCs w:val="24"/>
              </w:rPr>
            </w:pPr>
            <w:r w:rsidRPr="0012760D">
              <w:rPr>
                <w:sz w:val="24"/>
                <w:szCs w:val="24"/>
              </w:rPr>
              <w:t>2,921,968</w:t>
            </w:r>
          </w:p>
        </w:tc>
        <w:tc>
          <w:tcPr>
            <w:tcW w:w="916" w:type="pct"/>
            <w:shd w:val="clear" w:color="auto" w:fill="auto"/>
          </w:tcPr>
          <w:p w:rsidR="00D657E7" w:rsidRPr="0012760D" w:rsidRDefault="00D657E7" w:rsidP="00133F16">
            <w:pPr>
              <w:jc w:val="right"/>
              <w:rPr>
                <w:sz w:val="24"/>
                <w:szCs w:val="24"/>
              </w:rPr>
            </w:pPr>
            <w:r w:rsidRPr="0012760D">
              <w:rPr>
                <w:sz w:val="24"/>
                <w:szCs w:val="24"/>
              </w:rPr>
              <w:t>3,655,795</w:t>
            </w:r>
          </w:p>
        </w:tc>
      </w:tr>
      <w:tr w:rsidR="00D657E7" w:rsidRPr="0012760D" w:rsidTr="00407410">
        <w:tblPrEx>
          <w:tblCellMar>
            <w:top w:w="0" w:type="dxa"/>
            <w:bottom w:w="0" w:type="dxa"/>
          </w:tblCellMar>
        </w:tblPrEx>
        <w:tc>
          <w:tcPr>
            <w:tcW w:w="3171" w:type="pct"/>
            <w:gridSpan w:val="2"/>
            <w:shd w:val="clear" w:color="auto" w:fill="auto"/>
          </w:tcPr>
          <w:p w:rsidR="00D657E7" w:rsidRPr="0012760D" w:rsidRDefault="00D657E7" w:rsidP="00133F16">
            <w:pPr>
              <w:rPr>
                <w:sz w:val="24"/>
                <w:szCs w:val="24"/>
              </w:rPr>
            </w:pPr>
            <w:r w:rsidRPr="0012760D">
              <w:rPr>
                <w:sz w:val="24"/>
                <w:szCs w:val="24"/>
              </w:rPr>
              <w:t>Receipts from landfill levy</w:t>
            </w:r>
          </w:p>
        </w:tc>
        <w:tc>
          <w:tcPr>
            <w:tcW w:w="913" w:type="pct"/>
            <w:shd w:val="clear" w:color="auto" w:fill="auto"/>
          </w:tcPr>
          <w:p w:rsidR="00D657E7" w:rsidRPr="0012760D" w:rsidRDefault="00D657E7" w:rsidP="00133F16">
            <w:pPr>
              <w:jc w:val="right"/>
              <w:rPr>
                <w:sz w:val="24"/>
                <w:szCs w:val="24"/>
              </w:rPr>
            </w:pPr>
            <w:r w:rsidRPr="0012760D">
              <w:rPr>
                <w:sz w:val="24"/>
                <w:szCs w:val="24"/>
              </w:rPr>
              <w:t>24,240,039</w:t>
            </w:r>
          </w:p>
        </w:tc>
        <w:tc>
          <w:tcPr>
            <w:tcW w:w="916" w:type="pct"/>
            <w:shd w:val="clear" w:color="auto" w:fill="auto"/>
          </w:tcPr>
          <w:p w:rsidR="00D657E7" w:rsidRPr="0012760D" w:rsidRDefault="00D657E7" w:rsidP="00133F16">
            <w:pPr>
              <w:jc w:val="right"/>
              <w:rPr>
                <w:sz w:val="24"/>
                <w:szCs w:val="24"/>
              </w:rPr>
            </w:pPr>
            <w:r w:rsidRPr="0012760D">
              <w:rPr>
                <w:sz w:val="24"/>
                <w:szCs w:val="24"/>
              </w:rPr>
              <w:t>23,741,797</w:t>
            </w:r>
          </w:p>
        </w:tc>
      </w:tr>
      <w:tr w:rsidR="00D657E7" w:rsidRPr="0012760D" w:rsidTr="00407410">
        <w:tblPrEx>
          <w:tblCellMar>
            <w:top w:w="0" w:type="dxa"/>
            <w:bottom w:w="0" w:type="dxa"/>
          </w:tblCellMar>
        </w:tblPrEx>
        <w:tc>
          <w:tcPr>
            <w:tcW w:w="3171" w:type="pct"/>
            <w:gridSpan w:val="2"/>
            <w:shd w:val="clear" w:color="auto" w:fill="auto"/>
          </w:tcPr>
          <w:p w:rsidR="00D657E7" w:rsidRPr="0012760D" w:rsidRDefault="00D657E7" w:rsidP="00133F16">
            <w:pPr>
              <w:rPr>
                <w:sz w:val="24"/>
                <w:szCs w:val="24"/>
              </w:rPr>
            </w:pPr>
            <w:r w:rsidRPr="0012760D">
              <w:rPr>
                <w:sz w:val="24"/>
                <w:szCs w:val="24"/>
              </w:rPr>
              <w:t>Other receipts</w:t>
            </w:r>
          </w:p>
        </w:tc>
        <w:tc>
          <w:tcPr>
            <w:tcW w:w="913" w:type="pct"/>
            <w:shd w:val="clear" w:color="auto" w:fill="auto"/>
          </w:tcPr>
          <w:p w:rsidR="00D657E7" w:rsidRPr="0012760D" w:rsidRDefault="00D657E7" w:rsidP="00133F16">
            <w:pPr>
              <w:jc w:val="right"/>
              <w:rPr>
                <w:sz w:val="24"/>
                <w:szCs w:val="24"/>
              </w:rPr>
            </w:pPr>
            <w:r w:rsidRPr="0012760D">
              <w:rPr>
                <w:sz w:val="24"/>
                <w:szCs w:val="24"/>
              </w:rPr>
              <w:t>8,388,466</w:t>
            </w:r>
          </w:p>
        </w:tc>
        <w:tc>
          <w:tcPr>
            <w:tcW w:w="916" w:type="pct"/>
            <w:shd w:val="clear" w:color="auto" w:fill="auto"/>
          </w:tcPr>
          <w:p w:rsidR="00D657E7" w:rsidRPr="0012760D" w:rsidRDefault="00D657E7" w:rsidP="00133F16">
            <w:pPr>
              <w:jc w:val="right"/>
              <w:rPr>
                <w:sz w:val="24"/>
                <w:szCs w:val="24"/>
              </w:rPr>
            </w:pPr>
            <w:r w:rsidRPr="0012760D">
              <w:rPr>
                <w:sz w:val="24"/>
                <w:szCs w:val="24"/>
              </w:rPr>
              <w:t>1,740,543</w:t>
            </w:r>
          </w:p>
        </w:tc>
      </w:tr>
      <w:tr w:rsidR="00D657E7" w:rsidRPr="0012760D" w:rsidTr="00407410">
        <w:tblPrEx>
          <w:tblCellMar>
            <w:top w:w="0" w:type="dxa"/>
            <w:bottom w:w="0" w:type="dxa"/>
          </w:tblCellMar>
        </w:tblPrEx>
        <w:tc>
          <w:tcPr>
            <w:tcW w:w="3171" w:type="pct"/>
            <w:gridSpan w:val="2"/>
            <w:shd w:val="clear" w:color="auto" w:fill="auto"/>
          </w:tcPr>
          <w:p w:rsidR="00D657E7" w:rsidRPr="0012760D" w:rsidRDefault="00D657E7" w:rsidP="00133F16">
            <w:pPr>
              <w:rPr>
                <w:sz w:val="24"/>
                <w:szCs w:val="24"/>
              </w:rPr>
            </w:pPr>
            <w:r w:rsidRPr="0012760D">
              <w:rPr>
                <w:sz w:val="24"/>
                <w:szCs w:val="24"/>
              </w:rPr>
              <w:t>Interest received</w:t>
            </w:r>
          </w:p>
        </w:tc>
        <w:tc>
          <w:tcPr>
            <w:tcW w:w="913" w:type="pct"/>
            <w:shd w:val="clear" w:color="auto" w:fill="auto"/>
          </w:tcPr>
          <w:p w:rsidR="00D657E7" w:rsidRPr="0012760D" w:rsidRDefault="00D657E7" w:rsidP="00133F16">
            <w:pPr>
              <w:jc w:val="right"/>
              <w:rPr>
                <w:sz w:val="24"/>
                <w:szCs w:val="24"/>
              </w:rPr>
            </w:pPr>
            <w:r w:rsidRPr="0012760D">
              <w:rPr>
                <w:sz w:val="24"/>
                <w:szCs w:val="24"/>
              </w:rPr>
              <w:t>971,246</w:t>
            </w:r>
          </w:p>
        </w:tc>
        <w:tc>
          <w:tcPr>
            <w:tcW w:w="916" w:type="pct"/>
            <w:shd w:val="clear" w:color="auto" w:fill="auto"/>
          </w:tcPr>
          <w:p w:rsidR="00D657E7" w:rsidRPr="0012760D" w:rsidRDefault="00D657E7" w:rsidP="00133F16">
            <w:pPr>
              <w:jc w:val="right"/>
              <w:rPr>
                <w:sz w:val="24"/>
                <w:szCs w:val="24"/>
              </w:rPr>
            </w:pPr>
            <w:r w:rsidRPr="0012760D">
              <w:rPr>
                <w:sz w:val="24"/>
                <w:szCs w:val="24"/>
              </w:rPr>
              <w:t>1,052,108</w:t>
            </w:r>
          </w:p>
        </w:tc>
      </w:tr>
      <w:tr w:rsidR="00D657E7" w:rsidRPr="0012760D" w:rsidTr="00407410">
        <w:tblPrEx>
          <w:tblCellMar>
            <w:top w:w="0" w:type="dxa"/>
            <w:bottom w:w="0" w:type="dxa"/>
          </w:tblCellMar>
        </w:tblPrEx>
        <w:tc>
          <w:tcPr>
            <w:tcW w:w="3171" w:type="pct"/>
            <w:gridSpan w:val="2"/>
            <w:shd w:val="clear" w:color="auto" w:fill="auto"/>
          </w:tcPr>
          <w:p w:rsidR="00D657E7" w:rsidRPr="0012760D" w:rsidRDefault="00D657E7" w:rsidP="00133F16">
            <w:pPr>
              <w:rPr>
                <w:sz w:val="24"/>
                <w:szCs w:val="24"/>
              </w:rPr>
            </w:pPr>
            <w:r w:rsidRPr="0012760D">
              <w:rPr>
                <w:sz w:val="24"/>
                <w:szCs w:val="24"/>
              </w:rPr>
              <w:t>Net receipt from EPA for the Sustainability Fund</w:t>
            </w:r>
          </w:p>
        </w:tc>
        <w:tc>
          <w:tcPr>
            <w:tcW w:w="913" w:type="pct"/>
            <w:shd w:val="clear" w:color="auto" w:fill="auto"/>
          </w:tcPr>
          <w:p w:rsidR="00D657E7" w:rsidRPr="0012760D" w:rsidRDefault="00D657E7" w:rsidP="00133F16">
            <w:pPr>
              <w:jc w:val="right"/>
              <w:rPr>
                <w:sz w:val="24"/>
                <w:szCs w:val="24"/>
              </w:rPr>
            </w:pPr>
            <w:r w:rsidRPr="0012760D">
              <w:rPr>
                <w:sz w:val="24"/>
                <w:szCs w:val="24"/>
              </w:rPr>
              <w:t>550,000</w:t>
            </w:r>
          </w:p>
        </w:tc>
        <w:tc>
          <w:tcPr>
            <w:tcW w:w="916" w:type="pct"/>
            <w:shd w:val="clear" w:color="auto" w:fill="auto"/>
          </w:tcPr>
          <w:p w:rsidR="00D657E7" w:rsidRPr="0012760D" w:rsidRDefault="00D657E7" w:rsidP="00133F16">
            <w:pPr>
              <w:jc w:val="right"/>
              <w:rPr>
                <w:sz w:val="24"/>
                <w:szCs w:val="24"/>
              </w:rPr>
            </w:pPr>
            <w:r w:rsidRPr="0012760D">
              <w:rPr>
                <w:sz w:val="24"/>
                <w:szCs w:val="24"/>
              </w:rPr>
              <w:t>-</w:t>
            </w:r>
          </w:p>
        </w:tc>
      </w:tr>
      <w:tr w:rsidR="00D657E7" w:rsidRPr="0012760D" w:rsidTr="00407410">
        <w:tblPrEx>
          <w:tblCellMar>
            <w:top w:w="0" w:type="dxa"/>
            <w:bottom w:w="0" w:type="dxa"/>
          </w:tblCellMar>
        </w:tblPrEx>
        <w:tc>
          <w:tcPr>
            <w:tcW w:w="3171" w:type="pct"/>
            <w:gridSpan w:val="2"/>
            <w:shd w:val="clear" w:color="auto" w:fill="auto"/>
          </w:tcPr>
          <w:p w:rsidR="00D657E7" w:rsidRPr="0012760D" w:rsidRDefault="00D657E7" w:rsidP="00133F16">
            <w:pPr>
              <w:rPr>
                <w:sz w:val="24"/>
                <w:szCs w:val="24"/>
              </w:rPr>
            </w:pPr>
            <w:r w:rsidRPr="0012760D">
              <w:rPr>
                <w:sz w:val="24"/>
                <w:szCs w:val="24"/>
              </w:rPr>
              <w:t>Goods and services tax recovered from the A</w:t>
            </w:r>
            <w:r w:rsidR="0071725E">
              <w:rPr>
                <w:sz w:val="24"/>
                <w:szCs w:val="24"/>
              </w:rPr>
              <w:t xml:space="preserve"> </w:t>
            </w:r>
            <w:r w:rsidRPr="0012760D">
              <w:rPr>
                <w:sz w:val="24"/>
                <w:szCs w:val="24"/>
              </w:rPr>
              <w:t>T</w:t>
            </w:r>
            <w:r w:rsidR="0071725E">
              <w:rPr>
                <w:sz w:val="24"/>
                <w:szCs w:val="24"/>
              </w:rPr>
              <w:t xml:space="preserve"> </w:t>
            </w:r>
            <w:r w:rsidRPr="0012760D">
              <w:rPr>
                <w:sz w:val="24"/>
                <w:szCs w:val="24"/>
              </w:rPr>
              <w:t>O</w:t>
            </w:r>
          </w:p>
        </w:tc>
        <w:tc>
          <w:tcPr>
            <w:tcW w:w="913" w:type="pct"/>
            <w:shd w:val="clear" w:color="auto" w:fill="auto"/>
          </w:tcPr>
          <w:p w:rsidR="00D657E7" w:rsidRPr="0012760D" w:rsidRDefault="00D657E7" w:rsidP="00133F16">
            <w:pPr>
              <w:jc w:val="right"/>
              <w:rPr>
                <w:sz w:val="24"/>
                <w:szCs w:val="24"/>
              </w:rPr>
            </w:pPr>
            <w:r w:rsidRPr="0012760D">
              <w:rPr>
                <w:sz w:val="24"/>
                <w:szCs w:val="24"/>
              </w:rPr>
              <w:t>759,207</w:t>
            </w:r>
          </w:p>
        </w:tc>
        <w:tc>
          <w:tcPr>
            <w:tcW w:w="916" w:type="pct"/>
            <w:shd w:val="clear" w:color="auto" w:fill="auto"/>
          </w:tcPr>
          <w:p w:rsidR="00D657E7" w:rsidRPr="0012760D" w:rsidRDefault="00D657E7" w:rsidP="00133F16">
            <w:pPr>
              <w:jc w:val="right"/>
              <w:rPr>
                <w:sz w:val="24"/>
                <w:szCs w:val="24"/>
              </w:rPr>
            </w:pPr>
            <w:r w:rsidRPr="0012760D">
              <w:rPr>
                <w:sz w:val="24"/>
                <w:szCs w:val="24"/>
              </w:rPr>
              <w:t>1,426,207</w:t>
            </w:r>
          </w:p>
        </w:tc>
      </w:tr>
      <w:tr w:rsidR="00D657E7" w:rsidRPr="0012760D" w:rsidTr="00407410">
        <w:tblPrEx>
          <w:tblCellMar>
            <w:top w:w="0" w:type="dxa"/>
            <w:bottom w:w="0" w:type="dxa"/>
          </w:tblCellMar>
        </w:tblPrEx>
        <w:tc>
          <w:tcPr>
            <w:tcW w:w="3171" w:type="pct"/>
            <w:gridSpan w:val="2"/>
            <w:shd w:val="clear" w:color="auto" w:fill="auto"/>
          </w:tcPr>
          <w:p w:rsidR="00D657E7" w:rsidRPr="0012760D" w:rsidRDefault="00D657E7" w:rsidP="00133F16">
            <w:pPr>
              <w:rPr>
                <w:sz w:val="24"/>
                <w:szCs w:val="24"/>
              </w:rPr>
            </w:pPr>
            <w:r w:rsidRPr="0012760D">
              <w:rPr>
                <w:sz w:val="24"/>
                <w:szCs w:val="24"/>
              </w:rPr>
              <w:t>Payments to program recipients</w:t>
            </w:r>
          </w:p>
        </w:tc>
        <w:tc>
          <w:tcPr>
            <w:tcW w:w="913" w:type="pct"/>
            <w:shd w:val="clear" w:color="auto" w:fill="auto"/>
          </w:tcPr>
          <w:p w:rsidR="00D657E7" w:rsidRPr="0012760D" w:rsidRDefault="00D657E7" w:rsidP="00133F16">
            <w:pPr>
              <w:jc w:val="right"/>
              <w:rPr>
                <w:sz w:val="24"/>
                <w:szCs w:val="24"/>
              </w:rPr>
            </w:pPr>
            <w:r w:rsidRPr="0012760D">
              <w:rPr>
                <w:sz w:val="24"/>
                <w:szCs w:val="24"/>
              </w:rPr>
              <w:t>(21,496,342)</w:t>
            </w:r>
          </w:p>
        </w:tc>
        <w:tc>
          <w:tcPr>
            <w:tcW w:w="916" w:type="pct"/>
            <w:shd w:val="clear" w:color="auto" w:fill="auto"/>
          </w:tcPr>
          <w:p w:rsidR="00D657E7" w:rsidRPr="0012760D" w:rsidRDefault="00D657E7" w:rsidP="00133F16">
            <w:pPr>
              <w:jc w:val="right"/>
              <w:rPr>
                <w:sz w:val="24"/>
                <w:szCs w:val="24"/>
              </w:rPr>
            </w:pPr>
            <w:r w:rsidRPr="0012760D">
              <w:rPr>
                <w:sz w:val="24"/>
                <w:szCs w:val="24"/>
              </w:rPr>
              <w:t>(24,448,872)</w:t>
            </w:r>
          </w:p>
        </w:tc>
      </w:tr>
      <w:tr w:rsidR="00D657E7" w:rsidRPr="0012760D" w:rsidTr="00407410">
        <w:tblPrEx>
          <w:tblCellMar>
            <w:top w:w="0" w:type="dxa"/>
            <w:bottom w:w="0" w:type="dxa"/>
          </w:tblCellMar>
        </w:tblPrEx>
        <w:tc>
          <w:tcPr>
            <w:tcW w:w="3171" w:type="pct"/>
            <w:gridSpan w:val="2"/>
            <w:shd w:val="clear" w:color="auto" w:fill="auto"/>
          </w:tcPr>
          <w:p w:rsidR="00D657E7" w:rsidRPr="0012760D" w:rsidRDefault="00D657E7" w:rsidP="00133F16">
            <w:pPr>
              <w:rPr>
                <w:sz w:val="24"/>
                <w:szCs w:val="24"/>
              </w:rPr>
            </w:pPr>
            <w:r w:rsidRPr="0012760D">
              <w:rPr>
                <w:sz w:val="24"/>
                <w:szCs w:val="24"/>
              </w:rPr>
              <w:t>Payments to suppliers and employees</w:t>
            </w:r>
          </w:p>
        </w:tc>
        <w:tc>
          <w:tcPr>
            <w:tcW w:w="913" w:type="pct"/>
            <w:shd w:val="clear" w:color="auto" w:fill="auto"/>
          </w:tcPr>
          <w:p w:rsidR="00D657E7" w:rsidRPr="0012760D" w:rsidRDefault="00D657E7" w:rsidP="00133F16">
            <w:pPr>
              <w:jc w:val="right"/>
              <w:rPr>
                <w:sz w:val="24"/>
                <w:szCs w:val="24"/>
              </w:rPr>
            </w:pPr>
            <w:r w:rsidRPr="0012760D">
              <w:rPr>
                <w:sz w:val="24"/>
                <w:szCs w:val="24"/>
              </w:rPr>
              <w:t>(19,699,269)</w:t>
            </w:r>
          </w:p>
        </w:tc>
        <w:tc>
          <w:tcPr>
            <w:tcW w:w="916" w:type="pct"/>
            <w:shd w:val="clear" w:color="auto" w:fill="auto"/>
          </w:tcPr>
          <w:p w:rsidR="00D657E7" w:rsidRPr="0012760D" w:rsidRDefault="00D657E7" w:rsidP="00133F16">
            <w:pPr>
              <w:jc w:val="right"/>
              <w:rPr>
                <w:sz w:val="24"/>
                <w:szCs w:val="24"/>
              </w:rPr>
            </w:pPr>
            <w:r w:rsidRPr="0012760D">
              <w:rPr>
                <w:sz w:val="24"/>
                <w:szCs w:val="24"/>
              </w:rPr>
              <w:t>(21,247,300)</w:t>
            </w:r>
          </w:p>
        </w:tc>
      </w:tr>
      <w:tr w:rsidR="00D657E7" w:rsidRPr="0012760D" w:rsidTr="00407410">
        <w:tblPrEx>
          <w:tblCellMar>
            <w:top w:w="0" w:type="dxa"/>
            <w:bottom w:w="0" w:type="dxa"/>
          </w:tblCellMar>
        </w:tblPrEx>
        <w:tc>
          <w:tcPr>
            <w:tcW w:w="2652" w:type="pct"/>
            <w:shd w:val="clear" w:color="auto" w:fill="auto"/>
          </w:tcPr>
          <w:p w:rsidR="00D657E7" w:rsidRPr="0012760D" w:rsidRDefault="00D657E7" w:rsidP="00133F16">
            <w:pPr>
              <w:rPr>
                <w:sz w:val="24"/>
                <w:szCs w:val="24"/>
              </w:rPr>
            </w:pPr>
            <w:r w:rsidRPr="0012760D">
              <w:rPr>
                <w:b/>
                <w:bCs/>
                <w:sz w:val="24"/>
                <w:szCs w:val="24"/>
              </w:rPr>
              <w:t>Net cash flows from operating activities</w:t>
            </w:r>
          </w:p>
        </w:tc>
        <w:tc>
          <w:tcPr>
            <w:tcW w:w="519" w:type="pct"/>
            <w:shd w:val="clear" w:color="auto" w:fill="auto"/>
          </w:tcPr>
          <w:p w:rsidR="00D657E7" w:rsidRPr="0012760D" w:rsidRDefault="00D657E7" w:rsidP="00133F16">
            <w:pPr>
              <w:jc w:val="right"/>
              <w:rPr>
                <w:sz w:val="24"/>
                <w:szCs w:val="24"/>
              </w:rPr>
            </w:pPr>
            <w:r w:rsidRPr="0012760D">
              <w:rPr>
                <w:b/>
                <w:bCs/>
                <w:sz w:val="24"/>
                <w:szCs w:val="24"/>
              </w:rPr>
              <w:t>14</w:t>
            </w:r>
          </w:p>
        </w:tc>
        <w:tc>
          <w:tcPr>
            <w:tcW w:w="913" w:type="pct"/>
            <w:shd w:val="clear" w:color="auto" w:fill="auto"/>
          </w:tcPr>
          <w:p w:rsidR="00D657E7" w:rsidRPr="0012760D" w:rsidRDefault="00D657E7" w:rsidP="00133F16">
            <w:pPr>
              <w:jc w:val="right"/>
              <w:rPr>
                <w:sz w:val="24"/>
                <w:szCs w:val="24"/>
              </w:rPr>
            </w:pPr>
            <w:r w:rsidRPr="0012760D">
              <w:rPr>
                <w:b/>
                <w:bCs/>
                <w:sz w:val="24"/>
                <w:szCs w:val="24"/>
              </w:rPr>
              <w:t>13,607,337</w:t>
            </w:r>
          </w:p>
          <w:p w:rsidR="00D657E7" w:rsidRPr="0012760D" w:rsidRDefault="00D657E7" w:rsidP="00133F16">
            <w:pPr>
              <w:jc w:val="right"/>
              <w:rPr>
                <w:sz w:val="24"/>
                <w:szCs w:val="24"/>
              </w:rPr>
            </w:pPr>
          </w:p>
        </w:tc>
        <w:tc>
          <w:tcPr>
            <w:tcW w:w="916" w:type="pct"/>
            <w:shd w:val="clear" w:color="auto" w:fill="auto"/>
          </w:tcPr>
          <w:p w:rsidR="00D657E7" w:rsidRPr="0012760D" w:rsidRDefault="00D657E7" w:rsidP="00133F16">
            <w:pPr>
              <w:jc w:val="right"/>
              <w:rPr>
                <w:sz w:val="24"/>
                <w:szCs w:val="24"/>
              </w:rPr>
            </w:pPr>
            <w:r w:rsidRPr="0012760D">
              <w:rPr>
                <w:b/>
                <w:bCs/>
                <w:sz w:val="24"/>
                <w:szCs w:val="24"/>
              </w:rPr>
              <w:t>4,281,275</w:t>
            </w:r>
          </w:p>
        </w:tc>
      </w:tr>
      <w:tr w:rsidR="00D657E7" w:rsidRPr="0012760D" w:rsidTr="00407410">
        <w:tblPrEx>
          <w:tblCellMar>
            <w:top w:w="0" w:type="dxa"/>
            <w:bottom w:w="0" w:type="dxa"/>
          </w:tblCellMar>
        </w:tblPrEx>
        <w:tc>
          <w:tcPr>
            <w:tcW w:w="5000" w:type="pct"/>
            <w:gridSpan w:val="4"/>
            <w:shd w:val="clear" w:color="auto" w:fill="auto"/>
          </w:tcPr>
          <w:p w:rsidR="00D657E7" w:rsidRPr="0012760D" w:rsidRDefault="00D657E7" w:rsidP="00133F16">
            <w:pPr>
              <w:rPr>
                <w:sz w:val="24"/>
                <w:szCs w:val="24"/>
              </w:rPr>
            </w:pPr>
            <w:r w:rsidRPr="0012760D">
              <w:rPr>
                <w:b/>
                <w:bCs/>
                <w:sz w:val="24"/>
                <w:szCs w:val="24"/>
              </w:rPr>
              <w:t>Cash flows from investing activities</w:t>
            </w:r>
          </w:p>
        </w:tc>
      </w:tr>
      <w:tr w:rsidR="00D657E7" w:rsidRPr="0012760D" w:rsidTr="00407410">
        <w:tblPrEx>
          <w:tblCellMar>
            <w:top w:w="0" w:type="dxa"/>
            <w:bottom w:w="0" w:type="dxa"/>
          </w:tblCellMar>
        </w:tblPrEx>
        <w:tc>
          <w:tcPr>
            <w:tcW w:w="2652" w:type="pct"/>
            <w:shd w:val="clear" w:color="auto" w:fill="auto"/>
          </w:tcPr>
          <w:p w:rsidR="00D657E7" w:rsidRPr="0012760D" w:rsidRDefault="00D657E7" w:rsidP="00133F16">
            <w:pPr>
              <w:rPr>
                <w:sz w:val="24"/>
                <w:szCs w:val="24"/>
              </w:rPr>
            </w:pPr>
            <w:r w:rsidRPr="0012760D">
              <w:rPr>
                <w:sz w:val="24"/>
                <w:szCs w:val="24"/>
              </w:rPr>
              <w:t>Payments for property, plant and equipment</w:t>
            </w:r>
          </w:p>
        </w:tc>
        <w:tc>
          <w:tcPr>
            <w:tcW w:w="519" w:type="pct"/>
            <w:shd w:val="clear" w:color="auto" w:fill="auto"/>
          </w:tcPr>
          <w:p w:rsidR="00D657E7" w:rsidRPr="0012760D" w:rsidRDefault="00D657E7" w:rsidP="00133F16">
            <w:pPr>
              <w:jc w:val="right"/>
              <w:rPr>
                <w:sz w:val="24"/>
                <w:szCs w:val="24"/>
              </w:rPr>
            </w:pPr>
            <w:r w:rsidRPr="0012760D">
              <w:rPr>
                <w:sz w:val="24"/>
                <w:szCs w:val="24"/>
              </w:rPr>
              <w:t>7</w:t>
            </w:r>
          </w:p>
        </w:tc>
        <w:tc>
          <w:tcPr>
            <w:tcW w:w="913" w:type="pct"/>
            <w:shd w:val="clear" w:color="auto" w:fill="auto"/>
          </w:tcPr>
          <w:p w:rsidR="00D657E7" w:rsidRPr="0012760D" w:rsidRDefault="00D657E7" w:rsidP="00133F16">
            <w:pPr>
              <w:jc w:val="right"/>
              <w:rPr>
                <w:sz w:val="24"/>
                <w:szCs w:val="24"/>
              </w:rPr>
            </w:pPr>
            <w:r w:rsidRPr="0012760D">
              <w:rPr>
                <w:sz w:val="24"/>
                <w:szCs w:val="24"/>
              </w:rPr>
              <w:t>(376,449)</w:t>
            </w:r>
          </w:p>
        </w:tc>
        <w:tc>
          <w:tcPr>
            <w:tcW w:w="916" w:type="pct"/>
            <w:shd w:val="clear" w:color="auto" w:fill="auto"/>
          </w:tcPr>
          <w:p w:rsidR="00D657E7" w:rsidRPr="0012760D" w:rsidRDefault="00D657E7" w:rsidP="00133F16">
            <w:pPr>
              <w:jc w:val="right"/>
              <w:rPr>
                <w:sz w:val="24"/>
                <w:szCs w:val="24"/>
              </w:rPr>
            </w:pPr>
            <w:r w:rsidRPr="0012760D">
              <w:rPr>
                <w:sz w:val="24"/>
                <w:szCs w:val="24"/>
              </w:rPr>
              <w:t>(143,875)</w:t>
            </w:r>
          </w:p>
        </w:tc>
      </w:tr>
      <w:tr w:rsidR="00D657E7" w:rsidRPr="0012760D" w:rsidTr="00407410">
        <w:tblPrEx>
          <w:tblCellMar>
            <w:top w:w="0" w:type="dxa"/>
            <w:bottom w:w="0" w:type="dxa"/>
          </w:tblCellMar>
        </w:tblPrEx>
        <w:tc>
          <w:tcPr>
            <w:tcW w:w="3171" w:type="pct"/>
            <w:gridSpan w:val="2"/>
            <w:shd w:val="clear" w:color="auto" w:fill="auto"/>
          </w:tcPr>
          <w:p w:rsidR="00D657E7" w:rsidRPr="0012760D" w:rsidRDefault="00D657E7" w:rsidP="00133F16">
            <w:pPr>
              <w:rPr>
                <w:sz w:val="24"/>
                <w:szCs w:val="24"/>
              </w:rPr>
            </w:pPr>
            <w:r w:rsidRPr="0012760D">
              <w:rPr>
                <w:sz w:val="24"/>
                <w:szCs w:val="24"/>
              </w:rPr>
              <w:t>Proceeds from disposal of property, plant and equipment</w:t>
            </w:r>
          </w:p>
        </w:tc>
        <w:tc>
          <w:tcPr>
            <w:tcW w:w="913" w:type="pct"/>
            <w:shd w:val="clear" w:color="auto" w:fill="auto"/>
          </w:tcPr>
          <w:p w:rsidR="00D657E7" w:rsidRPr="0012760D" w:rsidRDefault="00D657E7" w:rsidP="00133F16">
            <w:pPr>
              <w:jc w:val="right"/>
              <w:rPr>
                <w:sz w:val="24"/>
                <w:szCs w:val="24"/>
              </w:rPr>
            </w:pPr>
            <w:r w:rsidRPr="0012760D">
              <w:rPr>
                <w:sz w:val="24"/>
                <w:szCs w:val="24"/>
              </w:rPr>
              <w:t>4,227</w:t>
            </w:r>
          </w:p>
        </w:tc>
        <w:tc>
          <w:tcPr>
            <w:tcW w:w="916" w:type="pct"/>
            <w:shd w:val="clear" w:color="auto" w:fill="auto"/>
          </w:tcPr>
          <w:p w:rsidR="00D657E7" w:rsidRPr="0012760D" w:rsidRDefault="00D657E7" w:rsidP="00133F16">
            <w:pPr>
              <w:jc w:val="right"/>
              <w:rPr>
                <w:sz w:val="24"/>
                <w:szCs w:val="24"/>
              </w:rPr>
            </w:pPr>
            <w:r w:rsidRPr="0012760D">
              <w:rPr>
                <w:sz w:val="24"/>
                <w:szCs w:val="24"/>
              </w:rPr>
              <w:t>2,641</w:t>
            </w:r>
          </w:p>
        </w:tc>
      </w:tr>
      <w:tr w:rsidR="00D657E7" w:rsidRPr="0012760D" w:rsidTr="00407410">
        <w:tblPrEx>
          <w:tblCellMar>
            <w:top w:w="0" w:type="dxa"/>
            <w:bottom w:w="0" w:type="dxa"/>
          </w:tblCellMar>
        </w:tblPrEx>
        <w:tc>
          <w:tcPr>
            <w:tcW w:w="3171" w:type="pct"/>
            <w:gridSpan w:val="2"/>
            <w:shd w:val="clear" w:color="auto" w:fill="auto"/>
          </w:tcPr>
          <w:p w:rsidR="00D657E7" w:rsidRPr="0012760D" w:rsidRDefault="00D657E7" w:rsidP="00133F16">
            <w:pPr>
              <w:rPr>
                <w:sz w:val="24"/>
                <w:szCs w:val="24"/>
              </w:rPr>
            </w:pPr>
            <w:r w:rsidRPr="0012760D">
              <w:rPr>
                <w:b/>
                <w:bCs/>
                <w:sz w:val="24"/>
                <w:szCs w:val="24"/>
              </w:rPr>
              <w:t>Net cash flows used in investing activities</w:t>
            </w:r>
          </w:p>
        </w:tc>
        <w:tc>
          <w:tcPr>
            <w:tcW w:w="913" w:type="pct"/>
            <w:shd w:val="clear" w:color="auto" w:fill="auto"/>
          </w:tcPr>
          <w:p w:rsidR="00D657E7" w:rsidRPr="0012760D" w:rsidRDefault="00D657E7" w:rsidP="00133F16">
            <w:pPr>
              <w:jc w:val="right"/>
              <w:rPr>
                <w:sz w:val="24"/>
                <w:szCs w:val="24"/>
              </w:rPr>
            </w:pPr>
            <w:r w:rsidRPr="0012760D">
              <w:rPr>
                <w:b/>
                <w:bCs/>
                <w:sz w:val="24"/>
                <w:szCs w:val="24"/>
              </w:rPr>
              <w:t>(372,222)</w:t>
            </w:r>
          </w:p>
        </w:tc>
        <w:tc>
          <w:tcPr>
            <w:tcW w:w="916" w:type="pct"/>
            <w:shd w:val="clear" w:color="auto" w:fill="auto"/>
          </w:tcPr>
          <w:p w:rsidR="00D657E7" w:rsidRPr="0012760D" w:rsidRDefault="00D657E7" w:rsidP="00133F16">
            <w:pPr>
              <w:jc w:val="right"/>
              <w:rPr>
                <w:sz w:val="24"/>
                <w:szCs w:val="24"/>
              </w:rPr>
            </w:pPr>
            <w:r w:rsidRPr="0012760D">
              <w:rPr>
                <w:b/>
                <w:bCs/>
                <w:sz w:val="24"/>
                <w:szCs w:val="24"/>
              </w:rPr>
              <w:t>(141,234)</w:t>
            </w:r>
          </w:p>
        </w:tc>
      </w:tr>
      <w:tr w:rsidR="00D657E7" w:rsidRPr="0012760D" w:rsidTr="00407410">
        <w:tblPrEx>
          <w:tblCellMar>
            <w:top w:w="0" w:type="dxa"/>
            <w:bottom w:w="0" w:type="dxa"/>
          </w:tblCellMar>
        </w:tblPrEx>
        <w:tc>
          <w:tcPr>
            <w:tcW w:w="5000" w:type="pct"/>
            <w:gridSpan w:val="4"/>
            <w:shd w:val="clear" w:color="auto" w:fill="auto"/>
          </w:tcPr>
          <w:p w:rsidR="00D657E7" w:rsidRPr="0012760D" w:rsidRDefault="00D657E7" w:rsidP="00133F16">
            <w:pPr>
              <w:rPr>
                <w:sz w:val="24"/>
                <w:szCs w:val="24"/>
              </w:rPr>
            </w:pPr>
            <w:r w:rsidRPr="0012760D">
              <w:rPr>
                <w:b/>
                <w:bCs/>
                <w:sz w:val="24"/>
                <w:szCs w:val="24"/>
              </w:rPr>
              <w:t>Cash flows from finance activities</w:t>
            </w:r>
          </w:p>
        </w:tc>
      </w:tr>
      <w:tr w:rsidR="00D657E7" w:rsidRPr="0012760D" w:rsidTr="00407410">
        <w:tblPrEx>
          <w:tblCellMar>
            <w:top w:w="0" w:type="dxa"/>
            <w:bottom w:w="0" w:type="dxa"/>
          </w:tblCellMar>
        </w:tblPrEx>
        <w:tc>
          <w:tcPr>
            <w:tcW w:w="3171" w:type="pct"/>
            <w:gridSpan w:val="2"/>
            <w:shd w:val="clear" w:color="auto" w:fill="auto"/>
          </w:tcPr>
          <w:p w:rsidR="00D657E7" w:rsidRPr="0012760D" w:rsidRDefault="00D657E7" w:rsidP="00133F16">
            <w:pPr>
              <w:rPr>
                <w:sz w:val="24"/>
                <w:szCs w:val="24"/>
              </w:rPr>
            </w:pPr>
            <w:r w:rsidRPr="0012760D">
              <w:rPr>
                <w:sz w:val="24"/>
                <w:szCs w:val="24"/>
              </w:rPr>
              <w:t>Repayment of finance leases</w:t>
            </w:r>
          </w:p>
        </w:tc>
        <w:tc>
          <w:tcPr>
            <w:tcW w:w="913" w:type="pct"/>
            <w:shd w:val="clear" w:color="auto" w:fill="auto"/>
          </w:tcPr>
          <w:p w:rsidR="00D657E7" w:rsidRPr="0012760D" w:rsidRDefault="00D657E7" w:rsidP="00133F16">
            <w:pPr>
              <w:jc w:val="right"/>
              <w:rPr>
                <w:sz w:val="24"/>
                <w:szCs w:val="24"/>
              </w:rPr>
            </w:pPr>
            <w:r w:rsidRPr="0012760D">
              <w:rPr>
                <w:sz w:val="24"/>
                <w:szCs w:val="24"/>
              </w:rPr>
              <w:t>(24,148)</w:t>
            </w:r>
          </w:p>
        </w:tc>
        <w:tc>
          <w:tcPr>
            <w:tcW w:w="916" w:type="pct"/>
            <w:shd w:val="clear" w:color="auto" w:fill="auto"/>
          </w:tcPr>
          <w:p w:rsidR="00D657E7" w:rsidRPr="0012760D" w:rsidRDefault="00D657E7" w:rsidP="00133F16">
            <w:pPr>
              <w:jc w:val="right"/>
              <w:rPr>
                <w:sz w:val="24"/>
                <w:szCs w:val="24"/>
              </w:rPr>
            </w:pPr>
            <w:r w:rsidRPr="0012760D">
              <w:rPr>
                <w:sz w:val="24"/>
                <w:szCs w:val="24"/>
              </w:rPr>
              <w:t>(110,219)</w:t>
            </w:r>
          </w:p>
        </w:tc>
      </w:tr>
      <w:tr w:rsidR="00D657E7" w:rsidRPr="0012760D" w:rsidTr="00407410">
        <w:tblPrEx>
          <w:tblCellMar>
            <w:top w:w="0" w:type="dxa"/>
            <w:bottom w:w="0" w:type="dxa"/>
          </w:tblCellMar>
        </w:tblPrEx>
        <w:tc>
          <w:tcPr>
            <w:tcW w:w="3171" w:type="pct"/>
            <w:gridSpan w:val="2"/>
            <w:shd w:val="clear" w:color="auto" w:fill="auto"/>
          </w:tcPr>
          <w:p w:rsidR="00D657E7" w:rsidRPr="0012760D" w:rsidRDefault="00D657E7" w:rsidP="00133F16">
            <w:pPr>
              <w:rPr>
                <w:sz w:val="24"/>
                <w:szCs w:val="24"/>
              </w:rPr>
            </w:pPr>
            <w:r w:rsidRPr="0012760D">
              <w:rPr>
                <w:b/>
                <w:bCs/>
                <w:sz w:val="24"/>
                <w:szCs w:val="24"/>
              </w:rPr>
              <w:t>Net cash flows used in finance activities</w:t>
            </w:r>
          </w:p>
        </w:tc>
        <w:tc>
          <w:tcPr>
            <w:tcW w:w="913" w:type="pct"/>
            <w:shd w:val="clear" w:color="auto" w:fill="auto"/>
          </w:tcPr>
          <w:p w:rsidR="00D657E7" w:rsidRPr="0012760D" w:rsidRDefault="00D657E7" w:rsidP="00133F16">
            <w:pPr>
              <w:jc w:val="right"/>
              <w:rPr>
                <w:sz w:val="24"/>
                <w:szCs w:val="24"/>
              </w:rPr>
            </w:pPr>
            <w:r w:rsidRPr="0012760D">
              <w:rPr>
                <w:b/>
                <w:bCs/>
                <w:sz w:val="24"/>
                <w:szCs w:val="24"/>
              </w:rPr>
              <w:t>(24,148)</w:t>
            </w:r>
          </w:p>
        </w:tc>
        <w:tc>
          <w:tcPr>
            <w:tcW w:w="916" w:type="pct"/>
            <w:shd w:val="clear" w:color="auto" w:fill="auto"/>
          </w:tcPr>
          <w:p w:rsidR="00D657E7" w:rsidRPr="0012760D" w:rsidRDefault="00D657E7" w:rsidP="00133F16">
            <w:pPr>
              <w:jc w:val="right"/>
              <w:rPr>
                <w:sz w:val="24"/>
                <w:szCs w:val="24"/>
              </w:rPr>
            </w:pPr>
            <w:r w:rsidRPr="0012760D">
              <w:rPr>
                <w:b/>
                <w:bCs/>
                <w:sz w:val="24"/>
                <w:szCs w:val="24"/>
              </w:rPr>
              <w:t>(110,219)</w:t>
            </w:r>
          </w:p>
        </w:tc>
      </w:tr>
      <w:tr w:rsidR="00D657E7" w:rsidRPr="0012760D" w:rsidTr="00407410">
        <w:tblPrEx>
          <w:tblCellMar>
            <w:top w:w="0" w:type="dxa"/>
            <w:bottom w:w="0" w:type="dxa"/>
          </w:tblCellMar>
        </w:tblPrEx>
        <w:tc>
          <w:tcPr>
            <w:tcW w:w="3171" w:type="pct"/>
            <w:gridSpan w:val="2"/>
            <w:shd w:val="clear" w:color="auto" w:fill="auto"/>
          </w:tcPr>
          <w:p w:rsidR="00D657E7" w:rsidRPr="0012760D" w:rsidRDefault="00D657E7" w:rsidP="00133F16">
            <w:pPr>
              <w:rPr>
                <w:sz w:val="24"/>
                <w:szCs w:val="24"/>
              </w:rPr>
            </w:pPr>
            <w:r w:rsidRPr="0012760D">
              <w:rPr>
                <w:sz w:val="24"/>
                <w:szCs w:val="24"/>
              </w:rPr>
              <w:t xml:space="preserve">Net increase in cash </w:t>
            </w:r>
            <w:r w:rsidR="00236A13">
              <w:rPr>
                <w:sz w:val="24"/>
                <w:szCs w:val="24"/>
              </w:rPr>
              <w:t>and</w:t>
            </w:r>
            <w:r w:rsidRPr="0012760D">
              <w:rPr>
                <w:sz w:val="24"/>
                <w:szCs w:val="24"/>
              </w:rPr>
              <w:t xml:space="preserve"> cash equivalents</w:t>
            </w:r>
          </w:p>
        </w:tc>
        <w:tc>
          <w:tcPr>
            <w:tcW w:w="913" w:type="pct"/>
            <w:shd w:val="clear" w:color="auto" w:fill="auto"/>
          </w:tcPr>
          <w:p w:rsidR="00D657E7" w:rsidRPr="0012760D" w:rsidRDefault="00D657E7" w:rsidP="00133F16">
            <w:pPr>
              <w:jc w:val="right"/>
              <w:rPr>
                <w:sz w:val="24"/>
                <w:szCs w:val="24"/>
              </w:rPr>
            </w:pPr>
            <w:r w:rsidRPr="0012760D">
              <w:rPr>
                <w:sz w:val="24"/>
                <w:szCs w:val="24"/>
              </w:rPr>
              <w:t>13,210,967</w:t>
            </w:r>
          </w:p>
        </w:tc>
        <w:tc>
          <w:tcPr>
            <w:tcW w:w="916" w:type="pct"/>
            <w:shd w:val="clear" w:color="auto" w:fill="auto"/>
          </w:tcPr>
          <w:p w:rsidR="00D657E7" w:rsidRPr="0012760D" w:rsidRDefault="00D657E7" w:rsidP="00133F16">
            <w:pPr>
              <w:jc w:val="right"/>
              <w:rPr>
                <w:sz w:val="24"/>
                <w:szCs w:val="24"/>
              </w:rPr>
            </w:pPr>
            <w:r w:rsidRPr="0012760D">
              <w:rPr>
                <w:sz w:val="24"/>
                <w:szCs w:val="24"/>
              </w:rPr>
              <w:t>4,029,822</w:t>
            </w:r>
          </w:p>
        </w:tc>
      </w:tr>
      <w:tr w:rsidR="00D657E7" w:rsidRPr="0012760D" w:rsidTr="00407410">
        <w:tblPrEx>
          <w:tblCellMar>
            <w:top w:w="0" w:type="dxa"/>
            <w:bottom w:w="0" w:type="dxa"/>
          </w:tblCellMar>
        </w:tblPrEx>
        <w:tc>
          <w:tcPr>
            <w:tcW w:w="3171" w:type="pct"/>
            <w:gridSpan w:val="2"/>
            <w:shd w:val="clear" w:color="auto" w:fill="auto"/>
          </w:tcPr>
          <w:p w:rsidR="00D657E7" w:rsidRPr="0012760D" w:rsidRDefault="00D657E7" w:rsidP="00407410">
            <w:pPr>
              <w:rPr>
                <w:sz w:val="24"/>
                <w:szCs w:val="24"/>
              </w:rPr>
            </w:pPr>
            <w:r w:rsidRPr="0012760D">
              <w:rPr>
                <w:sz w:val="24"/>
                <w:szCs w:val="24"/>
              </w:rPr>
              <w:t xml:space="preserve">Cash </w:t>
            </w:r>
            <w:r w:rsidR="00236A13">
              <w:rPr>
                <w:sz w:val="24"/>
                <w:szCs w:val="24"/>
              </w:rPr>
              <w:t>and</w:t>
            </w:r>
            <w:r w:rsidRPr="0012760D">
              <w:rPr>
                <w:sz w:val="24"/>
                <w:szCs w:val="24"/>
              </w:rPr>
              <w:t xml:space="preserve"> cash equi</w:t>
            </w:r>
            <w:r w:rsidR="00407410" w:rsidRPr="0012760D">
              <w:rPr>
                <w:sz w:val="24"/>
                <w:szCs w:val="24"/>
              </w:rPr>
              <w:t xml:space="preserve">valents at the beginning of the </w:t>
            </w:r>
            <w:r w:rsidRPr="0012760D">
              <w:rPr>
                <w:sz w:val="24"/>
                <w:szCs w:val="24"/>
              </w:rPr>
              <w:t>financial year</w:t>
            </w:r>
          </w:p>
        </w:tc>
        <w:tc>
          <w:tcPr>
            <w:tcW w:w="913" w:type="pct"/>
            <w:shd w:val="clear" w:color="auto" w:fill="auto"/>
          </w:tcPr>
          <w:p w:rsidR="00D657E7" w:rsidRPr="0012760D" w:rsidRDefault="00D657E7" w:rsidP="00133F16">
            <w:pPr>
              <w:jc w:val="right"/>
              <w:rPr>
                <w:sz w:val="24"/>
                <w:szCs w:val="24"/>
              </w:rPr>
            </w:pPr>
            <w:r w:rsidRPr="0012760D">
              <w:rPr>
                <w:sz w:val="24"/>
                <w:szCs w:val="24"/>
              </w:rPr>
              <w:t>23,422,200</w:t>
            </w:r>
          </w:p>
        </w:tc>
        <w:tc>
          <w:tcPr>
            <w:tcW w:w="916" w:type="pct"/>
            <w:shd w:val="clear" w:color="auto" w:fill="auto"/>
          </w:tcPr>
          <w:p w:rsidR="00D657E7" w:rsidRPr="0012760D" w:rsidRDefault="00D657E7" w:rsidP="00133F16">
            <w:pPr>
              <w:jc w:val="right"/>
              <w:rPr>
                <w:sz w:val="24"/>
                <w:szCs w:val="24"/>
              </w:rPr>
            </w:pPr>
            <w:r w:rsidRPr="0012760D">
              <w:rPr>
                <w:sz w:val="24"/>
                <w:szCs w:val="24"/>
              </w:rPr>
              <w:t>19,392,378</w:t>
            </w:r>
          </w:p>
        </w:tc>
      </w:tr>
      <w:tr w:rsidR="00D657E7" w:rsidRPr="0012760D" w:rsidTr="00407410">
        <w:tblPrEx>
          <w:tblCellMar>
            <w:top w:w="0" w:type="dxa"/>
            <w:bottom w:w="0" w:type="dxa"/>
          </w:tblCellMar>
        </w:tblPrEx>
        <w:tc>
          <w:tcPr>
            <w:tcW w:w="2652" w:type="pct"/>
            <w:shd w:val="clear" w:color="auto" w:fill="auto"/>
          </w:tcPr>
          <w:p w:rsidR="00D657E7" w:rsidRPr="0012760D" w:rsidRDefault="00D657E7" w:rsidP="00133F16">
            <w:pPr>
              <w:rPr>
                <w:sz w:val="24"/>
                <w:szCs w:val="24"/>
              </w:rPr>
            </w:pPr>
            <w:r w:rsidRPr="0012760D">
              <w:rPr>
                <w:b/>
                <w:bCs/>
                <w:sz w:val="24"/>
                <w:szCs w:val="24"/>
              </w:rPr>
              <w:t xml:space="preserve">Cash </w:t>
            </w:r>
            <w:r w:rsidR="00236A13">
              <w:rPr>
                <w:b/>
                <w:bCs/>
                <w:sz w:val="24"/>
                <w:szCs w:val="24"/>
              </w:rPr>
              <w:t>and</w:t>
            </w:r>
            <w:r w:rsidRPr="0012760D">
              <w:rPr>
                <w:b/>
                <w:bCs/>
                <w:sz w:val="24"/>
                <w:szCs w:val="24"/>
              </w:rPr>
              <w:t xml:space="preserve"> cash equivalents at the end of the financial year</w:t>
            </w:r>
          </w:p>
        </w:tc>
        <w:tc>
          <w:tcPr>
            <w:tcW w:w="519" w:type="pct"/>
            <w:shd w:val="clear" w:color="auto" w:fill="auto"/>
          </w:tcPr>
          <w:p w:rsidR="00D657E7" w:rsidRPr="0012760D" w:rsidRDefault="00D657E7" w:rsidP="00133F16">
            <w:pPr>
              <w:jc w:val="right"/>
              <w:rPr>
                <w:sz w:val="24"/>
                <w:szCs w:val="24"/>
              </w:rPr>
            </w:pPr>
            <w:r w:rsidRPr="0012760D">
              <w:rPr>
                <w:b/>
                <w:bCs/>
                <w:sz w:val="24"/>
                <w:szCs w:val="24"/>
              </w:rPr>
              <w:t>5</w:t>
            </w:r>
          </w:p>
        </w:tc>
        <w:tc>
          <w:tcPr>
            <w:tcW w:w="913" w:type="pct"/>
            <w:shd w:val="clear" w:color="auto" w:fill="auto"/>
          </w:tcPr>
          <w:p w:rsidR="00D657E7" w:rsidRPr="0012760D" w:rsidRDefault="00D657E7" w:rsidP="00133F16">
            <w:pPr>
              <w:jc w:val="right"/>
              <w:rPr>
                <w:sz w:val="24"/>
                <w:szCs w:val="24"/>
              </w:rPr>
            </w:pPr>
            <w:r w:rsidRPr="0012760D">
              <w:rPr>
                <w:b/>
                <w:bCs/>
                <w:sz w:val="24"/>
                <w:szCs w:val="24"/>
              </w:rPr>
              <w:t>36,633,167</w:t>
            </w:r>
          </w:p>
        </w:tc>
        <w:tc>
          <w:tcPr>
            <w:tcW w:w="916" w:type="pct"/>
            <w:shd w:val="clear" w:color="auto" w:fill="auto"/>
          </w:tcPr>
          <w:p w:rsidR="00D657E7" w:rsidRPr="0012760D" w:rsidRDefault="00D657E7" w:rsidP="00133F16">
            <w:pPr>
              <w:jc w:val="right"/>
              <w:rPr>
                <w:sz w:val="24"/>
                <w:szCs w:val="24"/>
              </w:rPr>
            </w:pPr>
            <w:r w:rsidRPr="0012760D">
              <w:rPr>
                <w:b/>
                <w:bCs/>
                <w:sz w:val="24"/>
                <w:szCs w:val="24"/>
              </w:rPr>
              <w:t>23,422,200</w:t>
            </w:r>
          </w:p>
        </w:tc>
      </w:tr>
    </w:tbl>
    <w:p w:rsidR="00D657E7" w:rsidRPr="0012760D" w:rsidRDefault="00D657E7" w:rsidP="00D657E7">
      <w:pPr>
        <w:rPr>
          <w:sz w:val="24"/>
          <w:szCs w:val="24"/>
        </w:rPr>
      </w:pPr>
    </w:p>
    <w:p w:rsidR="00D657E7" w:rsidRPr="0012760D" w:rsidRDefault="00D657E7" w:rsidP="00D657E7">
      <w:pPr>
        <w:rPr>
          <w:sz w:val="24"/>
          <w:szCs w:val="24"/>
        </w:rPr>
      </w:pPr>
      <w:r w:rsidRPr="0012760D">
        <w:rPr>
          <w:sz w:val="24"/>
          <w:szCs w:val="24"/>
        </w:rPr>
        <w:t>The above cash flow statement should be read in conjunction with the notes to the financial statements.</w:t>
      </w:r>
    </w:p>
    <w:p w:rsidR="00D97AFC" w:rsidRDefault="00D97AFC" w:rsidP="00D97AFC">
      <w:pPr>
        <w:rPr>
          <w:bCs/>
          <w:sz w:val="24"/>
          <w:szCs w:val="24"/>
        </w:rPr>
      </w:pPr>
      <w:r w:rsidRPr="0012760D">
        <w:rPr>
          <w:bCs/>
          <w:sz w:val="24"/>
          <w:szCs w:val="24"/>
        </w:rPr>
        <w:t>&lt;pp&gt; 35</w:t>
      </w:r>
    </w:p>
    <w:p w:rsidR="00E750D5" w:rsidRDefault="00E750D5" w:rsidP="00D97AFC">
      <w:pPr>
        <w:rPr>
          <w:bCs/>
          <w:sz w:val="24"/>
          <w:szCs w:val="24"/>
        </w:rPr>
      </w:pPr>
    </w:p>
    <w:p w:rsidR="00E750D5" w:rsidRPr="0012760D" w:rsidRDefault="00E750D5" w:rsidP="00D97AFC">
      <w:pPr>
        <w:rPr>
          <w:sz w:val="24"/>
          <w:szCs w:val="24"/>
        </w:rPr>
      </w:pPr>
    </w:p>
    <w:p w:rsidR="00D97AFC" w:rsidRDefault="00D97AFC" w:rsidP="00E750D5">
      <w:pPr>
        <w:pStyle w:val="Heading1"/>
      </w:pPr>
      <w:r w:rsidRPr="0012760D">
        <w:t>Part 7</w:t>
      </w:r>
      <w:r w:rsidR="00E750D5">
        <w:br/>
      </w:r>
      <w:r w:rsidRPr="0012760D">
        <w:t>Notes to the Financial Statements</w:t>
      </w:r>
    </w:p>
    <w:p w:rsidR="00E750D5" w:rsidRPr="0012760D" w:rsidRDefault="00E750D5" w:rsidP="00D97AFC">
      <w:pPr>
        <w:rPr>
          <w:sz w:val="24"/>
          <w:szCs w:val="24"/>
        </w:rPr>
      </w:pPr>
    </w:p>
    <w:p w:rsidR="00D97AFC" w:rsidRDefault="00D97AFC" w:rsidP="00E750D5">
      <w:pPr>
        <w:pStyle w:val="Heading2"/>
      </w:pPr>
      <w:r w:rsidRPr="0012760D">
        <w:t>Notes to the financial statements for the period ended 30 June 2013</w:t>
      </w:r>
    </w:p>
    <w:p w:rsidR="00E750D5" w:rsidRPr="0012760D" w:rsidRDefault="00E750D5" w:rsidP="00D97AFC">
      <w:pPr>
        <w:rPr>
          <w:sz w:val="24"/>
          <w:szCs w:val="24"/>
        </w:rPr>
      </w:pPr>
    </w:p>
    <w:p w:rsidR="00D97AFC" w:rsidRPr="00E750D5" w:rsidRDefault="00D97AFC" w:rsidP="00D97AFC">
      <w:pPr>
        <w:rPr>
          <w:b/>
          <w:bCs/>
          <w:sz w:val="24"/>
          <w:szCs w:val="24"/>
        </w:rPr>
      </w:pPr>
      <w:r w:rsidRPr="00E750D5">
        <w:rPr>
          <w:b/>
          <w:bCs/>
          <w:sz w:val="24"/>
          <w:szCs w:val="24"/>
        </w:rPr>
        <w:t>Note 1 Summary of Significant Accounting Policies</w:t>
      </w:r>
      <w:r w:rsidR="00E750D5">
        <w:rPr>
          <w:b/>
          <w:bCs/>
          <w:sz w:val="24"/>
          <w:szCs w:val="24"/>
        </w:rPr>
        <w:t>.</w:t>
      </w:r>
    </w:p>
    <w:p w:rsidR="00E750D5" w:rsidRDefault="00E750D5" w:rsidP="00D97AFC">
      <w:pPr>
        <w:rPr>
          <w:sz w:val="24"/>
          <w:szCs w:val="24"/>
        </w:rPr>
      </w:pPr>
    </w:p>
    <w:p w:rsidR="00E750D5" w:rsidRPr="0012760D" w:rsidRDefault="00E750D5" w:rsidP="00D97AFC">
      <w:pPr>
        <w:rPr>
          <w:sz w:val="24"/>
          <w:szCs w:val="24"/>
        </w:rPr>
      </w:pPr>
    </w:p>
    <w:p w:rsidR="00D97AFC" w:rsidRDefault="00D97AFC" w:rsidP="00E750D5">
      <w:pPr>
        <w:pStyle w:val="Heading2"/>
      </w:pPr>
      <w:r w:rsidRPr="0012760D">
        <w:lastRenderedPageBreak/>
        <w:t>1.1 General</w:t>
      </w:r>
    </w:p>
    <w:p w:rsidR="00E750D5" w:rsidRPr="0012760D" w:rsidRDefault="00E750D5" w:rsidP="00D97AFC">
      <w:pPr>
        <w:rPr>
          <w:sz w:val="24"/>
          <w:szCs w:val="24"/>
        </w:rPr>
      </w:pPr>
    </w:p>
    <w:p w:rsidR="00D97AFC" w:rsidRDefault="00D97AFC" w:rsidP="00E750D5">
      <w:pPr>
        <w:pStyle w:val="Heading3"/>
      </w:pPr>
      <w:r w:rsidRPr="0012760D">
        <w:t>Statement of Compliance</w:t>
      </w:r>
    </w:p>
    <w:p w:rsidR="00E750D5" w:rsidRPr="0012760D" w:rsidRDefault="00E750D5" w:rsidP="00D97AFC">
      <w:pPr>
        <w:rPr>
          <w:sz w:val="24"/>
          <w:szCs w:val="24"/>
        </w:rPr>
      </w:pPr>
    </w:p>
    <w:p w:rsidR="00D97AFC" w:rsidRDefault="00D97AFC" w:rsidP="00D97AFC">
      <w:pPr>
        <w:rPr>
          <w:sz w:val="24"/>
          <w:szCs w:val="24"/>
        </w:rPr>
      </w:pPr>
      <w:r w:rsidRPr="0012760D">
        <w:rPr>
          <w:sz w:val="24"/>
          <w:szCs w:val="24"/>
        </w:rPr>
        <w:t xml:space="preserve">These general-purpose financial statements have been prepared on an accrual and going concern basis in Australian dollars, in accordance with the </w:t>
      </w:r>
      <w:r w:rsidRPr="0012760D">
        <w:rPr>
          <w:i/>
          <w:iCs/>
          <w:sz w:val="24"/>
          <w:szCs w:val="24"/>
        </w:rPr>
        <w:t xml:space="preserve">Financial management act 1994 </w:t>
      </w:r>
      <w:r w:rsidRPr="0012760D">
        <w:rPr>
          <w:sz w:val="24"/>
          <w:szCs w:val="24"/>
        </w:rPr>
        <w:t xml:space="preserve">(Vic), applicable Australian accounting standards which include interpretations, issued by the Australian accounting standards Board. in particular, they are presented in a manner consistent with the requirements of the </w:t>
      </w:r>
      <w:r w:rsidRPr="0012760D">
        <w:rPr>
          <w:i/>
          <w:iCs/>
          <w:sz w:val="24"/>
          <w:szCs w:val="24"/>
        </w:rPr>
        <w:t>AASB 1049 Whole of Government and General Government Sector Financial Reporting</w:t>
      </w:r>
      <w:r w:rsidRPr="0012760D">
        <w:rPr>
          <w:sz w:val="24"/>
          <w:szCs w:val="24"/>
        </w:rPr>
        <w:t>.</w:t>
      </w:r>
    </w:p>
    <w:p w:rsidR="00E750D5" w:rsidRDefault="00E750D5" w:rsidP="00D97AFC">
      <w:pPr>
        <w:rPr>
          <w:sz w:val="24"/>
          <w:szCs w:val="24"/>
        </w:rPr>
      </w:pPr>
    </w:p>
    <w:p w:rsidR="00E750D5" w:rsidRPr="0012760D" w:rsidRDefault="00E750D5" w:rsidP="00D97AFC">
      <w:pPr>
        <w:rPr>
          <w:sz w:val="24"/>
          <w:szCs w:val="24"/>
        </w:rPr>
      </w:pPr>
    </w:p>
    <w:p w:rsidR="00D97AFC" w:rsidRDefault="00D97AFC" w:rsidP="00E750D5">
      <w:pPr>
        <w:pStyle w:val="Heading3"/>
      </w:pPr>
      <w:r w:rsidRPr="0012760D">
        <w:t>Basis of Preparation</w:t>
      </w:r>
    </w:p>
    <w:p w:rsidR="00E750D5" w:rsidRPr="0012760D" w:rsidRDefault="00E750D5" w:rsidP="00D97AFC">
      <w:pPr>
        <w:rPr>
          <w:sz w:val="24"/>
          <w:szCs w:val="24"/>
        </w:rPr>
      </w:pPr>
    </w:p>
    <w:p w:rsidR="00D97AFC" w:rsidRDefault="00D97AFC" w:rsidP="00D97AFC">
      <w:pPr>
        <w:rPr>
          <w:sz w:val="24"/>
          <w:szCs w:val="24"/>
        </w:rPr>
      </w:pPr>
      <w:r w:rsidRPr="0012760D">
        <w:rPr>
          <w:sz w:val="24"/>
          <w:szCs w:val="24"/>
        </w:rPr>
        <w:t>The financial report has been prepared on the basis of historical cost. Cost is based on the fair values of the consideration given in exchange for assets.</w:t>
      </w:r>
    </w:p>
    <w:p w:rsidR="00E750D5" w:rsidRDefault="00E750D5" w:rsidP="00D97AFC">
      <w:pPr>
        <w:rPr>
          <w:sz w:val="24"/>
          <w:szCs w:val="24"/>
        </w:rPr>
      </w:pPr>
    </w:p>
    <w:p w:rsidR="00E750D5" w:rsidRPr="0012760D" w:rsidRDefault="00E750D5" w:rsidP="00D97AFC">
      <w:pPr>
        <w:rPr>
          <w:sz w:val="24"/>
          <w:szCs w:val="24"/>
        </w:rPr>
      </w:pPr>
    </w:p>
    <w:p w:rsidR="00D97AFC" w:rsidRDefault="00D97AFC" w:rsidP="00E750D5">
      <w:pPr>
        <w:pStyle w:val="Heading2"/>
      </w:pPr>
      <w:r w:rsidRPr="0012760D">
        <w:t>Scope and Presentation of Financial Statements</w:t>
      </w:r>
    </w:p>
    <w:p w:rsidR="00E750D5" w:rsidRPr="0012760D" w:rsidRDefault="00E750D5" w:rsidP="00D97AFC">
      <w:pPr>
        <w:rPr>
          <w:sz w:val="24"/>
          <w:szCs w:val="24"/>
        </w:rPr>
      </w:pPr>
    </w:p>
    <w:p w:rsidR="00D97AFC" w:rsidRDefault="00D97AFC" w:rsidP="00E750D5">
      <w:pPr>
        <w:pStyle w:val="Heading3"/>
      </w:pPr>
      <w:r w:rsidRPr="0012760D">
        <w:t>Comprehensive Operating Statement</w:t>
      </w:r>
    </w:p>
    <w:p w:rsidR="00E750D5" w:rsidRPr="0012760D" w:rsidRDefault="00E750D5" w:rsidP="00D97AFC">
      <w:pPr>
        <w:rPr>
          <w:sz w:val="24"/>
          <w:szCs w:val="24"/>
        </w:rPr>
      </w:pPr>
    </w:p>
    <w:p w:rsidR="00D97AFC" w:rsidRDefault="00D97AFC" w:rsidP="00D97AFC">
      <w:pPr>
        <w:rPr>
          <w:sz w:val="24"/>
          <w:szCs w:val="24"/>
        </w:rPr>
      </w:pPr>
      <w:r w:rsidRPr="0012760D">
        <w:rPr>
          <w:sz w:val="24"/>
          <w:szCs w:val="24"/>
        </w:rPr>
        <w:t xml:space="preserve">Income and expenses in the net result are classified according to whether or not they arise from "transactions" or "other economic flows". This classification is consistent with the whole of government reporting format and is allowed under </w:t>
      </w:r>
      <w:r w:rsidRPr="0012760D">
        <w:rPr>
          <w:i/>
          <w:iCs/>
          <w:sz w:val="24"/>
          <w:szCs w:val="24"/>
        </w:rPr>
        <w:t>AASB 101 presentation of Financial statements</w:t>
      </w:r>
      <w:r w:rsidRPr="0012760D">
        <w:rPr>
          <w:sz w:val="24"/>
          <w:szCs w:val="24"/>
        </w:rPr>
        <w:t>.</w:t>
      </w:r>
    </w:p>
    <w:p w:rsidR="00E750D5" w:rsidRPr="0012760D" w:rsidRDefault="00E750D5" w:rsidP="00D97AFC">
      <w:pPr>
        <w:rPr>
          <w:sz w:val="24"/>
          <w:szCs w:val="24"/>
        </w:rPr>
      </w:pPr>
    </w:p>
    <w:p w:rsidR="00D97AFC" w:rsidRDefault="00D97AFC" w:rsidP="00D97AFC">
      <w:pPr>
        <w:rPr>
          <w:i/>
          <w:iCs/>
          <w:sz w:val="24"/>
          <w:szCs w:val="24"/>
        </w:rPr>
      </w:pPr>
      <w:r w:rsidRPr="0012760D">
        <w:rPr>
          <w:sz w:val="24"/>
          <w:szCs w:val="24"/>
        </w:rPr>
        <w:t>"</w:t>
      </w:r>
      <w:r w:rsidRPr="0012760D">
        <w:rPr>
          <w:i/>
          <w:iCs/>
          <w:sz w:val="24"/>
          <w:szCs w:val="24"/>
        </w:rPr>
        <w:t>Transactions" and "other economic flows" are defined by the Australian System of Government Finance Statistics: Concepts, Sources and Methods 2005 and Amendments to Australian System of Government Finance Statistics, 2005 (</w:t>
      </w:r>
      <w:r w:rsidR="00B66707">
        <w:rPr>
          <w:i/>
          <w:iCs/>
          <w:sz w:val="24"/>
          <w:szCs w:val="24"/>
        </w:rPr>
        <w:t>A B S</w:t>
      </w:r>
      <w:r w:rsidRPr="0012760D">
        <w:rPr>
          <w:i/>
          <w:iCs/>
          <w:sz w:val="24"/>
          <w:szCs w:val="24"/>
        </w:rPr>
        <w:t xml:space="preserve"> Catalogue Number 5514.0).</w:t>
      </w:r>
    </w:p>
    <w:p w:rsidR="00E750D5" w:rsidRDefault="00E750D5" w:rsidP="00D97AFC">
      <w:pPr>
        <w:rPr>
          <w:i/>
          <w:iCs/>
          <w:sz w:val="24"/>
          <w:szCs w:val="24"/>
        </w:rPr>
      </w:pPr>
    </w:p>
    <w:p w:rsidR="00E750D5" w:rsidRPr="0012760D" w:rsidRDefault="00E750D5" w:rsidP="00D97AFC">
      <w:pPr>
        <w:rPr>
          <w:sz w:val="24"/>
          <w:szCs w:val="24"/>
        </w:rPr>
      </w:pPr>
    </w:p>
    <w:p w:rsidR="00D97AFC" w:rsidRDefault="00D97AFC" w:rsidP="00E750D5">
      <w:pPr>
        <w:pStyle w:val="Heading3"/>
      </w:pPr>
      <w:r w:rsidRPr="0012760D">
        <w:t>Balance Sheet</w:t>
      </w:r>
    </w:p>
    <w:p w:rsidR="00E750D5" w:rsidRPr="0012760D" w:rsidRDefault="00E750D5" w:rsidP="00D97AFC">
      <w:pPr>
        <w:rPr>
          <w:sz w:val="24"/>
          <w:szCs w:val="24"/>
        </w:rPr>
      </w:pPr>
    </w:p>
    <w:p w:rsidR="00D97AFC" w:rsidRDefault="00D97AFC" w:rsidP="00D97AFC">
      <w:pPr>
        <w:rPr>
          <w:sz w:val="24"/>
          <w:szCs w:val="24"/>
        </w:rPr>
      </w:pPr>
      <w:r w:rsidRPr="0012760D">
        <w:rPr>
          <w:sz w:val="24"/>
          <w:szCs w:val="24"/>
        </w:rPr>
        <w:t>Assets and liabilities are presented in liquidity order with assets aggregated into financial assets and non-financial assets.</w:t>
      </w:r>
    </w:p>
    <w:p w:rsidR="00E750D5" w:rsidRPr="0012760D" w:rsidRDefault="00E750D5" w:rsidP="00D97AFC">
      <w:pPr>
        <w:rPr>
          <w:sz w:val="24"/>
          <w:szCs w:val="24"/>
        </w:rPr>
      </w:pPr>
    </w:p>
    <w:p w:rsidR="00D97AFC" w:rsidRDefault="00D97AFC" w:rsidP="00D97AFC">
      <w:pPr>
        <w:rPr>
          <w:sz w:val="24"/>
          <w:szCs w:val="24"/>
        </w:rPr>
      </w:pPr>
      <w:r w:rsidRPr="0012760D">
        <w:rPr>
          <w:sz w:val="24"/>
          <w:szCs w:val="24"/>
        </w:rPr>
        <w:t>Current and non-current assets and liabilities (those expected to be recovered or settled beyond 12 months) are disclosed in the notes, where relevant.</w:t>
      </w:r>
    </w:p>
    <w:p w:rsidR="00E750D5" w:rsidRDefault="00E750D5" w:rsidP="00D97AFC">
      <w:pPr>
        <w:rPr>
          <w:sz w:val="24"/>
          <w:szCs w:val="24"/>
        </w:rPr>
      </w:pPr>
    </w:p>
    <w:p w:rsidR="00E750D5" w:rsidRPr="0012760D" w:rsidRDefault="00E750D5" w:rsidP="00D97AFC">
      <w:pPr>
        <w:rPr>
          <w:sz w:val="24"/>
          <w:szCs w:val="24"/>
        </w:rPr>
      </w:pPr>
    </w:p>
    <w:p w:rsidR="00D97AFC" w:rsidRDefault="00D97AFC" w:rsidP="00E750D5">
      <w:pPr>
        <w:pStyle w:val="Heading3"/>
      </w:pPr>
      <w:r w:rsidRPr="0012760D">
        <w:t>Cash Flow Statement</w:t>
      </w:r>
    </w:p>
    <w:p w:rsidR="00E750D5" w:rsidRPr="0012760D" w:rsidRDefault="00E750D5" w:rsidP="00D97AFC">
      <w:pPr>
        <w:rPr>
          <w:sz w:val="24"/>
          <w:szCs w:val="24"/>
        </w:rPr>
      </w:pPr>
    </w:p>
    <w:p w:rsidR="00D97AFC" w:rsidRDefault="00D97AFC" w:rsidP="00D97AFC">
      <w:pPr>
        <w:rPr>
          <w:sz w:val="24"/>
          <w:szCs w:val="24"/>
        </w:rPr>
      </w:pPr>
      <w:r w:rsidRPr="0012760D">
        <w:rPr>
          <w:sz w:val="24"/>
          <w:szCs w:val="24"/>
        </w:rPr>
        <w:t>Cash flows are classified according to whether or not they arise from operating activities, investing activities, or financing activities. This classification is consistent with requirements under AASB 107 Statement of Cash Flows.</w:t>
      </w:r>
    </w:p>
    <w:p w:rsidR="00E750D5" w:rsidRDefault="00E750D5" w:rsidP="00D97AFC">
      <w:pPr>
        <w:rPr>
          <w:sz w:val="24"/>
          <w:szCs w:val="24"/>
        </w:rPr>
      </w:pPr>
    </w:p>
    <w:p w:rsidR="00E750D5" w:rsidRPr="0012760D" w:rsidRDefault="00E750D5" w:rsidP="00D97AFC">
      <w:pPr>
        <w:rPr>
          <w:sz w:val="24"/>
          <w:szCs w:val="24"/>
        </w:rPr>
      </w:pPr>
    </w:p>
    <w:p w:rsidR="00D97AFC" w:rsidRDefault="00D97AFC" w:rsidP="00E750D5">
      <w:pPr>
        <w:pStyle w:val="Heading3"/>
      </w:pPr>
      <w:r w:rsidRPr="0012760D">
        <w:lastRenderedPageBreak/>
        <w:t>Statement of Changes in Equity</w:t>
      </w:r>
    </w:p>
    <w:p w:rsidR="00E750D5" w:rsidRPr="0012760D" w:rsidRDefault="00E750D5" w:rsidP="00D97AFC">
      <w:pPr>
        <w:rPr>
          <w:sz w:val="24"/>
          <w:szCs w:val="24"/>
        </w:rPr>
      </w:pPr>
    </w:p>
    <w:p w:rsidR="00D97AFC" w:rsidRDefault="00D97AFC" w:rsidP="00D97AFC">
      <w:pPr>
        <w:rPr>
          <w:sz w:val="24"/>
          <w:szCs w:val="24"/>
        </w:rPr>
      </w:pPr>
      <w:r w:rsidRPr="0012760D">
        <w:rPr>
          <w:sz w:val="24"/>
          <w:szCs w:val="24"/>
        </w:rPr>
        <w:t>The statement of changes in equity presents reconciliations of each non-owner and owner equity opening balance at the beginning of the reporting period to the closing balance at the end of the reporting period. it also shows separately changes due to amounts recognised in the comprehensive result and amounts recognised in other comprehensive income related to other non-owner changes in equity.</w:t>
      </w:r>
    </w:p>
    <w:p w:rsidR="00E750D5" w:rsidRDefault="00E750D5" w:rsidP="00D97AFC">
      <w:pPr>
        <w:rPr>
          <w:sz w:val="24"/>
          <w:szCs w:val="24"/>
        </w:rPr>
      </w:pPr>
    </w:p>
    <w:p w:rsidR="00E750D5" w:rsidRPr="0012760D" w:rsidRDefault="00E750D5" w:rsidP="00D97AFC">
      <w:pPr>
        <w:rPr>
          <w:sz w:val="24"/>
          <w:szCs w:val="24"/>
        </w:rPr>
      </w:pPr>
    </w:p>
    <w:p w:rsidR="00D97AFC" w:rsidRDefault="00D97AFC" w:rsidP="00E750D5">
      <w:pPr>
        <w:pStyle w:val="Heading3"/>
      </w:pPr>
      <w:r w:rsidRPr="0012760D">
        <w:t>Comparative Amounts</w:t>
      </w:r>
    </w:p>
    <w:p w:rsidR="00E750D5" w:rsidRPr="0012760D" w:rsidRDefault="00E750D5" w:rsidP="00D97AFC">
      <w:pPr>
        <w:rPr>
          <w:sz w:val="24"/>
          <w:szCs w:val="24"/>
        </w:rPr>
      </w:pPr>
    </w:p>
    <w:p w:rsidR="00D97AFC" w:rsidRDefault="00D97AFC" w:rsidP="00D97AFC">
      <w:pPr>
        <w:rPr>
          <w:sz w:val="24"/>
          <w:szCs w:val="24"/>
        </w:rPr>
      </w:pPr>
      <w:r w:rsidRPr="0012760D">
        <w:rPr>
          <w:sz w:val="24"/>
          <w:szCs w:val="24"/>
        </w:rPr>
        <w:t>The accounting policies set out below have been applied in a manner which ensures that the resulting financial information satisfies the concepts of relevance and reliability, thereby ensuring that the substance of the underlying transactions or other events is recorded.</w:t>
      </w:r>
    </w:p>
    <w:p w:rsidR="00E750D5" w:rsidRPr="0012760D" w:rsidRDefault="00E750D5" w:rsidP="00D97AFC">
      <w:pPr>
        <w:rPr>
          <w:sz w:val="24"/>
          <w:szCs w:val="24"/>
        </w:rPr>
      </w:pPr>
    </w:p>
    <w:p w:rsidR="00D97AFC" w:rsidRDefault="00D97AFC" w:rsidP="00D97AFC">
      <w:pPr>
        <w:rPr>
          <w:sz w:val="24"/>
          <w:szCs w:val="24"/>
        </w:rPr>
      </w:pPr>
      <w:r w:rsidRPr="0012760D">
        <w:rPr>
          <w:sz w:val="24"/>
          <w:szCs w:val="24"/>
        </w:rPr>
        <w:t>The accounting policies set out below have been applied in preparing the financial statements for the year ended 30 June 2013 and the comparative information presented for the year ended 30 June 2012. The 2012 comparative program expenses disclosed in note 4a have been re-classified to align to the 2013 organisational structure.</w:t>
      </w:r>
    </w:p>
    <w:p w:rsidR="00E750D5" w:rsidRDefault="00E750D5" w:rsidP="00D97AFC">
      <w:pPr>
        <w:rPr>
          <w:sz w:val="24"/>
          <w:szCs w:val="24"/>
        </w:rPr>
      </w:pPr>
    </w:p>
    <w:p w:rsidR="00E750D5" w:rsidRPr="0012760D" w:rsidRDefault="00E750D5" w:rsidP="00D97AFC">
      <w:pPr>
        <w:rPr>
          <w:sz w:val="24"/>
          <w:szCs w:val="24"/>
        </w:rPr>
      </w:pPr>
    </w:p>
    <w:p w:rsidR="00D97AFC" w:rsidRDefault="00D97AFC" w:rsidP="00E750D5">
      <w:pPr>
        <w:pStyle w:val="Heading3"/>
      </w:pPr>
      <w:r w:rsidRPr="0012760D">
        <w:t>Accounting estimates</w:t>
      </w:r>
    </w:p>
    <w:p w:rsidR="00E750D5" w:rsidRPr="0012760D" w:rsidRDefault="00E750D5" w:rsidP="00D97AFC">
      <w:pPr>
        <w:rPr>
          <w:sz w:val="24"/>
          <w:szCs w:val="24"/>
        </w:rPr>
      </w:pPr>
    </w:p>
    <w:p w:rsidR="00D97AFC" w:rsidRDefault="00D97AFC" w:rsidP="00D97AFC">
      <w:pPr>
        <w:rPr>
          <w:sz w:val="24"/>
          <w:szCs w:val="24"/>
        </w:rPr>
      </w:pPr>
      <w:r w:rsidRPr="0012760D">
        <w:rPr>
          <w:sz w:val="24"/>
          <w:szCs w:val="24"/>
        </w:rPr>
        <w:t>In the application of AASs, management is required to make judgements, estimates and assumptions about the carrying values of assets and liabilities that are not readily apparent from other sources. the estimates and associated assumptions are based on professional judgements derived from historical experience and various other factors that are believed to be reasonable under the circumstances. actual results may differ from these estimates.</w:t>
      </w:r>
    </w:p>
    <w:p w:rsidR="00AF2D9F" w:rsidRPr="0012760D" w:rsidRDefault="00AF2D9F" w:rsidP="00D97AFC">
      <w:pPr>
        <w:rPr>
          <w:sz w:val="24"/>
          <w:szCs w:val="24"/>
        </w:rPr>
      </w:pPr>
    </w:p>
    <w:p w:rsidR="00D97AFC" w:rsidRDefault="00D97AFC" w:rsidP="00D97AFC">
      <w:pPr>
        <w:rPr>
          <w:sz w:val="24"/>
          <w:szCs w:val="24"/>
        </w:rPr>
      </w:pPr>
      <w:r w:rsidRPr="0012760D">
        <w:rPr>
          <w:sz w:val="24"/>
          <w:szCs w:val="24"/>
        </w:rPr>
        <w:t>The estimates and underlying assumptions are reviewed on an ongoing basis. revisions to accounting estimates are recognised in the period in which the estimate is revised if the revision affects only that period or in the period of the revision, and future periods if the revision affects both current and future periods.</w:t>
      </w:r>
    </w:p>
    <w:p w:rsidR="00AF2D9F" w:rsidRDefault="00AF2D9F" w:rsidP="00D97AFC">
      <w:pPr>
        <w:rPr>
          <w:sz w:val="24"/>
          <w:szCs w:val="24"/>
        </w:rPr>
      </w:pPr>
    </w:p>
    <w:p w:rsidR="00AF2D9F" w:rsidRPr="0012760D" w:rsidRDefault="00AF2D9F" w:rsidP="00D97AFC">
      <w:pPr>
        <w:rPr>
          <w:sz w:val="24"/>
          <w:szCs w:val="24"/>
        </w:rPr>
      </w:pPr>
    </w:p>
    <w:p w:rsidR="00D97AFC" w:rsidRDefault="00D97AFC" w:rsidP="00AF2D9F">
      <w:pPr>
        <w:pStyle w:val="Heading3"/>
      </w:pPr>
      <w:r w:rsidRPr="0012760D">
        <w:t>Rounding of Amounts</w:t>
      </w:r>
    </w:p>
    <w:p w:rsidR="00AF2D9F" w:rsidRPr="0012760D" w:rsidRDefault="00AF2D9F" w:rsidP="00D97AFC">
      <w:pPr>
        <w:rPr>
          <w:sz w:val="24"/>
          <w:szCs w:val="24"/>
        </w:rPr>
      </w:pPr>
    </w:p>
    <w:p w:rsidR="00D97AFC" w:rsidRDefault="00D97AFC" w:rsidP="00D97AFC">
      <w:pPr>
        <w:rPr>
          <w:sz w:val="24"/>
          <w:szCs w:val="24"/>
        </w:rPr>
      </w:pPr>
      <w:r w:rsidRPr="0012760D">
        <w:rPr>
          <w:sz w:val="24"/>
          <w:szCs w:val="24"/>
        </w:rPr>
        <w:t>Amounts in this financial report are expressed to the nearest dollar.</w:t>
      </w:r>
    </w:p>
    <w:p w:rsidR="00AF2D9F" w:rsidRDefault="00AF2D9F" w:rsidP="00D97AFC">
      <w:pPr>
        <w:rPr>
          <w:sz w:val="24"/>
          <w:szCs w:val="24"/>
        </w:rPr>
      </w:pPr>
    </w:p>
    <w:p w:rsidR="00AF2D9F" w:rsidRPr="0012760D" w:rsidRDefault="00AF2D9F" w:rsidP="00D97AFC">
      <w:pPr>
        <w:rPr>
          <w:sz w:val="24"/>
          <w:szCs w:val="24"/>
        </w:rPr>
      </w:pPr>
    </w:p>
    <w:p w:rsidR="00D97AFC" w:rsidRDefault="00D97AFC" w:rsidP="00AF2D9F">
      <w:pPr>
        <w:pStyle w:val="Heading2"/>
      </w:pPr>
      <w:r w:rsidRPr="0012760D">
        <w:t>1.2 Revenue Recognition</w:t>
      </w:r>
    </w:p>
    <w:p w:rsidR="00AF2D9F" w:rsidRPr="0012760D" w:rsidRDefault="00AF2D9F" w:rsidP="00D97AFC">
      <w:pPr>
        <w:rPr>
          <w:sz w:val="24"/>
          <w:szCs w:val="24"/>
        </w:rPr>
      </w:pPr>
    </w:p>
    <w:p w:rsidR="00D97AFC" w:rsidRPr="0012760D" w:rsidRDefault="00D97AFC" w:rsidP="00D97AFC">
      <w:pPr>
        <w:rPr>
          <w:sz w:val="24"/>
          <w:szCs w:val="24"/>
        </w:rPr>
      </w:pPr>
      <w:r w:rsidRPr="0012760D">
        <w:rPr>
          <w:sz w:val="24"/>
          <w:szCs w:val="24"/>
        </w:rPr>
        <w:t>Government grants and program contributions are recognised as income when sustainability Victoria obtains control over the assets comprising these receipts. Control over granted assets is normally obtained upon their receipt or upon earlier notification that a grant has been secured, and assets are valued at their fair value at the date of transfer.</w:t>
      </w:r>
    </w:p>
    <w:p w:rsidR="00BC0AB9" w:rsidRDefault="00BC0AB9" w:rsidP="00BC0AB9">
      <w:pPr>
        <w:rPr>
          <w:bCs/>
          <w:sz w:val="24"/>
          <w:szCs w:val="24"/>
        </w:rPr>
      </w:pPr>
      <w:r w:rsidRPr="0012760D">
        <w:rPr>
          <w:bCs/>
          <w:sz w:val="24"/>
          <w:szCs w:val="24"/>
        </w:rPr>
        <w:lastRenderedPageBreak/>
        <w:t>&lt;pp&gt; 36</w:t>
      </w:r>
    </w:p>
    <w:p w:rsidR="00AF2D9F" w:rsidRPr="0012760D" w:rsidRDefault="00AF2D9F" w:rsidP="00BC0AB9">
      <w:pPr>
        <w:rPr>
          <w:sz w:val="24"/>
          <w:szCs w:val="24"/>
        </w:rPr>
      </w:pPr>
    </w:p>
    <w:p w:rsidR="00BC0AB9" w:rsidRDefault="00BC0AB9" w:rsidP="00BC0AB9">
      <w:pPr>
        <w:rPr>
          <w:sz w:val="24"/>
          <w:szCs w:val="24"/>
        </w:rPr>
      </w:pPr>
      <w:r w:rsidRPr="0012760D">
        <w:rPr>
          <w:sz w:val="24"/>
          <w:szCs w:val="24"/>
        </w:rPr>
        <w:t xml:space="preserve">Revenue from the landfill levy is accrued as it is earned and brought to account in the period to which it relates, based on actual receipts during the year and the accrual amount defined in the </w:t>
      </w:r>
      <w:r w:rsidRPr="0012760D">
        <w:rPr>
          <w:i/>
          <w:iCs/>
          <w:sz w:val="24"/>
          <w:szCs w:val="24"/>
        </w:rPr>
        <w:t>Environment Protection (Distribution of Landfill Levy) Regulations 2012</w:t>
      </w:r>
      <w:r w:rsidRPr="0012760D">
        <w:rPr>
          <w:sz w:val="24"/>
          <w:szCs w:val="24"/>
        </w:rPr>
        <w:t>.</w:t>
      </w:r>
    </w:p>
    <w:p w:rsidR="00AF2D9F" w:rsidRDefault="00AF2D9F" w:rsidP="00BC0AB9">
      <w:pPr>
        <w:rPr>
          <w:sz w:val="24"/>
          <w:szCs w:val="24"/>
        </w:rPr>
      </w:pPr>
    </w:p>
    <w:p w:rsidR="00AF2D9F" w:rsidRPr="0012760D" w:rsidRDefault="00AF2D9F" w:rsidP="00BC0AB9">
      <w:pPr>
        <w:rPr>
          <w:sz w:val="24"/>
          <w:szCs w:val="24"/>
        </w:rPr>
      </w:pPr>
    </w:p>
    <w:p w:rsidR="00BC0AB9" w:rsidRDefault="00BC0AB9" w:rsidP="00AF2D9F">
      <w:pPr>
        <w:pStyle w:val="Heading2"/>
      </w:pPr>
      <w:r w:rsidRPr="0012760D">
        <w:t>1.3 Income Tax</w:t>
      </w:r>
    </w:p>
    <w:p w:rsidR="00AF2D9F" w:rsidRPr="0012760D" w:rsidRDefault="00AF2D9F" w:rsidP="00BC0AB9">
      <w:pPr>
        <w:rPr>
          <w:sz w:val="24"/>
          <w:szCs w:val="24"/>
        </w:rPr>
      </w:pPr>
    </w:p>
    <w:p w:rsidR="00BC0AB9" w:rsidRDefault="00BC0AB9" w:rsidP="00BC0AB9">
      <w:pPr>
        <w:rPr>
          <w:sz w:val="24"/>
          <w:szCs w:val="24"/>
        </w:rPr>
      </w:pPr>
      <w:r w:rsidRPr="0012760D">
        <w:rPr>
          <w:sz w:val="24"/>
          <w:szCs w:val="24"/>
        </w:rPr>
        <w:t xml:space="preserve">Sustainability Victoria and its predecessor bodies are income tax exempt as per Section 23(d) of the </w:t>
      </w:r>
      <w:r w:rsidRPr="0012760D">
        <w:rPr>
          <w:i/>
          <w:iCs/>
          <w:sz w:val="24"/>
          <w:szCs w:val="24"/>
        </w:rPr>
        <w:t xml:space="preserve">Income Tax Assessment Act 1936 </w:t>
      </w:r>
      <w:r w:rsidRPr="0012760D">
        <w:rPr>
          <w:sz w:val="24"/>
          <w:szCs w:val="24"/>
        </w:rPr>
        <w:t>(Cth).</w:t>
      </w:r>
    </w:p>
    <w:p w:rsidR="00AF2D9F" w:rsidRDefault="00AF2D9F" w:rsidP="00BC0AB9">
      <w:pPr>
        <w:rPr>
          <w:sz w:val="24"/>
          <w:szCs w:val="24"/>
        </w:rPr>
      </w:pPr>
    </w:p>
    <w:p w:rsidR="00AF2D9F" w:rsidRPr="0012760D" w:rsidRDefault="00AF2D9F" w:rsidP="00BC0AB9">
      <w:pPr>
        <w:rPr>
          <w:sz w:val="24"/>
          <w:szCs w:val="24"/>
        </w:rPr>
      </w:pPr>
    </w:p>
    <w:p w:rsidR="00BC0AB9" w:rsidRDefault="00BC0AB9" w:rsidP="00AF2D9F">
      <w:pPr>
        <w:pStyle w:val="Heading2"/>
      </w:pPr>
      <w:r w:rsidRPr="0012760D">
        <w:t>1.4 Goods and Services Tax</w:t>
      </w:r>
    </w:p>
    <w:p w:rsidR="00AF2D9F" w:rsidRPr="0012760D" w:rsidRDefault="00AF2D9F" w:rsidP="00BC0AB9">
      <w:pPr>
        <w:rPr>
          <w:sz w:val="24"/>
          <w:szCs w:val="24"/>
        </w:rPr>
      </w:pPr>
    </w:p>
    <w:p w:rsidR="00BC0AB9" w:rsidRDefault="00BC0AB9" w:rsidP="00BC0AB9">
      <w:pPr>
        <w:rPr>
          <w:sz w:val="24"/>
          <w:szCs w:val="24"/>
        </w:rPr>
      </w:pPr>
      <w:r w:rsidRPr="0012760D">
        <w:rPr>
          <w:sz w:val="24"/>
          <w:szCs w:val="24"/>
        </w:rPr>
        <w:t>Revenues, expenses and assets are recognised net of GST except where the amount of GST incurred is not recoverable from the Australian Taxation Office (</w:t>
      </w:r>
      <w:r w:rsidR="0071725E">
        <w:rPr>
          <w:sz w:val="24"/>
          <w:szCs w:val="24"/>
        </w:rPr>
        <w:t>A T O</w:t>
      </w:r>
      <w:r w:rsidRPr="0012760D">
        <w:rPr>
          <w:sz w:val="24"/>
          <w:szCs w:val="24"/>
        </w:rPr>
        <w:t xml:space="preserve">). In this case it is recognised as part of the cost of acquisition of an asset or part of the expense. Receivables and payables are stated inclusive of GST. The net amount of GST recoverable from, or payable to, the </w:t>
      </w:r>
      <w:r w:rsidR="0071725E">
        <w:rPr>
          <w:sz w:val="24"/>
          <w:szCs w:val="24"/>
        </w:rPr>
        <w:t>A T O</w:t>
      </w:r>
      <w:r w:rsidRPr="0012760D">
        <w:rPr>
          <w:sz w:val="24"/>
          <w:szCs w:val="24"/>
        </w:rPr>
        <w:t xml:space="preserve"> is included as part of receivables or payables in the balance sheet. Cash flows arising from operating activities are presented on a gross basis. The GST component of cash flows arising from investment or financing activities which are recoverable from, or payable to the </w:t>
      </w:r>
      <w:r w:rsidR="0071725E">
        <w:rPr>
          <w:sz w:val="24"/>
          <w:szCs w:val="24"/>
        </w:rPr>
        <w:t>A T O</w:t>
      </w:r>
      <w:r w:rsidRPr="0012760D">
        <w:rPr>
          <w:sz w:val="24"/>
          <w:szCs w:val="24"/>
        </w:rPr>
        <w:t>, are presented as operating cash flow. Commitments are disclosed at their nominal value and inclusive of GST payable.</w:t>
      </w:r>
    </w:p>
    <w:p w:rsidR="00AF2D9F" w:rsidRDefault="00AF2D9F" w:rsidP="00BC0AB9">
      <w:pPr>
        <w:rPr>
          <w:sz w:val="24"/>
          <w:szCs w:val="24"/>
        </w:rPr>
      </w:pPr>
    </w:p>
    <w:p w:rsidR="00AF2D9F" w:rsidRPr="0012760D" w:rsidRDefault="00AF2D9F" w:rsidP="00BC0AB9">
      <w:pPr>
        <w:rPr>
          <w:sz w:val="24"/>
          <w:szCs w:val="24"/>
        </w:rPr>
      </w:pPr>
    </w:p>
    <w:p w:rsidR="00BC0AB9" w:rsidRDefault="00BC0AB9" w:rsidP="00AF2D9F">
      <w:pPr>
        <w:pStyle w:val="Heading2"/>
      </w:pPr>
      <w:r w:rsidRPr="0012760D">
        <w:t>1.5 Program Expenses</w:t>
      </w:r>
    </w:p>
    <w:p w:rsidR="00AF2D9F" w:rsidRPr="0012760D" w:rsidRDefault="00AF2D9F" w:rsidP="00BC0AB9">
      <w:pPr>
        <w:rPr>
          <w:sz w:val="24"/>
          <w:szCs w:val="24"/>
        </w:rPr>
      </w:pPr>
    </w:p>
    <w:p w:rsidR="00BC0AB9" w:rsidRDefault="00BC0AB9" w:rsidP="00BC0AB9">
      <w:pPr>
        <w:rPr>
          <w:sz w:val="24"/>
          <w:szCs w:val="24"/>
        </w:rPr>
      </w:pPr>
      <w:r w:rsidRPr="0012760D">
        <w:rPr>
          <w:sz w:val="24"/>
          <w:szCs w:val="24"/>
        </w:rPr>
        <w:t>Expenditure incurred for each of the various operating areas of Sustainability Victoria has been disclosed in note 4(a), and includes grants, rebates, advertising campaigns and sponsorships. Grants that form part of program expenditure are taken to account on the basis of the percentage of the contract performed as at the reporting date, with the unperformed component of the contract included as part of note 17 of this report.</w:t>
      </w:r>
    </w:p>
    <w:p w:rsidR="00AF2D9F" w:rsidRDefault="00AF2D9F" w:rsidP="00BC0AB9">
      <w:pPr>
        <w:rPr>
          <w:sz w:val="24"/>
          <w:szCs w:val="24"/>
        </w:rPr>
      </w:pPr>
    </w:p>
    <w:p w:rsidR="00AF2D9F" w:rsidRPr="0012760D" w:rsidRDefault="00AF2D9F" w:rsidP="00BC0AB9">
      <w:pPr>
        <w:rPr>
          <w:sz w:val="24"/>
          <w:szCs w:val="24"/>
        </w:rPr>
      </w:pPr>
    </w:p>
    <w:p w:rsidR="00BC0AB9" w:rsidRDefault="00BC0AB9" w:rsidP="00AF2D9F">
      <w:pPr>
        <w:pStyle w:val="Heading2"/>
      </w:pPr>
      <w:r w:rsidRPr="0012760D">
        <w:t>1.6 Other Economic Flows</w:t>
      </w:r>
    </w:p>
    <w:p w:rsidR="00AF2D9F" w:rsidRPr="0012760D" w:rsidRDefault="00AF2D9F" w:rsidP="00BC0AB9">
      <w:pPr>
        <w:rPr>
          <w:sz w:val="24"/>
          <w:szCs w:val="24"/>
        </w:rPr>
      </w:pPr>
    </w:p>
    <w:p w:rsidR="00BC0AB9" w:rsidRDefault="00BC0AB9" w:rsidP="00AF2D9F">
      <w:pPr>
        <w:pStyle w:val="Heading3"/>
      </w:pPr>
      <w:r w:rsidRPr="0012760D">
        <w:t>(a) Gain or (loss) on disposal of non-financial assets</w:t>
      </w:r>
    </w:p>
    <w:p w:rsidR="00AF2D9F" w:rsidRPr="0012760D" w:rsidRDefault="00AF2D9F" w:rsidP="00BC0AB9">
      <w:pPr>
        <w:rPr>
          <w:sz w:val="24"/>
          <w:szCs w:val="24"/>
        </w:rPr>
      </w:pPr>
    </w:p>
    <w:p w:rsidR="00BC0AB9" w:rsidRDefault="00BC0AB9" w:rsidP="00BC0AB9">
      <w:pPr>
        <w:rPr>
          <w:sz w:val="24"/>
          <w:szCs w:val="24"/>
        </w:rPr>
      </w:pPr>
      <w:r w:rsidRPr="0012760D">
        <w:rPr>
          <w:sz w:val="24"/>
          <w:szCs w:val="24"/>
        </w:rPr>
        <w:t>Any gain or loss on the sale of non-financial assets is recognised at the date that control of the asset is passed to the buyer and is determined after deducting from the proceeds the carrying value of the asset at that time.</w:t>
      </w:r>
    </w:p>
    <w:p w:rsidR="00AF2D9F" w:rsidRDefault="00AF2D9F" w:rsidP="00BC0AB9">
      <w:pPr>
        <w:rPr>
          <w:sz w:val="24"/>
          <w:szCs w:val="24"/>
        </w:rPr>
      </w:pPr>
    </w:p>
    <w:p w:rsidR="00AF2D9F" w:rsidRPr="0012760D" w:rsidRDefault="00AF2D9F" w:rsidP="00BC0AB9">
      <w:pPr>
        <w:rPr>
          <w:sz w:val="24"/>
          <w:szCs w:val="24"/>
        </w:rPr>
      </w:pPr>
    </w:p>
    <w:p w:rsidR="00BC0AB9" w:rsidRDefault="00BC0AB9" w:rsidP="00AF2D9F">
      <w:pPr>
        <w:pStyle w:val="Heading3"/>
      </w:pPr>
      <w:r w:rsidRPr="0012760D">
        <w:t>(b) Other gains/(losses) from other economic flows</w:t>
      </w:r>
    </w:p>
    <w:p w:rsidR="00AF2D9F" w:rsidRPr="0012760D" w:rsidRDefault="00AF2D9F" w:rsidP="00BC0AB9">
      <w:pPr>
        <w:rPr>
          <w:sz w:val="24"/>
          <w:szCs w:val="24"/>
        </w:rPr>
      </w:pPr>
    </w:p>
    <w:p w:rsidR="00BC0AB9" w:rsidRDefault="00BC0AB9" w:rsidP="00BC0AB9">
      <w:pPr>
        <w:rPr>
          <w:sz w:val="24"/>
          <w:szCs w:val="24"/>
        </w:rPr>
      </w:pPr>
      <w:r w:rsidRPr="0012760D">
        <w:rPr>
          <w:sz w:val="24"/>
          <w:szCs w:val="24"/>
        </w:rPr>
        <w:t xml:space="preserve">Other gains/(losses) from other economic flows include the gains or losses from the </w:t>
      </w:r>
      <w:r w:rsidRPr="0012760D">
        <w:rPr>
          <w:sz w:val="24"/>
          <w:szCs w:val="24"/>
        </w:rPr>
        <w:lastRenderedPageBreak/>
        <w:t>revaluation of the present value of the long service leave liability due to changes in bond interest rates.</w:t>
      </w:r>
    </w:p>
    <w:p w:rsidR="00AF2D9F" w:rsidRDefault="00AF2D9F" w:rsidP="00BC0AB9">
      <w:pPr>
        <w:rPr>
          <w:sz w:val="24"/>
          <w:szCs w:val="24"/>
        </w:rPr>
      </w:pPr>
    </w:p>
    <w:p w:rsidR="00AF2D9F" w:rsidRPr="0012760D" w:rsidRDefault="00AF2D9F" w:rsidP="00BC0AB9">
      <w:pPr>
        <w:rPr>
          <w:sz w:val="24"/>
          <w:szCs w:val="24"/>
        </w:rPr>
      </w:pPr>
    </w:p>
    <w:p w:rsidR="00BC0AB9" w:rsidRDefault="00BC0AB9" w:rsidP="00AF2D9F">
      <w:pPr>
        <w:pStyle w:val="Heading2"/>
      </w:pPr>
      <w:r w:rsidRPr="0012760D">
        <w:t xml:space="preserve">1.7 Cash </w:t>
      </w:r>
      <w:r w:rsidR="00236A13">
        <w:t>and</w:t>
      </w:r>
      <w:r w:rsidRPr="0012760D">
        <w:t xml:space="preserve"> Cash Equivalents</w:t>
      </w:r>
    </w:p>
    <w:p w:rsidR="00AF2D9F" w:rsidRPr="0012760D" w:rsidRDefault="00AF2D9F" w:rsidP="00BC0AB9">
      <w:pPr>
        <w:rPr>
          <w:sz w:val="24"/>
          <w:szCs w:val="24"/>
        </w:rPr>
      </w:pPr>
    </w:p>
    <w:p w:rsidR="00BC0AB9" w:rsidRDefault="00BC0AB9" w:rsidP="00BC0AB9">
      <w:pPr>
        <w:rPr>
          <w:sz w:val="24"/>
          <w:szCs w:val="24"/>
        </w:rPr>
      </w:pPr>
      <w:r w:rsidRPr="0012760D">
        <w:rPr>
          <w:sz w:val="24"/>
          <w:szCs w:val="24"/>
        </w:rPr>
        <w:t xml:space="preserve">Cash </w:t>
      </w:r>
      <w:r w:rsidR="00236A13">
        <w:rPr>
          <w:sz w:val="24"/>
          <w:szCs w:val="24"/>
        </w:rPr>
        <w:t>and</w:t>
      </w:r>
      <w:r w:rsidRPr="0012760D">
        <w:rPr>
          <w:sz w:val="24"/>
          <w:szCs w:val="24"/>
        </w:rPr>
        <w:t xml:space="preserve"> cash equivalents comprise cash on hand and cash at bank, deposits at call and those highly liquid investments with an original maturity of three months or less, which are held for the purpose of meeting short-term cash commitments rather than for investment purposes, and which are readily convertible to a known amount of cash and are subject to an insignificant risk of changes in value.</w:t>
      </w:r>
    </w:p>
    <w:p w:rsidR="00AF2D9F" w:rsidRDefault="00AF2D9F" w:rsidP="00BC0AB9">
      <w:pPr>
        <w:rPr>
          <w:sz w:val="24"/>
          <w:szCs w:val="24"/>
        </w:rPr>
      </w:pPr>
    </w:p>
    <w:p w:rsidR="00AF2D9F" w:rsidRPr="0012760D" w:rsidRDefault="00AF2D9F" w:rsidP="00BC0AB9">
      <w:pPr>
        <w:rPr>
          <w:sz w:val="24"/>
          <w:szCs w:val="24"/>
        </w:rPr>
      </w:pPr>
    </w:p>
    <w:p w:rsidR="00BC0AB9" w:rsidRDefault="00BC0AB9" w:rsidP="00AF2D9F">
      <w:pPr>
        <w:pStyle w:val="Heading2"/>
      </w:pPr>
      <w:r w:rsidRPr="0012760D">
        <w:t>1.8 Receivables</w:t>
      </w:r>
    </w:p>
    <w:p w:rsidR="00AF2D9F" w:rsidRPr="0012760D" w:rsidRDefault="00AF2D9F" w:rsidP="00BC0AB9">
      <w:pPr>
        <w:rPr>
          <w:sz w:val="24"/>
          <w:szCs w:val="24"/>
        </w:rPr>
      </w:pPr>
    </w:p>
    <w:p w:rsidR="00BC0AB9" w:rsidRDefault="00BC0AB9" w:rsidP="00BC0AB9">
      <w:pPr>
        <w:rPr>
          <w:sz w:val="24"/>
          <w:szCs w:val="24"/>
        </w:rPr>
      </w:pPr>
      <w:r w:rsidRPr="0012760D">
        <w:rPr>
          <w:sz w:val="24"/>
          <w:szCs w:val="24"/>
        </w:rPr>
        <w:t>Receivables consist of contractual receivables, which include mainly debtors in relation to goods and services and accrued investment income and statutory receivables, which include predominately amounts owing from the Victorian Government and GST input tax credits recoverable. receivables that are contractual are classified as financial instruments. statutory receivables are not classified as financial instruments.</w:t>
      </w:r>
    </w:p>
    <w:p w:rsidR="00AF2D9F" w:rsidRDefault="00AF2D9F" w:rsidP="00BC0AB9">
      <w:pPr>
        <w:rPr>
          <w:sz w:val="24"/>
          <w:szCs w:val="24"/>
        </w:rPr>
      </w:pPr>
    </w:p>
    <w:p w:rsidR="00AF2D9F" w:rsidRPr="0012760D" w:rsidRDefault="00AF2D9F" w:rsidP="00BC0AB9">
      <w:pPr>
        <w:rPr>
          <w:sz w:val="24"/>
          <w:szCs w:val="24"/>
        </w:rPr>
      </w:pPr>
    </w:p>
    <w:p w:rsidR="00BC0AB9" w:rsidRDefault="00BC0AB9" w:rsidP="00AF2D9F">
      <w:pPr>
        <w:pStyle w:val="Heading2"/>
      </w:pPr>
      <w:r w:rsidRPr="0012760D">
        <w:t>1.9 Property, Plant and Equipment</w:t>
      </w:r>
    </w:p>
    <w:p w:rsidR="00AF2D9F" w:rsidRPr="0012760D" w:rsidRDefault="00AF2D9F" w:rsidP="00BC0AB9">
      <w:pPr>
        <w:rPr>
          <w:sz w:val="24"/>
          <w:szCs w:val="24"/>
        </w:rPr>
      </w:pPr>
    </w:p>
    <w:p w:rsidR="00BC0AB9" w:rsidRDefault="00BC0AB9" w:rsidP="00BC0AB9">
      <w:pPr>
        <w:rPr>
          <w:sz w:val="24"/>
          <w:szCs w:val="24"/>
        </w:rPr>
      </w:pPr>
      <w:r w:rsidRPr="0012760D">
        <w:rPr>
          <w:sz w:val="24"/>
          <w:szCs w:val="24"/>
        </w:rPr>
        <w:t>Items with a cost or value in excess of $1,000 and a useful life of more than one year are recognised as assets. Property, plant and equipment held by Sustainability Victoria is measured at fair value.</w:t>
      </w:r>
    </w:p>
    <w:p w:rsidR="00AF2D9F" w:rsidRPr="0012760D" w:rsidRDefault="00AF2D9F" w:rsidP="00BC0AB9">
      <w:pPr>
        <w:rPr>
          <w:sz w:val="24"/>
          <w:szCs w:val="24"/>
        </w:rPr>
      </w:pPr>
    </w:p>
    <w:p w:rsidR="00BC0AB9" w:rsidRDefault="00BC0AB9" w:rsidP="00BC0AB9">
      <w:pPr>
        <w:rPr>
          <w:sz w:val="24"/>
          <w:szCs w:val="24"/>
        </w:rPr>
      </w:pPr>
      <w:r w:rsidRPr="0012760D">
        <w:rPr>
          <w:sz w:val="24"/>
          <w:szCs w:val="24"/>
        </w:rPr>
        <w:t>In accordance with applicable Australian Accounting Standards, all assets are assessed annually for useful life and indications of impairment and where an asset's carrying value exceeds its recoverable amount, the difference is written-off by a charge to the comprehensive operating statement.</w:t>
      </w:r>
    </w:p>
    <w:p w:rsidR="00AF2D9F" w:rsidRPr="0012760D" w:rsidRDefault="00AF2D9F" w:rsidP="00BC0AB9">
      <w:pPr>
        <w:rPr>
          <w:sz w:val="24"/>
          <w:szCs w:val="24"/>
        </w:rPr>
      </w:pPr>
    </w:p>
    <w:p w:rsidR="00BC0AB9" w:rsidRDefault="00BC0AB9" w:rsidP="00BC0AB9">
      <w:pPr>
        <w:rPr>
          <w:sz w:val="24"/>
          <w:szCs w:val="24"/>
        </w:rPr>
      </w:pPr>
      <w:r w:rsidRPr="0012760D">
        <w:rPr>
          <w:sz w:val="24"/>
          <w:szCs w:val="24"/>
        </w:rPr>
        <w:t>Depreciation is provided on all non-current assets on a straight-line basis so as to write off the net cost of each asset over its expected useful life in accordance with applicable Australian Accounting Standards. The estimated useful lives and depreciation methods are reviewed at the end of each reporting period. depreciation rates used are listed below.</w:t>
      </w:r>
    </w:p>
    <w:p w:rsidR="00AF2D9F" w:rsidRPr="0012760D" w:rsidRDefault="00AF2D9F" w:rsidP="00BC0AB9">
      <w:pPr>
        <w:rPr>
          <w:sz w:val="24"/>
          <w:szCs w:val="24"/>
        </w:rPr>
      </w:pPr>
    </w:p>
    <w:p w:rsidR="00BC0AB9" w:rsidRPr="0012760D" w:rsidRDefault="00BC0AB9" w:rsidP="00BC0AB9">
      <w:pPr>
        <w:rPr>
          <w:sz w:val="24"/>
          <w:szCs w:val="24"/>
        </w:rPr>
      </w:pPr>
      <w:r w:rsidRPr="0012760D">
        <w:rPr>
          <w:sz w:val="24"/>
          <w:szCs w:val="24"/>
        </w:rPr>
        <w:t>office furniture and equipment: 10% to 20%</w:t>
      </w:r>
    </w:p>
    <w:p w:rsidR="00BC0AB9" w:rsidRPr="0012760D" w:rsidRDefault="00BC0AB9" w:rsidP="00BC0AB9">
      <w:pPr>
        <w:rPr>
          <w:sz w:val="24"/>
          <w:szCs w:val="24"/>
        </w:rPr>
      </w:pPr>
      <w:r w:rsidRPr="0012760D">
        <w:rPr>
          <w:sz w:val="24"/>
          <w:szCs w:val="24"/>
        </w:rPr>
        <w:t>computer equipment: 25% to 33.3%</w:t>
      </w:r>
    </w:p>
    <w:p w:rsidR="00BC0AB9" w:rsidRDefault="00BC0AB9" w:rsidP="00BC0AB9">
      <w:pPr>
        <w:rPr>
          <w:sz w:val="24"/>
          <w:szCs w:val="24"/>
        </w:rPr>
      </w:pPr>
      <w:r w:rsidRPr="0012760D">
        <w:rPr>
          <w:sz w:val="24"/>
          <w:szCs w:val="24"/>
        </w:rPr>
        <w:t>motor vehicles: 20% to 25%</w:t>
      </w:r>
    </w:p>
    <w:p w:rsidR="00AF2D9F" w:rsidRDefault="00AF2D9F" w:rsidP="00BC0AB9">
      <w:pPr>
        <w:rPr>
          <w:sz w:val="24"/>
          <w:szCs w:val="24"/>
        </w:rPr>
      </w:pPr>
    </w:p>
    <w:p w:rsidR="00AF2D9F" w:rsidRPr="0012760D" w:rsidRDefault="00AF2D9F" w:rsidP="00BC0AB9">
      <w:pPr>
        <w:rPr>
          <w:sz w:val="24"/>
          <w:szCs w:val="24"/>
        </w:rPr>
      </w:pPr>
    </w:p>
    <w:p w:rsidR="00BC0AB9" w:rsidRDefault="00BC0AB9" w:rsidP="00AF2D9F">
      <w:pPr>
        <w:pStyle w:val="Heading2"/>
      </w:pPr>
      <w:r w:rsidRPr="0012760D">
        <w:t>1.10 Leased Assets</w:t>
      </w:r>
    </w:p>
    <w:p w:rsidR="00AF2D9F" w:rsidRPr="0012760D" w:rsidRDefault="00AF2D9F" w:rsidP="00BC0AB9">
      <w:pPr>
        <w:rPr>
          <w:sz w:val="24"/>
          <w:szCs w:val="24"/>
        </w:rPr>
      </w:pPr>
    </w:p>
    <w:p w:rsidR="00BC0AB9" w:rsidRDefault="00BC0AB9" w:rsidP="00AF2D9F">
      <w:pPr>
        <w:pStyle w:val="Heading3"/>
      </w:pPr>
      <w:r w:rsidRPr="0012760D">
        <w:t>Finance leases</w:t>
      </w:r>
    </w:p>
    <w:p w:rsidR="00AF2D9F" w:rsidRPr="0012760D" w:rsidRDefault="00AF2D9F" w:rsidP="00BC0AB9">
      <w:pPr>
        <w:rPr>
          <w:sz w:val="24"/>
          <w:szCs w:val="24"/>
        </w:rPr>
      </w:pPr>
    </w:p>
    <w:p w:rsidR="00BC0AB9" w:rsidRPr="0012760D" w:rsidRDefault="00BC0AB9" w:rsidP="00BC0AB9">
      <w:pPr>
        <w:rPr>
          <w:sz w:val="24"/>
          <w:szCs w:val="24"/>
        </w:rPr>
      </w:pPr>
      <w:r w:rsidRPr="0012760D">
        <w:rPr>
          <w:sz w:val="24"/>
          <w:szCs w:val="24"/>
        </w:rPr>
        <w:t xml:space="preserve">Leases of property, plant and equipment where Sustainability Victoria has </w:t>
      </w:r>
      <w:r w:rsidRPr="0012760D">
        <w:rPr>
          <w:sz w:val="24"/>
          <w:szCs w:val="24"/>
        </w:rPr>
        <w:lastRenderedPageBreak/>
        <w:t>substantially all the risks and rewards incidental to ownership are classified as finance leases. Finance leases are capitalised at the lease's inception at the lower of the fair value of the leased property and the present value of the minimum lease payments. The corresponding rental obligations, net of finance</w:t>
      </w:r>
    </w:p>
    <w:p w:rsidR="00DB3AF8" w:rsidRPr="0012760D" w:rsidRDefault="00DB3AF8" w:rsidP="00DB3AF8">
      <w:pPr>
        <w:rPr>
          <w:sz w:val="24"/>
          <w:szCs w:val="24"/>
        </w:rPr>
      </w:pPr>
      <w:r w:rsidRPr="0012760D">
        <w:rPr>
          <w:bCs/>
          <w:sz w:val="24"/>
          <w:szCs w:val="24"/>
        </w:rPr>
        <w:t>&lt;pp&gt; 37</w:t>
      </w:r>
    </w:p>
    <w:p w:rsidR="00DB3AF8" w:rsidRDefault="00DB3AF8" w:rsidP="00DB3AF8">
      <w:pPr>
        <w:rPr>
          <w:sz w:val="24"/>
          <w:szCs w:val="24"/>
        </w:rPr>
      </w:pPr>
      <w:r w:rsidRPr="0012760D">
        <w:rPr>
          <w:sz w:val="24"/>
          <w:szCs w:val="24"/>
        </w:rPr>
        <w:t>charges, are included in interest-bearing liabilities. Each lease payment is allocated between the liability and finance charges so as to achieve a constant rate on the finance balance outstanding. The interest element of the finance cost is charged to the operating statement over the lease period so as to produce a constant periodic rate of interest on the remaining balance of the liability for each period. the property, plant and equipment acquired under a finance lease are depreciated over the shorter of the asset</w:t>
      </w:r>
      <w:r w:rsidR="00907E0B" w:rsidRPr="0012760D">
        <w:rPr>
          <w:sz w:val="24"/>
          <w:szCs w:val="24"/>
        </w:rPr>
        <w:t>'</w:t>
      </w:r>
      <w:r w:rsidRPr="0012760D">
        <w:rPr>
          <w:sz w:val="24"/>
          <w:szCs w:val="24"/>
        </w:rPr>
        <w:t>s useful life and the lease term.</w:t>
      </w:r>
    </w:p>
    <w:p w:rsidR="00AF2D9F" w:rsidRDefault="00AF2D9F" w:rsidP="00DB3AF8">
      <w:pPr>
        <w:rPr>
          <w:sz w:val="24"/>
          <w:szCs w:val="24"/>
        </w:rPr>
      </w:pPr>
    </w:p>
    <w:p w:rsidR="00AF2D9F" w:rsidRPr="0012760D" w:rsidRDefault="00AF2D9F" w:rsidP="00DB3AF8">
      <w:pPr>
        <w:rPr>
          <w:sz w:val="24"/>
          <w:szCs w:val="24"/>
        </w:rPr>
      </w:pPr>
    </w:p>
    <w:p w:rsidR="00DB3AF8" w:rsidRDefault="00DB3AF8" w:rsidP="00AF2D9F">
      <w:pPr>
        <w:pStyle w:val="Heading3"/>
      </w:pPr>
      <w:r w:rsidRPr="0012760D">
        <w:t>Operating leases</w:t>
      </w:r>
    </w:p>
    <w:p w:rsidR="00AF2D9F" w:rsidRPr="0012760D" w:rsidRDefault="00AF2D9F" w:rsidP="00DB3AF8">
      <w:pPr>
        <w:rPr>
          <w:sz w:val="24"/>
          <w:szCs w:val="24"/>
        </w:rPr>
      </w:pPr>
    </w:p>
    <w:p w:rsidR="00DB3AF8" w:rsidRDefault="00DB3AF8" w:rsidP="00DB3AF8">
      <w:pPr>
        <w:rPr>
          <w:sz w:val="24"/>
          <w:szCs w:val="24"/>
        </w:rPr>
      </w:pPr>
      <w:r w:rsidRPr="0012760D">
        <w:rPr>
          <w:sz w:val="24"/>
          <w:szCs w:val="24"/>
        </w:rPr>
        <w:t>Leases in which a significant portion of the risks and rewards of ownership are retained by the lessor are classified as operating leases. Payments made under operating leases (net of any incentives received from the lessor) are charged to the operating statement on a straight-line basis over the period of the lease, in the periods in which they are incurred, as this represents the pattern of benefits derived from the leased assets.</w:t>
      </w:r>
    </w:p>
    <w:p w:rsidR="00AF2D9F" w:rsidRDefault="00AF2D9F" w:rsidP="00DB3AF8">
      <w:pPr>
        <w:rPr>
          <w:sz w:val="24"/>
          <w:szCs w:val="24"/>
        </w:rPr>
      </w:pPr>
    </w:p>
    <w:p w:rsidR="00AF2D9F" w:rsidRPr="0012760D" w:rsidRDefault="00AF2D9F" w:rsidP="00DB3AF8">
      <w:pPr>
        <w:rPr>
          <w:sz w:val="24"/>
          <w:szCs w:val="24"/>
        </w:rPr>
      </w:pPr>
    </w:p>
    <w:p w:rsidR="00DB3AF8" w:rsidRDefault="00DB3AF8" w:rsidP="00AF2D9F">
      <w:pPr>
        <w:pStyle w:val="Heading2"/>
      </w:pPr>
      <w:r w:rsidRPr="0012760D">
        <w:t>1.11 Intangible Asset</w:t>
      </w:r>
    </w:p>
    <w:p w:rsidR="00AF2D9F" w:rsidRPr="0012760D" w:rsidRDefault="00AF2D9F" w:rsidP="00DB3AF8">
      <w:pPr>
        <w:rPr>
          <w:sz w:val="24"/>
          <w:szCs w:val="24"/>
        </w:rPr>
      </w:pPr>
    </w:p>
    <w:p w:rsidR="00DB3AF8" w:rsidRDefault="00DB3AF8" w:rsidP="00DB3AF8">
      <w:pPr>
        <w:rPr>
          <w:sz w:val="24"/>
          <w:szCs w:val="24"/>
        </w:rPr>
      </w:pPr>
      <w:r w:rsidRPr="0012760D">
        <w:rPr>
          <w:sz w:val="24"/>
          <w:szCs w:val="24"/>
        </w:rPr>
        <w:t>Intangible assets represent identifiable non-monetary assets without physical substance. Intangible assets are initially recognised at fair value. Cost incurred subsequent to initial acquisition is capitalised when it is expected that additional future economic benefits will flow to Sustainability Victoria.</w:t>
      </w:r>
    </w:p>
    <w:p w:rsidR="00AF2D9F" w:rsidRPr="0012760D" w:rsidRDefault="00AF2D9F" w:rsidP="00DB3AF8">
      <w:pPr>
        <w:rPr>
          <w:sz w:val="24"/>
          <w:szCs w:val="24"/>
        </w:rPr>
      </w:pPr>
    </w:p>
    <w:p w:rsidR="00DB3AF8" w:rsidRDefault="00DB3AF8" w:rsidP="00DB3AF8">
      <w:pPr>
        <w:rPr>
          <w:sz w:val="24"/>
          <w:szCs w:val="24"/>
        </w:rPr>
      </w:pPr>
      <w:r w:rsidRPr="0012760D">
        <w:rPr>
          <w:sz w:val="24"/>
          <w:szCs w:val="24"/>
        </w:rPr>
        <w:t>Intangible assets with indefinite useful lives are not amortised. The useful life of intangible assets that are not being amortised is reviewed each period, to determine whether events and circumstances continue to support an indefinite useful life assessment for that asset. In addition, sustainability Victoria tests all intangible assets with indefinite useful lives for impairment by comparing their recoverable amount with their carrying amount annually, and whenever there is an indication that the asset may be impaired, the excess of the carrying amount over the recoverable amount is recognised as an impairment loss.</w:t>
      </w:r>
    </w:p>
    <w:p w:rsidR="00AF2D9F" w:rsidRDefault="00AF2D9F" w:rsidP="00DB3AF8">
      <w:pPr>
        <w:rPr>
          <w:sz w:val="24"/>
          <w:szCs w:val="24"/>
        </w:rPr>
      </w:pPr>
    </w:p>
    <w:p w:rsidR="00AF2D9F" w:rsidRPr="0012760D" w:rsidRDefault="00AF2D9F" w:rsidP="00DB3AF8">
      <w:pPr>
        <w:rPr>
          <w:sz w:val="24"/>
          <w:szCs w:val="24"/>
        </w:rPr>
      </w:pPr>
    </w:p>
    <w:p w:rsidR="00DB3AF8" w:rsidRDefault="00DB3AF8" w:rsidP="00AF2D9F">
      <w:pPr>
        <w:pStyle w:val="Heading2"/>
      </w:pPr>
      <w:r w:rsidRPr="0012760D">
        <w:t>1.12 Non-Financial Asset Classified As Held For Sale</w:t>
      </w:r>
    </w:p>
    <w:p w:rsidR="00AF2D9F" w:rsidRPr="0012760D" w:rsidRDefault="00AF2D9F" w:rsidP="00DB3AF8">
      <w:pPr>
        <w:rPr>
          <w:sz w:val="24"/>
          <w:szCs w:val="24"/>
        </w:rPr>
      </w:pPr>
    </w:p>
    <w:p w:rsidR="00DB3AF8" w:rsidRDefault="00DB3AF8" w:rsidP="00DB3AF8">
      <w:pPr>
        <w:rPr>
          <w:sz w:val="24"/>
          <w:szCs w:val="24"/>
        </w:rPr>
      </w:pPr>
      <w:r w:rsidRPr="0012760D">
        <w:rPr>
          <w:sz w:val="24"/>
          <w:szCs w:val="24"/>
        </w:rPr>
        <w:t>Non-financial assets classified as held-for-sale are measured at the lower of carrying amount and fair value, and are not subject to depreciation.</w:t>
      </w:r>
    </w:p>
    <w:p w:rsidR="00AF2D9F" w:rsidRPr="0012760D" w:rsidRDefault="00AF2D9F" w:rsidP="00DB3AF8">
      <w:pPr>
        <w:rPr>
          <w:sz w:val="24"/>
          <w:szCs w:val="24"/>
        </w:rPr>
      </w:pPr>
    </w:p>
    <w:p w:rsidR="00DB3AF8" w:rsidRDefault="00DB3AF8" w:rsidP="00DB3AF8">
      <w:pPr>
        <w:rPr>
          <w:sz w:val="24"/>
          <w:szCs w:val="24"/>
        </w:rPr>
      </w:pPr>
      <w:r w:rsidRPr="0012760D">
        <w:rPr>
          <w:sz w:val="24"/>
          <w:szCs w:val="24"/>
        </w:rPr>
        <w:t>Non-financial assets, disposal groups, and related liabilities are treated as current and classified as held-for-sale if their carrying amount will be recovered through a sale transaction rather than through continuing use. This condition is regarded as met only when the sale is highly probable and the asset</w:t>
      </w:r>
      <w:r w:rsidR="00907E0B" w:rsidRPr="0012760D">
        <w:rPr>
          <w:sz w:val="24"/>
          <w:szCs w:val="24"/>
        </w:rPr>
        <w:t>'</w:t>
      </w:r>
      <w:r w:rsidRPr="0012760D">
        <w:rPr>
          <w:sz w:val="24"/>
          <w:szCs w:val="24"/>
        </w:rPr>
        <w:t xml:space="preserve">s sale is expected to be </w:t>
      </w:r>
      <w:r w:rsidRPr="0012760D">
        <w:rPr>
          <w:sz w:val="24"/>
          <w:szCs w:val="24"/>
        </w:rPr>
        <w:lastRenderedPageBreak/>
        <w:t>completed within 12 months from the date of classification.</w:t>
      </w:r>
    </w:p>
    <w:p w:rsidR="00AF2D9F" w:rsidRDefault="00AF2D9F" w:rsidP="00DB3AF8">
      <w:pPr>
        <w:rPr>
          <w:sz w:val="24"/>
          <w:szCs w:val="24"/>
        </w:rPr>
      </w:pPr>
    </w:p>
    <w:p w:rsidR="00AF2D9F" w:rsidRPr="0012760D" w:rsidRDefault="00AF2D9F" w:rsidP="00DB3AF8">
      <w:pPr>
        <w:rPr>
          <w:sz w:val="24"/>
          <w:szCs w:val="24"/>
        </w:rPr>
      </w:pPr>
    </w:p>
    <w:p w:rsidR="00DB3AF8" w:rsidRDefault="00DB3AF8" w:rsidP="00AF2D9F">
      <w:pPr>
        <w:pStyle w:val="Heading2"/>
      </w:pPr>
      <w:r w:rsidRPr="0012760D">
        <w:t>1.13 Payables</w:t>
      </w:r>
    </w:p>
    <w:p w:rsidR="00AF2D9F" w:rsidRPr="0012760D" w:rsidRDefault="00AF2D9F" w:rsidP="00DB3AF8">
      <w:pPr>
        <w:rPr>
          <w:sz w:val="24"/>
          <w:szCs w:val="24"/>
        </w:rPr>
      </w:pPr>
    </w:p>
    <w:p w:rsidR="00DB3AF8" w:rsidRDefault="00DB3AF8" w:rsidP="00DB3AF8">
      <w:pPr>
        <w:rPr>
          <w:sz w:val="24"/>
          <w:szCs w:val="24"/>
        </w:rPr>
      </w:pPr>
      <w:r w:rsidRPr="0012760D">
        <w:rPr>
          <w:sz w:val="24"/>
          <w:szCs w:val="24"/>
        </w:rPr>
        <w:t>Payables consist of contractual payables, such as accounts payable, and accrued expenses. Accounts payable represent liabilities for goods and services provided to Sustainability Victoria prior to the end of the financial year that are unpaid, and arise when Sustainability Victoria becomes obliged to make future payments in respect of the purchase of those goods and services; and statutory payables, such as good and services tax and fringe benefits tax payables.</w:t>
      </w:r>
    </w:p>
    <w:p w:rsidR="00AF2D9F" w:rsidRDefault="00AF2D9F" w:rsidP="00DB3AF8">
      <w:pPr>
        <w:rPr>
          <w:sz w:val="24"/>
          <w:szCs w:val="24"/>
        </w:rPr>
      </w:pPr>
    </w:p>
    <w:p w:rsidR="00AF2D9F" w:rsidRPr="0012760D" w:rsidRDefault="00AF2D9F" w:rsidP="00DB3AF8">
      <w:pPr>
        <w:rPr>
          <w:sz w:val="24"/>
          <w:szCs w:val="24"/>
        </w:rPr>
      </w:pPr>
    </w:p>
    <w:p w:rsidR="00DB3AF8" w:rsidRDefault="00DB3AF8" w:rsidP="00AF2D9F">
      <w:pPr>
        <w:pStyle w:val="Heading2"/>
      </w:pPr>
      <w:r w:rsidRPr="0012760D">
        <w:t>1.14 Employee Benefits</w:t>
      </w:r>
    </w:p>
    <w:p w:rsidR="00AF2D9F" w:rsidRPr="00AF2D9F" w:rsidRDefault="00AF2D9F" w:rsidP="00AF2D9F">
      <w:pPr>
        <w:rPr>
          <w:sz w:val="24"/>
          <w:szCs w:val="24"/>
        </w:rPr>
      </w:pPr>
    </w:p>
    <w:p w:rsidR="00DB3AF8" w:rsidRDefault="00DB3AF8" w:rsidP="00AF2D9F">
      <w:pPr>
        <w:pStyle w:val="Heading3"/>
      </w:pPr>
      <w:r w:rsidRPr="0012760D">
        <w:t>(a) Wages and salaries, annual leave and sick leave</w:t>
      </w:r>
    </w:p>
    <w:p w:rsidR="00AF2D9F" w:rsidRPr="0012760D" w:rsidRDefault="00AF2D9F" w:rsidP="00DB3AF8">
      <w:pPr>
        <w:rPr>
          <w:sz w:val="24"/>
          <w:szCs w:val="24"/>
        </w:rPr>
      </w:pPr>
    </w:p>
    <w:p w:rsidR="00DB3AF8" w:rsidRDefault="00DB3AF8" w:rsidP="00DB3AF8">
      <w:pPr>
        <w:rPr>
          <w:sz w:val="24"/>
          <w:szCs w:val="24"/>
        </w:rPr>
      </w:pPr>
      <w:r w:rsidRPr="0012760D">
        <w:rPr>
          <w:sz w:val="24"/>
          <w:szCs w:val="24"/>
        </w:rPr>
        <w:t>Liabilities for wages and salaries, including non-monetary benefits and annual leave expected to be settled within 12 months of the reporting date are recognised in the provision for employee benefits in respect of employee services up to the reporting date, classified as current liabilities and measured at their nominal values.</w:t>
      </w:r>
    </w:p>
    <w:p w:rsidR="00AF2D9F" w:rsidRPr="0012760D" w:rsidRDefault="00AF2D9F" w:rsidP="00DB3AF8">
      <w:pPr>
        <w:rPr>
          <w:sz w:val="24"/>
          <w:szCs w:val="24"/>
        </w:rPr>
      </w:pPr>
    </w:p>
    <w:p w:rsidR="00DB3AF8" w:rsidRDefault="00DB3AF8" w:rsidP="00DB3AF8">
      <w:pPr>
        <w:rPr>
          <w:sz w:val="24"/>
          <w:szCs w:val="24"/>
        </w:rPr>
      </w:pPr>
      <w:r w:rsidRPr="0012760D">
        <w:rPr>
          <w:sz w:val="24"/>
          <w:szCs w:val="24"/>
        </w:rPr>
        <w:t>Those liabilities that are not expected to be settled within 12 months are recognised in the provision for employee benefits as current liabilities, measured at present value of the amounts expected to be paid when the liabilities are settled using the remuneration rate expected to apply at the time of settlement.</w:t>
      </w:r>
    </w:p>
    <w:p w:rsidR="00AF2D9F" w:rsidRDefault="00AF2D9F" w:rsidP="00DB3AF8">
      <w:pPr>
        <w:rPr>
          <w:sz w:val="24"/>
          <w:szCs w:val="24"/>
        </w:rPr>
      </w:pPr>
    </w:p>
    <w:p w:rsidR="00AF2D9F" w:rsidRPr="0012760D" w:rsidRDefault="00AF2D9F" w:rsidP="00DB3AF8">
      <w:pPr>
        <w:rPr>
          <w:sz w:val="24"/>
          <w:szCs w:val="24"/>
        </w:rPr>
      </w:pPr>
    </w:p>
    <w:p w:rsidR="00DB3AF8" w:rsidRDefault="00DB3AF8" w:rsidP="00AF2D9F">
      <w:pPr>
        <w:pStyle w:val="Heading3"/>
      </w:pPr>
      <w:r w:rsidRPr="0012760D">
        <w:t>(b) Long service leave</w:t>
      </w:r>
    </w:p>
    <w:p w:rsidR="00AF2D9F" w:rsidRPr="0012760D" w:rsidRDefault="00AF2D9F" w:rsidP="00DB3AF8">
      <w:pPr>
        <w:rPr>
          <w:sz w:val="24"/>
          <w:szCs w:val="24"/>
        </w:rPr>
      </w:pPr>
    </w:p>
    <w:p w:rsidR="00DB3AF8" w:rsidRDefault="00DB3AF8" w:rsidP="00DB3AF8">
      <w:pPr>
        <w:rPr>
          <w:sz w:val="24"/>
          <w:szCs w:val="24"/>
        </w:rPr>
      </w:pPr>
      <w:r w:rsidRPr="0012760D">
        <w:rPr>
          <w:sz w:val="24"/>
          <w:szCs w:val="24"/>
        </w:rPr>
        <w:t>Liability for long service leave (LSL) is recognised in the provision for employee benefits.</w:t>
      </w:r>
    </w:p>
    <w:p w:rsidR="00AF2D9F" w:rsidRPr="0012760D" w:rsidRDefault="00AF2D9F" w:rsidP="00DB3AF8">
      <w:pPr>
        <w:rPr>
          <w:sz w:val="24"/>
          <w:szCs w:val="24"/>
        </w:rPr>
      </w:pPr>
    </w:p>
    <w:p w:rsidR="00DB3AF8" w:rsidRDefault="00DB3AF8" w:rsidP="00DB3AF8">
      <w:pPr>
        <w:rPr>
          <w:sz w:val="24"/>
          <w:szCs w:val="24"/>
        </w:rPr>
      </w:pPr>
      <w:r w:rsidRPr="0012760D">
        <w:rPr>
          <w:sz w:val="24"/>
          <w:szCs w:val="24"/>
        </w:rPr>
        <w:t>Current liability - unconditional LSL is disclosed in the notes to the financial statements as a current liability even where Sustainability Victoria does not expect to settle the liability within 12 months, because it will not have the unconditional right to defer the settlement of the entitlement should an employee take leave within 12 months.</w:t>
      </w:r>
    </w:p>
    <w:p w:rsidR="00AF2D9F" w:rsidRPr="0012760D" w:rsidRDefault="00AF2D9F" w:rsidP="00DB3AF8">
      <w:pPr>
        <w:rPr>
          <w:sz w:val="24"/>
          <w:szCs w:val="24"/>
        </w:rPr>
      </w:pPr>
    </w:p>
    <w:p w:rsidR="00DB3AF8" w:rsidRPr="0012760D" w:rsidRDefault="00DB3AF8" w:rsidP="00DB3AF8">
      <w:pPr>
        <w:rPr>
          <w:sz w:val="24"/>
          <w:szCs w:val="24"/>
        </w:rPr>
      </w:pPr>
      <w:r w:rsidRPr="0012760D">
        <w:rPr>
          <w:sz w:val="24"/>
          <w:szCs w:val="24"/>
        </w:rPr>
        <w:t>The components of this current LSL liability are measured at:</w:t>
      </w:r>
    </w:p>
    <w:p w:rsidR="00DB3AF8" w:rsidRPr="0012760D" w:rsidRDefault="00DB3AF8" w:rsidP="00DB3AF8">
      <w:pPr>
        <w:rPr>
          <w:sz w:val="24"/>
          <w:szCs w:val="24"/>
        </w:rPr>
      </w:pPr>
      <w:r w:rsidRPr="0012760D">
        <w:rPr>
          <w:sz w:val="24"/>
          <w:szCs w:val="24"/>
        </w:rPr>
        <w:t>• present value - component that sustainability Victoria does not expect to settle within 12 months; and</w:t>
      </w:r>
    </w:p>
    <w:p w:rsidR="00DB3AF8" w:rsidRDefault="00DB3AF8" w:rsidP="00DB3AF8">
      <w:pPr>
        <w:rPr>
          <w:sz w:val="24"/>
          <w:szCs w:val="24"/>
        </w:rPr>
      </w:pPr>
      <w:r w:rsidRPr="0012760D">
        <w:rPr>
          <w:sz w:val="24"/>
          <w:szCs w:val="24"/>
        </w:rPr>
        <w:t>• nominal value - component that sustainability Victoria expects to settle within 12 months.</w:t>
      </w:r>
    </w:p>
    <w:p w:rsidR="00AF2D9F" w:rsidRPr="0012760D" w:rsidRDefault="00AF2D9F" w:rsidP="00DB3AF8">
      <w:pPr>
        <w:rPr>
          <w:sz w:val="24"/>
          <w:szCs w:val="24"/>
        </w:rPr>
      </w:pPr>
    </w:p>
    <w:p w:rsidR="00DB3AF8" w:rsidRDefault="00DB3AF8" w:rsidP="00DB3AF8">
      <w:pPr>
        <w:rPr>
          <w:sz w:val="24"/>
          <w:szCs w:val="24"/>
        </w:rPr>
      </w:pPr>
      <w:r w:rsidRPr="0012760D">
        <w:rPr>
          <w:sz w:val="24"/>
          <w:szCs w:val="24"/>
        </w:rPr>
        <w:t>Non-current liability - conditional LSL is disclosed as a non-current liability. there is an unconditional right to defer the settlement of the entitlement until the employee has completed the requisite years of service.</w:t>
      </w:r>
    </w:p>
    <w:p w:rsidR="00AF2D9F" w:rsidRPr="0012760D" w:rsidRDefault="00AF2D9F" w:rsidP="00DB3AF8">
      <w:pPr>
        <w:rPr>
          <w:sz w:val="24"/>
          <w:szCs w:val="24"/>
        </w:rPr>
      </w:pPr>
    </w:p>
    <w:p w:rsidR="00DB3AF8" w:rsidRPr="0012760D" w:rsidRDefault="00DB3AF8" w:rsidP="00DB3AF8">
      <w:pPr>
        <w:rPr>
          <w:sz w:val="24"/>
          <w:szCs w:val="24"/>
        </w:rPr>
      </w:pPr>
      <w:r w:rsidRPr="0012760D">
        <w:rPr>
          <w:sz w:val="24"/>
          <w:szCs w:val="24"/>
        </w:rPr>
        <w:t xml:space="preserve">This non-current LSL liability is measured at present value. Gain or loss following </w:t>
      </w:r>
      <w:r w:rsidRPr="0012760D">
        <w:rPr>
          <w:sz w:val="24"/>
          <w:szCs w:val="24"/>
        </w:rPr>
        <w:lastRenderedPageBreak/>
        <w:t>revaluation of the present value of non-current LSL liability due to changes in bond interest rates is recognised as an other economic flow.</w:t>
      </w:r>
    </w:p>
    <w:p w:rsidR="00326805" w:rsidRDefault="00326805" w:rsidP="00326805">
      <w:pPr>
        <w:rPr>
          <w:bCs/>
          <w:sz w:val="24"/>
          <w:szCs w:val="24"/>
        </w:rPr>
      </w:pPr>
      <w:r w:rsidRPr="0012760D">
        <w:rPr>
          <w:bCs/>
          <w:sz w:val="24"/>
          <w:szCs w:val="24"/>
        </w:rPr>
        <w:t>&lt;pp&gt; 38</w:t>
      </w:r>
    </w:p>
    <w:p w:rsidR="00AF2D9F" w:rsidRDefault="00AF2D9F" w:rsidP="00326805">
      <w:pPr>
        <w:rPr>
          <w:bCs/>
          <w:sz w:val="24"/>
          <w:szCs w:val="24"/>
        </w:rPr>
      </w:pPr>
    </w:p>
    <w:p w:rsidR="00AF2D9F" w:rsidRPr="0012760D" w:rsidRDefault="00AF2D9F" w:rsidP="00326805">
      <w:pPr>
        <w:rPr>
          <w:sz w:val="24"/>
          <w:szCs w:val="24"/>
        </w:rPr>
      </w:pPr>
    </w:p>
    <w:p w:rsidR="00326805" w:rsidRDefault="00326805" w:rsidP="00AF2D9F">
      <w:pPr>
        <w:pStyle w:val="Heading3"/>
      </w:pPr>
      <w:r w:rsidRPr="0012760D">
        <w:t>(c) Termination benefits</w:t>
      </w:r>
    </w:p>
    <w:p w:rsidR="00AF2D9F" w:rsidRPr="0012760D" w:rsidRDefault="00AF2D9F" w:rsidP="00326805">
      <w:pPr>
        <w:rPr>
          <w:sz w:val="24"/>
          <w:szCs w:val="24"/>
        </w:rPr>
      </w:pPr>
    </w:p>
    <w:p w:rsidR="00326805" w:rsidRDefault="00326805" w:rsidP="00326805">
      <w:pPr>
        <w:rPr>
          <w:sz w:val="24"/>
          <w:szCs w:val="24"/>
        </w:rPr>
      </w:pPr>
      <w:r w:rsidRPr="0012760D">
        <w:rPr>
          <w:sz w:val="24"/>
          <w:szCs w:val="24"/>
        </w:rPr>
        <w:t>Termination benefits are payable when employment is terminated before the normal retirement date, or when an employee accepts voluntary redundancy in exchange for these benefits. Sustainability Victoria recognises termination benefits when it is demonstrably committed to either terminating the employment of current employees according to a detailed formal plan without possibility of withdrawal or providing termination benefits as a result of an offer made to encourage voluntary redundancy. Benefits falling due more than 12 months after balance sheet date are discounted to present value.</w:t>
      </w:r>
    </w:p>
    <w:p w:rsidR="00AF2D9F" w:rsidRDefault="00AF2D9F" w:rsidP="00326805">
      <w:pPr>
        <w:rPr>
          <w:sz w:val="24"/>
          <w:szCs w:val="24"/>
        </w:rPr>
      </w:pPr>
    </w:p>
    <w:p w:rsidR="00AF2D9F" w:rsidRPr="0012760D" w:rsidRDefault="00AF2D9F" w:rsidP="00326805">
      <w:pPr>
        <w:rPr>
          <w:sz w:val="24"/>
          <w:szCs w:val="24"/>
        </w:rPr>
      </w:pPr>
    </w:p>
    <w:p w:rsidR="00326805" w:rsidRDefault="00326805" w:rsidP="00AF2D9F">
      <w:pPr>
        <w:pStyle w:val="Heading3"/>
      </w:pPr>
      <w:r w:rsidRPr="0012760D">
        <w:t>(d) Superannuation</w:t>
      </w:r>
    </w:p>
    <w:p w:rsidR="00AF2D9F" w:rsidRPr="0012760D" w:rsidRDefault="00AF2D9F" w:rsidP="00326805">
      <w:pPr>
        <w:rPr>
          <w:sz w:val="24"/>
          <w:szCs w:val="24"/>
        </w:rPr>
      </w:pPr>
    </w:p>
    <w:p w:rsidR="00326805" w:rsidRDefault="00326805" w:rsidP="00326805">
      <w:pPr>
        <w:rPr>
          <w:sz w:val="24"/>
          <w:szCs w:val="24"/>
        </w:rPr>
      </w:pPr>
      <w:r w:rsidRPr="0012760D">
        <w:rPr>
          <w:sz w:val="24"/>
          <w:szCs w:val="24"/>
        </w:rPr>
        <w:t>The amount recognised in the comprehensive operating statement in relation to employer contributions for members of defined benefit superannuation plans is simply the employer contributions that are paid or payable to these plans during the reporting period. the level of these contributions will vary depending upon the relevant rules of each plan, and is based upon actuarial advice.</w:t>
      </w:r>
    </w:p>
    <w:p w:rsidR="00AF2D9F" w:rsidRPr="0012760D" w:rsidRDefault="00AF2D9F" w:rsidP="00326805">
      <w:pPr>
        <w:rPr>
          <w:sz w:val="24"/>
          <w:szCs w:val="24"/>
        </w:rPr>
      </w:pPr>
    </w:p>
    <w:p w:rsidR="00326805" w:rsidRDefault="00326805" w:rsidP="00326805">
      <w:pPr>
        <w:rPr>
          <w:sz w:val="24"/>
          <w:szCs w:val="24"/>
        </w:rPr>
      </w:pPr>
      <w:r w:rsidRPr="0012760D">
        <w:rPr>
          <w:sz w:val="24"/>
          <w:szCs w:val="24"/>
        </w:rPr>
        <w:t>The Department of Treasury and Finance (DTF) in their Annual Financial Statements, recognise on behalf of the state as the sponsoring employer, the net defined benefit cost related to the members of these plans. refer to DTF</w:t>
      </w:r>
      <w:r w:rsidR="00CB215E" w:rsidRPr="0012760D">
        <w:rPr>
          <w:sz w:val="24"/>
          <w:szCs w:val="24"/>
        </w:rPr>
        <w:t>'</w:t>
      </w:r>
      <w:r w:rsidRPr="0012760D">
        <w:rPr>
          <w:sz w:val="24"/>
          <w:szCs w:val="24"/>
        </w:rPr>
        <w:t>s annual Financial statements for more detailed disclosures in relation to these plans.</w:t>
      </w:r>
    </w:p>
    <w:p w:rsidR="00AF2D9F" w:rsidRDefault="00AF2D9F" w:rsidP="00326805">
      <w:pPr>
        <w:rPr>
          <w:sz w:val="24"/>
          <w:szCs w:val="24"/>
        </w:rPr>
      </w:pPr>
    </w:p>
    <w:p w:rsidR="00AF2D9F" w:rsidRPr="0012760D" w:rsidRDefault="00AF2D9F" w:rsidP="00326805">
      <w:pPr>
        <w:rPr>
          <w:sz w:val="24"/>
          <w:szCs w:val="24"/>
        </w:rPr>
      </w:pPr>
    </w:p>
    <w:p w:rsidR="00326805" w:rsidRDefault="00326805" w:rsidP="00AF2D9F">
      <w:pPr>
        <w:pStyle w:val="Heading2"/>
      </w:pPr>
      <w:r w:rsidRPr="0012760D">
        <w:t>1.15 equity</w:t>
      </w:r>
    </w:p>
    <w:p w:rsidR="00AF2D9F" w:rsidRPr="0012760D" w:rsidRDefault="00AF2D9F" w:rsidP="00326805">
      <w:pPr>
        <w:rPr>
          <w:sz w:val="24"/>
          <w:szCs w:val="24"/>
        </w:rPr>
      </w:pPr>
    </w:p>
    <w:p w:rsidR="00326805" w:rsidRDefault="00326805" w:rsidP="00326805">
      <w:pPr>
        <w:rPr>
          <w:bCs/>
          <w:sz w:val="24"/>
          <w:szCs w:val="24"/>
        </w:rPr>
      </w:pPr>
      <w:r w:rsidRPr="0012760D">
        <w:rPr>
          <w:bCs/>
          <w:sz w:val="24"/>
          <w:szCs w:val="24"/>
        </w:rPr>
        <w:t>Contributions by owners</w:t>
      </w:r>
    </w:p>
    <w:p w:rsidR="00AF2D9F" w:rsidRPr="0012760D" w:rsidRDefault="00AF2D9F" w:rsidP="00326805">
      <w:pPr>
        <w:rPr>
          <w:sz w:val="24"/>
          <w:szCs w:val="24"/>
        </w:rPr>
      </w:pPr>
    </w:p>
    <w:p w:rsidR="00326805" w:rsidRDefault="00326805" w:rsidP="00326805">
      <w:pPr>
        <w:rPr>
          <w:sz w:val="24"/>
          <w:szCs w:val="24"/>
        </w:rPr>
      </w:pPr>
      <w:r w:rsidRPr="0012760D">
        <w:rPr>
          <w:sz w:val="24"/>
          <w:szCs w:val="24"/>
        </w:rPr>
        <w:t>additions to net assets which have been designated as contributions by owners are recognised as contributed capital. other transfers that are in the nature of contributions or distributions have also been designated as contributions by owners.</w:t>
      </w:r>
    </w:p>
    <w:p w:rsidR="00AF2D9F" w:rsidRPr="0012760D" w:rsidRDefault="00AF2D9F" w:rsidP="00326805">
      <w:pPr>
        <w:rPr>
          <w:sz w:val="24"/>
          <w:szCs w:val="24"/>
        </w:rPr>
      </w:pPr>
    </w:p>
    <w:p w:rsidR="00326805" w:rsidRDefault="00326805" w:rsidP="00326805">
      <w:pPr>
        <w:rPr>
          <w:sz w:val="24"/>
          <w:szCs w:val="24"/>
        </w:rPr>
      </w:pPr>
      <w:r w:rsidRPr="0012760D">
        <w:rPr>
          <w:sz w:val="24"/>
          <w:szCs w:val="24"/>
        </w:rPr>
        <w:t>transfers of net assets arising from administrative restructurings are treated as distributions to or contributions by owners.</w:t>
      </w:r>
    </w:p>
    <w:p w:rsidR="00AF2D9F" w:rsidRDefault="00AF2D9F" w:rsidP="00326805">
      <w:pPr>
        <w:rPr>
          <w:sz w:val="24"/>
          <w:szCs w:val="24"/>
        </w:rPr>
      </w:pPr>
    </w:p>
    <w:p w:rsidR="00AF2D9F" w:rsidRPr="0012760D" w:rsidRDefault="00AF2D9F" w:rsidP="00326805">
      <w:pPr>
        <w:rPr>
          <w:sz w:val="24"/>
          <w:szCs w:val="24"/>
        </w:rPr>
      </w:pPr>
    </w:p>
    <w:p w:rsidR="00326805" w:rsidRDefault="00326805" w:rsidP="00AF2D9F">
      <w:pPr>
        <w:pStyle w:val="Heading2"/>
      </w:pPr>
      <w:r w:rsidRPr="0012760D">
        <w:t>1.16 AASS issued that are not yet effective</w:t>
      </w:r>
    </w:p>
    <w:p w:rsidR="00AF2D9F" w:rsidRPr="0012760D" w:rsidRDefault="00AF2D9F" w:rsidP="00326805">
      <w:pPr>
        <w:rPr>
          <w:sz w:val="24"/>
          <w:szCs w:val="24"/>
        </w:rPr>
      </w:pPr>
    </w:p>
    <w:p w:rsidR="00326805" w:rsidRDefault="00AF2D9F" w:rsidP="00326805">
      <w:pPr>
        <w:rPr>
          <w:sz w:val="24"/>
          <w:szCs w:val="24"/>
        </w:rPr>
      </w:pPr>
      <w:r w:rsidRPr="0012760D">
        <w:rPr>
          <w:sz w:val="24"/>
          <w:szCs w:val="24"/>
        </w:rPr>
        <w:t xml:space="preserve">Certain </w:t>
      </w:r>
      <w:r w:rsidR="00326805" w:rsidRPr="0012760D">
        <w:rPr>
          <w:sz w:val="24"/>
          <w:szCs w:val="24"/>
        </w:rPr>
        <w:t>new AASS have been published that are not mandatory for the 30 June 2013 reporting period. DTF assesses the impact of these new standards, and has advised on their applicability and early adoption where applicable.</w:t>
      </w:r>
    </w:p>
    <w:p w:rsidR="00AF2D9F" w:rsidRPr="0012760D" w:rsidRDefault="00AF2D9F" w:rsidP="00326805">
      <w:pPr>
        <w:rPr>
          <w:sz w:val="24"/>
          <w:szCs w:val="24"/>
        </w:rPr>
      </w:pPr>
    </w:p>
    <w:p w:rsidR="00326805" w:rsidRPr="0012760D" w:rsidRDefault="00326805" w:rsidP="00326805">
      <w:pPr>
        <w:rPr>
          <w:sz w:val="24"/>
          <w:szCs w:val="24"/>
        </w:rPr>
      </w:pPr>
      <w:r w:rsidRPr="0012760D">
        <w:rPr>
          <w:sz w:val="24"/>
          <w:szCs w:val="24"/>
        </w:rPr>
        <w:t xml:space="preserve">as at 30 June 2013, the following standards and interpretations applicable to </w:t>
      </w:r>
      <w:r w:rsidRPr="0012760D">
        <w:rPr>
          <w:sz w:val="24"/>
          <w:szCs w:val="24"/>
        </w:rPr>
        <w:lastRenderedPageBreak/>
        <w:t>sustainability Victoria had been issued but were not mandatory for the financial year ending 30 June 2013. sustainability Victoria has not early adopted these standards.</w:t>
      </w:r>
    </w:p>
    <w:p w:rsidR="00326805" w:rsidRPr="0012760D" w:rsidRDefault="00326805" w:rsidP="00326805">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2603"/>
        <w:gridCol w:w="3359"/>
        <w:gridCol w:w="1354"/>
        <w:gridCol w:w="1793"/>
      </w:tblGrid>
      <w:tr w:rsidR="00326805" w:rsidRPr="0012760D" w:rsidTr="00AF2D9F">
        <w:tblPrEx>
          <w:tblCellMar>
            <w:top w:w="0" w:type="dxa"/>
            <w:bottom w:w="0" w:type="dxa"/>
          </w:tblCellMar>
        </w:tblPrEx>
        <w:tc>
          <w:tcPr>
            <w:tcW w:w="1429" w:type="pct"/>
            <w:shd w:val="clear" w:color="auto" w:fill="auto"/>
          </w:tcPr>
          <w:p w:rsidR="00326805" w:rsidRPr="0012760D" w:rsidRDefault="00326805" w:rsidP="00133F16">
            <w:pPr>
              <w:rPr>
                <w:sz w:val="24"/>
                <w:szCs w:val="24"/>
              </w:rPr>
            </w:pPr>
            <w:r w:rsidRPr="0012760D">
              <w:rPr>
                <w:bCs/>
                <w:sz w:val="24"/>
                <w:szCs w:val="24"/>
              </w:rPr>
              <w:t>Standard/Interpretation</w:t>
            </w:r>
          </w:p>
        </w:tc>
        <w:tc>
          <w:tcPr>
            <w:tcW w:w="1844" w:type="pct"/>
            <w:shd w:val="clear" w:color="auto" w:fill="auto"/>
          </w:tcPr>
          <w:p w:rsidR="00326805" w:rsidRPr="0012760D" w:rsidRDefault="00326805" w:rsidP="00133F16">
            <w:pPr>
              <w:rPr>
                <w:sz w:val="24"/>
                <w:szCs w:val="24"/>
              </w:rPr>
            </w:pPr>
            <w:r w:rsidRPr="0012760D">
              <w:rPr>
                <w:bCs/>
                <w:sz w:val="24"/>
                <w:szCs w:val="24"/>
              </w:rPr>
              <w:t>Summary</w:t>
            </w:r>
          </w:p>
        </w:tc>
        <w:tc>
          <w:tcPr>
            <w:tcW w:w="743" w:type="pct"/>
            <w:shd w:val="clear" w:color="auto" w:fill="auto"/>
          </w:tcPr>
          <w:p w:rsidR="00326805" w:rsidRPr="0012760D" w:rsidRDefault="00326805" w:rsidP="00133F16">
            <w:pPr>
              <w:rPr>
                <w:sz w:val="24"/>
                <w:szCs w:val="24"/>
              </w:rPr>
            </w:pPr>
            <w:r w:rsidRPr="0012760D">
              <w:rPr>
                <w:bCs/>
                <w:sz w:val="24"/>
                <w:szCs w:val="24"/>
              </w:rPr>
              <w:t>Applicable for annual reporting periods</w:t>
            </w:r>
          </w:p>
        </w:tc>
        <w:tc>
          <w:tcPr>
            <w:tcW w:w="984" w:type="pct"/>
            <w:shd w:val="clear" w:color="auto" w:fill="auto"/>
          </w:tcPr>
          <w:p w:rsidR="00326805" w:rsidRPr="0012760D" w:rsidRDefault="00326805" w:rsidP="00133F16">
            <w:pPr>
              <w:rPr>
                <w:sz w:val="24"/>
                <w:szCs w:val="24"/>
              </w:rPr>
            </w:pPr>
            <w:r w:rsidRPr="0012760D">
              <w:rPr>
                <w:bCs/>
                <w:sz w:val="24"/>
                <w:szCs w:val="24"/>
              </w:rPr>
              <w:t>Impact on authority financial statements</w:t>
            </w:r>
          </w:p>
        </w:tc>
      </w:tr>
      <w:tr w:rsidR="00326805" w:rsidRPr="0012760D" w:rsidTr="00AF2D9F">
        <w:tblPrEx>
          <w:tblCellMar>
            <w:top w:w="0" w:type="dxa"/>
            <w:bottom w:w="0" w:type="dxa"/>
          </w:tblCellMar>
        </w:tblPrEx>
        <w:tc>
          <w:tcPr>
            <w:tcW w:w="1429" w:type="pct"/>
            <w:shd w:val="clear" w:color="auto" w:fill="auto"/>
          </w:tcPr>
          <w:p w:rsidR="00326805" w:rsidRPr="0012760D" w:rsidRDefault="00326805" w:rsidP="00133F16">
            <w:pPr>
              <w:rPr>
                <w:bCs/>
                <w:sz w:val="24"/>
                <w:szCs w:val="24"/>
              </w:rPr>
            </w:pPr>
            <w:r w:rsidRPr="0012760D">
              <w:rPr>
                <w:sz w:val="24"/>
                <w:szCs w:val="24"/>
              </w:rPr>
              <w:t>AASB 9 Financial instruments</w:t>
            </w:r>
          </w:p>
        </w:tc>
        <w:tc>
          <w:tcPr>
            <w:tcW w:w="1844" w:type="pct"/>
            <w:shd w:val="clear" w:color="auto" w:fill="auto"/>
          </w:tcPr>
          <w:p w:rsidR="00326805" w:rsidRPr="0012760D" w:rsidRDefault="00326805" w:rsidP="00133F16">
            <w:pPr>
              <w:rPr>
                <w:bCs/>
                <w:sz w:val="24"/>
                <w:szCs w:val="24"/>
              </w:rPr>
            </w:pPr>
            <w:r w:rsidRPr="0012760D">
              <w:rPr>
                <w:sz w:val="24"/>
                <w:szCs w:val="24"/>
              </w:rPr>
              <w:t>This standard simplifies requirements for the classification and measurement of financial assets resulting from phase 1 of the IASB</w:t>
            </w:r>
            <w:r w:rsidR="00CB215E" w:rsidRPr="0012760D">
              <w:rPr>
                <w:sz w:val="24"/>
                <w:szCs w:val="24"/>
              </w:rPr>
              <w:t>'</w:t>
            </w:r>
            <w:r w:rsidRPr="0012760D">
              <w:rPr>
                <w:sz w:val="24"/>
                <w:szCs w:val="24"/>
              </w:rPr>
              <w:t>s project to replace IAS 39 Financial Instruments: Recognition and Measurement (AASB 139 Financial Instruments: Recognition and Measurement).</w:t>
            </w:r>
          </w:p>
        </w:tc>
        <w:tc>
          <w:tcPr>
            <w:tcW w:w="743" w:type="pct"/>
            <w:shd w:val="clear" w:color="auto" w:fill="auto"/>
          </w:tcPr>
          <w:p w:rsidR="00326805" w:rsidRPr="0012760D" w:rsidRDefault="00326805" w:rsidP="00133F16">
            <w:pPr>
              <w:rPr>
                <w:bCs/>
                <w:sz w:val="24"/>
                <w:szCs w:val="24"/>
              </w:rPr>
            </w:pPr>
            <w:r w:rsidRPr="0012760D">
              <w:rPr>
                <w:sz w:val="24"/>
                <w:szCs w:val="24"/>
              </w:rPr>
              <w:t>Beginning 1 Jan 2015</w:t>
            </w:r>
          </w:p>
        </w:tc>
        <w:tc>
          <w:tcPr>
            <w:tcW w:w="984" w:type="pct"/>
            <w:shd w:val="clear" w:color="auto" w:fill="auto"/>
          </w:tcPr>
          <w:p w:rsidR="00326805" w:rsidRPr="0012760D" w:rsidRDefault="00326805" w:rsidP="00133F16">
            <w:pPr>
              <w:rPr>
                <w:bCs/>
                <w:sz w:val="24"/>
                <w:szCs w:val="24"/>
              </w:rPr>
            </w:pPr>
            <w:r w:rsidRPr="0012760D">
              <w:rPr>
                <w:sz w:val="24"/>
                <w:szCs w:val="24"/>
              </w:rPr>
              <w:t>Detail of impact is still being assessed.</w:t>
            </w:r>
          </w:p>
        </w:tc>
      </w:tr>
      <w:tr w:rsidR="00326805" w:rsidRPr="0012760D" w:rsidTr="00AF2D9F">
        <w:tblPrEx>
          <w:tblCellMar>
            <w:top w:w="0" w:type="dxa"/>
            <w:bottom w:w="0" w:type="dxa"/>
          </w:tblCellMar>
        </w:tblPrEx>
        <w:tc>
          <w:tcPr>
            <w:tcW w:w="1429" w:type="pct"/>
            <w:shd w:val="clear" w:color="auto" w:fill="auto"/>
          </w:tcPr>
          <w:p w:rsidR="00326805" w:rsidRPr="0012760D" w:rsidRDefault="00326805" w:rsidP="00133F16">
            <w:pPr>
              <w:rPr>
                <w:sz w:val="24"/>
                <w:szCs w:val="24"/>
              </w:rPr>
            </w:pPr>
            <w:r w:rsidRPr="0012760D">
              <w:rPr>
                <w:sz w:val="24"/>
                <w:szCs w:val="24"/>
              </w:rPr>
              <w:t>AASB 2010 to 7 Amendments to Australian Accounting Standards arising from AASB 9 (December 2010) (AASB 1, 3, 4, 5, 7, 101, 102, 108, 112, 118, 120,121 ,127, 128, 131, 132, 136, 137,139, 1023 and 1038, and Interpr</w:t>
            </w:r>
            <w:r w:rsidR="00AF2D9F">
              <w:rPr>
                <w:sz w:val="24"/>
                <w:szCs w:val="24"/>
              </w:rPr>
              <w:t xml:space="preserve">etations 2, 5, 10, 12, 19 </w:t>
            </w:r>
            <w:r w:rsidR="00236A13">
              <w:rPr>
                <w:sz w:val="24"/>
                <w:szCs w:val="24"/>
              </w:rPr>
              <w:t>and</w:t>
            </w:r>
            <w:r w:rsidR="00AF2D9F">
              <w:rPr>
                <w:sz w:val="24"/>
                <w:szCs w:val="24"/>
              </w:rPr>
              <w:t xml:space="preserve"> 127)</w:t>
            </w:r>
          </w:p>
        </w:tc>
        <w:tc>
          <w:tcPr>
            <w:tcW w:w="1844" w:type="pct"/>
            <w:shd w:val="clear" w:color="auto" w:fill="auto"/>
          </w:tcPr>
          <w:p w:rsidR="00326805" w:rsidRPr="0012760D" w:rsidRDefault="00326805" w:rsidP="00133F16">
            <w:pPr>
              <w:rPr>
                <w:sz w:val="24"/>
                <w:szCs w:val="24"/>
              </w:rPr>
            </w:pPr>
            <w:r w:rsidRPr="0012760D">
              <w:rPr>
                <w:sz w:val="24"/>
                <w:szCs w:val="24"/>
              </w:rPr>
              <w:t>These consequential amendments are in relation to the introduction of AASB 9.</w:t>
            </w:r>
          </w:p>
        </w:tc>
        <w:tc>
          <w:tcPr>
            <w:tcW w:w="743" w:type="pct"/>
            <w:shd w:val="clear" w:color="auto" w:fill="auto"/>
          </w:tcPr>
          <w:p w:rsidR="00326805" w:rsidRPr="0012760D" w:rsidRDefault="00326805" w:rsidP="00133F16">
            <w:pPr>
              <w:rPr>
                <w:sz w:val="24"/>
                <w:szCs w:val="24"/>
              </w:rPr>
            </w:pPr>
            <w:r w:rsidRPr="0012760D">
              <w:rPr>
                <w:sz w:val="24"/>
                <w:szCs w:val="24"/>
              </w:rPr>
              <w:t>Beginning 1 Jan 2015</w:t>
            </w:r>
          </w:p>
        </w:tc>
        <w:tc>
          <w:tcPr>
            <w:tcW w:w="984" w:type="pct"/>
            <w:shd w:val="clear" w:color="auto" w:fill="auto"/>
          </w:tcPr>
          <w:p w:rsidR="00326805" w:rsidRPr="0012760D" w:rsidRDefault="00326805" w:rsidP="00133F16">
            <w:pPr>
              <w:rPr>
                <w:sz w:val="24"/>
                <w:szCs w:val="24"/>
              </w:rPr>
            </w:pPr>
            <w:r w:rsidRPr="0012760D">
              <w:rPr>
                <w:sz w:val="24"/>
                <w:szCs w:val="24"/>
              </w:rPr>
              <w:t>No significant impact is expected from these consequential amendments on entity reporting.</w:t>
            </w:r>
          </w:p>
        </w:tc>
      </w:tr>
      <w:tr w:rsidR="00326805" w:rsidRPr="0012760D" w:rsidTr="00AF2D9F">
        <w:tblPrEx>
          <w:tblCellMar>
            <w:top w:w="0" w:type="dxa"/>
            <w:bottom w:w="0" w:type="dxa"/>
          </w:tblCellMar>
        </w:tblPrEx>
        <w:tc>
          <w:tcPr>
            <w:tcW w:w="1429" w:type="pct"/>
            <w:shd w:val="clear" w:color="auto" w:fill="auto"/>
          </w:tcPr>
          <w:p w:rsidR="00326805" w:rsidRPr="0012760D" w:rsidRDefault="00326805" w:rsidP="00133F16">
            <w:pPr>
              <w:rPr>
                <w:sz w:val="24"/>
                <w:szCs w:val="24"/>
              </w:rPr>
            </w:pPr>
            <w:r w:rsidRPr="0012760D">
              <w:rPr>
                <w:sz w:val="24"/>
                <w:szCs w:val="24"/>
              </w:rPr>
              <w:t>AASB 2011 to 4 amendments to Australian Accounting Standards to Remove Individual Key Management Personnel Disclosure requirements (AASB 124)</w:t>
            </w:r>
          </w:p>
        </w:tc>
        <w:tc>
          <w:tcPr>
            <w:tcW w:w="1844" w:type="pct"/>
            <w:shd w:val="clear" w:color="auto" w:fill="auto"/>
          </w:tcPr>
          <w:p w:rsidR="00326805" w:rsidRPr="0012760D" w:rsidRDefault="00326805" w:rsidP="00133F16">
            <w:pPr>
              <w:rPr>
                <w:sz w:val="24"/>
                <w:szCs w:val="24"/>
              </w:rPr>
            </w:pPr>
            <w:r w:rsidRPr="0012760D">
              <w:rPr>
                <w:sz w:val="24"/>
                <w:szCs w:val="24"/>
              </w:rPr>
              <w:t>This Standard amends AASB 124 Related Party Disclosures by removing the disclosure requirements in AASB 124 in relation to individual key management personnel (KMP).</w:t>
            </w:r>
          </w:p>
        </w:tc>
        <w:tc>
          <w:tcPr>
            <w:tcW w:w="743" w:type="pct"/>
            <w:shd w:val="clear" w:color="auto" w:fill="auto"/>
          </w:tcPr>
          <w:p w:rsidR="00326805" w:rsidRPr="0012760D" w:rsidRDefault="00326805" w:rsidP="00133F16">
            <w:pPr>
              <w:rPr>
                <w:sz w:val="24"/>
                <w:szCs w:val="24"/>
              </w:rPr>
            </w:pPr>
            <w:r w:rsidRPr="0012760D">
              <w:rPr>
                <w:sz w:val="24"/>
                <w:szCs w:val="24"/>
              </w:rPr>
              <w:t>Beginning 1 July 2013</w:t>
            </w:r>
          </w:p>
        </w:tc>
        <w:tc>
          <w:tcPr>
            <w:tcW w:w="984" w:type="pct"/>
            <w:shd w:val="clear" w:color="auto" w:fill="auto"/>
          </w:tcPr>
          <w:p w:rsidR="00326805" w:rsidRPr="0012760D" w:rsidRDefault="00326805" w:rsidP="00133F16">
            <w:pPr>
              <w:rPr>
                <w:sz w:val="24"/>
                <w:szCs w:val="24"/>
              </w:rPr>
            </w:pPr>
            <w:r w:rsidRPr="0012760D">
              <w:rPr>
                <w:sz w:val="24"/>
                <w:szCs w:val="24"/>
              </w:rPr>
              <w:t>No significant impact is expected from these consequential amendments on entity reporting.</w:t>
            </w:r>
          </w:p>
        </w:tc>
      </w:tr>
    </w:tbl>
    <w:p w:rsidR="00B435AA" w:rsidRDefault="00B435AA" w:rsidP="00B435AA">
      <w:pPr>
        <w:rPr>
          <w:bCs/>
          <w:sz w:val="24"/>
          <w:szCs w:val="24"/>
        </w:rPr>
      </w:pPr>
      <w:r w:rsidRPr="0012760D">
        <w:rPr>
          <w:bCs/>
          <w:sz w:val="24"/>
          <w:szCs w:val="24"/>
        </w:rPr>
        <w:t>&lt;pp&gt; 39</w:t>
      </w:r>
    </w:p>
    <w:p w:rsidR="00AF2D9F" w:rsidRDefault="00AF2D9F" w:rsidP="00B435AA">
      <w:pPr>
        <w:rPr>
          <w:bCs/>
          <w:sz w:val="24"/>
          <w:szCs w:val="24"/>
        </w:rPr>
      </w:pPr>
    </w:p>
    <w:p w:rsidR="00AF2D9F" w:rsidRPr="0012760D" w:rsidRDefault="00AF2D9F" w:rsidP="00B435AA">
      <w:pPr>
        <w:rPr>
          <w:sz w:val="24"/>
          <w:szCs w:val="24"/>
        </w:rPr>
      </w:pPr>
    </w:p>
    <w:p w:rsidR="00B435AA" w:rsidRDefault="00B435AA" w:rsidP="00AF2D9F">
      <w:pPr>
        <w:pStyle w:val="Heading2"/>
      </w:pPr>
      <w:r w:rsidRPr="0012760D">
        <w:t>2. Financial Risk Management Objectives and Policies</w:t>
      </w:r>
    </w:p>
    <w:p w:rsidR="00AF2D9F" w:rsidRPr="0012760D" w:rsidRDefault="00AF2D9F" w:rsidP="00B435AA">
      <w:pPr>
        <w:rPr>
          <w:sz w:val="24"/>
          <w:szCs w:val="24"/>
        </w:rPr>
      </w:pPr>
    </w:p>
    <w:p w:rsidR="00B435AA" w:rsidRDefault="00B435AA" w:rsidP="00B435AA">
      <w:pPr>
        <w:rPr>
          <w:sz w:val="24"/>
          <w:szCs w:val="24"/>
        </w:rPr>
      </w:pPr>
      <w:r w:rsidRPr="0012760D">
        <w:rPr>
          <w:sz w:val="24"/>
          <w:szCs w:val="24"/>
        </w:rPr>
        <w:t xml:space="preserve">The Sustainability Victoria Board (Responsible Body) has ultimate responsibility for ensuring that in achieving business objectives, Sustainability Victoria manages risks appropriately. The Risk Management Framework has been developed to ensure best </w:t>
      </w:r>
      <w:r w:rsidRPr="0012760D">
        <w:rPr>
          <w:sz w:val="24"/>
          <w:szCs w:val="24"/>
        </w:rPr>
        <w:lastRenderedPageBreak/>
        <w:t>practice in organisational risk management and alignment to the principles of the Risk Management Standard A</w:t>
      </w:r>
      <w:r w:rsidR="0071725E">
        <w:rPr>
          <w:sz w:val="24"/>
          <w:szCs w:val="24"/>
        </w:rPr>
        <w:t xml:space="preserve"> </w:t>
      </w:r>
      <w:r w:rsidRPr="0012760D">
        <w:rPr>
          <w:sz w:val="24"/>
          <w:szCs w:val="24"/>
        </w:rPr>
        <w:t>S/NZS 4360:2004 and the Victorian Government Risk Management Framework.</w:t>
      </w:r>
    </w:p>
    <w:p w:rsidR="00AF2D9F" w:rsidRPr="0012760D" w:rsidRDefault="00AF2D9F" w:rsidP="00B435AA">
      <w:pPr>
        <w:rPr>
          <w:sz w:val="24"/>
          <w:szCs w:val="24"/>
        </w:rPr>
      </w:pPr>
    </w:p>
    <w:p w:rsidR="00B435AA" w:rsidRDefault="00B435AA" w:rsidP="00B435AA">
      <w:pPr>
        <w:rPr>
          <w:sz w:val="24"/>
          <w:szCs w:val="24"/>
        </w:rPr>
      </w:pPr>
      <w:r w:rsidRPr="0012760D">
        <w:rPr>
          <w:sz w:val="24"/>
          <w:szCs w:val="24"/>
        </w:rPr>
        <w:t>Sustainability Victoria does not have exposure to any loans and/or interest-bearing liabilities except for finance leases disclosed in Notes 16 and 23.</w:t>
      </w:r>
    </w:p>
    <w:p w:rsidR="00AF2D9F" w:rsidRPr="0012760D" w:rsidRDefault="00AF2D9F" w:rsidP="00B435AA">
      <w:pPr>
        <w:rPr>
          <w:sz w:val="24"/>
          <w:szCs w:val="24"/>
        </w:rPr>
      </w:pPr>
    </w:p>
    <w:p w:rsidR="00B435AA" w:rsidRDefault="00B435AA" w:rsidP="00B435AA">
      <w:pPr>
        <w:rPr>
          <w:sz w:val="24"/>
          <w:szCs w:val="24"/>
        </w:rPr>
      </w:pPr>
      <w:r w:rsidRPr="0012760D">
        <w:rPr>
          <w:sz w:val="24"/>
          <w:szCs w:val="24"/>
        </w:rPr>
        <w:t>Financial assets and financial liabilities are disclosed in note 23 - Financial instruments and are valued at amortised cost (including transaction costs that are directly attributable to the acquisition or the issue of the financial asset or liability.</w:t>
      </w:r>
    </w:p>
    <w:p w:rsidR="00AF2D9F" w:rsidRDefault="00AF2D9F" w:rsidP="00B435AA">
      <w:pPr>
        <w:rPr>
          <w:sz w:val="24"/>
          <w:szCs w:val="24"/>
        </w:rPr>
      </w:pPr>
    </w:p>
    <w:p w:rsidR="00AF2D9F" w:rsidRPr="0012760D" w:rsidRDefault="00AF2D9F" w:rsidP="00B435AA">
      <w:pPr>
        <w:rPr>
          <w:sz w:val="24"/>
          <w:szCs w:val="24"/>
        </w:rPr>
      </w:pPr>
    </w:p>
    <w:p w:rsidR="00B435AA" w:rsidRDefault="00B435AA" w:rsidP="00AF2D9F">
      <w:pPr>
        <w:pStyle w:val="Heading2"/>
      </w:pPr>
      <w:r w:rsidRPr="0012760D">
        <w:t>2.1 Market Risk (Interest Rate Risk)</w:t>
      </w:r>
    </w:p>
    <w:p w:rsidR="00AF2D9F" w:rsidRPr="0012760D" w:rsidRDefault="00AF2D9F" w:rsidP="00B435AA">
      <w:pPr>
        <w:rPr>
          <w:sz w:val="24"/>
          <w:szCs w:val="24"/>
        </w:rPr>
      </w:pPr>
    </w:p>
    <w:p w:rsidR="00B435AA" w:rsidRDefault="00B435AA" w:rsidP="00B435AA">
      <w:pPr>
        <w:rPr>
          <w:sz w:val="24"/>
          <w:szCs w:val="24"/>
        </w:rPr>
      </w:pPr>
      <w:r w:rsidRPr="0012760D">
        <w:rPr>
          <w:sz w:val="24"/>
          <w:szCs w:val="24"/>
        </w:rPr>
        <w:t>Sustainability Victoria's exposure to market risk is solely through interest rate risk. There is no exposure to foreign exchange risk or other price risks.</w:t>
      </w:r>
    </w:p>
    <w:p w:rsidR="00AF2D9F" w:rsidRDefault="00AF2D9F" w:rsidP="00B435AA">
      <w:pPr>
        <w:rPr>
          <w:sz w:val="24"/>
          <w:szCs w:val="24"/>
        </w:rPr>
      </w:pPr>
    </w:p>
    <w:p w:rsidR="00AF2D9F" w:rsidRPr="0012760D" w:rsidRDefault="00AF2D9F" w:rsidP="00B435AA">
      <w:pPr>
        <w:rPr>
          <w:sz w:val="24"/>
          <w:szCs w:val="24"/>
        </w:rPr>
      </w:pPr>
    </w:p>
    <w:p w:rsidR="00B435AA" w:rsidRDefault="00B435AA" w:rsidP="00AF2D9F">
      <w:pPr>
        <w:pStyle w:val="Heading2"/>
      </w:pPr>
      <w:r w:rsidRPr="0012760D">
        <w:t>2.2 Liquidity Risk</w:t>
      </w:r>
    </w:p>
    <w:p w:rsidR="00AF2D9F" w:rsidRPr="0012760D" w:rsidRDefault="00AF2D9F" w:rsidP="00B435AA">
      <w:pPr>
        <w:rPr>
          <w:sz w:val="24"/>
          <w:szCs w:val="24"/>
        </w:rPr>
      </w:pPr>
    </w:p>
    <w:p w:rsidR="00B435AA" w:rsidRDefault="00B435AA" w:rsidP="00B435AA">
      <w:pPr>
        <w:rPr>
          <w:sz w:val="24"/>
          <w:szCs w:val="24"/>
        </w:rPr>
      </w:pPr>
      <w:r w:rsidRPr="0012760D">
        <w:rPr>
          <w:sz w:val="24"/>
          <w:szCs w:val="24"/>
        </w:rPr>
        <w:t>Liquidity risk arises when Sustainability Victoria is unable to meet its financial obligations as they fall due. Sustainability Victoria operates under the government fair payments policy of settling financial obligations within 30 days. Ongoing thirteen months cash flow forecasts are prepared to manage risk through monitoring future cash flow requirements to ensure adequate holding of high-quality liquid assets.</w:t>
      </w:r>
    </w:p>
    <w:p w:rsidR="00AF2D9F" w:rsidRPr="0012760D" w:rsidRDefault="00AF2D9F" w:rsidP="00B435AA">
      <w:pPr>
        <w:rPr>
          <w:sz w:val="24"/>
          <w:szCs w:val="24"/>
        </w:rPr>
      </w:pPr>
    </w:p>
    <w:p w:rsidR="00B435AA" w:rsidRDefault="00B435AA" w:rsidP="00B435AA">
      <w:pPr>
        <w:rPr>
          <w:sz w:val="24"/>
          <w:szCs w:val="24"/>
        </w:rPr>
      </w:pPr>
      <w:r w:rsidRPr="0012760D">
        <w:rPr>
          <w:sz w:val="24"/>
          <w:szCs w:val="24"/>
        </w:rPr>
        <w:t>Sustainability Victoria exposure to liquidity risk is deemed insignificant, based on prior period's data and current assessment of risk. Cash for unexpected events is generally sourced from liquidation of available cash deposits at call and/or maturing short-term deposits.</w:t>
      </w:r>
    </w:p>
    <w:p w:rsidR="00AF2D9F" w:rsidRDefault="00AF2D9F" w:rsidP="00B435AA">
      <w:pPr>
        <w:rPr>
          <w:sz w:val="24"/>
          <w:szCs w:val="24"/>
        </w:rPr>
      </w:pPr>
    </w:p>
    <w:p w:rsidR="00AF2D9F" w:rsidRPr="0012760D" w:rsidRDefault="00AF2D9F" w:rsidP="00B435AA">
      <w:pPr>
        <w:rPr>
          <w:sz w:val="24"/>
          <w:szCs w:val="24"/>
        </w:rPr>
      </w:pPr>
    </w:p>
    <w:p w:rsidR="00B435AA" w:rsidRDefault="00B435AA" w:rsidP="00AF2D9F">
      <w:pPr>
        <w:pStyle w:val="Heading2"/>
      </w:pPr>
      <w:r w:rsidRPr="0012760D">
        <w:t>2.3 Credit Risk</w:t>
      </w:r>
    </w:p>
    <w:p w:rsidR="00AF2D9F" w:rsidRPr="0012760D" w:rsidRDefault="00AF2D9F" w:rsidP="00B435AA">
      <w:pPr>
        <w:rPr>
          <w:sz w:val="24"/>
          <w:szCs w:val="24"/>
        </w:rPr>
      </w:pPr>
    </w:p>
    <w:p w:rsidR="00B435AA" w:rsidRDefault="00B435AA" w:rsidP="00B435AA">
      <w:pPr>
        <w:rPr>
          <w:sz w:val="24"/>
          <w:szCs w:val="24"/>
        </w:rPr>
      </w:pPr>
      <w:r w:rsidRPr="0012760D">
        <w:rPr>
          <w:sz w:val="24"/>
          <w:szCs w:val="24"/>
        </w:rPr>
        <w:t>Credit risk arises from the financial assets of Sustainability Victoria which comprise cash and cash equivalents, trade and other receivables.</w:t>
      </w:r>
    </w:p>
    <w:p w:rsidR="00AF2D9F" w:rsidRPr="0012760D" w:rsidRDefault="00AF2D9F" w:rsidP="00B435AA">
      <w:pPr>
        <w:rPr>
          <w:sz w:val="24"/>
          <w:szCs w:val="24"/>
        </w:rPr>
      </w:pPr>
    </w:p>
    <w:p w:rsidR="00B435AA" w:rsidRPr="0012760D" w:rsidRDefault="00B435AA" w:rsidP="00B435AA">
      <w:pPr>
        <w:rPr>
          <w:sz w:val="24"/>
          <w:szCs w:val="24"/>
        </w:rPr>
      </w:pPr>
      <w:r w:rsidRPr="0012760D">
        <w:rPr>
          <w:sz w:val="24"/>
          <w:szCs w:val="24"/>
        </w:rPr>
        <w:t>Credit risk associated with Sustainability Victoria financial assets is minimal, because the main debtors are Victorian Government entities and no credit facilities are provided to non-government clients.</w:t>
      </w:r>
    </w:p>
    <w:p w:rsidR="00B435AA" w:rsidRPr="0012760D" w:rsidRDefault="00B435AA" w:rsidP="00B435AA">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2239"/>
        <w:gridCol w:w="1845"/>
        <w:gridCol w:w="1346"/>
        <w:gridCol w:w="1108"/>
        <w:gridCol w:w="1230"/>
        <w:gridCol w:w="1341"/>
      </w:tblGrid>
      <w:tr w:rsidR="00B435AA" w:rsidRPr="0012760D" w:rsidTr="00133F16">
        <w:tblPrEx>
          <w:tblCellMar>
            <w:top w:w="0" w:type="dxa"/>
            <w:bottom w:w="0" w:type="dxa"/>
          </w:tblCellMar>
        </w:tblPrEx>
        <w:tc>
          <w:tcPr>
            <w:tcW w:w="2242" w:type="pct"/>
            <w:gridSpan w:val="2"/>
            <w:shd w:val="clear" w:color="auto" w:fill="auto"/>
          </w:tcPr>
          <w:p w:rsidR="00B435AA" w:rsidRPr="0012760D" w:rsidRDefault="00B435AA" w:rsidP="00133F16">
            <w:pPr>
              <w:rPr>
                <w:sz w:val="24"/>
                <w:szCs w:val="24"/>
              </w:rPr>
            </w:pPr>
          </w:p>
        </w:tc>
        <w:tc>
          <w:tcPr>
            <w:tcW w:w="2758" w:type="pct"/>
            <w:gridSpan w:val="4"/>
            <w:shd w:val="clear" w:color="auto" w:fill="auto"/>
          </w:tcPr>
          <w:p w:rsidR="00B435AA" w:rsidRPr="0012760D" w:rsidRDefault="00B435AA" w:rsidP="00133F16">
            <w:pPr>
              <w:jc w:val="center"/>
              <w:rPr>
                <w:sz w:val="24"/>
                <w:szCs w:val="24"/>
              </w:rPr>
            </w:pPr>
            <w:r w:rsidRPr="0012760D">
              <w:rPr>
                <w:bCs/>
                <w:sz w:val="24"/>
                <w:szCs w:val="24"/>
              </w:rPr>
              <w:t>Interest rate risk</w:t>
            </w:r>
          </w:p>
        </w:tc>
      </w:tr>
      <w:tr w:rsidR="00B435AA" w:rsidRPr="0012760D" w:rsidTr="00133F16">
        <w:tblPrEx>
          <w:tblCellMar>
            <w:top w:w="0" w:type="dxa"/>
            <w:bottom w:w="0" w:type="dxa"/>
          </w:tblCellMar>
        </w:tblPrEx>
        <w:tc>
          <w:tcPr>
            <w:tcW w:w="2242" w:type="pct"/>
            <w:gridSpan w:val="2"/>
            <w:shd w:val="clear" w:color="auto" w:fill="auto"/>
          </w:tcPr>
          <w:p w:rsidR="00B435AA" w:rsidRPr="0012760D" w:rsidRDefault="00B435AA" w:rsidP="00133F16">
            <w:pPr>
              <w:rPr>
                <w:sz w:val="24"/>
                <w:szCs w:val="24"/>
              </w:rPr>
            </w:pPr>
          </w:p>
        </w:tc>
        <w:tc>
          <w:tcPr>
            <w:tcW w:w="1347" w:type="pct"/>
            <w:gridSpan w:val="2"/>
            <w:shd w:val="clear" w:color="auto" w:fill="auto"/>
          </w:tcPr>
          <w:p w:rsidR="00B435AA" w:rsidRPr="0012760D" w:rsidRDefault="00B435AA" w:rsidP="00133F16">
            <w:pPr>
              <w:jc w:val="center"/>
              <w:rPr>
                <w:sz w:val="24"/>
                <w:szCs w:val="24"/>
              </w:rPr>
            </w:pPr>
            <w:r w:rsidRPr="0012760D">
              <w:rPr>
                <w:bCs/>
                <w:sz w:val="24"/>
                <w:szCs w:val="24"/>
              </w:rPr>
              <w:t>-0.5%</w:t>
            </w:r>
          </w:p>
        </w:tc>
        <w:tc>
          <w:tcPr>
            <w:tcW w:w="1411" w:type="pct"/>
            <w:gridSpan w:val="2"/>
            <w:shd w:val="clear" w:color="auto" w:fill="auto"/>
          </w:tcPr>
          <w:p w:rsidR="00B435AA" w:rsidRPr="0012760D" w:rsidRDefault="00B435AA" w:rsidP="00133F16">
            <w:pPr>
              <w:jc w:val="center"/>
              <w:rPr>
                <w:sz w:val="24"/>
                <w:szCs w:val="24"/>
              </w:rPr>
            </w:pPr>
            <w:r w:rsidRPr="0012760D">
              <w:rPr>
                <w:bCs/>
                <w:sz w:val="24"/>
                <w:szCs w:val="24"/>
              </w:rPr>
              <w:t>+0.5%</w:t>
            </w:r>
          </w:p>
        </w:tc>
      </w:tr>
      <w:tr w:rsidR="00B435AA" w:rsidRPr="0012760D" w:rsidTr="00133F16">
        <w:tblPrEx>
          <w:tblCellMar>
            <w:top w:w="0" w:type="dxa"/>
            <w:bottom w:w="0" w:type="dxa"/>
          </w:tblCellMar>
        </w:tblPrEx>
        <w:tc>
          <w:tcPr>
            <w:tcW w:w="1229" w:type="pct"/>
            <w:shd w:val="clear" w:color="auto" w:fill="auto"/>
          </w:tcPr>
          <w:p w:rsidR="00B435AA" w:rsidRPr="0012760D" w:rsidRDefault="00B435AA" w:rsidP="00133F16">
            <w:pPr>
              <w:rPr>
                <w:sz w:val="24"/>
                <w:szCs w:val="24"/>
              </w:rPr>
            </w:pPr>
          </w:p>
        </w:tc>
        <w:tc>
          <w:tcPr>
            <w:tcW w:w="1013" w:type="pct"/>
            <w:shd w:val="clear" w:color="auto" w:fill="auto"/>
          </w:tcPr>
          <w:p w:rsidR="00B435AA" w:rsidRPr="0012760D" w:rsidRDefault="00B435AA" w:rsidP="00133F16">
            <w:pPr>
              <w:rPr>
                <w:sz w:val="24"/>
                <w:szCs w:val="24"/>
              </w:rPr>
            </w:pPr>
            <w:r w:rsidRPr="0012760D">
              <w:rPr>
                <w:bCs/>
                <w:sz w:val="24"/>
                <w:szCs w:val="24"/>
              </w:rPr>
              <w:t>Carrying amount $</w:t>
            </w:r>
          </w:p>
        </w:tc>
        <w:tc>
          <w:tcPr>
            <w:tcW w:w="739" w:type="pct"/>
            <w:shd w:val="clear" w:color="auto" w:fill="auto"/>
          </w:tcPr>
          <w:p w:rsidR="00B435AA" w:rsidRPr="0012760D" w:rsidRDefault="00B435AA" w:rsidP="00133F16">
            <w:pPr>
              <w:rPr>
                <w:sz w:val="24"/>
                <w:szCs w:val="24"/>
              </w:rPr>
            </w:pPr>
            <w:r w:rsidRPr="0012760D">
              <w:rPr>
                <w:bCs/>
                <w:sz w:val="24"/>
                <w:szCs w:val="24"/>
              </w:rPr>
              <w:t>Result $</w:t>
            </w:r>
          </w:p>
        </w:tc>
        <w:tc>
          <w:tcPr>
            <w:tcW w:w="608" w:type="pct"/>
            <w:shd w:val="clear" w:color="auto" w:fill="auto"/>
          </w:tcPr>
          <w:p w:rsidR="00B435AA" w:rsidRPr="0012760D" w:rsidRDefault="00B435AA" w:rsidP="00133F16">
            <w:pPr>
              <w:rPr>
                <w:sz w:val="24"/>
                <w:szCs w:val="24"/>
              </w:rPr>
            </w:pPr>
            <w:r w:rsidRPr="0012760D">
              <w:rPr>
                <w:bCs/>
                <w:sz w:val="24"/>
                <w:szCs w:val="24"/>
              </w:rPr>
              <w:t>Equity $</w:t>
            </w:r>
          </w:p>
        </w:tc>
        <w:tc>
          <w:tcPr>
            <w:tcW w:w="675" w:type="pct"/>
            <w:shd w:val="clear" w:color="auto" w:fill="auto"/>
          </w:tcPr>
          <w:p w:rsidR="00B435AA" w:rsidRPr="0012760D" w:rsidRDefault="00B435AA" w:rsidP="00133F16">
            <w:pPr>
              <w:rPr>
                <w:sz w:val="24"/>
                <w:szCs w:val="24"/>
              </w:rPr>
            </w:pPr>
            <w:r w:rsidRPr="0012760D">
              <w:rPr>
                <w:bCs/>
                <w:sz w:val="24"/>
                <w:szCs w:val="24"/>
              </w:rPr>
              <w:t>Result $</w:t>
            </w:r>
          </w:p>
        </w:tc>
        <w:tc>
          <w:tcPr>
            <w:tcW w:w="736" w:type="pct"/>
            <w:shd w:val="clear" w:color="auto" w:fill="auto"/>
          </w:tcPr>
          <w:p w:rsidR="00B435AA" w:rsidRPr="0012760D" w:rsidRDefault="00B435AA" w:rsidP="00133F16">
            <w:pPr>
              <w:rPr>
                <w:sz w:val="24"/>
                <w:szCs w:val="24"/>
              </w:rPr>
            </w:pPr>
            <w:r w:rsidRPr="0012760D">
              <w:rPr>
                <w:bCs/>
                <w:sz w:val="24"/>
                <w:szCs w:val="24"/>
              </w:rPr>
              <w:t>Equity $</w:t>
            </w:r>
          </w:p>
        </w:tc>
      </w:tr>
      <w:tr w:rsidR="00B435AA" w:rsidRPr="0012760D" w:rsidTr="00133F16">
        <w:tblPrEx>
          <w:tblCellMar>
            <w:top w:w="0" w:type="dxa"/>
            <w:bottom w:w="0" w:type="dxa"/>
          </w:tblCellMar>
        </w:tblPrEx>
        <w:tc>
          <w:tcPr>
            <w:tcW w:w="5000" w:type="pct"/>
            <w:gridSpan w:val="6"/>
            <w:shd w:val="clear" w:color="auto" w:fill="auto"/>
          </w:tcPr>
          <w:p w:rsidR="00B435AA" w:rsidRPr="0012760D" w:rsidRDefault="00B435AA" w:rsidP="00133F16">
            <w:pPr>
              <w:rPr>
                <w:sz w:val="24"/>
                <w:szCs w:val="24"/>
              </w:rPr>
            </w:pPr>
            <w:r w:rsidRPr="0012760D">
              <w:rPr>
                <w:bCs/>
                <w:sz w:val="24"/>
                <w:szCs w:val="24"/>
              </w:rPr>
              <w:t>30 June 2013</w:t>
            </w:r>
          </w:p>
        </w:tc>
      </w:tr>
      <w:tr w:rsidR="00B435AA" w:rsidRPr="0012760D" w:rsidTr="00133F16">
        <w:tblPrEx>
          <w:tblCellMar>
            <w:top w:w="0" w:type="dxa"/>
            <w:bottom w:w="0" w:type="dxa"/>
          </w:tblCellMar>
        </w:tblPrEx>
        <w:tc>
          <w:tcPr>
            <w:tcW w:w="1229" w:type="pct"/>
            <w:shd w:val="clear" w:color="auto" w:fill="auto"/>
          </w:tcPr>
          <w:p w:rsidR="00B435AA" w:rsidRPr="0012760D" w:rsidRDefault="00B435AA" w:rsidP="00AF2D9F">
            <w:pPr>
              <w:rPr>
                <w:bCs/>
                <w:sz w:val="24"/>
                <w:szCs w:val="24"/>
              </w:rPr>
            </w:pPr>
            <w:r w:rsidRPr="0012760D">
              <w:rPr>
                <w:sz w:val="24"/>
                <w:szCs w:val="24"/>
              </w:rPr>
              <w:t>Financial assets</w:t>
            </w:r>
            <w:r w:rsidR="00AF2D9F">
              <w:rPr>
                <w:sz w:val="24"/>
                <w:szCs w:val="24"/>
              </w:rPr>
              <w:t xml:space="preserve"> </w:t>
            </w:r>
            <w:r w:rsidRPr="0012760D">
              <w:rPr>
                <w:sz w:val="24"/>
                <w:szCs w:val="24"/>
              </w:rPr>
              <w:t>Cash and cash equivalents</w:t>
            </w:r>
          </w:p>
        </w:tc>
        <w:tc>
          <w:tcPr>
            <w:tcW w:w="1013" w:type="pct"/>
            <w:shd w:val="clear" w:color="auto" w:fill="auto"/>
            <w:vAlign w:val="bottom"/>
          </w:tcPr>
          <w:p w:rsidR="00B435AA" w:rsidRPr="0012760D" w:rsidRDefault="00B435AA" w:rsidP="00133F16">
            <w:pPr>
              <w:jc w:val="right"/>
              <w:rPr>
                <w:sz w:val="24"/>
                <w:szCs w:val="24"/>
              </w:rPr>
            </w:pPr>
            <w:r w:rsidRPr="0012760D">
              <w:rPr>
                <w:sz w:val="24"/>
                <w:szCs w:val="24"/>
              </w:rPr>
              <w:t>36,633,167</w:t>
            </w:r>
          </w:p>
        </w:tc>
        <w:tc>
          <w:tcPr>
            <w:tcW w:w="739" w:type="pct"/>
            <w:shd w:val="clear" w:color="auto" w:fill="auto"/>
            <w:vAlign w:val="bottom"/>
          </w:tcPr>
          <w:p w:rsidR="00B435AA" w:rsidRPr="0012760D" w:rsidRDefault="00B435AA" w:rsidP="00133F16">
            <w:pPr>
              <w:jc w:val="right"/>
              <w:rPr>
                <w:sz w:val="24"/>
                <w:szCs w:val="24"/>
              </w:rPr>
            </w:pPr>
            <w:r w:rsidRPr="0012760D">
              <w:rPr>
                <w:sz w:val="24"/>
                <w:szCs w:val="24"/>
              </w:rPr>
              <w:t>(183,166)</w:t>
            </w:r>
          </w:p>
        </w:tc>
        <w:tc>
          <w:tcPr>
            <w:tcW w:w="608" w:type="pct"/>
            <w:shd w:val="clear" w:color="auto" w:fill="auto"/>
            <w:vAlign w:val="bottom"/>
          </w:tcPr>
          <w:p w:rsidR="00B435AA" w:rsidRPr="0012760D" w:rsidRDefault="00B435AA" w:rsidP="00133F16">
            <w:pPr>
              <w:jc w:val="right"/>
              <w:rPr>
                <w:sz w:val="24"/>
                <w:szCs w:val="24"/>
              </w:rPr>
            </w:pPr>
            <w:r w:rsidRPr="0012760D">
              <w:rPr>
                <w:sz w:val="24"/>
                <w:szCs w:val="24"/>
              </w:rPr>
              <w:t>(183,166)</w:t>
            </w:r>
          </w:p>
        </w:tc>
        <w:tc>
          <w:tcPr>
            <w:tcW w:w="675" w:type="pct"/>
            <w:shd w:val="clear" w:color="auto" w:fill="auto"/>
            <w:vAlign w:val="bottom"/>
          </w:tcPr>
          <w:p w:rsidR="00B435AA" w:rsidRPr="0012760D" w:rsidRDefault="00B435AA" w:rsidP="00133F16">
            <w:pPr>
              <w:jc w:val="right"/>
              <w:rPr>
                <w:sz w:val="24"/>
                <w:szCs w:val="24"/>
              </w:rPr>
            </w:pPr>
            <w:r w:rsidRPr="0012760D">
              <w:rPr>
                <w:sz w:val="24"/>
                <w:szCs w:val="24"/>
              </w:rPr>
              <w:t>183,166</w:t>
            </w:r>
          </w:p>
        </w:tc>
        <w:tc>
          <w:tcPr>
            <w:tcW w:w="736" w:type="pct"/>
            <w:shd w:val="clear" w:color="auto" w:fill="auto"/>
            <w:vAlign w:val="bottom"/>
          </w:tcPr>
          <w:p w:rsidR="00B435AA" w:rsidRPr="0012760D" w:rsidRDefault="00B435AA" w:rsidP="00133F16">
            <w:pPr>
              <w:jc w:val="right"/>
              <w:rPr>
                <w:sz w:val="24"/>
                <w:szCs w:val="24"/>
              </w:rPr>
            </w:pPr>
            <w:r w:rsidRPr="0012760D">
              <w:rPr>
                <w:sz w:val="24"/>
                <w:szCs w:val="24"/>
              </w:rPr>
              <w:t>183,166</w:t>
            </w:r>
          </w:p>
        </w:tc>
      </w:tr>
      <w:tr w:rsidR="00B435AA" w:rsidRPr="0012760D" w:rsidTr="00133F16">
        <w:tblPrEx>
          <w:tblCellMar>
            <w:top w:w="0" w:type="dxa"/>
            <w:bottom w:w="0" w:type="dxa"/>
          </w:tblCellMar>
        </w:tblPrEx>
        <w:tc>
          <w:tcPr>
            <w:tcW w:w="5000" w:type="pct"/>
            <w:gridSpan w:val="6"/>
            <w:shd w:val="clear" w:color="auto" w:fill="auto"/>
          </w:tcPr>
          <w:p w:rsidR="00B435AA" w:rsidRPr="0012760D" w:rsidRDefault="00B435AA" w:rsidP="00133F16">
            <w:pPr>
              <w:rPr>
                <w:sz w:val="24"/>
                <w:szCs w:val="24"/>
              </w:rPr>
            </w:pPr>
            <w:r w:rsidRPr="0012760D">
              <w:rPr>
                <w:bCs/>
                <w:sz w:val="24"/>
                <w:szCs w:val="24"/>
              </w:rPr>
              <w:lastRenderedPageBreak/>
              <w:t>30 June 2012</w:t>
            </w:r>
          </w:p>
        </w:tc>
      </w:tr>
      <w:tr w:rsidR="00B435AA" w:rsidRPr="0012760D" w:rsidTr="00133F16">
        <w:tblPrEx>
          <w:tblCellMar>
            <w:top w:w="0" w:type="dxa"/>
            <w:bottom w:w="0" w:type="dxa"/>
          </w:tblCellMar>
        </w:tblPrEx>
        <w:tc>
          <w:tcPr>
            <w:tcW w:w="1229" w:type="pct"/>
            <w:shd w:val="clear" w:color="auto" w:fill="auto"/>
          </w:tcPr>
          <w:p w:rsidR="00B435AA" w:rsidRPr="0012760D" w:rsidRDefault="00B435AA" w:rsidP="00AF2D9F">
            <w:pPr>
              <w:rPr>
                <w:bCs/>
                <w:sz w:val="24"/>
                <w:szCs w:val="24"/>
              </w:rPr>
            </w:pPr>
            <w:r w:rsidRPr="0012760D">
              <w:rPr>
                <w:sz w:val="24"/>
                <w:szCs w:val="24"/>
              </w:rPr>
              <w:t>Financial assets</w:t>
            </w:r>
            <w:r w:rsidR="00AF2D9F">
              <w:rPr>
                <w:sz w:val="24"/>
                <w:szCs w:val="24"/>
              </w:rPr>
              <w:t xml:space="preserve"> </w:t>
            </w:r>
            <w:r w:rsidRPr="0012760D">
              <w:rPr>
                <w:sz w:val="24"/>
                <w:szCs w:val="24"/>
              </w:rPr>
              <w:t>Cash and cash equivalents</w:t>
            </w:r>
          </w:p>
        </w:tc>
        <w:tc>
          <w:tcPr>
            <w:tcW w:w="1013" w:type="pct"/>
            <w:shd w:val="clear" w:color="auto" w:fill="auto"/>
            <w:vAlign w:val="bottom"/>
          </w:tcPr>
          <w:p w:rsidR="00B435AA" w:rsidRPr="0012760D" w:rsidRDefault="00B435AA" w:rsidP="00133F16">
            <w:pPr>
              <w:jc w:val="right"/>
              <w:rPr>
                <w:sz w:val="24"/>
                <w:szCs w:val="24"/>
              </w:rPr>
            </w:pPr>
            <w:r w:rsidRPr="0012760D">
              <w:rPr>
                <w:sz w:val="24"/>
                <w:szCs w:val="24"/>
              </w:rPr>
              <w:t>23,422,200</w:t>
            </w:r>
          </w:p>
        </w:tc>
        <w:tc>
          <w:tcPr>
            <w:tcW w:w="739" w:type="pct"/>
            <w:shd w:val="clear" w:color="auto" w:fill="auto"/>
            <w:vAlign w:val="bottom"/>
          </w:tcPr>
          <w:p w:rsidR="00B435AA" w:rsidRPr="0012760D" w:rsidRDefault="00B435AA" w:rsidP="00133F16">
            <w:pPr>
              <w:jc w:val="right"/>
              <w:rPr>
                <w:sz w:val="24"/>
                <w:szCs w:val="24"/>
              </w:rPr>
            </w:pPr>
            <w:r w:rsidRPr="0012760D">
              <w:rPr>
                <w:sz w:val="24"/>
                <w:szCs w:val="24"/>
              </w:rPr>
              <w:t>(117,111)</w:t>
            </w:r>
          </w:p>
        </w:tc>
        <w:tc>
          <w:tcPr>
            <w:tcW w:w="608" w:type="pct"/>
            <w:shd w:val="clear" w:color="auto" w:fill="auto"/>
            <w:vAlign w:val="bottom"/>
          </w:tcPr>
          <w:p w:rsidR="00B435AA" w:rsidRPr="0012760D" w:rsidRDefault="00B435AA" w:rsidP="00133F16">
            <w:pPr>
              <w:jc w:val="right"/>
              <w:rPr>
                <w:sz w:val="24"/>
                <w:szCs w:val="24"/>
              </w:rPr>
            </w:pPr>
            <w:r w:rsidRPr="0012760D">
              <w:rPr>
                <w:sz w:val="24"/>
                <w:szCs w:val="24"/>
              </w:rPr>
              <w:t>(117,111)</w:t>
            </w:r>
          </w:p>
        </w:tc>
        <w:tc>
          <w:tcPr>
            <w:tcW w:w="675" w:type="pct"/>
            <w:shd w:val="clear" w:color="auto" w:fill="auto"/>
            <w:vAlign w:val="bottom"/>
          </w:tcPr>
          <w:p w:rsidR="00B435AA" w:rsidRPr="0012760D" w:rsidRDefault="00B435AA" w:rsidP="00133F16">
            <w:pPr>
              <w:jc w:val="right"/>
              <w:rPr>
                <w:sz w:val="24"/>
                <w:szCs w:val="24"/>
              </w:rPr>
            </w:pPr>
            <w:r w:rsidRPr="0012760D">
              <w:rPr>
                <w:sz w:val="24"/>
                <w:szCs w:val="24"/>
              </w:rPr>
              <w:t>117,111</w:t>
            </w:r>
          </w:p>
        </w:tc>
        <w:tc>
          <w:tcPr>
            <w:tcW w:w="736" w:type="pct"/>
            <w:shd w:val="clear" w:color="auto" w:fill="auto"/>
            <w:vAlign w:val="bottom"/>
          </w:tcPr>
          <w:p w:rsidR="00B435AA" w:rsidRPr="0012760D" w:rsidRDefault="00B435AA" w:rsidP="00133F16">
            <w:pPr>
              <w:jc w:val="right"/>
              <w:rPr>
                <w:sz w:val="24"/>
                <w:szCs w:val="24"/>
              </w:rPr>
            </w:pPr>
            <w:r w:rsidRPr="0012760D">
              <w:rPr>
                <w:sz w:val="24"/>
                <w:szCs w:val="24"/>
              </w:rPr>
              <w:t>117,111</w:t>
            </w:r>
          </w:p>
        </w:tc>
      </w:tr>
    </w:tbl>
    <w:p w:rsidR="00CE0A93" w:rsidRDefault="00CE0A93" w:rsidP="00CE0A93">
      <w:pPr>
        <w:rPr>
          <w:bCs/>
          <w:sz w:val="24"/>
          <w:szCs w:val="24"/>
        </w:rPr>
      </w:pPr>
      <w:r w:rsidRPr="0012760D">
        <w:rPr>
          <w:bCs/>
          <w:sz w:val="24"/>
          <w:szCs w:val="24"/>
        </w:rPr>
        <w:t>&lt;pp&gt; 40</w:t>
      </w:r>
    </w:p>
    <w:p w:rsidR="00AF2D9F" w:rsidRDefault="00AF2D9F" w:rsidP="00CE0A93">
      <w:pPr>
        <w:rPr>
          <w:bCs/>
          <w:sz w:val="24"/>
          <w:szCs w:val="24"/>
        </w:rPr>
      </w:pPr>
    </w:p>
    <w:p w:rsidR="00AF2D9F" w:rsidRPr="0012760D" w:rsidRDefault="00AF2D9F" w:rsidP="00CE0A93">
      <w:pPr>
        <w:rPr>
          <w:sz w:val="24"/>
          <w:szCs w:val="24"/>
        </w:rPr>
      </w:pPr>
    </w:p>
    <w:p w:rsidR="00CE0A93" w:rsidRPr="0012760D" w:rsidRDefault="00CE0A93" w:rsidP="00AF2D9F">
      <w:pPr>
        <w:pStyle w:val="Heading2"/>
      </w:pPr>
      <w:r w:rsidRPr="0012760D">
        <w:t>3. Income from Transactions</w:t>
      </w:r>
    </w:p>
    <w:p w:rsidR="00CE0A93" w:rsidRPr="0012760D" w:rsidRDefault="00CE0A93" w:rsidP="00CE0A93">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5083"/>
        <w:gridCol w:w="1971"/>
        <w:gridCol w:w="2055"/>
      </w:tblGrid>
      <w:tr w:rsidR="00CE0A93" w:rsidRPr="0012760D" w:rsidTr="00907E0B">
        <w:tblPrEx>
          <w:tblCellMar>
            <w:top w:w="0" w:type="dxa"/>
            <w:bottom w:w="0" w:type="dxa"/>
          </w:tblCellMar>
        </w:tblPrEx>
        <w:tc>
          <w:tcPr>
            <w:tcW w:w="2790" w:type="pct"/>
            <w:shd w:val="clear" w:color="auto" w:fill="auto"/>
          </w:tcPr>
          <w:p w:rsidR="00CE0A93" w:rsidRPr="0012760D" w:rsidRDefault="00CE0A93" w:rsidP="00907E0B">
            <w:pPr>
              <w:rPr>
                <w:sz w:val="24"/>
                <w:szCs w:val="24"/>
              </w:rPr>
            </w:pPr>
            <w:r w:rsidRPr="0012760D">
              <w:rPr>
                <w:bCs/>
                <w:sz w:val="24"/>
                <w:szCs w:val="24"/>
              </w:rPr>
              <w:t>Income/revenue by source</w:t>
            </w:r>
          </w:p>
        </w:tc>
        <w:tc>
          <w:tcPr>
            <w:tcW w:w="1082" w:type="pct"/>
            <w:shd w:val="clear" w:color="auto" w:fill="auto"/>
          </w:tcPr>
          <w:p w:rsidR="00CE0A93" w:rsidRPr="0012760D" w:rsidRDefault="00CE0A93" w:rsidP="00907E0B">
            <w:pPr>
              <w:jc w:val="right"/>
              <w:rPr>
                <w:sz w:val="24"/>
                <w:szCs w:val="24"/>
              </w:rPr>
            </w:pPr>
            <w:r w:rsidRPr="0012760D">
              <w:rPr>
                <w:bCs/>
                <w:sz w:val="24"/>
                <w:szCs w:val="24"/>
              </w:rPr>
              <w:t xml:space="preserve">2013 $ </w:t>
            </w:r>
          </w:p>
        </w:tc>
        <w:tc>
          <w:tcPr>
            <w:tcW w:w="1128" w:type="pct"/>
            <w:shd w:val="clear" w:color="auto" w:fill="auto"/>
          </w:tcPr>
          <w:p w:rsidR="00CE0A93" w:rsidRPr="0012760D" w:rsidRDefault="00CE0A93" w:rsidP="00907E0B">
            <w:pPr>
              <w:jc w:val="right"/>
              <w:rPr>
                <w:sz w:val="24"/>
                <w:szCs w:val="24"/>
              </w:rPr>
            </w:pPr>
            <w:r w:rsidRPr="0012760D">
              <w:rPr>
                <w:bCs/>
                <w:sz w:val="24"/>
                <w:szCs w:val="24"/>
              </w:rPr>
              <w:t>2012 $</w:t>
            </w:r>
          </w:p>
        </w:tc>
      </w:tr>
      <w:tr w:rsidR="00CE0A93" w:rsidRPr="0012760D" w:rsidTr="00907E0B">
        <w:tblPrEx>
          <w:tblCellMar>
            <w:top w:w="0" w:type="dxa"/>
            <w:bottom w:w="0" w:type="dxa"/>
          </w:tblCellMar>
        </w:tblPrEx>
        <w:tc>
          <w:tcPr>
            <w:tcW w:w="2790" w:type="pct"/>
            <w:shd w:val="clear" w:color="auto" w:fill="auto"/>
          </w:tcPr>
          <w:p w:rsidR="00CE0A93" w:rsidRPr="0012760D" w:rsidRDefault="00CE0A93" w:rsidP="00907E0B">
            <w:pPr>
              <w:rPr>
                <w:sz w:val="24"/>
                <w:szCs w:val="24"/>
              </w:rPr>
            </w:pPr>
            <w:r w:rsidRPr="0012760D">
              <w:rPr>
                <w:bCs/>
                <w:sz w:val="24"/>
                <w:szCs w:val="24"/>
              </w:rPr>
              <w:t>Landfill Levy</w:t>
            </w:r>
          </w:p>
        </w:tc>
        <w:tc>
          <w:tcPr>
            <w:tcW w:w="1082" w:type="pct"/>
            <w:shd w:val="clear" w:color="auto" w:fill="auto"/>
          </w:tcPr>
          <w:p w:rsidR="00CE0A93" w:rsidRPr="0012760D" w:rsidRDefault="00CE0A93" w:rsidP="00907E0B">
            <w:pPr>
              <w:jc w:val="right"/>
              <w:rPr>
                <w:sz w:val="24"/>
                <w:szCs w:val="24"/>
              </w:rPr>
            </w:pPr>
            <w:r w:rsidRPr="0012760D">
              <w:rPr>
                <w:bCs/>
                <w:sz w:val="24"/>
                <w:szCs w:val="24"/>
              </w:rPr>
              <w:t>24,075,636</w:t>
            </w:r>
          </w:p>
        </w:tc>
        <w:tc>
          <w:tcPr>
            <w:tcW w:w="1128" w:type="pct"/>
            <w:shd w:val="clear" w:color="auto" w:fill="auto"/>
          </w:tcPr>
          <w:p w:rsidR="00CE0A93" w:rsidRPr="0012760D" w:rsidRDefault="00CE0A93" w:rsidP="00907E0B">
            <w:pPr>
              <w:jc w:val="right"/>
              <w:rPr>
                <w:sz w:val="24"/>
                <w:szCs w:val="24"/>
              </w:rPr>
            </w:pPr>
            <w:r w:rsidRPr="0012760D">
              <w:rPr>
                <w:bCs/>
                <w:sz w:val="24"/>
                <w:szCs w:val="24"/>
              </w:rPr>
              <w:t>24,733,250</w:t>
            </w:r>
          </w:p>
        </w:tc>
      </w:tr>
      <w:tr w:rsidR="00CE0A93" w:rsidRPr="0012760D" w:rsidTr="00907E0B">
        <w:tblPrEx>
          <w:tblCellMar>
            <w:top w:w="0" w:type="dxa"/>
            <w:bottom w:w="0" w:type="dxa"/>
          </w:tblCellMar>
        </w:tblPrEx>
        <w:tc>
          <w:tcPr>
            <w:tcW w:w="5000" w:type="pct"/>
            <w:gridSpan w:val="3"/>
            <w:shd w:val="clear" w:color="auto" w:fill="auto"/>
          </w:tcPr>
          <w:p w:rsidR="00CE0A93" w:rsidRPr="0012760D" w:rsidRDefault="00CE0A93" w:rsidP="00907E0B">
            <w:pPr>
              <w:rPr>
                <w:sz w:val="24"/>
                <w:szCs w:val="24"/>
              </w:rPr>
            </w:pPr>
            <w:r w:rsidRPr="0012760D">
              <w:rPr>
                <w:bCs/>
                <w:sz w:val="24"/>
                <w:szCs w:val="24"/>
              </w:rPr>
              <w:t>Government Grants</w:t>
            </w:r>
          </w:p>
        </w:tc>
      </w:tr>
      <w:tr w:rsidR="00CE0A93" w:rsidRPr="0012760D" w:rsidTr="00907E0B">
        <w:tblPrEx>
          <w:tblCellMar>
            <w:top w:w="0" w:type="dxa"/>
            <w:bottom w:w="0" w:type="dxa"/>
          </w:tblCellMar>
        </w:tblPrEx>
        <w:tc>
          <w:tcPr>
            <w:tcW w:w="5000" w:type="pct"/>
            <w:gridSpan w:val="3"/>
            <w:shd w:val="clear" w:color="auto" w:fill="auto"/>
          </w:tcPr>
          <w:p w:rsidR="00CE0A93" w:rsidRPr="0012760D" w:rsidRDefault="00CE0A93" w:rsidP="00907E0B">
            <w:pPr>
              <w:rPr>
                <w:sz w:val="24"/>
                <w:szCs w:val="24"/>
              </w:rPr>
            </w:pPr>
            <w:r w:rsidRPr="0012760D">
              <w:rPr>
                <w:sz w:val="24"/>
                <w:szCs w:val="24"/>
              </w:rPr>
              <w:t>State government departments and agencies:</w:t>
            </w:r>
          </w:p>
        </w:tc>
      </w:tr>
      <w:tr w:rsidR="00CE0A93" w:rsidRPr="0012760D" w:rsidTr="00907E0B">
        <w:tblPrEx>
          <w:tblCellMar>
            <w:top w:w="0" w:type="dxa"/>
            <w:bottom w:w="0" w:type="dxa"/>
          </w:tblCellMar>
        </w:tblPrEx>
        <w:tc>
          <w:tcPr>
            <w:tcW w:w="2790" w:type="pct"/>
            <w:shd w:val="clear" w:color="auto" w:fill="auto"/>
          </w:tcPr>
          <w:p w:rsidR="00CE0A93" w:rsidRPr="0012760D" w:rsidRDefault="00CE0A93" w:rsidP="00907E0B">
            <w:pPr>
              <w:rPr>
                <w:sz w:val="24"/>
                <w:szCs w:val="24"/>
              </w:rPr>
            </w:pPr>
            <w:r w:rsidRPr="0012760D">
              <w:rPr>
                <w:sz w:val="24"/>
                <w:szCs w:val="24"/>
              </w:rPr>
              <w:t>Annual appropriation</w:t>
            </w:r>
          </w:p>
        </w:tc>
        <w:tc>
          <w:tcPr>
            <w:tcW w:w="1082" w:type="pct"/>
            <w:shd w:val="clear" w:color="auto" w:fill="auto"/>
          </w:tcPr>
          <w:p w:rsidR="00CE0A93" w:rsidRPr="0012760D" w:rsidRDefault="00CE0A93" w:rsidP="00907E0B">
            <w:pPr>
              <w:jc w:val="right"/>
              <w:rPr>
                <w:sz w:val="24"/>
                <w:szCs w:val="24"/>
              </w:rPr>
            </w:pPr>
            <w:r w:rsidRPr="0012760D">
              <w:rPr>
                <w:sz w:val="24"/>
                <w:szCs w:val="24"/>
              </w:rPr>
              <w:t>1,631,413</w:t>
            </w:r>
          </w:p>
        </w:tc>
        <w:tc>
          <w:tcPr>
            <w:tcW w:w="1128" w:type="pct"/>
            <w:shd w:val="clear" w:color="auto" w:fill="auto"/>
          </w:tcPr>
          <w:p w:rsidR="00CE0A93" w:rsidRPr="0012760D" w:rsidRDefault="00CE0A93" w:rsidP="00907E0B">
            <w:pPr>
              <w:jc w:val="right"/>
              <w:rPr>
                <w:sz w:val="24"/>
                <w:szCs w:val="24"/>
              </w:rPr>
            </w:pPr>
            <w:r w:rsidRPr="0012760D">
              <w:rPr>
                <w:sz w:val="24"/>
                <w:szCs w:val="24"/>
              </w:rPr>
              <w:t>6,569,397</w:t>
            </w:r>
          </w:p>
        </w:tc>
      </w:tr>
      <w:tr w:rsidR="00CE0A93" w:rsidRPr="0012760D" w:rsidTr="00907E0B">
        <w:tblPrEx>
          <w:tblCellMar>
            <w:top w:w="0" w:type="dxa"/>
            <w:bottom w:w="0" w:type="dxa"/>
          </w:tblCellMar>
        </w:tblPrEx>
        <w:tc>
          <w:tcPr>
            <w:tcW w:w="2790" w:type="pct"/>
            <w:shd w:val="clear" w:color="auto" w:fill="auto"/>
          </w:tcPr>
          <w:p w:rsidR="00CE0A93" w:rsidRPr="0012760D" w:rsidRDefault="00CE0A93" w:rsidP="00907E0B">
            <w:pPr>
              <w:rPr>
                <w:sz w:val="24"/>
                <w:szCs w:val="24"/>
              </w:rPr>
            </w:pPr>
            <w:r w:rsidRPr="0012760D">
              <w:rPr>
                <w:sz w:val="24"/>
                <w:szCs w:val="24"/>
              </w:rPr>
              <w:t>Sustainability Fund grants to Sustainability Victoria</w:t>
            </w:r>
          </w:p>
        </w:tc>
        <w:tc>
          <w:tcPr>
            <w:tcW w:w="1082" w:type="pct"/>
            <w:shd w:val="clear" w:color="auto" w:fill="auto"/>
          </w:tcPr>
          <w:p w:rsidR="00CE0A93" w:rsidRPr="0012760D" w:rsidRDefault="00CE0A93" w:rsidP="00907E0B">
            <w:pPr>
              <w:jc w:val="right"/>
              <w:rPr>
                <w:sz w:val="24"/>
                <w:szCs w:val="24"/>
              </w:rPr>
            </w:pPr>
            <w:r w:rsidRPr="0012760D">
              <w:rPr>
                <w:sz w:val="24"/>
                <w:szCs w:val="24"/>
              </w:rPr>
              <w:t>12,150,000</w:t>
            </w:r>
          </w:p>
        </w:tc>
        <w:tc>
          <w:tcPr>
            <w:tcW w:w="1128" w:type="pct"/>
            <w:shd w:val="clear" w:color="auto" w:fill="auto"/>
          </w:tcPr>
          <w:p w:rsidR="00CE0A93" w:rsidRPr="0012760D" w:rsidRDefault="00CE0A93" w:rsidP="00907E0B">
            <w:pPr>
              <w:jc w:val="right"/>
              <w:rPr>
                <w:sz w:val="24"/>
                <w:szCs w:val="24"/>
              </w:rPr>
            </w:pPr>
            <w:r w:rsidRPr="0012760D">
              <w:rPr>
                <w:sz w:val="24"/>
                <w:szCs w:val="24"/>
              </w:rPr>
              <w:t>7,041,000</w:t>
            </w:r>
          </w:p>
        </w:tc>
      </w:tr>
      <w:tr w:rsidR="00CE0A93" w:rsidRPr="0012760D" w:rsidTr="00907E0B">
        <w:tblPrEx>
          <w:tblCellMar>
            <w:top w:w="0" w:type="dxa"/>
            <w:bottom w:w="0" w:type="dxa"/>
          </w:tblCellMar>
        </w:tblPrEx>
        <w:tc>
          <w:tcPr>
            <w:tcW w:w="2790" w:type="pct"/>
            <w:shd w:val="clear" w:color="auto" w:fill="auto"/>
          </w:tcPr>
          <w:p w:rsidR="00CE0A93" w:rsidRPr="0012760D" w:rsidRDefault="00CE0A93" w:rsidP="00907E0B">
            <w:pPr>
              <w:rPr>
                <w:sz w:val="24"/>
                <w:szCs w:val="24"/>
              </w:rPr>
            </w:pPr>
            <w:r w:rsidRPr="0012760D">
              <w:rPr>
                <w:sz w:val="24"/>
                <w:szCs w:val="24"/>
              </w:rPr>
              <w:t>Government Initiatives Funding</w:t>
            </w:r>
          </w:p>
        </w:tc>
        <w:tc>
          <w:tcPr>
            <w:tcW w:w="1082" w:type="pct"/>
            <w:shd w:val="clear" w:color="auto" w:fill="auto"/>
          </w:tcPr>
          <w:p w:rsidR="00CE0A93" w:rsidRPr="0012760D" w:rsidRDefault="00CE0A93" w:rsidP="00907E0B">
            <w:pPr>
              <w:jc w:val="right"/>
              <w:rPr>
                <w:sz w:val="24"/>
                <w:szCs w:val="24"/>
              </w:rPr>
            </w:pPr>
            <w:r w:rsidRPr="0012760D">
              <w:rPr>
                <w:sz w:val="24"/>
                <w:szCs w:val="24"/>
              </w:rPr>
              <w:t>-</w:t>
            </w:r>
          </w:p>
        </w:tc>
        <w:tc>
          <w:tcPr>
            <w:tcW w:w="1128" w:type="pct"/>
            <w:shd w:val="clear" w:color="auto" w:fill="auto"/>
          </w:tcPr>
          <w:p w:rsidR="00CE0A93" w:rsidRPr="0012760D" w:rsidRDefault="00CE0A93" w:rsidP="00907E0B">
            <w:pPr>
              <w:jc w:val="right"/>
              <w:rPr>
                <w:sz w:val="24"/>
                <w:szCs w:val="24"/>
              </w:rPr>
            </w:pPr>
            <w:r w:rsidRPr="0012760D">
              <w:rPr>
                <w:sz w:val="24"/>
                <w:szCs w:val="24"/>
              </w:rPr>
              <w:t>4,045,000</w:t>
            </w:r>
          </w:p>
        </w:tc>
      </w:tr>
      <w:tr w:rsidR="00CE0A93" w:rsidRPr="0012760D" w:rsidTr="00907E0B">
        <w:tblPrEx>
          <w:tblCellMar>
            <w:top w:w="0" w:type="dxa"/>
            <w:bottom w:w="0" w:type="dxa"/>
          </w:tblCellMar>
        </w:tblPrEx>
        <w:tc>
          <w:tcPr>
            <w:tcW w:w="2790" w:type="pct"/>
            <w:shd w:val="clear" w:color="auto" w:fill="auto"/>
          </w:tcPr>
          <w:p w:rsidR="00CE0A93" w:rsidRPr="0012760D" w:rsidRDefault="00CE0A93" w:rsidP="00907E0B">
            <w:pPr>
              <w:rPr>
                <w:sz w:val="24"/>
                <w:szCs w:val="24"/>
              </w:rPr>
            </w:pPr>
            <w:r w:rsidRPr="0012760D">
              <w:rPr>
                <w:bCs/>
                <w:sz w:val="24"/>
                <w:szCs w:val="24"/>
              </w:rPr>
              <w:t>Total Government Grants</w:t>
            </w:r>
          </w:p>
        </w:tc>
        <w:tc>
          <w:tcPr>
            <w:tcW w:w="1082" w:type="pct"/>
            <w:shd w:val="clear" w:color="auto" w:fill="auto"/>
          </w:tcPr>
          <w:p w:rsidR="00CE0A93" w:rsidRPr="0012760D" w:rsidRDefault="00CE0A93" w:rsidP="00907E0B">
            <w:pPr>
              <w:jc w:val="right"/>
              <w:rPr>
                <w:sz w:val="24"/>
                <w:szCs w:val="24"/>
              </w:rPr>
            </w:pPr>
            <w:r w:rsidRPr="0012760D">
              <w:rPr>
                <w:bCs/>
                <w:sz w:val="24"/>
                <w:szCs w:val="24"/>
              </w:rPr>
              <w:t>13,781,413</w:t>
            </w:r>
          </w:p>
        </w:tc>
        <w:tc>
          <w:tcPr>
            <w:tcW w:w="1128" w:type="pct"/>
            <w:shd w:val="clear" w:color="auto" w:fill="auto"/>
          </w:tcPr>
          <w:p w:rsidR="00CE0A93" w:rsidRPr="0012760D" w:rsidRDefault="00CE0A93" w:rsidP="00907E0B">
            <w:pPr>
              <w:jc w:val="right"/>
              <w:rPr>
                <w:sz w:val="24"/>
                <w:szCs w:val="24"/>
              </w:rPr>
            </w:pPr>
            <w:r w:rsidRPr="0012760D">
              <w:rPr>
                <w:bCs/>
                <w:sz w:val="24"/>
                <w:szCs w:val="24"/>
              </w:rPr>
              <w:t>17,655,397</w:t>
            </w:r>
          </w:p>
        </w:tc>
      </w:tr>
      <w:tr w:rsidR="00CE0A93" w:rsidRPr="0012760D" w:rsidTr="00907E0B">
        <w:tblPrEx>
          <w:tblCellMar>
            <w:top w:w="0" w:type="dxa"/>
            <w:bottom w:w="0" w:type="dxa"/>
          </w:tblCellMar>
        </w:tblPrEx>
        <w:tc>
          <w:tcPr>
            <w:tcW w:w="5000" w:type="pct"/>
            <w:gridSpan w:val="3"/>
            <w:shd w:val="clear" w:color="auto" w:fill="auto"/>
          </w:tcPr>
          <w:p w:rsidR="00CE0A93" w:rsidRPr="0012760D" w:rsidRDefault="00CE0A93" w:rsidP="00907E0B">
            <w:pPr>
              <w:rPr>
                <w:sz w:val="24"/>
                <w:szCs w:val="24"/>
              </w:rPr>
            </w:pPr>
            <w:r w:rsidRPr="0012760D">
              <w:rPr>
                <w:bCs/>
                <w:sz w:val="24"/>
                <w:szCs w:val="24"/>
              </w:rPr>
              <w:t>Other Income from Government</w:t>
            </w:r>
          </w:p>
        </w:tc>
      </w:tr>
      <w:tr w:rsidR="00CE0A93" w:rsidRPr="0012760D" w:rsidTr="00907E0B">
        <w:tblPrEx>
          <w:tblCellMar>
            <w:top w:w="0" w:type="dxa"/>
            <w:bottom w:w="0" w:type="dxa"/>
          </w:tblCellMar>
        </w:tblPrEx>
        <w:tc>
          <w:tcPr>
            <w:tcW w:w="2790" w:type="pct"/>
            <w:shd w:val="clear" w:color="auto" w:fill="auto"/>
          </w:tcPr>
          <w:p w:rsidR="00CE0A93" w:rsidRPr="0012760D" w:rsidRDefault="00CE0A93" w:rsidP="00907E0B">
            <w:pPr>
              <w:rPr>
                <w:sz w:val="24"/>
                <w:szCs w:val="24"/>
              </w:rPr>
            </w:pPr>
            <w:r w:rsidRPr="0012760D">
              <w:rPr>
                <w:sz w:val="24"/>
                <w:szCs w:val="24"/>
              </w:rPr>
              <w:t>Commercial Office Buildings</w:t>
            </w:r>
          </w:p>
        </w:tc>
        <w:tc>
          <w:tcPr>
            <w:tcW w:w="1082" w:type="pct"/>
            <w:shd w:val="clear" w:color="auto" w:fill="auto"/>
          </w:tcPr>
          <w:p w:rsidR="00CE0A93" w:rsidRPr="0012760D" w:rsidRDefault="00CE0A93" w:rsidP="00907E0B">
            <w:pPr>
              <w:jc w:val="right"/>
              <w:rPr>
                <w:sz w:val="24"/>
                <w:szCs w:val="24"/>
              </w:rPr>
            </w:pPr>
            <w:r w:rsidRPr="0012760D">
              <w:rPr>
                <w:sz w:val="24"/>
                <w:szCs w:val="24"/>
              </w:rPr>
              <w:t>100,000</w:t>
            </w:r>
          </w:p>
        </w:tc>
        <w:tc>
          <w:tcPr>
            <w:tcW w:w="1128" w:type="pct"/>
            <w:shd w:val="clear" w:color="auto" w:fill="auto"/>
          </w:tcPr>
          <w:p w:rsidR="00CE0A93" w:rsidRPr="0012760D" w:rsidRDefault="00CE0A93" w:rsidP="00907E0B">
            <w:pPr>
              <w:jc w:val="right"/>
              <w:rPr>
                <w:sz w:val="24"/>
                <w:szCs w:val="24"/>
              </w:rPr>
            </w:pPr>
            <w:r w:rsidRPr="0012760D">
              <w:rPr>
                <w:sz w:val="24"/>
                <w:szCs w:val="24"/>
              </w:rPr>
              <w:t>-</w:t>
            </w:r>
          </w:p>
        </w:tc>
      </w:tr>
      <w:tr w:rsidR="00CE0A93" w:rsidRPr="0012760D" w:rsidTr="00907E0B">
        <w:tblPrEx>
          <w:tblCellMar>
            <w:top w:w="0" w:type="dxa"/>
            <w:bottom w:w="0" w:type="dxa"/>
          </w:tblCellMar>
        </w:tblPrEx>
        <w:tc>
          <w:tcPr>
            <w:tcW w:w="2790" w:type="pct"/>
            <w:shd w:val="clear" w:color="auto" w:fill="auto"/>
          </w:tcPr>
          <w:p w:rsidR="00CE0A93" w:rsidRPr="0012760D" w:rsidRDefault="00CE0A93" w:rsidP="00907E0B">
            <w:pPr>
              <w:rPr>
                <w:sz w:val="24"/>
                <w:szCs w:val="24"/>
              </w:rPr>
            </w:pPr>
            <w:r w:rsidRPr="0012760D">
              <w:rPr>
                <w:sz w:val="24"/>
                <w:szCs w:val="24"/>
              </w:rPr>
              <w:t xml:space="preserve">Increased Separation </w:t>
            </w:r>
            <w:r w:rsidR="00236A13">
              <w:rPr>
                <w:sz w:val="24"/>
                <w:szCs w:val="24"/>
              </w:rPr>
              <w:t>and</w:t>
            </w:r>
            <w:r w:rsidRPr="0012760D">
              <w:rPr>
                <w:sz w:val="24"/>
                <w:szCs w:val="24"/>
              </w:rPr>
              <w:t xml:space="preserve"> Recycling</w:t>
            </w:r>
          </w:p>
        </w:tc>
        <w:tc>
          <w:tcPr>
            <w:tcW w:w="1082" w:type="pct"/>
            <w:shd w:val="clear" w:color="auto" w:fill="auto"/>
          </w:tcPr>
          <w:p w:rsidR="00CE0A93" w:rsidRPr="0012760D" w:rsidRDefault="00CE0A93" w:rsidP="00907E0B">
            <w:pPr>
              <w:jc w:val="right"/>
              <w:rPr>
                <w:sz w:val="24"/>
                <w:szCs w:val="24"/>
              </w:rPr>
            </w:pPr>
            <w:r w:rsidRPr="0012760D">
              <w:rPr>
                <w:sz w:val="24"/>
                <w:szCs w:val="24"/>
              </w:rPr>
              <w:t>5,000</w:t>
            </w:r>
          </w:p>
        </w:tc>
        <w:tc>
          <w:tcPr>
            <w:tcW w:w="1128" w:type="pct"/>
            <w:shd w:val="clear" w:color="auto" w:fill="auto"/>
          </w:tcPr>
          <w:p w:rsidR="00CE0A93" w:rsidRPr="0012760D" w:rsidRDefault="00CE0A93" w:rsidP="00907E0B">
            <w:pPr>
              <w:jc w:val="right"/>
              <w:rPr>
                <w:sz w:val="24"/>
                <w:szCs w:val="24"/>
              </w:rPr>
            </w:pPr>
            <w:r w:rsidRPr="0012760D">
              <w:rPr>
                <w:sz w:val="24"/>
                <w:szCs w:val="24"/>
              </w:rPr>
              <w:t>-</w:t>
            </w:r>
          </w:p>
        </w:tc>
      </w:tr>
      <w:tr w:rsidR="00CE0A93" w:rsidRPr="0012760D" w:rsidTr="00907E0B">
        <w:tblPrEx>
          <w:tblCellMar>
            <w:top w:w="0" w:type="dxa"/>
            <w:bottom w:w="0" w:type="dxa"/>
          </w:tblCellMar>
        </w:tblPrEx>
        <w:tc>
          <w:tcPr>
            <w:tcW w:w="2790" w:type="pct"/>
            <w:shd w:val="clear" w:color="auto" w:fill="auto"/>
          </w:tcPr>
          <w:p w:rsidR="00CE0A93" w:rsidRPr="0012760D" w:rsidRDefault="00CE0A93" w:rsidP="00907E0B">
            <w:pPr>
              <w:rPr>
                <w:sz w:val="24"/>
                <w:szCs w:val="24"/>
              </w:rPr>
            </w:pPr>
            <w:r w:rsidRPr="0012760D">
              <w:rPr>
                <w:sz w:val="24"/>
                <w:szCs w:val="24"/>
              </w:rPr>
              <w:t>Litter Strategy</w:t>
            </w:r>
          </w:p>
        </w:tc>
        <w:tc>
          <w:tcPr>
            <w:tcW w:w="1082" w:type="pct"/>
            <w:shd w:val="clear" w:color="auto" w:fill="auto"/>
          </w:tcPr>
          <w:p w:rsidR="00CE0A93" w:rsidRPr="0012760D" w:rsidRDefault="00CE0A93" w:rsidP="00907E0B">
            <w:pPr>
              <w:jc w:val="right"/>
              <w:rPr>
                <w:sz w:val="24"/>
                <w:szCs w:val="24"/>
              </w:rPr>
            </w:pPr>
            <w:r w:rsidRPr="0012760D">
              <w:rPr>
                <w:sz w:val="24"/>
                <w:szCs w:val="24"/>
              </w:rPr>
              <w:t>1,725,000</w:t>
            </w:r>
          </w:p>
        </w:tc>
        <w:tc>
          <w:tcPr>
            <w:tcW w:w="1128" w:type="pct"/>
            <w:shd w:val="clear" w:color="auto" w:fill="auto"/>
          </w:tcPr>
          <w:p w:rsidR="00CE0A93" w:rsidRPr="0012760D" w:rsidRDefault="00CE0A93" w:rsidP="00907E0B">
            <w:pPr>
              <w:jc w:val="right"/>
              <w:rPr>
                <w:sz w:val="24"/>
                <w:szCs w:val="24"/>
              </w:rPr>
            </w:pPr>
            <w:r w:rsidRPr="0012760D">
              <w:rPr>
                <w:sz w:val="24"/>
                <w:szCs w:val="24"/>
              </w:rPr>
              <w:t>1,250,000</w:t>
            </w:r>
          </w:p>
        </w:tc>
      </w:tr>
      <w:tr w:rsidR="00CE0A93" w:rsidRPr="0012760D" w:rsidTr="00907E0B">
        <w:tblPrEx>
          <w:tblCellMar>
            <w:top w:w="0" w:type="dxa"/>
            <w:bottom w:w="0" w:type="dxa"/>
          </w:tblCellMar>
        </w:tblPrEx>
        <w:tc>
          <w:tcPr>
            <w:tcW w:w="2790" w:type="pct"/>
            <w:shd w:val="clear" w:color="auto" w:fill="auto"/>
          </w:tcPr>
          <w:p w:rsidR="00CE0A93" w:rsidRPr="0012760D" w:rsidRDefault="00CE0A93" w:rsidP="00907E0B">
            <w:pPr>
              <w:rPr>
                <w:sz w:val="24"/>
                <w:szCs w:val="24"/>
              </w:rPr>
            </w:pPr>
            <w:r w:rsidRPr="0012760D">
              <w:rPr>
                <w:sz w:val="24"/>
                <w:szCs w:val="24"/>
              </w:rPr>
              <w:t>Product Stewardship</w:t>
            </w:r>
          </w:p>
        </w:tc>
        <w:tc>
          <w:tcPr>
            <w:tcW w:w="1082" w:type="pct"/>
            <w:shd w:val="clear" w:color="auto" w:fill="auto"/>
          </w:tcPr>
          <w:p w:rsidR="00CE0A93" w:rsidRPr="0012760D" w:rsidRDefault="00CE0A93" w:rsidP="00907E0B">
            <w:pPr>
              <w:jc w:val="right"/>
              <w:rPr>
                <w:sz w:val="24"/>
                <w:szCs w:val="24"/>
              </w:rPr>
            </w:pPr>
            <w:r w:rsidRPr="0012760D">
              <w:rPr>
                <w:sz w:val="24"/>
                <w:szCs w:val="24"/>
              </w:rPr>
              <w:t>15,000</w:t>
            </w:r>
          </w:p>
        </w:tc>
        <w:tc>
          <w:tcPr>
            <w:tcW w:w="1128" w:type="pct"/>
            <w:shd w:val="clear" w:color="auto" w:fill="auto"/>
          </w:tcPr>
          <w:p w:rsidR="00CE0A93" w:rsidRPr="0012760D" w:rsidRDefault="00CE0A93" w:rsidP="00907E0B">
            <w:pPr>
              <w:jc w:val="right"/>
              <w:rPr>
                <w:sz w:val="24"/>
                <w:szCs w:val="24"/>
              </w:rPr>
            </w:pPr>
            <w:r w:rsidRPr="0012760D">
              <w:rPr>
                <w:sz w:val="24"/>
                <w:szCs w:val="24"/>
              </w:rPr>
              <w:t>-</w:t>
            </w:r>
          </w:p>
        </w:tc>
      </w:tr>
      <w:tr w:rsidR="00CE0A93" w:rsidRPr="0012760D" w:rsidTr="00907E0B">
        <w:tblPrEx>
          <w:tblCellMar>
            <w:top w:w="0" w:type="dxa"/>
            <w:bottom w:w="0" w:type="dxa"/>
          </w:tblCellMar>
        </w:tblPrEx>
        <w:tc>
          <w:tcPr>
            <w:tcW w:w="2790" w:type="pct"/>
            <w:shd w:val="clear" w:color="auto" w:fill="auto"/>
          </w:tcPr>
          <w:p w:rsidR="00CE0A93" w:rsidRPr="0012760D" w:rsidRDefault="00CE0A93" w:rsidP="00907E0B">
            <w:pPr>
              <w:rPr>
                <w:sz w:val="24"/>
                <w:szCs w:val="24"/>
              </w:rPr>
            </w:pPr>
            <w:r w:rsidRPr="0012760D">
              <w:rPr>
                <w:sz w:val="24"/>
                <w:szCs w:val="24"/>
              </w:rPr>
              <w:t>Solar Photovoltaic Community</w:t>
            </w:r>
          </w:p>
        </w:tc>
        <w:tc>
          <w:tcPr>
            <w:tcW w:w="1082" w:type="pct"/>
            <w:shd w:val="clear" w:color="auto" w:fill="auto"/>
          </w:tcPr>
          <w:p w:rsidR="00CE0A93" w:rsidRPr="0012760D" w:rsidRDefault="00CE0A93" w:rsidP="00907E0B">
            <w:pPr>
              <w:jc w:val="right"/>
              <w:rPr>
                <w:sz w:val="24"/>
                <w:szCs w:val="24"/>
              </w:rPr>
            </w:pPr>
            <w:r w:rsidRPr="0012760D">
              <w:rPr>
                <w:sz w:val="24"/>
                <w:szCs w:val="24"/>
              </w:rPr>
              <w:t>-</w:t>
            </w:r>
          </w:p>
        </w:tc>
        <w:tc>
          <w:tcPr>
            <w:tcW w:w="1128" w:type="pct"/>
            <w:shd w:val="clear" w:color="auto" w:fill="auto"/>
          </w:tcPr>
          <w:p w:rsidR="00CE0A93" w:rsidRPr="0012760D" w:rsidRDefault="00CE0A93" w:rsidP="00907E0B">
            <w:pPr>
              <w:jc w:val="right"/>
              <w:rPr>
                <w:sz w:val="24"/>
                <w:szCs w:val="24"/>
              </w:rPr>
            </w:pPr>
            <w:r w:rsidRPr="0012760D">
              <w:rPr>
                <w:sz w:val="24"/>
                <w:szCs w:val="24"/>
              </w:rPr>
              <w:t>10,000</w:t>
            </w:r>
          </w:p>
        </w:tc>
      </w:tr>
      <w:tr w:rsidR="00CE0A93" w:rsidRPr="0012760D" w:rsidTr="00907E0B">
        <w:tblPrEx>
          <w:tblCellMar>
            <w:top w:w="0" w:type="dxa"/>
            <w:bottom w:w="0" w:type="dxa"/>
          </w:tblCellMar>
        </w:tblPrEx>
        <w:tc>
          <w:tcPr>
            <w:tcW w:w="2790" w:type="pct"/>
            <w:shd w:val="clear" w:color="auto" w:fill="auto"/>
          </w:tcPr>
          <w:p w:rsidR="00CE0A93" w:rsidRPr="0012760D" w:rsidRDefault="00CE0A93" w:rsidP="00907E0B">
            <w:pPr>
              <w:rPr>
                <w:sz w:val="24"/>
                <w:szCs w:val="24"/>
              </w:rPr>
            </w:pPr>
            <w:r w:rsidRPr="0012760D">
              <w:rPr>
                <w:sz w:val="24"/>
                <w:szCs w:val="24"/>
              </w:rPr>
              <w:t>Hubs</w:t>
            </w:r>
          </w:p>
        </w:tc>
        <w:tc>
          <w:tcPr>
            <w:tcW w:w="1082" w:type="pct"/>
            <w:shd w:val="clear" w:color="auto" w:fill="auto"/>
          </w:tcPr>
          <w:p w:rsidR="00CE0A93" w:rsidRPr="0012760D" w:rsidRDefault="00CE0A93" w:rsidP="00907E0B">
            <w:pPr>
              <w:jc w:val="right"/>
              <w:rPr>
                <w:sz w:val="24"/>
                <w:szCs w:val="24"/>
              </w:rPr>
            </w:pPr>
          </w:p>
        </w:tc>
        <w:tc>
          <w:tcPr>
            <w:tcW w:w="1128" w:type="pct"/>
            <w:shd w:val="clear" w:color="auto" w:fill="auto"/>
          </w:tcPr>
          <w:p w:rsidR="00CE0A93" w:rsidRPr="0012760D" w:rsidRDefault="00CE0A93" w:rsidP="00907E0B">
            <w:pPr>
              <w:jc w:val="right"/>
              <w:rPr>
                <w:sz w:val="24"/>
                <w:szCs w:val="24"/>
              </w:rPr>
            </w:pPr>
          </w:p>
        </w:tc>
      </w:tr>
      <w:tr w:rsidR="00CE0A93" w:rsidRPr="0012760D" w:rsidTr="00907E0B">
        <w:tblPrEx>
          <w:tblCellMar>
            <w:top w:w="0" w:type="dxa"/>
            <w:bottom w:w="0" w:type="dxa"/>
          </w:tblCellMar>
        </w:tblPrEx>
        <w:tc>
          <w:tcPr>
            <w:tcW w:w="2790" w:type="pct"/>
            <w:shd w:val="clear" w:color="auto" w:fill="auto"/>
          </w:tcPr>
          <w:p w:rsidR="00CE0A93" w:rsidRPr="0012760D" w:rsidRDefault="00CE0A93" w:rsidP="00907E0B">
            <w:pPr>
              <w:rPr>
                <w:sz w:val="24"/>
                <w:szCs w:val="24"/>
              </w:rPr>
            </w:pPr>
            <w:r w:rsidRPr="0012760D">
              <w:rPr>
                <w:sz w:val="24"/>
                <w:szCs w:val="24"/>
              </w:rPr>
              <w:t>Sustainability Fund - management fee</w:t>
            </w:r>
          </w:p>
        </w:tc>
        <w:tc>
          <w:tcPr>
            <w:tcW w:w="1082" w:type="pct"/>
            <w:shd w:val="clear" w:color="auto" w:fill="auto"/>
          </w:tcPr>
          <w:p w:rsidR="00CE0A93" w:rsidRPr="0012760D" w:rsidRDefault="00CE0A93" w:rsidP="00907E0B">
            <w:pPr>
              <w:jc w:val="right"/>
              <w:rPr>
                <w:sz w:val="24"/>
                <w:szCs w:val="24"/>
              </w:rPr>
            </w:pPr>
            <w:r w:rsidRPr="0012760D">
              <w:rPr>
                <w:sz w:val="24"/>
                <w:szCs w:val="24"/>
              </w:rPr>
              <w:t>800,000</w:t>
            </w:r>
          </w:p>
        </w:tc>
        <w:tc>
          <w:tcPr>
            <w:tcW w:w="1128" w:type="pct"/>
            <w:shd w:val="clear" w:color="auto" w:fill="auto"/>
          </w:tcPr>
          <w:p w:rsidR="00CE0A93" w:rsidRPr="0012760D" w:rsidRDefault="00CE0A93" w:rsidP="00907E0B">
            <w:pPr>
              <w:jc w:val="right"/>
              <w:rPr>
                <w:sz w:val="24"/>
                <w:szCs w:val="24"/>
              </w:rPr>
            </w:pPr>
            <w:r w:rsidRPr="0012760D">
              <w:rPr>
                <w:sz w:val="24"/>
                <w:szCs w:val="24"/>
              </w:rPr>
              <w:t>763,450</w:t>
            </w:r>
          </w:p>
        </w:tc>
      </w:tr>
      <w:tr w:rsidR="00CE0A93" w:rsidRPr="0012760D" w:rsidTr="00907E0B">
        <w:tblPrEx>
          <w:tblCellMar>
            <w:top w:w="0" w:type="dxa"/>
            <w:bottom w:w="0" w:type="dxa"/>
          </w:tblCellMar>
        </w:tblPrEx>
        <w:tc>
          <w:tcPr>
            <w:tcW w:w="2790" w:type="pct"/>
            <w:shd w:val="clear" w:color="auto" w:fill="auto"/>
          </w:tcPr>
          <w:p w:rsidR="00CE0A93" w:rsidRPr="0012760D" w:rsidRDefault="00CE0A93" w:rsidP="00907E0B">
            <w:pPr>
              <w:rPr>
                <w:sz w:val="24"/>
                <w:szCs w:val="24"/>
              </w:rPr>
            </w:pPr>
            <w:r w:rsidRPr="0012760D">
              <w:rPr>
                <w:sz w:val="24"/>
                <w:szCs w:val="24"/>
              </w:rPr>
              <w:t>Victorian Property Fund</w:t>
            </w:r>
          </w:p>
        </w:tc>
        <w:tc>
          <w:tcPr>
            <w:tcW w:w="1082" w:type="pct"/>
            <w:shd w:val="clear" w:color="auto" w:fill="auto"/>
          </w:tcPr>
          <w:p w:rsidR="00CE0A93" w:rsidRPr="0012760D" w:rsidRDefault="00CE0A93" w:rsidP="00907E0B">
            <w:pPr>
              <w:jc w:val="right"/>
              <w:rPr>
                <w:sz w:val="24"/>
                <w:szCs w:val="24"/>
              </w:rPr>
            </w:pPr>
            <w:r w:rsidRPr="0012760D">
              <w:rPr>
                <w:sz w:val="24"/>
                <w:szCs w:val="24"/>
              </w:rPr>
              <w:t>-</w:t>
            </w:r>
          </w:p>
        </w:tc>
        <w:tc>
          <w:tcPr>
            <w:tcW w:w="1128" w:type="pct"/>
            <w:shd w:val="clear" w:color="auto" w:fill="auto"/>
          </w:tcPr>
          <w:p w:rsidR="00CE0A93" w:rsidRPr="0012760D" w:rsidRDefault="00CE0A93" w:rsidP="00907E0B">
            <w:pPr>
              <w:jc w:val="right"/>
              <w:rPr>
                <w:sz w:val="24"/>
                <w:szCs w:val="24"/>
              </w:rPr>
            </w:pPr>
            <w:r w:rsidRPr="0012760D">
              <w:rPr>
                <w:sz w:val="24"/>
                <w:szCs w:val="24"/>
              </w:rPr>
              <w:t>1,150,000</w:t>
            </w:r>
          </w:p>
        </w:tc>
      </w:tr>
      <w:tr w:rsidR="00CE0A93" w:rsidRPr="0012760D" w:rsidTr="00407410">
        <w:tblPrEx>
          <w:tblCellMar>
            <w:top w:w="0" w:type="dxa"/>
            <w:bottom w:w="0" w:type="dxa"/>
          </w:tblCellMar>
        </w:tblPrEx>
        <w:tc>
          <w:tcPr>
            <w:tcW w:w="2790" w:type="pct"/>
            <w:shd w:val="clear" w:color="auto" w:fill="auto"/>
          </w:tcPr>
          <w:p w:rsidR="00CE0A93" w:rsidRPr="0012760D" w:rsidRDefault="00CE0A93" w:rsidP="00907E0B">
            <w:pPr>
              <w:rPr>
                <w:sz w:val="24"/>
                <w:szCs w:val="24"/>
              </w:rPr>
            </w:pPr>
            <w:r w:rsidRPr="0012760D">
              <w:rPr>
                <w:sz w:val="24"/>
                <w:szCs w:val="24"/>
              </w:rPr>
              <w:t>Victorian Litter Report and Local litter tool for Local Governments</w:t>
            </w:r>
          </w:p>
        </w:tc>
        <w:tc>
          <w:tcPr>
            <w:tcW w:w="1082" w:type="pct"/>
            <w:shd w:val="clear" w:color="auto" w:fill="auto"/>
            <w:vAlign w:val="bottom"/>
          </w:tcPr>
          <w:p w:rsidR="00CE0A93" w:rsidRPr="0012760D" w:rsidRDefault="00CE0A93" w:rsidP="00407410">
            <w:pPr>
              <w:jc w:val="right"/>
              <w:rPr>
                <w:sz w:val="24"/>
                <w:szCs w:val="24"/>
              </w:rPr>
            </w:pPr>
            <w:r w:rsidRPr="0012760D">
              <w:rPr>
                <w:sz w:val="24"/>
                <w:szCs w:val="24"/>
              </w:rPr>
              <w:t>150,000</w:t>
            </w:r>
          </w:p>
        </w:tc>
        <w:tc>
          <w:tcPr>
            <w:tcW w:w="1128" w:type="pct"/>
            <w:shd w:val="clear" w:color="auto" w:fill="auto"/>
            <w:vAlign w:val="bottom"/>
          </w:tcPr>
          <w:p w:rsidR="00CE0A93" w:rsidRPr="0012760D" w:rsidRDefault="00CE0A93" w:rsidP="00407410">
            <w:pPr>
              <w:jc w:val="right"/>
              <w:rPr>
                <w:sz w:val="24"/>
                <w:szCs w:val="24"/>
              </w:rPr>
            </w:pPr>
            <w:r w:rsidRPr="0012760D">
              <w:rPr>
                <w:sz w:val="24"/>
                <w:szCs w:val="24"/>
              </w:rPr>
              <w:t>150,000</w:t>
            </w:r>
          </w:p>
        </w:tc>
      </w:tr>
      <w:tr w:rsidR="00CE0A93" w:rsidRPr="0012760D" w:rsidTr="00907E0B">
        <w:tblPrEx>
          <w:tblCellMar>
            <w:top w:w="0" w:type="dxa"/>
            <w:bottom w:w="0" w:type="dxa"/>
          </w:tblCellMar>
        </w:tblPrEx>
        <w:tc>
          <w:tcPr>
            <w:tcW w:w="2790" w:type="pct"/>
            <w:shd w:val="clear" w:color="auto" w:fill="auto"/>
          </w:tcPr>
          <w:p w:rsidR="00CE0A93" w:rsidRPr="0012760D" w:rsidRDefault="00CE0A93" w:rsidP="00907E0B">
            <w:pPr>
              <w:rPr>
                <w:sz w:val="24"/>
                <w:szCs w:val="24"/>
              </w:rPr>
            </w:pPr>
            <w:r w:rsidRPr="0012760D">
              <w:rPr>
                <w:bCs/>
                <w:sz w:val="24"/>
                <w:szCs w:val="24"/>
              </w:rPr>
              <w:t>Total Other Income from Government</w:t>
            </w:r>
          </w:p>
        </w:tc>
        <w:tc>
          <w:tcPr>
            <w:tcW w:w="1082" w:type="pct"/>
            <w:shd w:val="clear" w:color="auto" w:fill="auto"/>
          </w:tcPr>
          <w:p w:rsidR="00CE0A93" w:rsidRPr="0012760D" w:rsidRDefault="00CE0A93" w:rsidP="00907E0B">
            <w:pPr>
              <w:jc w:val="right"/>
              <w:rPr>
                <w:sz w:val="24"/>
                <w:szCs w:val="24"/>
              </w:rPr>
            </w:pPr>
            <w:r w:rsidRPr="0012760D">
              <w:rPr>
                <w:bCs/>
                <w:sz w:val="24"/>
                <w:szCs w:val="24"/>
              </w:rPr>
              <w:t>2,795,000</w:t>
            </w:r>
          </w:p>
        </w:tc>
        <w:tc>
          <w:tcPr>
            <w:tcW w:w="1128" w:type="pct"/>
            <w:shd w:val="clear" w:color="auto" w:fill="auto"/>
          </w:tcPr>
          <w:p w:rsidR="00CE0A93" w:rsidRPr="0012760D" w:rsidRDefault="00CE0A93" w:rsidP="00907E0B">
            <w:pPr>
              <w:jc w:val="right"/>
              <w:rPr>
                <w:sz w:val="24"/>
                <w:szCs w:val="24"/>
              </w:rPr>
            </w:pPr>
            <w:r w:rsidRPr="0012760D">
              <w:rPr>
                <w:bCs/>
                <w:sz w:val="24"/>
                <w:szCs w:val="24"/>
              </w:rPr>
              <w:t>3,323,450</w:t>
            </w:r>
          </w:p>
        </w:tc>
      </w:tr>
      <w:tr w:rsidR="00CE0A93" w:rsidRPr="0012760D" w:rsidTr="00907E0B">
        <w:tblPrEx>
          <w:tblCellMar>
            <w:top w:w="0" w:type="dxa"/>
            <w:bottom w:w="0" w:type="dxa"/>
          </w:tblCellMar>
        </w:tblPrEx>
        <w:tc>
          <w:tcPr>
            <w:tcW w:w="2790" w:type="pct"/>
            <w:shd w:val="clear" w:color="auto" w:fill="auto"/>
          </w:tcPr>
          <w:p w:rsidR="00CE0A93" w:rsidRPr="0012760D" w:rsidRDefault="00CE0A93" w:rsidP="00907E0B">
            <w:pPr>
              <w:rPr>
                <w:sz w:val="24"/>
                <w:szCs w:val="24"/>
              </w:rPr>
            </w:pPr>
            <w:r w:rsidRPr="0012760D">
              <w:rPr>
                <w:bCs/>
                <w:sz w:val="24"/>
                <w:szCs w:val="24"/>
              </w:rPr>
              <w:t>Interest</w:t>
            </w:r>
          </w:p>
        </w:tc>
        <w:tc>
          <w:tcPr>
            <w:tcW w:w="1082" w:type="pct"/>
            <w:shd w:val="clear" w:color="auto" w:fill="auto"/>
          </w:tcPr>
          <w:p w:rsidR="00CE0A93" w:rsidRPr="0012760D" w:rsidRDefault="00CE0A93" w:rsidP="00907E0B">
            <w:pPr>
              <w:jc w:val="right"/>
              <w:rPr>
                <w:sz w:val="24"/>
                <w:szCs w:val="24"/>
              </w:rPr>
            </w:pPr>
            <w:r w:rsidRPr="0012760D">
              <w:rPr>
                <w:bCs/>
                <w:sz w:val="24"/>
                <w:szCs w:val="24"/>
              </w:rPr>
              <w:t>1,017,076</w:t>
            </w:r>
          </w:p>
        </w:tc>
        <w:tc>
          <w:tcPr>
            <w:tcW w:w="1128" w:type="pct"/>
            <w:shd w:val="clear" w:color="auto" w:fill="auto"/>
          </w:tcPr>
          <w:p w:rsidR="00CE0A93" w:rsidRPr="0012760D" w:rsidRDefault="00CE0A93" w:rsidP="00907E0B">
            <w:pPr>
              <w:jc w:val="right"/>
              <w:rPr>
                <w:sz w:val="24"/>
                <w:szCs w:val="24"/>
              </w:rPr>
            </w:pPr>
            <w:r w:rsidRPr="0012760D">
              <w:rPr>
                <w:bCs/>
                <w:sz w:val="24"/>
                <w:szCs w:val="24"/>
              </w:rPr>
              <w:t>1,045,301</w:t>
            </w:r>
          </w:p>
        </w:tc>
      </w:tr>
      <w:tr w:rsidR="00CE0A93" w:rsidRPr="0012760D" w:rsidTr="00907E0B">
        <w:tblPrEx>
          <w:tblCellMar>
            <w:top w:w="0" w:type="dxa"/>
            <w:bottom w:w="0" w:type="dxa"/>
          </w:tblCellMar>
        </w:tblPrEx>
        <w:tc>
          <w:tcPr>
            <w:tcW w:w="5000" w:type="pct"/>
            <w:gridSpan w:val="3"/>
            <w:shd w:val="clear" w:color="auto" w:fill="auto"/>
          </w:tcPr>
          <w:p w:rsidR="00CE0A93" w:rsidRPr="0012760D" w:rsidRDefault="00CE0A93" w:rsidP="00907E0B">
            <w:pPr>
              <w:rPr>
                <w:sz w:val="24"/>
                <w:szCs w:val="24"/>
              </w:rPr>
            </w:pPr>
            <w:r w:rsidRPr="0012760D">
              <w:rPr>
                <w:bCs/>
                <w:sz w:val="24"/>
                <w:szCs w:val="24"/>
              </w:rPr>
              <w:t>Other Income</w:t>
            </w:r>
          </w:p>
        </w:tc>
      </w:tr>
      <w:tr w:rsidR="00CE0A93" w:rsidRPr="0012760D" w:rsidTr="00907E0B">
        <w:tblPrEx>
          <w:tblCellMar>
            <w:top w:w="0" w:type="dxa"/>
            <w:bottom w:w="0" w:type="dxa"/>
          </w:tblCellMar>
        </w:tblPrEx>
        <w:tc>
          <w:tcPr>
            <w:tcW w:w="2790" w:type="pct"/>
            <w:shd w:val="clear" w:color="auto" w:fill="auto"/>
          </w:tcPr>
          <w:p w:rsidR="00CE0A93" w:rsidRPr="0012760D" w:rsidRDefault="00CE0A93" w:rsidP="00907E0B">
            <w:pPr>
              <w:rPr>
                <w:sz w:val="24"/>
                <w:szCs w:val="24"/>
              </w:rPr>
            </w:pPr>
            <w:r w:rsidRPr="0012760D">
              <w:rPr>
                <w:sz w:val="24"/>
                <w:szCs w:val="24"/>
              </w:rPr>
              <w:t>FirstRate Accreditation (inc. Software)</w:t>
            </w:r>
          </w:p>
        </w:tc>
        <w:tc>
          <w:tcPr>
            <w:tcW w:w="1082" w:type="pct"/>
            <w:shd w:val="clear" w:color="auto" w:fill="auto"/>
          </w:tcPr>
          <w:p w:rsidR="00CE0A93" w:rsidRPr="0012760D" w:rsidRDefault="00CE0A93" w:rsidP="00907E0B">
            <w:pPr>
              <w:jc w:val="right"/>
              <w:rPr>
                <w:sz w:val="24"/>
                <w:szCs w:val="24"/>
              </w:rPr>
            </w:pPr>
            <w:r w:rsidRPr="0012760D">
              <w:rPr>
                <w:sz w:val="24"/>
                <w:szCs w:val="24"/>
              </w:rPr>
              <w:t>42,477</w:t>
            </w:r>
          </w:p>
        </w:tc>
        <w:tc>
          <w:tcPr>
            <w:tcW w:w="1128" w:type="pct"/>
            <w:shd w:val="clear" w:color="auto" w:fill="auto"/>
          </w:tcPr>
          <w:p w:rsidR="00CE0A93" w:rsidRPr="0012760D" w:rsidRDefault="00CE0A93" w:rsidP="00907E0B">
            <w:pPr>
              <w:jc w:val="right"/>
              <w:rPr>
                <w:sz w:val="24"/>
                <w:szCs w:val="24"/>
              </w:rPr>
            </w:pPr>
            <w:r w:rsidRPr="0012760D">
              <w:rPr>
                <w:sz w:val="24"/>
                <w:szCs w:val="24"/>
              </w:rPr>
              <w:t>73,205</w:t>
            </w:r>
          </w:p>
        </w:tc>
      </w:tr>
      <w:tr w:rsidR="00CE0A93" w:rsidRPr="0012760D" w:rsidTr="00907E0B">
        <w:tblPrEx>
          <w:tblCellMar>
            <w:top w:w="0" w:type="dxa"/>
            <w:bottom w:w="0" w:type="dxa"/>
          </w:tblCellMar>
        </w:tblPrEx>
        <w:tc>
          <w:tcPr>
            <w:tcW w:w="2790" w:type="pct"/>
            <w:shd w:val="clear" w:color="auto" w:fill="auto"/>
          </w:tcPr>
          <w:p w:rsidR="00CE0A93" w:rsidRPr="0012760D" w:rsidRDefault="00CE0A93" w:rsidP="00907E0B">
            <w:pPr>
              <w:rPr>
                <w:sz w:val="24"/>
                <w:szCs w:val="24"/>
              </w:rPr>
            </w:pPr>
            <w:r w:rsidRPr="0012760D">
              <w:rPr>
                <w:sz w:val="24"/>
                <w:szCs w:val="24"/>
              </w:rPr>
              <w:t>Refund from Australian Taxation Office</w:t>
            </w:r>
          </w:p>
        </w:tc>
        <w:tc>
          <w:tcPr>
            <w:tcW w:w="1082" w:type="pct"/>
            <w:shd w:val="clear" w:color="auto" w:fill="auto"/>
          </w:tcPr>
          <w:p w:rsidR="00CE0A93" w:rsidRPr="0012760D" w:rsidRDefault="00CE0A93" w:rsidP="00907E0B">
            <w:pPr>
              <w:jc w:val="right"/>
              <w:rPr>
                <w:sz w:val="24"/>
                <w:szCs w:val="24"/>
              </w:rPr>
            </w:pPr>
            <w:r w:rsidRPr="0012760D">
              <w:rPr>
                <w:sz w:val="24"/>
                <w:szCs w:val="24"/>
              </w:rPr>
              <w:t>3,985,249</w:t>
            </w:r>
          </w:p>
        </w:tc>
        <w:tc>
          <w:tcPr>
            <w:tcW w:w="1128" w:type="pct"/>
            <w:shd w:val="clear" w:color="auto" w:fill="auto"/>
          </w:tcPr>
          <w:p w:rsidR="00CE0A93" w:rsidRPr="0012760D" w:rsidRDefault="00CE0A93" w:rsidP="00907E0B">
            <w:pPr>
              <w:jc w:val="right"/>
              <w:rPr>
                <w:sz w:val="24"/>
                <w:szCs w:val="24"/>
              </w:rPr>
            </w:pPr>
            <w:r w:rsidRPr="0012760D">
              <w:rPr>
                <w:sz w:val="24"/>
                <w:szCs w:val="24"/>
              </w:rPr>
              <w:t>-</w:t>
            </w:r>
          </w:p>
        </w:tc>
      </w:tr>
      <w:tr w:rsidR="00CE0A93" w:rsidRPr="0012760D" w:rsidTr="00907E0B">
        <w:tblPrEx>
          <w:tblCellMar>
            <w:top w:w="0" w:type="dxa"/>
            <w:bottom w:w="0" w:type="dxa"/>
          </w:tblCellMar>
        </w:tblPrEx>
        <w:tc>
          <w:tcPr>
            <w:tcW w:w="2790" w:type="pct"/>
            <w:shd w:val="clear" w:color="auto" w:fill="auto"/>
          </w:tcPr>
          <w:p w:rsidR="00CE0A93" w:rsidRPr="0012760D" w:rsidRDefault="00CE0A93" w:rsidP="00907E0B">
            <w:pPr>
              <w:rPr>
                <w:sz w:val="24"/>
                <w:szCs w:val="24"/>
              </w:rPr>
            </w:pPr>
            <w:r w:rsidRPr="0012760D">
              <w:rPr>
                <w:sz w:val="24"/>
                <w:szCs w:val="24"/>
              </w:rPr>
              <w:t>Australian Packaging Covenant</w:t>
            </w:r>
          </w:p>
        </w:tc>
        <w:tc>
          <w:tcPr>
            <w:tcW w:w="1082" w:type="pct"/>
            <w:shd w:val="clear" w:color="auto" w:fill="auto"/>
          </w:tcPr>
          <w:p w:rsidR="00CE0A93" w:rsidRPr="0012760D" w:rsidRDefault="00CE0A93" w:rsidP="00907E0B">
            <w:pPr>
              <w:jc w:val="right"/>
              <w:rPr>
                <w:sz w:val="24"/>
                <w:szCs w:val="24"/>
              </w:rPr>
            </w:pPr>
            <w:r w:rsidRPr="0012760D">
              <w:rPr>
                <w:sz w:val="24"/>
                <w:szCs w:val="24"/>
              </w:rPr>
              <w:t>2,615,165</w:t>
            </w:r>
          </w:p>
        </w:tc>
        <w:tc>
          <w:tcPr>
            <w:tcW w:w="1128" w:type="pct"/>
            <w:shd w:val="clear" w:color="auto" w:fill="auto"/>
          </w:tcPr>
          <w:p w:rsidR="00CE0A93" w:rsidRPr="0012760D" w:rsidRDefault="00CE0A93" w:rsidP="00907E0B">
            <w:pPr>
              <w:jc w:val="right"/>
              <w:rPr>
                <w:sz w:val="24"/>
                <w:szCs w:val="24"/>
              </w:rPr>
            </w:pPr>
            <w:r w:rsidRPr="0012760D">
              <w:rPr>
                <w:sz w:val="24"/>
                <w:szCs w:val="24"/>
              </w:rPr>
              <w:t>-</w:t>
            </w:r>
          </w:p>
        </w:tc>
      </w:tr>
      <w:tr w:rsidR="00CE0A93" w:rsidRPr="0012760D" w:rsidTr="00907E0B">
        <w:tblPrEx>
          <w:tblCellMar>
            <w:top w:w="0" w:type="dxa"/>
            <w:bottom w:w="0" w:type="dxa"/>
          </w:tblCellMar>
        </w:tblPrEx>
        <w:tc>
          <w:tcPr>
            <w:tcW w:w="2790" w:type="pct"/>
            <w:shd w:val="clear" w:color="auto" w:fill="auto"/>
          </w:tcPr>
          <w:p w:rsidR="00CE0A93" w:rsidRPr="0012760D" w:rsidRDefault="00CE0A93" w:rsidP="00907E0B">
            <w:pPr>
              <w:rPr>
                <w:sz w:val="24"/>
                <w:szCs w:val="24"/>
              </w:rPr>
            </w:pPr>
            <w:r w:rsidRPr="0012760D">
              <w:rPr>
                <w:sz w:val="24"/>
                <w:szCs w:val="24"/>
              </w:rPr>
              <w:t>Program contributions</w:t>
            </w:r>
          </w:p>
        </w:tc>
        <w:tc>
          <w:tcPr>
            <w:tcW w:w="1082" w:type="pct"/>
            <w:shd w:val="clear" w:color="auto" w:fill="auto"/>
          </w:tcPr>
          <w:p w:rsidR="00CE0A93" w:rsidRPr="0012760D" w:rsidRDefault="00CE0A93" w:rsidP="00907E0B">
            <w:pPr>
              <w:jc w:val="right"/>
              <w:rPr>
                <w:sz w:val="24"/>
                <w:szCs w:val="24"/>
              </w:rPr>
            </w:pPr>
            <w:r w:rsidRPr="0012760D">
              <w:rPr>
                <w:sz w:val="24"/>
                <w:szCs w:val="24"/>
              </w:rPr>
              <w:t>749,744</w:t>
            </w:r>
          </w:p>
        </w:tc>
        <w:tc>
          <w:tcPr>
            <w:tcW w:w="1128" w:type="pct"/>
            <w:shd w:val="clear" w:color="auto" w:fill="auto"/>
          </w:tcPr>
          <w:p w:rsidR="00CE0A93" w:rsidRPr="0012760D" w:rsidRDefault="00CE0A93" w:rsidP="00907E0B">
            <w:pPr>
              <w:jc w:val="right"/>
              <w:rPr>
                <w:sz w:val="24"/>
                <w:szCs w:val="24"/>
              </w:rPr>
            </w:pPr>
            <w:r w:rsidRPr="0012760D">
              <w:rPr>
                <w:sz w:val="24"/>
                <w:szCs w:val="24"/>
              </w:rPr>
              <w:t>922,550</w:t>
            </w:r>
          </w:p>
        </w:tc>
      </w:tr>
      <w:tr w:rsidR="00CE0A93" w:rsidRPr="0012760D" w:rsidTr="00907E0B">
        <w:tblPrEx>
          <w:tblCellMar>
            <w:top w:w="0" w:type="dxa"/>
            <w:bottom w:w="0" w:type="dxa"/>
          </w:tblCellMar>
        </w:tblPrEx>
        <w:tc>
          <w:tcPr>
            <w:tcW w:w="2790" w:type="pct"/>
            <w:shd w:val="clear" w:color="auto" w:fill="auto"/>
          </w:tcPr>
          <w:p w:rsidR="00CE0A93" w:rsidRPr="0012760D" w:rsidRDefault="00CE0A93" w:rsidP="00907E0B">
            <w:pPr>
              <w:rPr>
                <w:sz w:val="24"/>
                <w:szCs w:val="24"/>
              </w:rPr>
            </w:pPr>
            <w:r w:rsidRPr="0012760D">
              <w:rPr>
                <w:bCs/>
                <w:sz w:val="24"/>
                <w:szCs w:val="24"/>
              </w:rPr>
              <w:t>Total Other Income</w:t>
            </w:r>
          </w:p>
        </w:tc>
        <w:tc>
          <w:tcPr>
            <w:tcW w:w="1082" w:type="pct"/>
            <w:shd w:val="clear" w:color="auto" w:fill="auto"/>
          </w:tcPr>
          <w:p w:rsidR="00CE0A93" w:rsidRPr="0012760D" w:rsidRDefault="00CE0A93" w:rsidP="00907E0B">
            <w:pPr>
              <w:jc w:val="right"/>
              <w:rPr>
                <w:sz w:val="24"/>
                <w:szCs w:val="24"/>
              </w:rPr>
            </w:pPr>
            <w:r w:rsidRPr="0012760D">
              <w:rPr>
                <w:bCs/>
                <w:sz w:val="24"/>
                <w:szCs w:val="24"/>
              </w:rPr>
              <w:t>7,392,635</w:t>
            </w:r>
          </w:p>
        </w:tc>
        <w:tc>
          <w:tcPr>
            <w:tcW w:w="1128" w:type="pct"/>
            <w:shd w:val="clear" w:color="auto" w:fill="auto"/>
          </w:tcPr>
          <w:p w:rsidR="00CE0A93" w:rsidRPr="0012760D" w:rsidRDefault="00CE0A93" w:rsidP="00907E0B">
            <w:pPr>
              <w:jc w:val="right"/>
              <w:rPr>
                <w:sz w:val="24"/>
                <w:szCs w:val="24"/>
              </w:rPr>
            </w:pPr>
            <w:r w:rsidRPr="0012760D">
              <w:rPr>
                <w:bCs/>
                <w:sz w:val="24"/>
                <w:szCs w:val="24"/>
              </w:rPr>
              <w:t>995,755</w:t>
            </w:r>
          </w:p>
        </w:tc>
      </w:tr>
      <w:tr w:rsidR="00CE0A93" w:rsidRPr="0012760D" w:rsidTr="00907E0B">
        <w:tblPrEx>
          <w:tblCellMar>
            <w:top w:w="0" w:type="dxa"/>
            <w:bottom w:w="0" w:type="dxa"/>
          </w:tblCellMar>
        </w:tblPrEx>
        <w:tc>
          <w:tcPr>
            <w:tcW w:w="2790" w:type="pct"/>
            <w:shd w:val="clear" w:color="auto" w:fill="auto"/>
          </w:tcPr>
          <w:p w:rsidR="00CE0A93" w:rsidRPr="0012760D" w:rsidRDefault="00CE0A93" w:rsidP="00907E0B">
            <w:pPr>
              <w:rPr>
                <w:sz w:val="24"/>
                <w:szCs w:val="24"/>
              </w:rPr>
            </w:pPr>
            <w:r w:rsidRPr="0012760D">
              <w:rPr>
                <w:bCs/>
                <w:sz w:val="24"/>
                <w:szCs w:val="24"/>
              </w:rPr>
              <w:t>Total Income from Transactions</w:t>
            </w:r>
          </w:p>
        </w:tc>
        <w:tc>
          <w:tcPr>
            <w:tcW w:w="1082" w:type="pct"/>
            <w:shd w:val="clear" w:color="auto" w:fill="auto"/>
          </w:tcPr>
          <w:p w:rsidR="00CE0A93" w:rsidRPr="0012760D" w:rsidRDefault="00CE0A93" w:rsidP="00907E0B">
            <w:pPr>
              <w:jc w:val="right"/>
              <w:rPr>
                <w:sz w:val="24"/>
                <w:szCs w:val="24"/>
              </w:rPr>
            </w:pPr>
            <w:r w:rsidRPr="0012760D">
              <w:rPr>
                <w:bCs/>
                <w:sz w:val="24"/>
                <w:szCs w:val="24"/>
              </w:rPr>
              <w:t>49,061,760</w:t>
            </w:r>
          </w:p>
        </w:tc>
        <w:tc>
          <w:tcPr>
            <w:tcW w:w="1128" w:type="pct"/>
            <w:shd w:val="clear" w:color="auto" w:fill="auto"/>
          </w:tcPr>
          <w:p w:rsidR="00CE0A93" w:rsidRPr="0012760D" w:rsidRDefault="00CE0A93" w:rsidP="00907E0B">
            <w:pPr>
              <w:jc w:val="right"/>
              <w:rPr>
                <w:sz w:val="24"/>
                <w:szCs w:val="24"/>
              </w:rPr>
            </w:pPr>
            <w:r w:rsidRPr="0012760D">
              <w:rPr>
                <w:bCs/>
                <w:sz w:val="24"/>
                <w:szCs w:val="24"/>
              </w:rPr>
              <w:t>47,753,153</w:t>
            </w:r>
          </w:p>
        </w:tc>
      </w:tr>
    </w:tbl>
    <w:p w:rsidR="00AF2D9F" w:rsidRDefault="00AF2D9F" w:rsidP="00CE0A93">
      <w:pPr>
        <w:rPr>
          <w:bCs/>
          <w:sz w:val="24"/>
          <w:szCs w:val="24"/>
        </w:rPr>
      </w:pPr>
    </w:p>
    <w:p w:rsidR="00AF2D9F" w:rsidRDefault="00AF2D9F" w:rsidP="00CE0A93">
      <w:pPr>
        <w:rPr>
          <w:bCs/>
          <w:sz w:val="24"/>
          <w:szCs w:val="24"/>
        </w:rPr>
      </w:pPr>
    </w:p>
    <w:p w:rsidR="00CE0A93" w:rsidRPr="0012760D" w:rsidRDefault="00CE0A93" w:rsidP="00AF2D9F">
      <w:pPr>
        <w:pStyle w:val="Heading2"/>
      </w:pPr>
      <w:r w:rsidRPr="0012760D">
        <w:t>4 (A) Program Expenses</w:t>
      </w:r>
    </w:p>
    <w:p w:rsidR="00CE0A93" w:rsidRPr="0012760D" w:rsidRDefault="00CE0A93" w:rsidP="00CE0A93">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4970"/>
        <w:gridCol w:w="2135"/>
        <w:gridCol w:w="2004"/>
      </w:tblGrid>
      <w:tr w:rsidR="00CE0A93" w:rsidRPr="0012760D" w:rsidTr="00907E0B">
        <w:tblPrEx>
          <w:tblCellMar>
            <w:top w:w="0" w:type="dxa"/>
            <w:bottom w:w="0" w:type="dxa"/>
          </w:tblCellMar>
        </w:tblPrEx>
        <w:trPr>
          <w:trHeight w:val="250"/>
        </w:trPr>
        <w:tc>
          <w:tcPr>
            <w:tcW w:w="2728" w:type="pct"/>
            <w:shd w:val="clear" w:color="auto" w:fill="auto"/>
          </w:tcPr>
          <w:p w:rsidR="00CE0A93" w:rsidRPr="0012760D" w:rsidRDefault="00CE0A93" w:rsidP="00907E0B">
            <w:pPr>
              <w:rPr>
                <w:sz w:val="24"/>
                <w:szCs w:val="24"/>
              </w:rPr>
            </w:pPr>
          </w:p>
        </w:tc>
        <w:tc>
          <w:tcPr>
            <w:tcW w:w="1172" w:type="pct"/>
            <w:shd w:val="clear" w:color="auto" w:fill="auto"/>
          </w:tcPr>
          <w:p w:rsidR="00CE0A93" w:rsidRPr="0012760D" w:rsidRDefault="00CE0A93" w:rsidP="00907E0B">
            <w:pPr>
              <w:jc w:val="right"/>
              <w:rPr>
                <w:sz w:val="24"/>
                <w:szCs w:val="24"/>
              </w:rPr>
            </w:pPr>
            <w:r w:rsidRPr="0012760D">
              <w:rPr>
                <w:bCs/>
                <w:sz w:val="24"/>
                <w:szCs w:val="24"/>
              </w:rPr>
              <w:t>2013 $</w:t>
            </w:r>
          </w:p>
        </w:tc>
        <w:tc>
          <w:tcPr>
            <w:tcW w:w="1100" w:type="pct"/>
            <w:shd w:val="clear" w:color="auto" w:fill="auto"/>
          </w:tcPr>
          <w:p w:rsidR="00CE0A93" w:rsidRPr="0012760D" w:rsidRDefault="00CE0A93" w:rsidP="00907E0B">
            <w:pPr>
              <w:jc w:val="right"/>
              <w:rPr>
                <w:sz w:val="24"/>
                <w:szCs w:val="24"/>
              </w:rPr>
            </w:pPr>
            <w:r w:rsidRPr="0012760D">
              <w:rPr>
                <w:bCs/>
                <w:sz w:val="24"/>
                <w:szCs w:val="24"/>
              </w:rPr>
              <w:t>2012 $</w:t>
            </w:r>
          </w:p>
        </w:tc>
      </w:tr>
      <w:tr w:rsidR="00CE0A93" w:rsidRPr="0012760D" w:rsidTr="00907E0B">
        <w:tblPrEx>
          <w:tblCellMar>
            <w:top w:w="0" w:type="dxa"/>
            <w:bottom w:w="0" w:type="dxa"/>
          </w:tblCellMar>
        </w:tblPrEx>
        <w:trPr>
          <w:trHeight w:val="298"/>
        </w:trPr>
        <w:tc>
          <w:tcPr>
            <w:tcW w:w="2728" w:type="pct"/>
            <w:shd w:val="clear" w:color="auto" w:fill="auto"/>
          </w:tcPr>
          <w:p w:rsidR="00CE0A93" w:rsidRPr="0012760D" w:rsidRDefault="00CE0A93" w:rsidP="00907E0B">
            <w:pPr>
              <w:rPr>
                <w:sz w:val="24"/>
                <w:szCs w:val="24"/>
              </w:rPr>
            </w:pPr>
            <w:r w:rsidRPr="0012760D">
              <w:rPr>
                <w:sz w:val="24"/>
                <w:szCs w:val="24"/>
              </w:rPr>
              <w:t>Integrated Waste Management</w:t>
            </w:r>
          </w:p>
        </w:tc>
        <w:tc>
          <w:tcPr>
            <w:tcW w:w="1172" w:type="pct"/>
            <w:shd w:val="clear" w:color="auto" w:fill="auto"/>
          </w:tcPr>
          <w:p w:rsidR="00CE0A93" w:rsidRPr="0012760D" w:rsidRDefault="00CE0A93" w:rsidP="00907E0B">
            <w:pPr>
              <w:jc w:val="right"/>
              <w:rPr>
                <w:sz w:val="24"/>
                <w:szCs w:val="24"/>
              </w:rPr>
            </w:pPr>
            <w:r w:rsidRPr="0012760D">
              <w:rPr>
                <w:sz w:val="24"/>
                <w:szCs w:val="24"/>
              </w:rPr>
              <w:t>9,457,006</w:t>
            </w:r>
          </w:p>
        </w:tc>
        <w:tc>
          <w:tcPr>
            <w:tcW w:w="1100" w:type="pct"/>
            <w:shd w:val="clear" w:color="auto" w:fill="auto"/>
          </w:tcPr>
          <w:p w:rsidR="00CE0A93" w:rsidRPr="0012760D" w:rsidRDefault="00CE0A93" w:rsidP="00907E0B">
            <w:pPr>
              <w:jc w:val="right"/>
              <w:rPr>
                <w:sz w:val="24"/>
                <w:szCs w:val="24"/>
              </w:rPr>
            </w:pPr>
            <w:r w:rsidRPr="0012760D">
              <w:rPr>
                <w:sz w:val="24"/>
                <w:szCs w:val="24"/>
              </w:rPr>
              <w:t>5,923,513</w:t>
            </w:r>
          </w:p>
        </w:tc>
      </w:tr>
      <w:tr w:rsidR="00CE0A93" w:rsidRPr="0012760D" w:rsidTr="00907E0B">
        <w:tblPrEx>
          <w:tblCellMar>
            <w:top w:w="0" w:type="dxa"/>
            <w:bottom w:w="0" w:type="dxa"/>
          </w:tblCellMar>
        </w:tblPrEx>
        <w:trPr>
          <w:trHeight w:val="278"/>
        </w:trPr>
        <w:tc>
          <w:tcPr>
            <w:tcW w:w="2728" w:type="pct"/>
            <w:shd w:val="clear" w:color="auto" w:fill="auto"/>
          </w:tcPr>
          <w:p w:rsidR="00CE0A93" w:rsidRPr="0012760D" w:rsidRDefault="00CE0A93" w:rsidP="00907E0B">
            <w:pPr>
              <w:rPr>
                <w:sz w:val="24"/>
                <w:szCs w:val="24"/>
              </w:rPr>
            </w:pPr>
            <w:r w:rsidRPr="0012760D">
              <w:rPr>
                <w:sz w:val="24"/>
                <w:szCs w:val="24"/>
              </w:rPr>
              <w:lastRenderedPageBreak/>
              <w:t>Resource Efficiency</w:t>
            </w:r>
          </w:p>
        </w:tc>
        <w:tc>
          <w:tcPr>
            <w:tcW w:w="1172" w:type="pct"/>
            <w:shd w:val="clear" w:color="auto" w:fill="auto"/>
          </w:tcPr>
          <w:p w:rsidR="00CE0A93" w:rsidRPr="0012760D" w:rsidRDefault="00CE0A93" w:rsidP="00907E0B">
            <w:pPr>
              <w:jc w:val="right"/>
              <w:rPr>
                <w:sz w:val="24"/>
                <w:szCs w:val="24"/>
              </w:rPr>
            </w:pPr>
            <w:r w:rsidRPr="0012760D">
              <w:rPr>
                <w:sz w:val="24"/>
                <w:szCs w:val="24"/>
              </w:rPr>
              <w:t>4,739,666</w:t>
            </w:r>
          </w:p>
        </w:tc>
        <w:tc>
          <w:tcPr>
            <w:tcW w:w="1100" w:type="pct"/>
            <w:shd w:val="clear" w:color="auto" w:fill="auto"/>
          </w:tcPr>
          <w:p w:rsidR="00CE0A93" w:rsidRPr="0012760D" w:rsidRDefault="00CE0A93" w:rsidP="00907E0B">
            <w:pPr>
              <w:jc w:val="right"/>
              <w:rPr>
                <w:sz w:val="24"/>
                <w:szCs w:val="24"/>
              </w:rPr>
            </w:pPr>
            <w:r w:rsidRPr="0012760D">
              <w:rPr>
                <w:sz w:val="24"/>
                <w:szCs w:val="24"/>
              </w:rPr>
              <w:t>10,378,456</w:t>
            </w:r>
          </w:p>
        </w:tc>
      </w:tr>
      <w:tr w:rsidR="00CE0A93" w:rsidRPr="0012760D" w:rsidTr="00407410">
        <w:tblPrEx>
          <w:tblCellMar>
            <w:top w:w="0" w:type="dxa"/>
            <w:bottom w:w="0" w:type="dxa"/>
          </w:tblCellMar>
        </w:tblPrEx>
        <w:trPr>
          <w:trHeight w:val="585"/>
        </w:trPr>
        <w:tc>
          <w:tcPr>
            <w:tcW w:w="2728" w:type="pct"/>
            <w:shd w:val="clear" w:color="auto" w:fill="auto"/>
          </w:tcPr>
          <w:p w:rsidR="00CE0A93" w:rsidRPr="0012760D" w:rsidRDefault="00CE0A93" w:rsidP="00907E0B">
            <w:pPr>
              <w:rPr>
                <w:sz w:val="24"/>
                <w:szCs w:val="24"/>
              </w:rPr>
            </w:pPr>
            <w:r w:rsidRPr="0012760D">
              <w:rPr>
                <w:sz w:val="24"/>
                <w:szCs w:val="24"/>
              </w:rPr>
              <w:t>Engagement (includes all litter and Schools Programs)</w:t>
            </w:r>
          </w:p>
        </w:tc>
        <w:tc>
          <w:tcPr>
            <w:tcW w:w="1172" w:type="pct"/>
            <w:shd w:val="clear" w:color="auto" w:fill="auto"/>
            <w:vAlign w:val="bottom"/>
          </w:tcPr>
          <w:p w:rsidR="00CE0A93" w:rsidRPr="0012760D" w:rsidRDefault="00CE0A93" w:rsidP="00407410">
            <w:pPr>
              <w:jc w:val="right"/>
              <w:rPr>
                <w:sz w:val="24"/>
                <w:szCs w:val="24"/>
              </w:rPr>
            </w:pPr>
            <w:r w:rsidRPr="0012760D">
              <w:rPr>
                <w:sz w:val="24"/>
                <w:szCs w:val="24"/>
              </w:rPr>
              <w:t>4,738,072</w:t>
            </w:r>
          </w:p>
        </w:tc>
        <w:tc>
          <w:tcPr>
            <w:tcW w:w="1100" w:type="pct"/>
            <w:shd w:val="clear" w:color="auto" w:fill="auto"/>
            <w:vAlign w:val="bottom"/>
          </w:tcPr>
          <w:p w:rsidR="00CE0A93" w:rsidRPr="0012760D" w:rsidRDefault="00CE0A93" w:rsidP="00407410">
            <w:pPr>
              <w:jc w:val="right"/>
              <w:rPr>
                <w:sz w:val="24"/>
                <w:szCs w:val="24"/>
              </w:rPr>
            </w:pPr>
            <w:r w:rsidRPr="0012760D">
              <w:rPr>
                <w:sz w:val="24"/>
                <w:szCs w:val="24"/>
              </w:rPr>
              <w:t>6,096,171</w:t>
            </w:r>
          </w:p>
        </w:tc>
      </w:tr>
      <w:tr w:rsidR="00CE0A93" w:rsidRPr="0012760D" w:rsidTr="00907E0B">
        <w:tblPrEx>
          <w:tblCellMar>
            <w:top w:w="0" w:type="dxa"/>
            <w:bottom w:w="0" w:type="dxa"/>
          </w:tblCellMar>
        </w:tblPrEx>
        <w:trPr>
          <w:trHeight w:val="288"/>
        </w:trPr>
        <w:tc>
          <w:tcPr>
            <w:tcW w:w="2728" w:type="pct"/>
            <w:shd w:val="clear" w:color="auto" w:fill="auto"/>
          </w:tcPr>
          <w:p w:rsidR="00CE0A93" w:rsidRPr="0012760D" w:rsidRDefault="00CE0A93" w:rsidP="00907E0B">
            <w:pPr>
              <w:rPr>
                <w:sz w:val="24"/>
                <w:szCs w:val="24"/>
              </w:rPr>
            </w:pPr>
            <w:r w:rsidRPr="0012760D">
              <w:rPr>
                <w:bCs/>
                <w:sz w:val="24"/>
                <w:szCs w:val="24"/>
              </w:rPr>
              <w:t>Total Program Expenses*</w:t>
            </w:r>
          </w:p>
        </w:tc>
        <w:tc>
          <w:tcPr>
            <w:tcW w:w="1172" w:type="pct"/>
            <w:shd w:val="clear" w:color="auto" w:fill="auto"/>
          </w:tcPr>
          <w:p w:rsidR="00CE0A93" w:rsidRPr="0012760D" w:rsidRDefault="00CE0A93" w:rsidP="00907E0B">
            <w:pPr>
              <w:jc w:val="right"/>
              <w:rPr>
                <w:sz w:val="24"/>
                <w:szCs w:val="24"/>
              </w:rPr>
            </w:pPr>
            <w:r w:rsidRPr="0012760D">
              <w:rPr>
                <w:bCs/>
                <w:sz w:val="24"/>
                <w:szCs w:val="24"/>
              </w:rPr>
              <w:t>18,934,744</w:t>
            </w:r>
          </w:p>
        </w:tc>
        <w:tc>
          <w:tcPr>
            <w:tcW w:w="1100" w:type="pct"/>
            <w:shd w:val="clear" w:color="auto" w:fill="auto"/>
          </w:tcPr>
          <w:p w:rsidR="00CE0A93" w:rsidRPr="0012760D" w:rsidRDefault="00CE0A93" w:rsidP="00907E0B">
            <w:pPr>
              <w:jc w:val="right"/>
              <w:rPr>
                <w:sz w:val="24"/>
                <w:szCs w:val="24"/>
              </w:rPr>
            </w:pPr>
            <w:r w:rsidRPr="0012760D">
              <w:rPr>
                <w:bCs/>
                <w:sz w:val="24"/>
                <w:szCs w:val="24"/>
              </w:rPr>
              <w:t>22,398,140</w:t>
            </w:r>
          </w:p>
        </w:tc>
      </w:tr>
    </w:tbl>
    <w:p w:rsidR="00CE0A93" w:rsidRPr="0012760D" w:rsidRDefault="00CE0A93" w:rsidP="00CE0A93">
      <w:pPr>
        <w:rPr>
          <w:sz w:val="24"/>
          <w:szCs w:val="24"/>
        </w:rPr>
      </w:pPr>
    </w:p>
    <w:p w:rsidR="00CE0A93" w:rsidRPr="0012760D" w:rsidRDefault="00CE0A93" w:rsidP="00CE0A93">
      <w:pPr>
        <w:rPr>
          <w:sz w:val="24"/>
          <w:szCs w:val="24"/>
        </w:rPr>
      </w:pPr>
      <w:r w:rsidRPr="0012760D">
        <w:rPr>
          <w:sz w:val="24"/>
          <w:szCs w:val="24"/>
        </w:rPr>
        <w:t>* The 2012 comparative program expenses have been re-classified to align to the 2013 organisational structure.</w:t>
      </w:r>
    </w:p>
    <w:p w:rsidR="00CE0A93" w:rsidRDefault="00CE0A93" w:rsidP="00CE0A93">
      <w:pPr>
        <w:rPr>
          <w:bCs/>
          <w:sz w:val="24"/>
          <w:szCs w:val="24"/>
        </w:rPr>
      </w:pPr>
    </w:p>
    <w:p w:rsidR="00AF2D9F" w:rsidRPr="0012760D" w:rsidRDefault="00AF2D9F" w:rsidP="00CE0A93">
      <w:pPr>
        <w:rPr>
          <w:bCs/>
          <w:sz w:val="24"/>
          <w:szCs w:val="24"/>
        </w:rPr>
      </w:pPr>
    </w:p>
    <w:p w:rsidR="00CE0A93" w:rsidRPr="0012760D" w:rsidRDefault="00CE0A93" w:rsidP="00AF2D9F">
      <w:pPr>
        <w:pStyle w:val="Heading2"/>
      </w:pPr>
      <w:r w:rsidRPr="0012760D">
        <w:t>4 (B) Employee Benefits</w:t>
      </w:r>
    </w:p>
    <w:p w:rsidR="00CE0A93" w:rsidRPr="0012760D" w:rsidRDefault="00CE0A93" w:rsidP="00CE0A93">
      <w:pPr>
        <w:rPr>
          <w:bCs/>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5009"/>
        <w:gridCol w:w="2101"/>
        <w:gridCol w:w="1999"/>
      </w:tblGrid>
      <w:tr w:rsidR="00CE0A93" w:rsidRPr="0012760D" w:rsidTr="00907E0B">
        <w:tblPrEx>
          <w:tblCellMar>
            <w:top w:w="0" w:type="dxa"/>
            <w:bottom w:w="0" w:type="dxa"/>
          </w:tblCellMar>
        </w:tblPrEx>
        <w:trPr>
          <w:trHeight w:val="240"/>
        </w:trPr>
        <w:tc>
          <w:tcPr>
            <w:tcW w:w="2749" w:type="pct"/>
            <w:shd w:val="clear" w:color="auto" w:fill="auto"/>
          </w:tcPr>
          <w:p w:rsidR="00CE0A93" w:rsidRPr="0012760D" w:rsidRDefault="00CE0A93" w:rsidP="00907E0B">
            <w:pPr>
              <w:rPr>
                <w:sz w:val="24"/>
                <w:szCs w:val="24"/>
              </w:rPr>
            </w:pPr>
          </w:p>
        </w:tc>
        <w:tc>
          <w:tcPr>
            <w:tcW w:w="1153" w:type="pct"/>
            <w:shd w:val="clear" w:color="auto" w:fill="auto"/>
          </w:tcPr>
          <w:p w:rsidR="00CE0A93" w:rsidRPr="0012760D" w:rsidRDefault="00CE0A93" w:rsidP="00907E0B">
            <w:pPr>
              <w:jc w:val="right"/>
              <w:rPr>
                <w:sz w:val="24"/>
                <w:szCs w:val="24"/>
              </w:rPr>
            </w:pPr>
            <w:r w:rsidRPr="0012760D">
              <w:rPr>
                <w:bCs/>
                <w:sz w:val="24"/>
                <w:szCs w:val="24"/>
              </w:rPr>
              <w:t>2013 $</w:t>
            </w:r>
          </w:p>
        </w:tc>
        <w:tc>
          <w:tcPr>
            <w:tcW w:w="1097" w:type="pct"/>
            <w:shd w:val="clear" w:color="auto" w:fill="auto"/>
          </w:tcPr>
          <w:p w:rsidR="00CE0A93" w:rsidRPr="0012760D" w:rsidRDefault="00CE0A93" w:rsidP="00907E0B">
            <w:pPr>
              <w:jc w:val="right"/>
              <w:rPr>
                <w:sz w:val="24"/>
                <w:szCs w:val="24"/>
              </w:rPr>
            </w:pPr>
            <w:r w:rsidRPr="0012760D">
              <w:rPr>
                <w:bCs/>
                <w:sz w:val="24"/>
                <w:szCs w:val="24"/>
              </w:rPr>
              <w:t>2012 $</w:t>
            </w:r>
          </w:p>
        </w:tc>
      </w:tr>
      <w:tr w:rsidR="00CE0A93" w:rsidRPr="0012760D" w:rsidTr="00907E0B">
        <w:tblPrEx>
          <w:tblCellMar>
            <w:top w:w="0" w:type="dxa"/>
            <w:bottom w:w="0" w:type="dxa"/>
          </w:tblCellMar>
        </w:tblPrEx>
        <w:trPr>
          <w:trHeight w:val="283"/>
        </w:trPr>
        <w:tc>
          <w:tcPr>
            <w:tcW w:w="2749" w:type="pct"/>
            <w:shd w:val="clear" w:color="auto" w:fill="auto"/>
          </w:tcPr>
          <w:p w:rsidR="00CE0A93" w:rsidRPr="0012760D" w:rsidRDefault="00CE0A93" w:rsidP="00907E0B">
            <w:pPr>
              <w:rPr>
                <w:sz w:val="24"/>
                <w:szCs w:val="24"/>
              </w:rPr>
            </w:pPr>
            <w:r w:rsidRPr="0012760D">
              <w:rPr>
                <w:sz w:val="24"/>
                <w:szCs w:val="24"/>
              </w:rPr>
              <w:t>Salaries, Wages and Allowances</w:t>
            </w:r>
          </w:p>
        </w:tc>
        <w:tc>
          <w:tcPr>
            <w:tcW w:w="1153" w:type="pct"/>
            <w:shd w:val="clear" w:color="auto" w:fill="auto"/>
          </w:tcPr>
          <w:p w:rsidR="00CE0A93" w:rsidRPr="0012760D" w:rsidRDefault="00CE0A93" w:rsidP="00907E0B">
            <w:pPr>
              <w:jc w:val="right"/>
              <w:rPr>
                <w:sz w:val="24"/>
                <w:szCs w:val="24"/>
              </w:rPr>
            </w:pPr>
            <w:r w:rsidRPr="0012760D">
              <w:rPr>
                <w:sz w:val="24"/>
                <w:szCs w:val="24"/>
              </w:rPr>
              <w:t>10,498,538</w:t>
            </w:r>
          </w:p>
        </w:tc>
        <w:tc>
          <w:tcPr>
            <w:tcW w:w="1097" w:type="pct"/>
            <w:shd w:val="clear" w:color="auto" w:fill="auto"/>
          </w:tcPr>
          <w:p w:rsidR="00CE0A93" w:rsidRPr="0012760D" w:rsidRDefault="00CE0A93" w:rsidP="00907E0B">
            <w:pPr>
              <w:jc w:val="right"/>
              <w:rPr>
                <w:sz w:val="24"/>
                <w:szCs w:val="24"/>
              </w:rPr>
            </w:pPr>
            <w:r w:rsidRPr="0012760D">
              <w:rPr>
                <w:sz w:val="24"/>
                <w:szCs w:val="24"/>
              </w:rPr>
              <w:t>13,200,596</w:t>
            </w:r>
          </w:p>
        </w:tc>
      </w:tr>
      <w:tr w:rsidR="00CE0A93" w:rsidRPr="0012760D" w:rsidTr="00907E0B">
        <w:tblPrEx>
          <w:tblCellMar>
            <w:top w:w="0" w:type="dxa"/>
            <w:bottom w:w="0" w:type="dxa"/>
          </w:tblCellMar>
        </w:tblPrEx>
        <w:trPr>
          <w:trHeight w:val="288"/>
        </w:trPr>
        <w:tc>
          <w:tcPr>
            <w:tcW w:w="2749" w:type="pct"/>
            <w:shd w:val="clear" w:color="auto" w:fill="auto"/>
          </w:tcPr>
          <w:p w:rsidR="00CE0A93" w:rsidRPr="0012760D" w:rsidRDefault="00CE0A93" w:rsidP="00907E0B">
            <w:pPr>
              <w:rPr>
                <w:sz w:val="24"/>
                <w:szCs w:val="24"/>
              </w:rPr>
            </w:pPr>
            <w:r w:rsidRPr="0012760D">
              <w:rPr>
                <w:sz w:val="24"/>
                <w:szCs w:val="24"/>
              </w:rPr>
              <w:t>Employer Superannuation</w:t>
            </w:r>
          </w:p>
        </w:tc>
        <w:tc>
          <w:tcPr>
            <w:tcW w:w="1153" w:type="pct"/>
            <w:shd w:val="clear" w:color="auto" w:fill="auto"/>
          </w:tcPr>
          <w:p w:rsidR="00CE0A93" w:rsidRPr="0012760D" w:rsidRDefault="00CE0A93" w:rsidP="00907E0B">
            <w:pPr>
              <w:jc w:val="right"/>
              <w:rPr>
                <w:sz w:val="24"/>
                <w:szCs w:val="24"/>
              </w:rPr>
            </w:pPr>
            <w:r w:rsidRPr="0012760D">
              <w:rPr>
                <w:sz w:val="24"/>
                <w:szCs w:val="24"/>
              </w:rPr>
              <w:t>919,510</w:t>
            </w:r>
          </w:p>
        </w:tc>
        <w:tc>
          <w:tcPr>
            <w:tcW w:w="1097" w:type="pct"/>
            <w:shd w:val="clear" w:color="auto" w:fill="auto"/>
          </w:tcPr>
          <w:p w:rsidR="00CE0A93" w:rsidRPr="0012760D" w:rsidRDefault="00CE0A93" w:rsidP="00907E0B">
            <w:pPr>
              <w:jc w:val="right"/>
              <w:rPr>
                <w:sz w:val="24"/>
                <w:szCs w:val="24"/>
              </w:rPr>
            </w:pPr>
            <w:r w:rsidRPr="0012760D">
              <w:rPr>
                <w:sz w:val="24"/>
                <w:szCs w:val="24"/>
              </w:rPr>
              <w:t>1,093,670</w:t>
            </w:r>
          </w:p>
        </w:tc>
      </w:tr>
      <w:tr w:rsidR="00CE0A93" w:rsidRPr="0012760D" w:rsidTr="00907E0B">
        <w:tblPrEx>
          <w:tblCellMar>
            <w:top w:w="0" w:type="dxa"/>
            <w:bottom w:w="0" w:type="dxa"/>
          </w:tblCellMar>
        </w:tblPrEx>
        <w:trPr>
          <w:trHeight w:val="278"/>
        </w:trPr>
        <w:tc>
          <w:tcPr>
            <w:tcW w:w="2749" w:type="pct"/>
            <w:shd w:val="clear" w:color="auto" w:fill="auto"/>
          </w:tcPr>
          <w:p w:rsidR="00CE0A93" w:rsidRPr="0012760D" w:rsidRDefault="00CE0A93" w:rsidP="00907E0B">
            <w:pPr>
              <w:rPr>
                <w:sz w:val="24"/>
                <w:szCs w:val="24"/>
              </w:rPr>
            </w:pPr>
            <w:r w:rsidRPr="0012760D">
              <w:rPr>
                <w:sz w:val="24"/>
                <w:szCs w:val="24"/>
              </w:rPr>
              <w:t>On-Costs</w:t>
            </w:r>
          </w:p>
        </w:tc>
        <w:tc>
          <w:tcPr>
            <w:tcW w:w="1153" w:type="pct"/>
            <w:shd w:val="clear" w:color="auto" w:fill="auto"/>
          </w:tcPr>
          <w:p w:rsidR="00CE0A93" w:rsidRPr="0012760D" w:rsidRDefault="00CE0A93" w:rsidP="00907E0B">
            <w:pPr>
              <w:jc w:val="right"/>
              <w:rPr>
                <w:sz w:val="24"/>
                <w:szCs w:val="24"/>
              </w:rPr>
            </w:pPr>
            <w:r w:rsidRPr="0012760D">
              <w:rPr>
                <w:sz w:val="24"/>
                <w:szCs w:val="24"/>
              </w:rPr>
              <w:t>1,052,344</w:t>
            </w:r>
          </w:p>
        </w:tc>
        <w:tc>
          <w:tcPr>
            <w:tcW w:w="1097" w:type="pct"/>
            <w:shd w:val="clear" w:color="auto" w:fill="auto"/>
          </w:tcPr>
          <w:p w:rsidR="00CE0A93" w:rsidRPr="0012760D" w:rsidRDefault="00CE0A93" w:rsidP="00907E0B">
            <w:pPr>
              <w:jc w:val="right"/>
              <w:rPr>
                <w:sz w:val="24"/>
                <w:szCs w:val="24"/>
              </w:rPr>
            </w:pPr>
            <w:r w:rsidRPr="0012760D">
              <w:rPr>
                <w:sz w:val="24"/>
                <w:szCs w:val="24"/>
              </w:rPr>
              <w:t>667,972</w:t>
            </w:r>
          </w:p>
        </w:tc>
      </w:tr>
      <w:tr w:rsidR="00CE0A93" w:rsidRPr="0012760D" w:rsidTr="00907E0B">
        <w:tblPrEx>
          <w:tblCellMar>
            <w:top w:w="0" w:type="dxa"/>
            <w:bottom w:w="0" w:type="dxa"/>
          </w:tblCellMar>
        </w:tblPrEx>
        <w:trPr>
          <w:trHeight w:val="288"/>
        </w:trPr>
        <w:tc>
          <w:tcPr>
            <w:tcW w:w="2749" w:type="pct"/>
            <w:shd w:val="clear" w:color="auto" w:fill="auto"/>
          </w:tcPr>
          <w:p w:rsidR="00CE0A93" w:rsidRPr="0012760D" w:rsidRDefault="00CE0A93" w:rsidP="00907E0B">
            <w:pPr>
              <w:rPr>
                <w:sz w:val="24"/>
                <w:szCs w:val="24"/>
              </w:rPr>
            </w:pPr>
            <w:r w:rsidRPr="0012760D">
              <w:rPr>
                <w:bCs/>
                <w:sz w:val="24"/>
                <w:szCs w:val="24"/>
              </w:rPr>
              <w:t>Total Employee Benefits</w:t>
            </w:r>
          </w:p>
        </w:tc>
        <w:tc>
          <w:tcPr>
            <w:tcW w:w="1153" w:type="pct"/>
            <w:shd w:val="clear" w:color="auto" w:fill="auto"/>
          </w:tcPr>
          <w:p w:rsidR="00CE0A93" w:rsidRPr="0012760D" w:rsidRDefault="00CE0A93" w:rsidP="00907E0B">
            <w:pPr>
              <w:jc w:val="right"/>
              <w:rPr>
                <w:sz w:val="24"/>
                <w:szCs w:val="24"/>
              </w:rPr>
            </w:pPr>
            <w:r w:rsidRPr="0012760D">
              <w:rPr>
                <w:bCs/>
                <w:sz w:val="24"/>
                <w:szCs w:val="24"/>
              </w:rPr>
              <w:t>12,470,392</w:t>
            </w:r>
          </w:p>
        </w:tc>
        <w:tc>
          <w:tcPr>
            <w:tcW w:w="1097" w:type="pct"/>
            <w:shd w:val="clear" w:color="auto" w:fill="auto"/>
          </w:tcPr>
          <w:p w:rsidR="00CE0A93" w:rsidRPr="0012760D" w:rsidRDefault="00CE0A93" w:rsidP="00907E0B">
            <w:pPr>
              <w:jc w:val="right"/>
              <w:rPr>
                <w:sz w:val="24"/>
                <w:szCs w:val="24"/>
              </w:rPr>
            </w:pPr>
            <w:r w:rsidRPr="0012760D">
              <w:rPr>
                <w:bCs/>
                <w:sz w:val="24"/>
                <w:szCs w:val="24"/>
              </w:rPr>
              <w:t>14,962,238</w:t>
            </w:r>
          </w:p>
        </w:tc>
      </w:tr>
    </w:tbl>
    <w:p w:rsidR="00CE0A93" w:rsidRDefault="00CE0A93" w:rsidP="00CE0A93">
      <w:pPr>
        <w:rPr>
          <w:bCs/>
          <w:sz w:val="24"/>
          <w:szCs w:val="24"/>
        </w:rPr>
      </w:pPr>
    </w:p>
    <w:p w:rsidR="00AF2D9F" w:rsidRPr="0012760D" w:rsidRDefault="00AF2D9F" w:rsidP="00CE0A93">
      <w:pPr>
        <w:rPr>
          <w:bCs/>
          <w:sz w:val="24"/>
          <w:szCs w:val="24"/>
        </w:rPr>
      </w:pPr>
    </w:p>
    <w:p w:rsidR="00CE0A93" w:rsidRPr="0012760D" w:rsidRDefault="00CE0A93" w:rsidP="00AF2D9F">
      <w:pPr>
        <w:pStyle w:val="Heading2"/>
      </w:pPr>
      <w:r w:rsidRPr="0012760D">
        <w:t>4 (C) Net Profit on Disposal of Assets:</w:t>
      </w:r>
    </w:p>
    <w:p w:rsidR="00CE0A93" w:rsidRPr="0012760D" w:rsidRDefault="00CE0A93" w:rsidP="00CE0A93">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5148"/>
        <w:gridCol w:w="2336"/>
        <w:gridCol w:w="1625"/>
      </w:tblGrid>
      <w:tr w:rsidR="00CE0A93" w:rsidRPr="0012760D" w:rsidTr="00907E0B">
        <w:tblPrEx>
          <w:tblCellMar>
            <w:top w:w="0" w:type="dxa"/>
            <w:bottom w:w="0" w:type="dxa"/>
          </w:tblCellMar>
        </w:tblPrEx>
        <w:trPr>
          <w:trHeight w:val="250"/>
        </w:trPr>
        <w:tc>
          <w:tcPr>
            <w:tcW w:w="2826" w:type="pct"/>
            <w:shd w:val="clear" w:color="auto" w:fill="auto"/>
          </w:tcPr>
          <w:p w:rsidR="00CE0A93" w:rsidRPr="0012760D" w:rsidRDefault="00CE0A93" w:rsidP="00907E0B">
            <w:pPr>
              <w:rPr>
                <w:sz w:val="24"/>
                <w:szCs w:val="24"/>
              </w:rPr>
            </w:pPr>
          </w:p>
        </w:tc>
        <w:tc>
          <w:tcPr>
            <w:tcW w:w="1282" w:type="pct"/>
            <w:shd w:val="clear" w:color="auto" w:fill="auto"/>
          </w:tcPr>
          <w:p w:rsidR="00CE0A93" w:rsidRPr="0012760D" w:rsidRDefault="00CE0A93" w:rsidP="00907E0B">
            <w:pPr>
              <w:jc w:val="right"/>
              <w:rPr>
                <w:sz w:val="24"/>
                <w:szCs w:val="24"/>
              </w:rPr>
            </w:pPr>
            <w:r w:rsidRPr="0012760D">
              <w:rPr>
                <w:bCs/>
                <w:sz w:val="24"/>
                <w:szCs w:val="24"/>
              </w:rPr>
              <w:t>2013 $</w:t>
            </w:r>
          </w:p>
        </w:tc>
        <w:tc>
          <w:tcPr>
            <w:tcW w:w="892" w:type="pct"/>
            <w:shd w:val="clear" w:color="auto" w:fill="auto"/>
          </w:tcPr>
          <w:p w:rsidR="00CE0A93" w:rsidRPr="0012760D" w:rsidRDefault="00CE0A93" w:rsidP="00907E0B">
            <w:pPr>
              <w:jc w:val="right"/>
              <w:rPr>
                <w:sz w:val="24"/>
                <w:szCs w:val="24"/>
              </w:rPr>
            </w:pPr>
            <w:r w:rsidRPr="0012760D">
              <w:rPr>
                <w:bCs/>
                <w:sz w:val="24"/>
                <w:szCs w:val="24"/>
              </w:rPr>
              <w:t>2012 $</w:t>
            </w:r>
          </w:p>
        </w:tc>
      </w:tr>
      <w:tr w:rsidR="00CE0A93" w:rsidRPr="0012760D" w:rsidTr="00907E0B">
        <w:tblPrEx>
          <w:tblCellMar>
            <w:top w:w="0" w:type="dxa"/>
            <w:bottom w:w="0" w:type="dxa"/>
          </w:tblCellMar>
        </w:tblPrEx>
        <w:trPr>
          <w:trHeight w:val="283"/>
        </w:trPr>
        <w:tc>
          <w:tcPr>
            <w:tcW w:w="2826" w:type="pct"/>
            <w:shd w:val="clear" w:color="auto" w:fill="auto"/>
          </w:tcPr>
          <w:p w:rsidR="00CE0A93" w:rsidRPr="0012760D" w:rsidRDefault="00CE0A93" w:rsidP="00907E0B">
            <w:pPr>
              <w:rPr>
                <w:sz w:val="24"/>
                <w:szCs w:val="24"/>
              </w:rPr>
            </w:pPr>
            <w:r w:rsidRPr="0012760D">
              <w:rPr>
                <w:sz w:val="24"/>
                <w:szCs w:val="24"/>
              </w:rPr>
              <w:t xml:space="preserve">Property, Plant </w:t>
            </w:r>
            <w:r w:rsidR="00236A13">
              <w:rPr>
                <w:sz w:val="24"/>
                <w:szCs w:val="24"/>
              </w:rPr>
              <w:t>and</w:t>
            </w:r>
            <w:r w:rsidRPr="0012760D">
              <w:rPr>
                <w:sz w:val="24"/>
                <w:szCs w:val="24"/>
              </w:rPr>
              <w:t xml:space="preserve"> Equipment</w:t>
            </w:r>
          </w:p>
        </w:tc>
        <w:tc>
          <w:tcPr>
            <w:tcW w:w="1282" w:type="pct"/>
            <w:shd w:val="clear" w:color="auto" w:fill="auto"/>
          </w:tcPr>
          <w:p w:rsidR="00CE0A93" w:rsidRPr="0012760D" w:rsidRDefault="00CE0A93" w:rsidP="00907E0B">
            <w:pPr>
              <w:jc w:val="right"/>
              <w:rPr>
                <w:sz w:val="24"/>
                <w:szCs w:val="24"/>
              </w:rPr>
            </w:pPr>
            <w:r w:rsidRPr="0012760D">
              <w:rPr>
                <w:sz w:val="24"/>
                <w:szCs w:val="24"/>
              </w:rPr>
              <w:t>3,426</w:t>
            </w:r>
          </w:p>
        </w:tc>
        <w:tc>
          <w:tcPr>
            <w:tcW w:w="892" w:type="pct"/>
            <w:shd w:val="clear" w:color="auto" w:fill="auto"/>
          </w:tcPr>
          <w:p w:rsidR="00CE0A93" w:rsidRPr="0012760D" w:rsidRDefault="00CE0A93" w:rsidP="00907E0B">
            <w:pPr>
              <w:jc w:val="right"/>
              <w:rPr>
                <w:sz w:val="24"/>
                <w:szCs w:val="24"/>
              </w:rPr>
            </w:pPr>
            <w:r w:rsidRPr="0012760D">
              <w:rPr>
                <w:sz w:val="24"/>
                <w:szCs w:val="24"/>
              </w:rPr>
              <w:t>2,641</w:t>
            </w:r>
          </w:p>
        </w:tc>
      </w:tr>
      <w:tr w:rsidR="00CE0A93" w:rsidRPr="0012760D" w:rsidTr="00907E0B">
        <w:tblPrEx>
          <w:tblCellMar>
            <w:top w:w="0" w:type="dxa"/>
            <w:bottom w:w="0" w:type="dxa"/>
          </w:tblCellMar>
        </w:tblPrEx>
        <w:trPr>
          <w:trHeight w:val="288"/>
        </w:trPr>
        <w:tc>
          <w:tcPr>
            <w:tcW w:w="2826" w:type="pct"/>
            <w:shd w:val="clear" w:color="auto" w:fill="auto"/>
          </w:tcPr>
          <w:p w:rsidR="00CE0A93" w:rsidRPr="0012760D" w:rsidRDefault="00CE0A93" w:rsidP="00907E0B">
            <w:pPr>
              <w:rPr>
                <w:sz w:val="24"/>
                <w:szCs w:val="24"/>
              </w:rPr>
            </w:pPr>
            <w:r w:rsidRPr="0012760D">
              <w:rPr>
                <w:bCs/>
                <w:sz w:val="24"/>
                <w:szCs w:val="24"/>
              </w:rPr>
              <w:t>Total Net Profit</w:t>
            </w:r>
          </w:p>
        </w:tc>
        <w:tc>
          <w:tcPr>
            <w:tcW w:w="1282" w:type="pct"/>
            <w:shd w:val="clear" w:color="auto" w:fill="auto"/>
          </w:tcPr>
          <w:p w:rsidR="00CE0A93" w:rsidRPr="0012760D" w:rsidRDefault="00CE0A93" w:rsidP="00907E0B">
            <w:pPr>
              <w:jc w:val="right"/>
              <w:rPr>
                <w:sz w:val="24"/>
                <w:szCs w:val="24"/>
              </w:rPr>
            </w:pPr>
            <w:r w:rsidRPr="0012760D">
              <w:rPr>
                <w:bCs/>
                <w:sz w:val="24"/>
                <w:szCs w:val="24"/>
              </w:rPr>
              <w:t>3,426</w:t>
            </w:r>
          </w:p>
        </w:tc>
        <w:tc>
          <w:tcPr>
            <w:tcW w:w="892" w:type="pct"/>
            <w:shd w:val="clear" w:color="auto" w:fill="auto"/>
          </w:tcPr>
          <w:p w:rsidR="00CE0A93" w:rsidRPr="0012760D" w:rsidRDefault="00CE0A93" w:rsidP="00907E0B">
            <w:pPr>
              <w:jc w:val="right"/>
              <w:rPr>
                <w:sz w:val="24"/>
                <w:szCs w:val="24"/>
              </w:rPr>
            </w:pPr>
            <w:r w:rsidRPr="0012760D">
              <w:rPr>
                <w:bCs/>
                <w:sz w:val="24"/>
                <w:szCs w:val="24"/>
              </w:rPr>
              <w:t>2,641</w:t>
            </w:r>
          </w:p>
        </w:tc>
      </w:tr>
    </w:tbl>
    <w:p w:rsidR="00CE0A93" w:rsidRDefault="00CE0A93" w:rsidP="00CE0A93">
      <w:pPr>
        <w:rPr>
          <w:bCs/>
          <w:sz w:val="24"/>
          <w:szCs w:val="24"/>
        </w:rPr>
      </w:pPr>
    </w:p>
    <w:p w:rsidR="00AF2D9F" w:rsidRPr="0012760D" w:rsidRDefault="00AF2D9F" w:rsidP="00CE0A93">
      <w:pPr>
        <w:rPr>
          <w:bCs/>
          <w:sz w:val="24"/>
          <w:szCs w:val="24"/>
        </w:rPr>
      </w:pPr>
    </w:p>
    <w:p w:rsidR="00CE0A93" w:rsidRPr="0012760D" w:rsidRDefault="00CE0A93" w:rsidP="00AF2D9F">
      <w:pPr>
        <w:pStyle w:val="Heading2"/>
      </w:pPr>
      <w:r w:rsidRPr="0012760D">
        <w:t>5. Cash and Cash Equivalents</w:t>
      </w:r>
    </w:p>
    <w:p w:rsidR="00CE0A93" w:rsidRPr="0012760D" w:rsidRDefault="00CE0A93" w:rsidP="00CE0A93">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5061"/>
        <w:gridCol w:w="2020"/>
        <w:gridCol w:w="2028"/>
      </w:tblGrid>
      <w:tr w:rsidR="00CE0A93" w:rsidRPr="0012760D" w:rsidTr="00907E0B">
        <w:tblPrEx>
          <w:tblCellMar>
            <w:top w:w="0" w:type="dxa"/>
            <w:bottom w:w="0" w:type="dxa"/>
          </w:tblCellMar>
        </w:tblPrEx>
        <w:trPr>
          <w:trHeight w:val="298"/>
        </w:trPr>
        <w:tc>
          <w:tcPr>
            <w:tcW w:w="2778" w:type="pct"/>
            <w:shd w:val="clear" w:color="auto" w:fill="auto"/>
          </w:tcPr>
          <w:p w:rsidR="00CE0A93" w:rsidRPr="0012760D" w:rsidRDefault="00CE0A93" w:rsidP="00907E0B">
            <w:pPr>
              <w:rPr>
                <w:sz w:val="24"/>
                <w:szCs w:val="24"/>
              </w:rPr>
            </w:pPr>
          </w:p>
        </w:tc>
        <w:tc>
          <w:tcPr>
            <w:tcW w:w="1109" w:type="pct"/>
            <w:shd w:val="clear" w:color="auto" w:fill="auto"/>
          </w:tcPr>
          <w:p w:rsidR="00CE0A93" w:rsidRPr="0012760D" w:rsidRDefault="00CE0A93" w:rsidP="00907E0B">
            <w:pPr>
              <w:jc w:val="right"/>
              <w:rPr>
                <w:sz w:val="24"/>
                <w:szCs w:val="24"/>
              </w:rPr>
            </w:pPr>
            <w:r w:rsidRPr="0012760D">
              <w:rPr>
                <w:bCs/>
                <w:sz w:val="24"/>
                <w:szCs w:val="24"/>
              </w:rPr>
              <w:t>2013 $</w:t>
            </w:r>
          </w:p>
        </w:tc>
        <w:tc>
          <w:tcPr>
            <w:tcW w:w="1113" w:type="pct"/>
            <w:shd w:val="clear" w:color="auto" w:fill="auto"/>
          </w:tcPr>
          <w:p w:rsidR="00CE0A93" w:rsidRPr="0012760D" w:rsidRDefault="00CE0A93" w:rsidP="00907E0B">
            <w:pPr>
              <w:jc w:val="right"/>
              <w:rPr>
                <w:sz w:val="24"/>
                <w:szCs w:val="24"/>
              </w:rPr>
            </w:pPr>
            <w:r w:rsidRPr="0012760D">
              <w:rPr>
                <w:bCs/>
                <w:sz w:val="24"/>
                <w:szCs w:val="24"/>
              </w:rPr>
              <w:t>2012 $</w:t>
            </w:r>
          </w:p>
        </w:tc>
      </w:tr>
      <w:tr w:rsidR="00CE0A93" w:rsidRPr="0012760D" w:rsidTr="00907E0B">
        <w:tblPrEx>
          <w:tblCellMar>
            <w:top w:w="0" w:type="dxa"/>
            <w:bottom w:w="0" w:type="dxa"/>
          </w:tblCellMar>
        </w:tblPrEx>
        <w:trPr>
          <w:trHeight w:val="293"/>
        </w:trPr>
        <w:tc>
          <w:tcPr>
            <w:tcW w:w="2778" w:type="pct"/>
            <w:shd w:val="clear" w:color="auto" w:fill="auto"/>
          </w:tcPr>
          <w:p w:rsidR="00CE0A93" w:rsidRPr="0012760D" w:rsidRDefault="00CE0A93" w:rsidP="00907E0B">
            <w:pPr>
              <w:rPr>
                <w:sz w:val="24"/>
                <w:szCs w:val="24"/>
              </w:rPr>
            </w:pPr>
            <w:r w:rsidRPr="0012760D">
              <w:rPr>
                <w:sz w:val="24"/>
                <w:szCs w:val="24"/>
              </w:rPr>
              <w:t>Cash at Bank</w:t>
            </w:r>
          </w:p>
        </w:tc>
        <w:tc>
          <w:tcPr>
            <w:tcW w:w="1109" w:type="pct"/>
            <w:shd w:val="clear" w:color="auto" w:fill="auto"/>
          </w:tcPr>
          <w:p w:rsidR="00CE0A93" w:rsidRPr="0012760D" w:rsidRDefault="00CE0A93" w:rsidP="00907E0B">
            <w:pPr>
              <w:jc w:val="right"/>
              <w:rPr>
                <w:sz w:val="24"/>
                <w:szCs w:val="24"/>
              </w:rPr>
            </w:pPr>
            <w:r w:rsidRPr="0012760D">
              <w:rPr>
                <w:sz w:val="24"/>
                <w:szCs w:val="24"/>
              </w:rPr>
              <w:t>631,467</w:t>
            </w:r>
          </w:p>
        </w:tc>
        <w:tc>
          <w:tcPr>
            <w:tcW w:w="1113" w:type="pct"/>
            <w:shd w:val="clear" w:color="auto" w:fill="auto"/>
          </w:tcPr>
          <w:p w:rsidR="00CE0A93" w:rsidRPr="0012760D" w:rsidRDefault="00CE0A93" w:rsidP="00907E0B">
            <w:pPr>
              <w:jc w:val="right"/>
              <w:rPr>
                <w:sz w:val="24"/>
                <w:szCs w:val="24"/>
              </w:rPr>
            </w:pPr>
            <w:r w:rsidRPr="0012760D">
              <w:rPr>
                <w:sz w:val="24"/>
                <w:szCs w:val="24"/>
              </w:rPr>
              <w:t>420,500</w:t>
            </w:r>
          </w:p>
        </w:tc>
      </w:tr>
      <w:tr w:rsidR="00CE0A93" w:rsidRPr="0012760D" w:rsidTr="00907E0B">
        <w:tblPrEx>
          <w:tblCellMar>
            <w:top w:w="0" w:type="dxa"/>
            <w:bottom w:w="0" w:type="dxa"/>
          </w:tblCellMar>
        </w:tblPrEx>
        <w:trPr>
          <w:trHeight w:val="283"/>
        </w:trPr>
        <w:tc>
          <w:tcPr>
            <w:tcW w:w="2778" w:type="pct"/>
            <w:shd w:val="clear" w:color="auto" w:fill="auto"/>
          </w:tcPr>
          <w:p w:rsidR="00CE0A93" w:rsidRPr="0012760D" w:rsidRDefault="00CE0A93" w:rsidP="00907E0B">
            <w:pPr>
              <w:rPr>
                <w:sz w:val="24"/>
                <w:szCs w:val="24"/>
              </w:rPr>
            </w:pPr>
            <w:r w:rsidRPr="0012760D">
              <w:rPr>
                <w:sz w:val="24"/>
                <w:szCs w:val="24"/>
              </w:rPr>
              <w:t>Cash on Hand</w:t>
            </w:r>
          </w:p>
        </w:tc>
        <w:tc>
          <w:tcPr>
            <w:tcW w:w="1109" w:type="pct"/>
            <w:shd w:val="clear" w:color="auto" w:fill="auto"/>
          </w:tcPr>
          <w:p w:rsidR="00CE0A93" w:rsidRPr="0012760D" w:rsidRDefault="00CE0A93" w:rsidP="00907E0B">
            <w:pPr>
              <w:jc w:val="right"/>
              <w:rPr>
                <w:sz w:val="24"/>
                <w:szCs w:val="24"/>
              </w:rPr>
            </w:pPr>
            <w:r w:rsidRPr="0012760D">
              <w:rPr>
                <w:sz w:val="24"/>
                <w:szCs w:val="24"/>
              </w:rPr>
              <w:t>1,700</w:t>
            </w:r>
          </w:p>
        </w:tc>
        <w:tc>
          <w:tcPr>
            <w:tcW w:w="1113" w:type="pct"/>
            <w:shd w:val="clear" w:color="auto" w:fill="auto"/>
          </w:tcPr>
          <w:p w:rsidR="00CE0A93" w:rsidRPr="0012760D" w:rsidRDefault="00CE0A93" w:rsidP="00907E0B">
            <w:pPr>
              <w:jc w:val="right"/>
              <w:rPr>
                <w:sz w:val="24"/>
                <w:szCs w:val="24"/>
              </w:rPr>
            </w:pPr>
            <w:r w:rsidRPr="0012760D">
              <w:rPr>
                <w:sz w:val="24"/>
                <w:szCs w:val="24"/>
              </w:rPr>
              <w:t>1,700</w:t>
            </w:r>
          </w:p>
        </w:tc>
      </w:tr>
      <w:tr w:rsidR="00CE0A93" w:rsidRPr="0012760D" w:rsidTr="00907E0B">
        <w:tblPrEx>
          <w:tblCellMar>
            <w:top w:w="0" w:type="dxa"/>
            <w:bottom w:w="0" w:type="dxa"/>
          </w:tblCellMar>
        </w:tblPrEx>
        <w:trPr>
          <w:trHeight w:val="278"/>
        </w:trPr>
        <w:tc>
          <w:tcPr>
            <w:tcW w:w="2778" w:type="pct"/>
            <w:shd w:val="clear" w:color="auto" w:fill="auto"/>
          </w:tcPr>
          <w:p w:rsidR="00CE0A93" w:rsidRPr="0012760D" w:rsidRDefault="00CE0A93" w:rsidP="00907E0B">
            <w:pPr>
              <w:rPr>
                <w:sz w:val="24"/>
                <w:szCs w:val="24"/>
              </w:rPr>
            </w:pPr>
            <w:r w:rsidRPr="0012760D">
              <w:rPr>
                <w:sz w:val="24"/>
                <w:szCs w:val="24"/>
              </w:rPr>
              <w:t>Short-Term Deposits</w:t>
            </w:r>
          </w:p>
        </w:tc>
        <w:tc>
          <w:tcPr>
            <w:tcW w:w="1109" w:type="pct"/>
            <w:shd w:val="clear" w:color="auto" w:fill="auto"/>
          </w:tcPr>
          <w:p w:rsidR="00CE0A93" w:rsidRPr="0012760D" w:rsidRDefault="00CE0A93" w:rsidP="00907E0B">
            <w:pPr>
              <w:jc w:val="right"/>
              <w:rPr>
                <w:sz w:val="24"/>
                <w:szCs w:val="24"/>
              </w:rPr>
            </w:pPr>
            <w:r w:rsidRPr="0012760D">
              <w:rPr>
                <w:sz w:val="24"/>
                <w:szCs w:val="24"/>
              </w:rPr>
              <w:t>36,000,000</w:t>
            </w:r>
          </w:p>
        </w:tc>
        <w:tc>
          <w:tcPr>
            <w:tcW w:w="1113" w:type="pct"/>
            <w:shd w:val="clear" w:color="auto" w:fill="auto"/>
          </w:tcPr>
          <w:p w:rsidR="00CE0A93" w:rsidRPr="0012760D" w:rsidRDefault="00CE0A93" w:rsidP="00907E0B">
            <w:pPr>
              <w:jc w:val="right"/>
              <w:rPr>
                <w:sz w:val="24"/>
                <w:szCs w:val="24"/>
              </w:rPr>
            </w:pPr>
            <w:r w:rsidRPr="0012760D">
              <w:rPr>
                <w:sz w:val="24"/>
                <w:szCs w:val="24"/>
              </w:rPr>
              <w:t>23,000,000</w:t>
            </w:r>
          </w:p>
        </w:tc>
      </w:tr>
      <w:tr w:rsidR="00CE0A93" w:rsidRPr="0012760D" w:rsidTr="00907E0B">
        <w:tblPrEx>
          <w:tblCellMar>
            <w:top w:w="0" w:type="dxa"/>
            <w:bottom w:w="0" w:type="dxa"/>
          </w:tblCellMar>
        </w:tblPrEx>
        <w:trPr>
          <w:trHeight w:val="288"/>
        </w:trPr>
        <w:tc>
          <w:tcPr>
            <w:tcW w:w="2778" w:type="pct"/>
            <w:shd w:val="clear" w:color="auto" w:fill="auto"/>
          </w:tcPr>
          <w:p w:rsidR="00CE0A93" w:rsidRPr="0012760D" w:rsidRDefault="00CE0A93" w:rsidP="00907E0B">
            <w:pPr>
              <w:rPr>
                <w:sz w:val="24"/>
                <w:szCs w:val="24"/>
              </w:rPr>
            </w:pPr>
            <w:r w:rsidRPr="0012760D">
              <w:rPr>
                <w:bCs/>
                <w:sz w:val="24"/>
                <w:szCs w:val="24"/>
              </w:rPr>
              <w:t>Total Cash and Cash Equivalents</w:t>
            </w:r>
          </w:p>
        </w:tc>
        <w:tc>
          <w:tcPr>
            <w:tcW w:w="1109" w:type="pct"/>
            <w:shd w:val="clear" w:color="auto" w:fill="auto"/>
          </w:tcPr>
          <w:p w:rsidR="00CE0A93" w:rsidRPr="0012760D" w:rsidRDefault="00CE0A93" w:rsidP="00907E0B">
            <w:pPr>
              <w:jc w:val="right"/>
              <w:rPr>
                <w:sz w:val="24"/>
                <w:szCs w:val="24"/>
              </w:rPr>
            </w:pPr>
            <w:r w:rsidRPr="0012760D">
              <w:rPr>
                <w:bCs/>
                <w:sz w:val="24"/>
                <w:szCs w:val="24"/>
              </w:rPr>
              <w:t>36,633,167</w:t>
            </w:r>
          </w:p>
        </w:tc>
        <w:tc>
          <w:tcPr>
            <w:tcW w:w="1113" w:type="pct"/>
            <w:shd w:val="clear" w:color="auto" w:fill="auto"/>
          </w:tcPr>
          <w:p w:rsidR="00CE0A93" w:rsidRPr="0012760D" w:rsidRDefault="00CE0A93" w:rsidP="00907E0B">
            <w:pPr>
              <w:jc w:val="right"/>
              <w:rPr>
                <w:sz w:val="24"/>
                <w:szCs w:val="24"/>
              </w:rPr>
            </w:pPr>
            <w:r w:rsidRPr="0012760D">
              <w:rPr>
                <w:bCs/>
                <w:sz w:val="24"/>
                <w:szCs w:val="24"/>
              </w:rPr>
              <w:t>23,422,200</w:t>
            </w:r>
          </w:p>
        </w:tc>
      </w:tr>
    </w:tbl>
    <w:p w:rsidR="00CE0A93" w:rsidRDefault="00CE0A93" w:rsidP="00CE0A93">
      <w:pPr>
        <w:rPr>
          <w:bCs/>
          <w:sz w:val="24"/>
          <w:szCs w:val="24"/>
        </w:rPr>
      </w:pPr>
    </w:p>
    <w:p w:rsidR="00AF2D9F" w:rsidRPr="0012760D" w:rsidRDefault="00AF2D9F" w:rsidP="00CE0A93">
      <w:pPr>
        <w:rPr>
          <w:bCs/>
          <w:sz w:val="24"/>
          <w:szCs w:val="24"/>
        </w:rPr>
      </w:pPr>
    </w:p>
    <w:p w:rsidR="00CE0A93" w:rsidRPr="0012760D" w:rsidRDefault="00CE0A93" w:rsidP="00AF2D9F">
      <w:pPr>
        <w:pStyle w:val="Heading2"/>
      </w:pPr>
      <w:r w:rsidRPr="0012760D">
        <w:t>6. Receivables</w:t>
      </w:r>
    </w:p>
    <w:p w:rsidR="00CE0A93" w:rsidRPr="0012760D" w:rsidRDefault="00CE0A93" w:rsidP="00CE0A93">
      <w:pPr>
        <w:rPr>
          <w:sz w:val="24"/>
          <w:szCs w:val="24"/>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5102"/>
        <w:gridCol w:w="2050"/>
        <w:gridCol w:w="1957"/>
      </w:tblGrid>
      <w:tr w:rsidR="00CE0A93" w:rsidRPr="0012760D" w:rsidTr="00907E0B">
        <w:tblPrEx>
          <w:tblCellMar>
            <w:top w:w="0" w:type="dxa"/>
            <w:bottom w:w="0" w:type="dxa"/>
          </w:tblCellMar>
        </w:tblPrEx>
        <w:trPr>
          <w:trHeight w:val="235"/>
        </w:trPr>
        <w:tc>
          <w:tcPr>
            <w:tcW w:w="2801" w:type="pct"/>
            <w:shd w:val="clear" w:color="auto" w:fill="auto"/>
          </w:tcPr>
          <w:p w:rsidR="00CE0A93" w:rsidRPr="0012760D" w:rsidRDefault="00CE0A93" w:rsidP="00907E0B">
            <w:pPr>
              <w:rPr>
                <w:sz w:val="24"/>
                <w:szCs w:val="24"/>
              </w:rPr>
            </w:pPr>
            <w:r w:rsidRPr="0012760D">
              <w:rPr>
                <w:bCs/>
                <w:sz w:val="24"/>
                <w:szCs w:val="24"/>
              </w:rPr>
              <w:t>Current Receivables</w:t>
            </w:r>
          </w:p>
        </w:tc>
        <w:tc>
          <w:tcPr>
            <w:tcW w:w="1125" w:type="pct"/>
            <w:shd w:val="clear" w:color="auto" w:fill="auto"/>
          </w:tcPr>
          <w:p w:rsidR="00CE0A93" w:rsidRPr="0012760D" w:rsidRDefault="00CE0A93" w:rsidP="00907E0B">
            <w:pPr>
              <w:jc w:val="right"/>
              <w:rPr>
                <w:sz w:val="24"/>
                <w:szCs w:val="24"/>
              </w:rPr>
            </w:pPr>
            <w:r w:rsidRPr="0012760D">
              <w:rPr>
                <w:bCs/>
                <w:sz w:val="24"/>
                <w:szCs w:val="24"/>
              </w:rPr>
              <w:t>2013 $</w:t>
            </w:r>
          </w:p>
        </w:tc>
        <w:tc>
          <w:tcPr>
            <w:tcW w:w="1074" w:type="pct"/>
            <w:shd w:val="clear" w:color="auto" w:fill="auto"/>
          </w:tcPr>
          <w:p w:rsidR="00CE0A93" w:rsidRPr="0012760D" w:rsidRDefault="00CE0A93" w:rsidP="00907E0B">
            <w:pPr>
              <w:jc w:val="right"/>
              <w:rPr>
                <w:sz w:val="24"/>
                <w:szCs w:val="24"/>
              </w:rPr>
            </w:pPr>
            <w:r w:rsidRPr="0012760D">
              <w:rPr>
                <w:bCs/>
                <w:sz w:val="24"/>
                <w:szCs w:val="24"/>
              </w:rPr>
              <w:t>2012 $</w:t>
            </w:r>
          </w:p>
        </w:tc>
      </w:tr>
      <w:tr w:rsidR="00CE0A93" w:rsidRPr="0012760D" w:rsidTr="00907E0B">
        <w:tblPrEx>
          <w:tblCellMar>
            <w:top w:w="0" w:type="dxa"/>
            <w:bottom w:w="0" w:type="dxa"/>
          </w:tblCellMar>
        </w:tblPrEx>
        <w:trPr>
          <w:trHeight w:val="283"/>
        </w:trPr>
        <w:tc>
          <w:tcPr>
            <w:tcW w:w="5000" w:type="pct"/>
            <w:gridSpan w:val="3"/>
            <w:shd w:val="clear" w:color="auto" w:fill="auto"/>
          </w:tcPr>
          <w:p w:rsidR="00CE0A93" w:rsidRPr="0012760D" w:rsidRDefault="00CE0A93" w:rsidP="00907E0B">
            <w:pPr>
              <w:rPr>
                <w:sz w:val="24"/>
                <w:szCs w:val="24"/>
              </w:rPr>
            </w:pPr>
            <w:r w:rsidRPr="0012760D">
              <w:rPr>
                <w:bCs/>
                <w:sz w:val="24"/>
                <w:szCs w:val="24"/>
              </w:rPr>
              <w:t>Contractual</w:t>
            </w:r>
          </w:p>
        </w:tc>
      </w:tr>
      <w:tr w:rsidR="00CE0A93" w:rsidRPr="0012760D" w:rsidTr="00907E0B">
        <w:tblPrEx>
          <w:tblCellMar>
            <w:top w:w="0" w:type="dxa"/>
            <w:bottom w:w="0" w:type="dxa"/>
          </w:tblCellMar>
        </w:tblPrEx>
        <w:trPr>
          <w:trHeight w:val="293"/>
        </w:trPr>
        <w:tc>
          <w:tcPr>
            <w:tcW w:w="2801" w:type="pct"/>
            <w:shd w:val="clear" w:color="auto" w:fill="auto"/>
          </w:tcPr>
          <w:p w:rsidR="00CE0A93" w:rsidRPr="0012760D" w:rsidRDefault="00CE0A93" w:rsidP="00907E0B">
            <w:pPr>
              <w:rPr>
                <w:sz w:val="24"/>
                <w:szCs w:val="24"/>
              </w:rPr>
            </w:pPr>
            <w:r w:rsidRPr="0012760D">
              <w:rPr>
                <w:sz w:val="24"/>
                <w:szCs w:val="24"/>
              </w:rPr>
              <w:t>Trade Debtors</w:t>
            </w:r>
          </w:p>
        </w:tc>
        <w:tc>
          <w:tcPr>
            <w:tcW w:w="1125" w:type="pct"/>
            <w:shd w:val="clear" w:color="auto" w:fill="auto"/>
          </w:tcPr>
          <w:p w:rsidR="00CE0A93" w:rsidRPr="0012760D" w:rsidRDefault="00CE0A93" w:rsidP="00907E0B">
            <w:pPr>
              <w:jc w:val="right"/>
              <w:rPr>
                <w:sz w:val="24"/>
                <w:szCs w:val="24"/>
              </w:rPr>
            </w:pPr>
            <w:r w:rsidRPr="0012760D">
              <w:rPr>
                <w:sz w:val="24"/>
                <w:szCs w:val="24"/>
              </w:rPr>
              <w:t>84,888</w:t>
            </w:r>
          </w:p>
        </w:tc>
        <w:tc>
          <w:tcPr>
            <w:tcW w:w="1074" w:type="pct"/>
            <w:shd w:val="clear" w:color="auto" w:fill="auto"/>
          </w:tcPr>
          <w:p w:rsidR="00CE0A93" w:rsidRPr="0012760D" w:rsidRDefault="00CE0A93" w:rsidP="00907E0B">
            <w:pPr>
              <w:jc w:val="right"/>
              <w:rPr>
                <w:sz w:val="24"/>
                <w:szCs w:val="24"/>
              </w:rPr>
            </w:pPr>
            <w:r w:rsidRPr="0012760D">
              <w:rPr>
                <w:sz w:val="24"/>
                <w:szCs w:val="24"/>
              </w:rPr>
              <w:t>8,800</w:t>
            </w:r>
          </w:p>
        </w:tc>
      </w:tr>
      <w:tr w:rsidR="00CE0A93" w:rsidRPr="0012760D" w:rsidTr="00907E0B">
        <w:tblPrEx>
          <w:tblCellMar>
            <w:top w:w="0" w:type="dxa"/>
            <w:bottom w:w="0" w:type="dxa"/>
          </w:tblCellMar>
        </w:tblPrEx>
        <w:trPr>
          <w:trHeight w:val="283"/>
        </w:trPr>
        <w:tc>
          <w:tcPr>
            <w:tcW w:w="2801" w:type="pct"/>
            <w:shd w:val="clear" w:color="auto" w:fill="auto"/>
          </w:tcPr>
          <w:p w:rsidR="00CE0A93" w:rsidRPr="0012760D" w:rsidRDefault="00CE0A93" w:rsidP="00907E0B">
            <w:pPr>
              <w:rPr>
                <w:sz w:val="24"/>
                <w:szCs w:val="24"/>
              </w:rPr>
            </w:pPr>
            <w:r w:rsidRPr="0012760D">
              <w:rPr>
                <w:sz w:val="24"/>
                <w:szCs w:val="24"/>
              </w:rPr>
              <w:t>Other Debtors</w:t>
            </w:r>
          </w:p>
        </w:tc>
        <w:tc>
          <w:tcPr>
            <w:tcW w:w="1125" w:type="pct"/>
            <w:shd w:val="clear" w:color="auto" w:fill="auto"/>
          </w:tcPr>
          <w:p w:rsidR="00CE0A93" w:rsidRPr="0012760D" w:rsidRDefault="00CE0A93" w:rsidP="00907E0B">
            <w:pPr>
              <w:jc w:val="right"/>
              <w:rPr>
                <w:sz w:val="24"/>
                <w:szCs w:val="24"/>
              </w:rPr>
            </w:pPr>
            <w:r w:rsidRPr="0012760D">
              <w:rPr>
                <w:sz w:val="24"/>
                <w:szCs w:val="24"/>
              </w:rPr>
              <w:t>17,914</w:t>
            </w:r>
          </w:p>
        </w:tc>
        <w:tc>
          <w:tcPr>
            <w:tcW w:w="1074" w:type="pct"/>
            <w:shd w:val="clear" w:color="auto" w:fill="auto"/>
          </w:tcPr>
          <w:p w:rsidR="00CE0A93" w:rsidRPr="0012760D" w:rsidRDefault="00CE0A93" w:rsidP="00907E0B">
            <w:pPr>
              <w:jc w:val="right"/>
              <w:rPr>
                <w:sz w:val="24"/>
                <w:szCs w:val="24"/>
              </w:rPr>
            </w:pPr>
            <w:r w:rsidRPr="0012760D">
              <w:rPr>
                <w:sz w:val="24"/>
                <w:szCs w:val="24"/>
              </w:rPr>
              <w:t>19,875</w:t>
            </w:r>
          </w:p>
        </w:tc>
      </w:tr>
      <w:tr w:rsidR="00CE0A93" w:rsidRPr="0012760D" w:rsidTr="00907E0B">
        <w:tblPrEx>
          <w:tblCellMar>
            <w:top w:w="0" w:type="dxa"/>
            <w:bottom w:w="0" w:type="dxa"/>
          </w:tblCellMar>
        </w:tblPrEx>
        <w:trPr>
          <w:trHeight w:val="274"/>
        </w:trPr>
        <w:tc>
          <w:tcPr>
            <w:tcW w:w="2801" w:type="pct"/>
            <w:shd w:val="clear" w:color="auto" w:fill="auto"/>
          </w:tcPr>
          <w:p w:rsidR="00CE0A93" w:rsidRPr="0012760D" w:rsidRDefault="00CE0A93" w:rsidP="00907E0B">
            <w:pPr>
              <w:rPr>
                <w:sz w:val="24"/>
                <w:szCs w:val="24"/>
              </w:rPr>
            </w:pPr>
            <w:r w:rsidRPr="0012760D">
              <w:rPr>
                <w:sz w:val="24"/>
                <w:szCs w:val="24"/>
              </w:rPr>
              <w:t>Accrued Interest</w:t>
            </w:r>
          </w:p>
        </w:tc>
        <w:tc>
          <w:tcPr>
            <w:tcW w:w="1125" w:type="pct"/>
            <w:shd w:val="clear" w:color="auto" w:fill="auto"/>
          </w:tcPr>
          <w:p w:rsidR="00CE0A93" w:rsidRPr="0012760D" w:rsidRDefault="00CE0A93" w:rsidP="00907E0B">
            <w:pPr>
              <w:jc w:val="right"/>
              <w:rPr>
                <w:sz w:val="24"/>
                <w:szCs w:val="24"/>
              </w:rPr>
            </w:pPr>
            <w:r w:rsidRPr="0012760D">
              <w:rPr>
                <w:sz w:val="24"/>
                <w:szCs w:val="24"/>
              </w:rPr>
              <w:t>79,919</w:t>
            </w:r>
          </w:p>
        </w:tc>
        <w:tc>
          <w:tcPr>
            <w:tcW w:w="1074" w:type="pct"/>
            <w:shd w:val="clear" w:color="auto" w:fill="auto"/>
          </w:tcPr>
          <w:p w:rsidR="00CE0A93" w:rsidRPr="0012760D" w:rsidRDefault="00CE0A93" w:rsidP="00907E0B">
            <w:pPr>
              <w:jc w:val="right"/>
              <w:rPr>
                <w:sz w:val="24"/>
                <w:szCs w:val="24"/>
              </w:rPr>
            </w:pPr>
            <w:r w:rsidRPr="0012760D">
              <w:rPr>
                <w:sz w:val="24"/>
                <w:szCs w:val="24"/>
              </w:rPr>
              <w:t>34,089</w:t>
            </w:r>
          </w:p>
        </w:tc>
      </w:tr>
      <w:tr w:rsidR="00CE0A93" w:rsidRPr="0012760D" w:rsidTr="00907E0B">
        <w:tblPrEx>
          <w:tblCellMar>
            <w:top w:w="0" w:type="dxa"/>
            <w:bottom w:w="0" w:type="dxa"/>
          </w:tblCellMar>
        </w:tblPrEx>
        <w:trPr>
          <w:trHeight w:val="288"/>
        </w:trPr>
        <w:tc>
          <w:tcPr>
            <w:tcW w:w="2801" w:type="pct"/>
            <w:shd w:val="clear" w:color="auto" w:fill="auto"/>
          </w:tcPr>
          <w:p w:rsidR="00CE0A93" w:rsidRPr="0012760D" w:rsidRDefault="00CE0A93" w:rsidP="00907E0B">
            <w:pPr>
              <w:rPr>
                <w:sz w:val="24"/>
                <w:szCs w:val="24"/>
              </w:rPr>
            </w:pPr>
            <w:r w:rsidRPr="0012760D">
              <w:rPr>
                <w:bCs/>
                <w:sz w:val="24"/>
                <w:szCs w:val="24"/>
              </w:rPr>
              <w:t>Total Contractual</w:t>
            </w:r>
          </w:p>
        </w:tc>
        <w:tc>
          <w:tcPr>
            <w:tcW w:w="1125" w:type="pct"/>
            <w:shd w:val="clear" w:color="auto" w:fill="auto"/>
          </w:tcPr>
          <w:p w:rsidR="00CE0A93" w:rsidRPr="0012760D" w:rsidRDefault="00CE0A93" w:rsidP="00907E0B">
            <w:pPr>
              <w:jc w:val="right"/>
              <w:rPr>
                <w:sz w:val="24"/>
                <w:szCs w:val="24"/>
              </w:rPr>
            </w:pPr>
            <w:r w:rsidRPr="0012760D">
              <w:rPr>
                <w:bCs/>
                <w:sz w:val="24"/>
                <w:szCs w:val="24"/>
              </w:rPr>
              <w:t>182,721</w:t>
            </w:r>
          </w:p>
        </w:tc>
        <w:tc>
          <w:tcPr>
            <w:tcW w:w="1074" w:type="pct"/>
            <w:shd w:val="clear" w:color="auto" w:fill="auto"/>
          </w:tcPr>
          <w:p w:rsidR="00CE0A93" w:rsidRPr="0012760D" w:rsidRDefault="00CE0A93" w:rsidP="00907E0B">
            <w:pPr>
              <w:jc w:val="right"/>
              <w:rPr>
                <w:sz w:val="24"/>
                <w:szCs w:val="24"/>
              </w:rPr>
            </w:pPr>
            <w:r w:rsidRPr="0012760D">
              <w:rPr>
                <w:bCs/>
                <w:sz w:val="24"/>
                <w:szCs w:val="24"/>
              </w:rPr>
              <w:t>62,764</w:t>
            </w:r>
          </w:p>
        </w:tc>
      </w:tr>
      <w:tr w:rsidR="00CE0A93" w:rsidRPr="0012760D" w:rsidTr="00907E0B">
        <w:tblPrEx>
          <w:tblCellMar>
            <w:top w:w="0" w:type="dxa"/>
            <w:bottom w:w="0" w:type="dxa"/>
          </w:tblCellMar>
        </w:tblPrEx>
        <w:trPr>
          <w:trHeight w:val="288"/>
        </w:trPr>
        <w:tc>
          <w:tcPr>
            <w:tcW w:w="5000" w:type="pct"/>
            <w:gridSpan w:val="3"/>
            <w:shd w:val="clear" w:color="auto" w:fill="auto"/>
          </w:tcPr>
          <w:p w:rsidR="00CE0A93" w:rsidRPr="0012760D" w:rsidRDefault="00CE0A93" w:rsidP="00907E0B">
            <w:pPr>
              <w:rPr>
                <w:sz w:val="24"/>
                <w:szCs w:val="24"/>
              </w:rPr>
            </w:pPr>
            <w:r w:rsidRPr="0012760D">
              <w:rPr>
                <w:bCs/>
                <w:sz w:val="24"/>
                <w:szCs w:val="24"/>
              </w:rPr>
              <w:t>Statutory</w:t>
            </w:r>
          </w:p>
        </w:tc>
      </w:tr>
      <w:tr w:rsidR="00CE0A93" w:rsidRPr="0012760D" w:rsidTr="00907E0B">
        <w:tblPrEx>
          <w:tblCellMar>
            <w:top w:w="0" w:type="dxa"/>
            <w:bottom w:w="0" w:type="dxa"/>
          </w:tblCellMar>
        </w:tblPrEx>
        <w:trPr>
          <w:trHeight w:val="307"/>
        </w:trPr>
        <w:tc>
          <w:tcPr>
            <w:tcW w:w="2801" w:type="pct"/>
            <w:shd w:val="clear" w:color="auto" w:fill="auto"/>
          </w:tcPr>
          <w:p w:rsidR="00CE0A93" w:rsidRPr="0012760D" w:rsidRDefault="00CE0A93" w:rsidP="00907E0B">
            <w:pPr>
              <w:rPr>
                <w:sz w:val="24"/>
                <w:szCs w:val="24"/>
              </w:rPr>
            </w:pPr>
            <w:r w:rsidRPr="0012760D">
              <w:rPr>
                <w:sz w:val="24"/>
                <w:szCs w:val="24"/>
              </w:rPr>
              <w:t>Trade Debtors</w:t>
            </w:r>
          </w:p>
        </w:tc>
        <w:tc>
          <w:tcPr>
            <w:tcW w:w="1125" w:type="pct"/>
            <w:shd w:val="clear" w:color="auto" w:fill="auto"/>
          </w:tcPr>
          <w:p w:rsidR="00CE0A93" w:rsidRPr="0012760D" w:rsidRDefault="00CE0A93" w:rsidP="00907E0B">
            <w:pPr>
              <w:jc w:val="right"/>
              <w:rPr>
                <w:sz w:val="24"/>
                <w:szCs w:val="24"/>
              </w:rPr>
            </w:pPr>
            <w:r w:rsidRPr="0012760D">
              <w:rPr>
                <w:sz w:val="24"/>
                <w:szCs w:val="24"/>
              </w:rPr>
              <w:t>77,436</w:t>
            </w:r>
          </w:p>
        </w:tc>
        <w:tc>
          <w:tcPr>
            <w:tcW w:w="1074" w:type="pct"/>
            <w:shd w:val="clear" w:color="auto" w:fill="auto"/>
          </w:tcPr>
          <w:p w:rsidR="00CE0A93" w:rsidRPr="0012760D" w:rsidRDefault="00CE0A93" w:rsidP="00907E0B">
            <w:pPr>
              <w:jc w:val="right"/>
              <w:rPr>
                <w:sz w:val="24"/>
                <w:szCs w:val="24"/>
              </w:rPr>
            </w:pPr>
            <w:r w:rsidRPr="0012760D">
              <w:rPr>
                <w:sz w:val="24"/>
                <w:szCs w:val="24"/>
              </w:rPr>
              <w:t>58,680</w:t>
            </w:r>
          </w:p>
        </w:tc>
      </w:tr>
      <w:tr w:rsidR="00CE0A93" w:rsidRPr="0012760D" w:rsidTr="00407410">
        <w:tblPrEx>
          <w:tblCellMar>
            <w:top w:w="0" w:type="dxa"/>
            <w:bottom w:w="0" w:type="dxa"/>
          </w:tblCellMar>
        </w:tblPrEx>
        <w:tc>
          <w:tcPr>
            <w:tcW w:w="2801" w:type="pct"/>
            <w:shd w:val="clear" w:color="auto" w:fill="auto"/>
          </w:tcPr>
          <w:p w:rsidR="00CE0A93" w:rsidRPr="0012760D" w:rsidRDefault="00CE0A93" w:rsidP="00907E0B">
            <w:pPr>
              <w:rPr>
                <w:sz w:val="24"/>
                <w:szCs w:val="24"/>
              </w:rPr>
            </w:pPr>
            <w:r w:rsidRPr="0012760D">
              <w:rPr>
                <w:sz w:val="24"/>
                <w:szCs w:val="24"/>
              </w:rPr>
              <w:lastRenderedPageBreak/>
              <w:t>Amounts owing from Department of Environment and Primary Industries</w:t>
            </w:r>
          </w:p>
        </w:tc>
        <w:tc>
          <w:tcPr>
            <w:tcW w:w="1125" w:type="pct"/>
            <w:shd w:val="clear" w:color="auto" w:fill="auto"/>
            <w:vAlign w:val="bottom"/>
          </w:tcPr>
          <w:p w:rsidR="00CE0A93" w:rsidRPr="0012760D" w:rsidRDefault="00CE0A93" w:rsidP="00407410">
            <w:pPr>
              <w:jc w:val="right"/>
              <w:rPr>
                <w:sz w:val="24"/>
                <w:szCs w:val="24"/>
              </w:rPr>
            </w:pPr>
            <w:r w:rsidRPr="0012760D">
              <w:rPr>
                <w:sz w:val="24"/>
                <w:szCs w:val="24"/>
              </w:rPr>
              <w:t>1,320,891</w:t>
            </w:r>
          </w:p>
        </w:tc>
        <w:tc>
          <w:tcPr>
            <w:tcW w:w="1074" w:type="pct"/>
            <w:shd w:val="clear" w:color="auto" w:fill="auto"/>
            <w:vAlign w:val="bottom"/>
          </w:tcPr>
          <w:p w:rsidR="00CE0A93" w:rsidRPr="0012760D" w:rsidRDefault="00CE0A93" w:rsidP="00407410">
            <w:pPr>
              <w:jc w:val="right"/>
              <w:rPr>
                <w:sz w:val="24"/>
                <w:szCs w:val="24"/>
              </w:rPr>
            </w:pPr>
            <w:r w:rsidRPr="0012760D">
              <w:rPr>
                <w:sz w:val="24"/>
                <w:szCs w:val="24"/>
              </w:rPr>
              <w:t>-</w:t>
            </w:r>
          </w:p>
        </w:tc>
      </w:tr>
      <w:tr w:rsidR="00CE0A93" w:rsidRPr="0012760D" w:rsidTr="00907E0B">
        <w:tblPrEx>
          <w:tblCellMar>
            <w:top w:w="0" w:type="dxa"/>
            <w:bottom w:w="0" w:type="dxa"/>
          </w:tblCellMar>
        </w:tblPrEx>
        <w:tc>
          <w:tcPr>
            <w:tcW w:w="2801" w:type="pct"/>
            <w:shd w:val="clear" w:color="auto" w:fill="auto"/>
          </w:tcPr>
          <w:p w:rsidR="00CE0A93" w:rsidRPr="0012760D" w:rsidRDefault="00CE0A93" w:rsidP="00907E0B">
            <w:pPr>
              <w:rPr>
                <w:sz w:val="24"/>
                <w:szCs w:val="24"/>
              </w:rPr>
            </w:pPr>
            <w:r w:rsidRPr="0012760D">
              <w:rPr>
                <w:sz w:val="24"/>
                <w:szCs w:val="24"/>
              </w:rPr>
              <w:t>GST receivable</w:t>
            </w:r>
          </w:p>
        </w:tc>
        <w:tc>
          <w:tcPr>
            <w:tcW w:w="1125" w:type="pct"/>
            <w:shd w:val="clear" w:color="auto" w:fill="auto"/>
          </w:tcPr>
          <w:p w:rsidR="00CE0A93" w:rsidRPr="0012760D" w:rsidRDefault="00CE0A93" w:rsidP="00907E0B">
            <w:pPr>
              <w:jc w:val="right"/>
              <w:rPr>
                <w:sz w:val="24"/>
                <w:szCs w:val="24"/>
              </w:rPr>
            </w:pPr>
            <w:r w:rsidRPr="0012760D">
              <w:rPr>
                <w:sz w:val="24"/>
                <w:szCs w:val="24"/>
              </w:rPr>
              <w:t>691,266</w:t>
            </w:r>
          </w:p>
        </w:tc>
        <w:tc>
          <w:tcPr>
            <w:tcW w:w="1074" w:type="pct"/>
            <w:shd w:val="clear" w:color="auto" w:fill="auto"/>
          </w:tcPr>
          <w:p w:rsidR="00CE0A93" w:rsidRPr="0012760D" w:rsidRDefault="00CE0A93" w:rsidP="00907E0B">
            <w:pPr>
              <w:jc w:val="right"/>
              <w:rPr>
                <w:sz w:val="24"/>
                <w:szCs w:val="24"/>
              </w:rPr>
            </w:pPr>
            <w:r w:rsidRPr="0012760D">
              <w:rPr>
                <w:sz w:val="24"/>
                <w:szCs w:val="24"/>
              </w:rPr>
              <w:t>172,980</w:t>
            </w:r>
          </w:p>
        </w:tc>
      </w:tr>
      <w:tr w:rsidR="00CE0A93" w:rsidRPr="0012760D" w:rsidTr="00907E0B">
        <w:tblPrEx>
          <w:tblCellMar>
            <w:top w:w="0" w:type="dxa"/>
            <w:bottom w:w="0" w:type="dxa"/>
          </w:tblCellMar>
        </w:tblPrEx>
        <w:tc>
          <w:tcPr>
            <w:tcW w:w="2801" w:type="pct"/>
            <w:shd w:val="clear" w:color="auto" w:fill="auto"/>
          </w:tcPr>
          <w:p w:rsidR="00CE0A93" w:rsidRPr="0012760D" w:rsidRDefault="00CE0A93" w:rsidP="00907E0B">
            <w:pPr>
              <w:rPr>
                <w:sz w:val="24"/>
                <w:szCs w:val="24"/>
              </w:rPr>
            </w:pPr>
            <w:r w:rsidRPr="0012760D">
              <w:rPr>
                <w:sz w:val="24"/>
                <w:szCs w:val="24"/>
              </w:rPr>
              <w:t>Accrued Landfill Levy</w:t>
            </w:r>
          </w:p>
        </w:tc>
        <w:tc>
          <w:tcPr>
            <w:tcW w:w="1125" w:type="pct"/>
            <w:shd w:val="clear" w:color="auto" w:fill="auto"/>
          </w:tcPr>
          <w:p w:rsidR="00CE0A93" w:rsidRPr="0012760D" w:rsidRDefault="00CE0A93" w:rsidP="00907E0B">
            <w:pPr>
              <w:jc w:val="right"/>
              <w:rPr>
                <w:sz w:val="24"/>
                <w:szCs w:val="24"/>
              </w:rPr>
            </w:pPr>
            <w:r w:rsidRPr="0012760D">
              <w:rPr>
                <w:sz w:val="24"/>
                <w:szCs w:val="24"/>
              </w:rPr>
              <w:t>6,018,909</w:t>
            </w:r>
          </w:p>
        </w:tc>
        <w:tc>
          <w:tcPr>
            <w:tcW w:w="1074" w:type="pct"/>
            <w:shd w:val="clear" w:color="auto" w:fill="auto"/>
          </w:tcPr>
          <w:p w:rsidR="00CE0A93" w:rsidRPr="0012760D" w:rsidRDefault="00CE0A93" w:rsidP="00907E0B">
            <w:pPr>
              <w:jc w:val="right"/>
              <w:rPr>
                <w:sz w:val="24"/>
                <w:szCs w:val="24"/>
              </w:rPr>
            </w:pPr>
            <w:r w:rsidRPr="0012760D">
              <w:rPr>
                <w:sz w:val="24"/>
                <w:szCs w:val="24"/>
              </w:rPr>
              <w:t>6,183,312</w:t>
            </w:r>
          </w:p>
        </w:tc>
      </w:tr>
      <w:tr w:rsidR="00CE0A93" w:rsidRPr="0012760D" w:rsidTr="00907E0B">
        <w:tblPrEx>
          <w:tblCellMar>
            <w:top w:w="0" w:type="dxa"/>
            <w:bottom w:w="0" w:type="dxa"/>
          </w:tblCellMar>
        </w:tblPrEx>
        <w:tc>
          <w:tcPr>
            <w:tcW w:w="2801" w:type="pct"/>
            <w:shd w:val="clear" w:color="auto" w:fill="auto"/>
          </w:tcPr>
          <w:p w:rsidR="00CE0A93" w:rsidRPr="0012760D" w:rsidRDefault="00CE0A93" w:rsidP="00907E0B">
            <w:pPr>
              <w:rPr>
                <w:sz w:val="24"/>
                <w:szCs w:val="24"/>
              </w:rPr>
            </w:pPr>
            <w:r w:rsidRPr="0012760D">
              <w:rPr>
                <w:bCs/>
                <w:sz w:val="24"/>
                <w:szCs w:val="24"/>
              </w:rPr>
              <w:t>Total Statutory</w:t>
            </w:r>
          </w:p>
        </w:tc>
        <w:tc>
          <w:tcPr>
            <w:tcW w:w="1125" w:type="pct"/>
            <w:shd w:val="clear" w:color="auto" w:fill="auto"/>
          </w:tcPr>
          <w:p w:rsidR="00CE0A93" w:rsidRPr="0012760D" w:rsidRDefault="00CE0A93" w:rsidP="00907E0B">
            <w:pPr>
              <w:jc w:val="right"/>
              <w:rPr>
                <w:sz w:val="24"/>
                <w:szCs w:val="24"/>
              </w:rPr>
            </w:pPr>
            <w:r w:rsidRPr="0012760D">
              <w:rPr>
                <w:bCs/>
                <w:sz w:val="24"/>
                <w:szCs w:val="24"/>
              </w:rPr>
              <w:t>8,108,502</w:t>
            </w:r>
          </w:p>
        </w:tc>
        <w:tc>
          <w:tcPr>
            <w:tcW w:w="1074" w:type="pct"/>
            <w:shd w:val="clear" w:color="auto" w:fill="auto"/>
          </w:tcPr>
          <w:p w:rsidR="00CE0A93" w:rsidRPr="0012760D" w:rsidRDefault="00CE0A93" w:rsidP="00907E0B">
            <w:pPr>
              <w:jc w:val="right"/>
              <w:rPr>
                <w:sz w:val="24"/>
                <w:szCs w:val="24"/>
              </w:rPr>
            </w:pPr>
            <w:r w:rsidRPr="0012760D">
              <w:rPr>
                <w:bCs/>
                <w:sz w:val="24"/>
                <w:szCs w:val="24"/>
              </w:rPr>
              <w:t>6,414,972</w:t>
            </w:r>
          </w:p>
        </w:tc>
      </w:tr>
      <w:tr w:rsidR="00CE0A93" w:rsidRPr="0012760D" w:rsidTr="00907E0B">
        <w:tblPrEx>
          <w:tblCellMar>
            <w:top w:w="0" w:type="dxa"/>
            <w:bottom w:w="0" w:type="dxa"/>
          </w:tblCellMar>
        </w:tblPrEx>
        <w:tc>
          <w:tcPr>
            <w:tcW w:w="2801" w:type="pct"/>
            <w:shd w:val="clear" w:color="auto" w:fill="auto"/>
          </w:tcPr>
          <w:p w:rsidR="00CE0A93" w:rsidRPr="0012760D" w:rsidRDefault="00CE0A93" w:rsidP="00907E0B">
            <w:pPr>
              <w:rPr>
                <w:sz w:val="24"/>
                <w:szCs w:val="24"/>
              </w:rPr>
            </w:pPr>
            <w:r w:rsidRPr="0012760D">
              <w:rPr>
                <w:bCs/>
                <w:sz w:val="24"/>
                <w:szCs w:val="24"/>
              </w:rPr>
              <w:t>Total Current Receivables</w:t>
            </w:r>
          </w:p>
        </w:tc>
        <w:tc>
          <w:tcPr>
            <w:tcW w:w="1125" w:type="pct"/>
            <w:shd w:val="clear" w:color="auto" w:fill="auto"/>
          </w:tcPr>
          <w:p w:rsidR="00CE0A93" w:rsidRPr="0012760D" w:rsidRDefault="00CE0A93" w:rsidP="00907E0B">
            <w:pPr>
              <w:jc w:val="right"/>
              <w:rPr>
                <w:sz w:val="24"/>
                <w:szCs w:val="24"/>
              </w:rPr>
            </w:pPr>
            <w:r w:rsidRPr="0012760D">
              <w:rPr>
                <w:bCs/>
                <w:sz w:val="24"/>
                <w:szCs w:val="24"/>
              </w:rPr>
              <w:t>8,291,223</w:t>
            </w:r>
          </w:p>
        </w:tc>
        <w:tc>
          <w:tcPr>
            <w:tcW w:w="1074" w:type="pct"/>
            <w:shd w:val="clear" w:color="auto" w:fill="auto"/>
          </w:tcPr>
          <w:p w:rsidR="00CE0A93" w:rsidRPr="0012760D" w:rsidRDefault="00CE0A93" w:rsidP="00907E0B">
            <w:pPr>
              <w:jc w:val="right"/>
              <w:rPr>
                <w:sz w:val="24"/>
                <w:szCs w:val="24"/>
              </w:rPr>
            </w:pPr>
            <w:r w:rsidRPr="0012760D">
              <w:rPr>
                <w:bCs/>
                <w:sz w:val="24"/>
                <w:szCs w:val="24"/>
              </w:rPr>
              <w:t>6,477,736</w:t>
            </w:r>
          </w:p>
        </w:tc>
      </w:tr>
    </w:tbl>
    <w:p w:rsidR="002502C0" w:rsidRPr="0012760D" w:rsidRDefault="002502C0" w:rsidP="002502C0">
      <w:pPr>
        <w:rPr>
          <w:bCs/>
          <w:sz w:val="24"/>
          <w:szCs w:val="24"/>
        </w:rPr>
      </w:pPr>
      <w:r w:rsidRPr="0012760D">
        <w:rPr>
          <w:bCs/>
          <w:sz w:val="24"/>
          <w:szCs w:val="24"/>
        </w:rPr>
        <w:t>&lt;pp&gt; 41</w:t>
      </w:r>
    </w:p>
    <w:p w:rsidR="002502C0" w:rsidRDefault="002502C0" w:rsidP="002502C0">
      <w:pPr>
        <w:rPr>
          <w:sz w:val="24"/>
          <w:szCs w:val="24"/>
        </w:rPr>
      </w:pPr>
    </w:p>
    <w:p w:rsidR="00AF2D9F" w:rsidRPr="0012760D" w:rsidRDefault="00AF2D9F" w:rsidP="002502C0">
      <w:pPr>
        <w:rPr>
          <w:sz w:val="24"/>
          <w:szCs w:val="24"/>
        </w:rPr>
      </w:pPr>
    </w:p>
    <w:p w:rsidR="002502C0" w:rsidRPr="0012760D" w:rsidRDefault="002502C0" w:rsidP="00AF2D9F">
      <w:pPr>
        <w:pStyle w:val="Heading2"/>
      </w:pPr>
      <w:r w:rsidRPr="0012760D">
        <w:t>7. Property, Plant and Equipment</w:t>
      </w:r>
    </w:p>
    <w:p w:rsidR="002502C0" w:rsidRPr="0012760D" w:rsidRDefault="002502C0" w:rsidP="002502C0">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6232"/>
        <w:gridCol w:w="1456"/>
        <w:gridCol w:w="1421"/>
      </w:tblGrid>
      <w:tr w:rsidR="002502C0" w:rsidRPr="0012760D" w:rsidTr="00907E0B">
        <w:tblPrEx>
          <w:tblCellMar>
            <w:top w:w="0" w:type="dxa"/>
            <w:bottom w:w="0" w:type="dxa"/>
          </w:tblCellMar>
        </w:tblPrEx>
        <w:trPr>
          <w:trHeight w:val="240"/>
        </w:trPr>
        <w:tc>
          <w:tcPr>
            <w:tcW w:w="3421" w:type="pct"/>
            <w:shd w:val="clear" w:color="auto" w:fill="auto"/>
          </w:tcPr>
          <w:p w:rsidR="002502C0" w:rsidRPr="0012760D" w:rsidRDefault="002502C0" w:rsidP="00907E0B">
            <w:pPr>
              <w:rPr>
                <w:sz w:val="24"/>
                <w:szCs w:val="24"/>
              </w:rPr>
            </w:pPr>
          </w:p>
        </w:tc>
        <w:tc>
          <w:tcPr>
            <w:tcW w:w="799" w:type="pct"/>
            <w:shd w:val="clear" w:color="auto" w:fill="auto"/>
          </w:tcPr>
          <w:p w:rsidR="002502C0" w:rsidRPr="0012760D" w:rsidRDefault="002502C0" w:rsidP="00907E0B">
            <w:pPr>
              <w:jc w:val="right"/>
              <w:rPr>
                <w:sz w:val="24"/>
                <w:szCs w:val="24"/>
              </w:rPr>
            </w:pPr>
            <w:r w:rsidRPr="0012760D">
              <w:rPr>
                <w:bCs/>
                <w:sz w:val="24"/>
                <w:szCs w:val="24"/>
              </w:rPr>
              <w:t>2013 $</w:t>
            </w:r>
          </w:p>
        </w:tc>
        <w:tc>
          <w:tcPr>
            <w:tcW w:w="780" w:type="pct"/>
            <w:shd w:val="clear" w:color="auto" w:fill="auto"/>
          </w:tcPr>
          <w:p w:rsidR="002502C0" w:rsidRPr="0012760D" w:rsidRDefault="002502C0" w:rsidP="00907E0B">
            <w:pPr>
              <w:jc w:val="right"/>
              <w:rPr>
                <w:sz w:val="24"/>
                <w:szCs w:val="24"/>
              </w:rPr>
            </w:pPr>
            <w:r w:rsidRPr="0012760D">
              <w:rPr>
                <w:bCs/>
                <w:sz w:val="24"/>
                <w:szCs w:val="24"/>
              </w:rPr>
              <w:t>2012 $</w:t>
            </w:r>
          </w:p>
        </w:tc>
      </w:tr>
      <w:tr w:rsidR="002502C0" w:rsidRPr="0012760D" w:rsidTr="00907E0B">
        <w:tblPrEx>
          <w:tblCellMar>
            <w:top w:w="0" w:type="dxa"/>
            <w:bottom w:w="0" w:type="dxa"/>
          </w:tblCellMar>
        </w:tblPrEx>
        <w:trPr>
          <w:trHeight w:val="288"/>
        </w:trPr>
        <w:tc>
          <w:tcPr>
            <w:tcW w:w="5000" w:type="pct"/>
            <w:gridSpan w:val="3"/>
            <w:shd w:val="clear" w:color="auto" w:fill="auto"/>
          </w:tcPr>
          <w:p w:rsidR="002502C0" w:rsidRPr="0012760D" w:rsidRDefault="002502C0" w:rsidP="00907E0B">
            <w:pPr>
              <w:rPr>
                <w:sz w:val="24"/>
                <w:szCs w:val="24"/>
              </w:rPr>
            </w:pPr>
            <w:r w:rsidRPr="0012760D">
              <w:rPr>
                <w:bCs/>
                <w:sz w:val="24"/>
                <w:szCs w:val="24"/>
              </w:rPr>
              <w:t>Office Furniture and Equipment</w:t>
            </w:r>
          </w:p>
        </w:tc>
      </w:tr>
      <w:tr w:rsidR="002502C0" w:rsidRPr="0012760D" w:rsidTr="00907E0B">
        <w:tblPrEx>
          <w:tblCellMar>
            <w:top w:w="0" w:type="dxa"/>
            <w:bottom w:w="0" w:type="dxa"/>
          </w:tblCellMar>
        </w:tblPrEx>
        <w:trPr>
          <w:trHeight w:val="283"/>
        </w:trPr>
        <w:tc>
          <w:tcPr>
            <w:tcW w:w="3421" w:type="pct"/>
            <w:shd w:val="clear" w:color="auto" w:fill="auto"/>
          </w:tcPr>
          <w:p w:rsidR="002502C0" w:rsidRPr="0012760D" w:rsidRDefault="002502C0" w:rsidP="00907E0B">
            <w:pPr>
              <w:rPr>
                <w:sz w:val="24"/>
                <w:szCs w:val="24"/>
              </w:rPr>
            </w:pPr>
            <w:r w:rsidRPr="0012760D">
              <w:rPr>
                <w:sz w:val="24"/>
                <w:szCs w:val="24"/>
              </w:rPr>
              <w:t>At Fair Value</w:t>
            </w:r>
          </w:p>
        </w:tc>
        <w:tc>
          <w:tcPr>
            <w:tcW w:w="799" w:type="pct"/>
            <w:shd w:val="clear" w:color="auto" w:fill="auto"/>
          </w:tcPr>
          <w:p w:rsidR="002502C0" w:rsidRPr="0012760D" w:rsidRDefault="002502C0" w:rsidP="00907E0B">
            <w:pPr>
              <w:jc w:val="right"/>
              <w:rPr>
                <w:sz w:val="24"/>
                <w:szCs w:val="24"/>
              </w:rPr>
            </w:pPr>
            <w:r w:rsidRPr="0012760D">
              <w:rPr>
                <w:sz w:val="24"/>
                <w:szCs w:val="24"/>
              </w:rPr>
              <w:t>549,465</w:t>
            </w:r>
          </w:p>
        </w:tc>
        <w:tc>
          <w:tcPr>
            <w:tcW w:w="780" w:type="pct"/>
            <w:shd w:val="clear" w:color="auto" w:fill="auto"/>
          </w:tcPr>
          <w:p w:rsidR="002502C0" w:rsidRPr="0012760D" w:rsidRDefault="002502C0" w:rsidP="00907E0B">
            <w:pPr>
              <w:jc w:val="right"/>
              <w:rPr>
                <w:sz w:val="24"/>
                <w:szCs w:val="24"/>
              </w:rPr>
            </w:pPr>
            <w:r w:rsidRPr="0012760D">
              <w:rPr>
                <w:sz w:val="24"/>
                <w:szCs w:val="24"/>
              </w:rPr>
              <w:t>506,608</w:t>
            </w:r>
          </w:p>
        </w:tc>
      </w:tr>
      <w:tr w:rsidR="002502C0" w:rsidRPr="0012760D" w:rsidTr="00907E0B">
        <w:tblPrEx>
          <w:tblCellMar>
            <w:top w:w="0" w:type="dxa"/>
            <w:bottom w:w="0" w:type="dxa"/>
          </w:tblCellMar>
        </w:tblPrEx>
        <w:trPr>
          <w:trHeight w:val="293"/>
        </w:trPr>
        <w:tc>
          <w:tcPr>
            <w:tcW w:w="3421" w:type="pct"/>
            <w:shd w:val="clear" w:color="auto" w:fill="auto"/>
          </w:tcPr>
          <w:p w:rsidR="002502C0" w:rsidRPr="0012760D" w:rsidRDefault="002502C0" w:rsidP="00907E0B">
            <w:pPr>
              <w:rPr>
                <w:sz w:val="24"/>
                <w:szCs w:val="24"/>
              </w:rPr>
            </w:pPr>
            <w:r w:rsidRPr="0012760D">
              <w:rPr>
                <w:sz w:val="24"/>
                <w:szCs w:val="24"/>
              </w:rPr>
              <w:t>Less: Accumulated Depreciation</w:t>
            </w:r>
          </w:p>
        </w:tc>
        <w:tc>
          <w:tcPr>
            <w:tcW w:w="799" w:type="pct"/>
            <w:shd w:val="clear" w:color="auto" w:fill="auto"/>
          </w:tcPr>
          <w:p w:rsidR="002502C0" w:rsidRPr="0012760D" w:rsidRDefault="002502C0" w:rsidP="00907E0B">
            <w:pPr>
              <w:jc w:val="right"/>
              <w:rPr>
                <w:sz w:val="24"/>
                <w:szCs w:val="24"/>
              </w:rPr>
            </w:pPr>
            <w:r w:rsidRPr="0012760D">
              <w:rPr>
                <w:sz w:val="24"/>
                <w:szCs w:val="24"/>
              </w:rPr>
              <w:t>(464,886)</w:t>
            </w:r>
          </w:p>
        </w:tc>
        <w:tc>
          <w:tcPr>
            <w:tcW w:w="780" w:type="pct"/>
            <w:shd w:val="clear" w:color="auto" w:fill="auto"/>
          </w:tcPr>
          <w:p w:rsidR="002502C0" w:rsidRPr="0012760D" w:rsidRDefault="002502C0" w:rsidP="00907E0B">
            <w:pPr>
              <w:jc w:val="right"/>
              <w:rPr>
                <w:sz w:val="24"/>
                <w:szCs w:val="24"/>
              </w:rPr>
            </w:pPr>
            <w:r w:rsidRPr="0012760D">
              <w:rPr>
                <w:sz w:val="24"/>
                <w:szCs w:val="24"/>
              </w:rPr>
              <w:t>(421,108)</w:t>
            </w:r>
          </w:p>
        </w:tc>
      </w:tr>
      <w:tr w:rsidR="002502C0" w:rsidRPr="0012760D" w:rsidTr="00907E0B">
        <w:tblPrEx>
          <w:tblCellMar>
            <w:top w:w="0" w:type="dxa"/>
            <w:bottom w:w="0" w:type="dxa"/>
          </w:tblCellMar>
        </w:tblPrEx>
        <w:trPr>
          <w:trHeight w:val="269"/>
        </w:trPr>
        <w:tc>
          <w:tcPr>
            <w:tcW w:w="3421" w:type="pct"/>
            <w:shd w:val="clear" w:color="auto" w:fill="auto"/>
          </w:tcPr>
          <w:p w:rsidR="002502C0" w:rsidRPr="0012760D" w:rsidRDefault="002502C0" w:rsidP="00907E0B">
            <w:pPr>
              <w:rPr>
                <w:sz w:val="24"/>
                <w:szCs w:val="24"/>
              </w:rPr>
            </w:pPr>
          </w:p>
        </w:tc>
        <w:tc>
          <w:tcPr>
            <w:tcW w:w="799" w:type="pct"/>
            <w:shd w:val="clear" w:color="auto" w:fill="auto"/>
          </w:tcPr>
          <w:p w:rsidR="002502C0" w:rsidRPr="0012760D" w:rsidRDefault="002502C0" w:rsidP="00907E0B">
            <w:pPr>
              <w:jc w:val="right"/>
              <w:rPr>
                <w:sz w:val="24"/>
                <w:szCs w:val="24"/>
              </w:rPr>
            </w:pPr>
            <w:r w:rsidRPr="0012760D">
              <w:rPr>
                <w:bCs/>
                <w:sz w:val="24"/>
                <w:szCs w:val="24"/>
              </w:rPr>
              <w:t>84,579</w:t>
            </w:r>
          </w:p>
        </w:tc>
        <w:tc>
          <w:tcPr>
            <w:tcW w:w="780" w:type="pct"/>
            <w:shd w:val="clear" w:color="auto" w:fill="auto"/>
          </w:tcPr>
          <w:p w:rsidR="002502C0" w:rsidRPr="0012760D" w:rsidRDefault="002502C0" w:rsidP="00907E0B">
            <w:pPr>
              <w:jc w:val="right"/>
              <w:rPr>
                <w:sz w:val="24"/>
                <w:szCs w:val="24"/>
              </w:rPr>
            </w:pPr>
            <w:r w:rsidRPr="0012760D">
              <w:rPr>
                <w:bCs/>
                <w:sz w:val="24"/>
                <w:szCs w:val="24"/>
              </w:rPr>
              <w:t>85,500</w:t>
            </w:r>
          </w:p>
        </w:tc>
      </w:tr>
      <w:tr w:rsidR="002502C0" w:rsidRPr="0012760D" w:rsidTr="00907E0B">
        <w:tblPrEx>
          <w:tblCellMar>
            <w:top w:w="0" w:type="dxa"/>
            <w:bottom w:w="0" w:type="dxa"/>
          </w:tblCellMar>
        </w:tblPrEx>
        <w:trPr>
          <w:trHeight w:val="293"/>
        </w:trPr>
        <w:tc>
          <w:tcPr>
            <w:tcW w:w="5000" w:type="pct"/>
            <w:gridSpan w:val="3"/>
            <w:shd w:val="clear" w:color="auto" w:fill="auto"/>
          </w:tcPr>
          <w:p w:rsidR="002502C0" w:rsidRPr="0012760D" w:rsidRDefault="002502C0" w:rsidP="00907E0B">
            <w:pPr>
              <w:rPr>
                <w:sz w:val="24"/>
                <w:szCs w:val="24"/>
              </w:rPr>
            </w:pPr>
            <w:r w:rsidRPr="0012760D">
              <w:rPr>
                <w:bCs/>
                <w:sz w:val="24"/>
                <w:szCs w:val="24"/>
              </w:rPr>
              <w:t>Computer Equipment</w:t>
            </w:r>
          </w:p>
        </w:tc>
      </w:tr>
      <w:tr w:rsidR="002502C0" w:rsidRPr="0012760D" w:rsidTr="00907E0B">
        <w:tblPrEx>
          <w:tblCellMar>
            <w:top w:w="0" w:type="dxa"/>
            <w:bottom w:w="0" w:type="dxa"/>
          </w:tblCellMar>
        </w:tblPrEx>
        <w:trPr>
          <w:trHeight w:val="278"/>
        </w:trPr>
        <w:tc>
          <w:tcPr>
            <w:tcW w:w="3421" w:type="pct"/>
            <w:shd w:val="clear" w:color="auto" w:fill="auto"/>
          </w:tcPr>
          <w:p w:rsidR="002502C0" w:rsidRPr="0012760D" w:rsidRDefault="002502C0" w:rsidP="00907E0B">
            <w:pPr>
              <w:rPr>
                <w:sz w:val="24"/>
                <w:szCs w:val="24"/>
              </w:rPr>
            </w:pPr>
            <w:r w:rsidRPr="0012760D">
              <w:rPr>
                <w:sz w:val="24"/>
                <w:szCs w:val="24"/>
              </w:rPr>
              <w:t>At Fair Value</w:t>
            </w:r>
          </w:p>
        </w:tc>
        <w:tc>
          <w:tcPr>
            <w:tcW w:w="799" w:type="pct"/>
            <w:shd w:val="clear" w:color="auto" w:fill="auto"/>
          </w:tcPr>
          <w:p w:rsidR="002502C0" w:rsidRPr="0012760D" w:rsidRDefault="002502C0" w:rsidP="00907E0B">
            <w:pPr>
              <w:jc w:val="right"/>
              <w:rPr>
                <w:sz w:val="24"/>
                <w:szCs w:val="24"/>
              </w:rPr>
            </w:pPr>
            <w:r w:rsidRPr="0012760D">
              <w:rPr>
                <w:sz w:val="24"/>
                <w:szCs w:val="24"/>
              </w:rPr>
              <w:t>985,344</w:t>
            </w:r>
          </w:p>
        </w:tc>
        <w:tc>
          <w:tcPr>
            <w:tcW w:w="780" w:type="pct"/>
            <w:shd w:val="clear" w:color="auto" w:fill="auto"/>
          </w:tcPr>
          <w:p w:rsidR="002502C0" w:rsidRPr="0012760D" w:rsidRDefault="002502C0" w:rsidP="00907E0B">
            <w:pPr>
              <w:jc w:val="right"/>
              <w:rPr>
                <w:sz w:val="24"/>
                <w:szCs w:val="24"/>
              </w:rPr>
            </w:pPr>
            <w:r w:rsidRPr="0012760D">
              <w:rPr>
                <w:sz w:val="24"/>
                <w:szCs w:val="24"/>
              </w:rPr>
              <w:t>918,493</w:t>
            </w:r>
          </w:p>
        </w:tc>
      </w:tr>
      <w:tr w:rsidR="002502C0" w:rsidRPr="0012760D" w:rsidTr="00907E0B">
        <w:tblPrEx>
          <w:tblCellMar>
            <w:top w:w="0" w:type="dxa"/>
            <w:bottom w:w="0" w:type="dxa"/>
          </w:tblCellMar>
        </w:tblPrEx>
        <w:trPr>
          <w:trHeight w:val="293"/>
        </w:trPr>
        <w:tc>
          <w:tcPr>
            <w:tcW w:w="3421" w:type="pct"/>
            <w:shd w:val="clear" w:color="auto" w:fill="auto"/>
          </w:tcPr>
          <w:p w:rsidR="002502C0" w:rsidRPr="0012760D" w:rsidRDefault="002502C0" w:rsidP="00907E0B">
            <w:pPr>
              <w:rPr>
                <w:sz w:val="24"/>
                <w:szCs w:val="24"/>
              </w:rPr>
            </w:pPr>
            <w:r w:rsidRPr="0012760D">
              <w:rPr>
                <w:sz w:val="24"/>
                <w:szCs w:val="24"/>
              </w:rPr>
              <w:t>Less: Accumulated Depreciation</w:t>
            </w:r>
          </w:p>
        </w:tc>
        <w:tc>
          <w:tcPr>
            <w:tcW w:w="799" w:type="pct"/>
            <w:shd w:val="clear" w:color="auto" w:fill="auto"/>
          </w:tcPr>
          <w:p w:rsidR="002502C0" w:rsidRPr="0012760D" w:rsidRDefault="002502C0" w:rsidP="00907E0B">
            <w:pPr>
              <w:jc w:val="right"/>
              <w:rPr>
                <w:sz w:val="24"/>
                <w:szCs w:val="24"/>
              </w:rPr>
            </w:pPr>
            <w:r w:rsidRPr="0012760D">
              <w:rPr>
                <w:sz w:val="24"/>
                <w:szCs w:val="24"/>
              </w:rPr>
              <w:t>(618,223)</w:t>
            </w:r>
          </w:p>
        </w:tc>
        <w:tc>
          <w:tcPr>
            <w:tcW w:w="780" w:type="pct"/>
            <w:shd w:val="clear" w:color="auto" w:fill="auto"/>
          </w:tcPr>
          <w:p w:rsidR="002502C0" w:rsidRPr="0012760D" w:rsidRDefault="002502C0" w:rsidP="00907E0B">
            <w:pPr>
              <w:jc w:val="right"/>
              <w:rPr>
                <w:sz w:val="24"/>
                <w:szCs w:val="24"/>
              </w:rPr>
            </w:pPr>
            <w:r w:rsidRPr="0012760D">
              <w:rPr>
                <w:sz w:val="24"/>
                <w:szCs w:val="24"/>
              </w:rPr>
              <w:t>(709,389)</w:t>
            </w:r>
          </w:p>
        </w:tc>
      </w:tr>
      <w:tr w:rsidR="002502C0" w:rsidRPr="0012760D" w:rsidTr="00907E0B">
        <w:tblPrEx>
          <w:tblCellMar>
            <w:top w:w="0" w:type="dxa"/>
            <w:bottom w:w="0" w:type="dxa"/>
          </w:tblCellMar>
        </w:tblPrEx>
        <w:trPr>
          <w:trHeight w:val="274"/>
        </w:trPr>
        <w:tc>
          <w:tcPr>
            <w:tcW w:w="3421" w:type="pct"/>
            <w:shd w:val="clear" w:color="auto" w:fill="auto"/>
          </w:tcPr>
          <w:p w:rsidR="002502C0" w:rsidRPr="0012760D" w:rsidRDefault="002502C0" w:rsidP="00907E0B">
            <w:pPr>
              <w:rPr>
                <w:sz w:val="24"/>
                <w:szCs w:val="24"/>
              </w:rPr>
            </w:pPr>
          </w:p>
        </w:tc>
        <w:tc>
          <w:tcPr>
            <w:tcW w:w="799" w:type="pct"/>
            <w:shd w:val="clear" w:color="auto" w:fill="auto"/>
          </w:tcPr>
          <w:p w:rsidR="002502C0" w:rsidRPr="0012760D" w:rsidRDefault="002502C0" w:rsidP="00907E0B">
            <w:pPr>
              <w:jc w:val="right"/>
              <w:rPr>
                <w:sz w:val="24"/>
                <w:szCs w:val="24"/>
              </w:rPr>
            </w:pPr>
            <w:r w:rsidRPr="0012760D">
              <w:rPr>
                <w:bCs/>
                <w:sz w:val="24"/>
                <w:szCs w:val="24"/>
              </w:rPr>
              <w:t>367,121</w:t>
            </w:r>
          </w:p>
        </w:tc>
        <w:tc>
          <w:tcPr>
            <w:tcW w:w="780" w:type="pct"/>
            <w:shd w:val="clear" w:color="auto" w:fill="auto"/>
          </w:tcPr>
          <w:p w:rsidR="002502C0" w:rsidRPr="0012760D" w:rsidRDefault="002502C0" w:rsidP="00907E0B">
            <w:pPr>
              <w:jc w:val="right"/>
              <w:rPr>
                <w:sz w:val="24"/>
                <w:szCs w:val="24"/>
              </w:rPr>
            </w:pPr>
            <w:r w:rsidRPr="0012760D">
              <w:rPr>
                <w:bCs/>
                <w:sz w:val="24"/>
                <w:szCs w:val="24"/>
              </w:rPr>
              <w:t>209,104</w:t>
            </w:r>
          </w:p>
        </w:tc>
      </w:tr>
      <w:tr w:rsidR="002502C0" w:rsidRPr="0012760D" w:rsidTr="00907E0B">
        <w:tblPrEx>
          <w:tblCellMar>
            <w:top w:w="0" w:type="dxa"/>
            <w:bottom w:w="0" w:type="dxa"/>
          </w:tblCellMar>
        </w:tblPrEx>
        <w:trPr>
          <w:trHeight w:val="278"/>
        </w:trPr>
        <w:tc>
          <w:tcPr>
            <w:tcW w:w="5000" w:type="pct"/>
            <w:gridSpan w:val="3"/>
            <w:shd w:val="clear" w:color="auto" w:fill="auto"/>
          </w:tcPr>
          <w:p w:rsidR="002502C0" w:rsidRPr="0012760D" w:rsidRDefault="002502C0" w:rsidP="00907E0B">
            <w:pPr>
              <w:rPr>
                <w:sz w:val="24"/>
                <w:szCs w:val="24"/>
              </w:rPr>
            </w:pPr>
            <w:r w:rsidRPr="0012760D">
              <w:rPr>
                <w:bCs/>
                <w:sz w:val="24"/>
                <w:szCs w:val="24"/>
              </w:rPr>
              <w:t>Motor Vehicles - Leased</w:t>
            </w:r>
          </w:p>
        </w:tc>
      </w:tr>
      <w:tr w:rsidR="002502C0" w:rsidRPr="0012760D" w:rsidTr="00907E0B">
        <w:tblPrEx>
          <w:tblCellMar>
            <w:top w:w="0" w:type="dxa"/>
            <w:bottom w:w="0" w:type="dxa"/>
          </w:tblCellMar>
        </w:tblPrEx>
        <w:trPr>
          <w:trHeight w:val="288"/>
        </w:trPr>
        <w:tc>
          <w:tcPr>
            <w:tcW w:w="3421" w:type="pct"/>
            <w:shd w:val="clear" w:color="auto" w:fill="auto"/>
          </w:tcPr>
          <w:p w:rsidR="002502C0" w:rsidRPr="0012760D" w:rsidRDefault="002502C0" w:rsidP="00907E0B">
            <w:pPr>
              <w:rPr>
                <w:sz w:val="24"/>
                <w:szCs w:val="24"/>
              </w:rPr>
            </w:pPr>
            <w:r w:rsidRPr="0012760D">
              <w:rPr>
                <w:sz w:val="24"/>
                <w:szCs w:val="24"/>
              </w:rPr>
              <w:t>At Fair Value</w:t>
            </w:r>
          </w:p>
        </w:tc>
        <w:tc>
          <w:tcPr>
            <w:tcW w:w="799" w:type="pct"/>
            <w:shd w:val="clear" w:color="auto" w:fill="auto"/>
          </w:tcPr>
          <w:p w:rsidR="002502C0" w:rsidRPr="0012760D" w:rsidRDefault="002502C0" w:rsidP="00907E0B">
            <w:pPr>
              <w:jc w:val="right"/>
              <w:rPr>
                <w:sz w:val="24"/>
                <w:szCs w:val="24"/>
              </w:rPr>
            </w:pPr>
            <w:r w:rsidRPr="0012760D">
              <w:rPr>
                <w:sz w:val="24"/>
                <w:szCs w:val="24"/>
              </w:rPr>
              <w:t>370,645</w:t>
            </w:r>
          </w:p>
        </w:tc>
        <w:tc>
          <w:tcPr>
            <w:tcW w:w="780" w:type="pct"/>
            <w:shd w:val="clear" w:color="auto" w:fill="auto"/>
          </w:tcPr>
          <w:p w:rsidR="002502C0" w:rsidRPr="0012760D" w:rsidRDefault="002502C0" w:rsidP="00907E0B">
            <w:pPr>
              <w:jc w:val="right"/>
              <w:rPr>
                <w:sz w:val="24"/>
                <w:szCs w:val="24"/>
              </w:rPr>
            </w:pPr>
            <w:r w:rsidRPr="0012760D">
              <w:rPr>
                <w:sz w:val="24"/>
                <w:szCs w:val="24"/>
              </w:rPr>
              <w:t>373,446</w:t>
            </w:r>
          </w:p>
        </w:tc>
      </w:tr>
      <w:tr w:rsidR="002502C0" w:rsidRPr="0012760D" w:rsidTr="00907E0B">
        <w:tblPrEx>
          <w:tblCellMar>
            <w:top w:w="0" w:type="dxa"/>
            <w:bottom w:w="0" w:type="dxa"/>
          </w:tblCellMar>
        </w:tblPrEx>
        <w:trPr>
          <w:trHeight w:val="293"/>
        </w:trPr>
        <w:tc>
          <w:tcPr>
            <w:tcW w:w="3421" w:type="pct"/>
            <w:shd w:val="clear" w:color="auto" w:fill="auto"/>
          </w:tcPr>
          <w:p w:rsidR="002502C0" w:rsidRPr="0012760D" w:rsidRDefault="002502C0" w:rsidP="00907E0B">
            <w:pPr>
              <w:rPr>
                <w:sz w:val="24"/>
                <w:szCs w:val="24"/>
              </w:rPr>
            </w:pPr>
            <w:r w:rsidRPr="0012760D">
              <w:rPr>
                <w:sz w:val="24"/>
                <w:szCs w:val="24"/>
              </w:rPr>
              <w:t>Less: Accumulated Depreciation</w:t>
            </w:r>
          </w:p>
        </w:tc>
        <w:tc>
          <w:tcPr>
            <w:tcW w:w="799" w:type="pct"/>
            <w:shd w:val="clear" w:color="auto" w:fill="auto"/>
          </w:tcPr>
          <w:p w:rsidR="002502C0" w:rsidRPr="0012760D" w:rsidRDefault="002502C0" w:rsidP="00907E0B">
            <w:pPr>
              <w:jc w:val="right"/>
              <w:rPr>
                <w:sz w:val="24"/>
                <w:szCs w:val="24"/>
              </w:rPr>
            </w:pPr>
            <w:r w:rsidRPr="0012760D">
              <w:rPr>
                <w:sz w:val="24"/>
                <w:szCs w:val="24"/>
              </w:rPr>
              <w:t>(191,063)</w:t>
            </w:r>
          </w:p>
        </w:tc>
        <w:tc>
          <w:tcPr>
            <w:tcW w:w="780" w:type="pct"/>
            <w:shd w:val="clear" w:color="auto" w:fill="auto"/>
          </w:tcPr>
          <w:p w:rsidR="002502C0" w:rsidRPr="0012760D" w:rsidRDefault="002502C0" w:rsidP="00907E0B">
            <w:pPr>
              <w:jc w:val="right"/>
              <w:rPr>
                <w:sz w:val="24"/>
                <w:szCs w:val="24"/>
              </w:rPr>
            </w:pPr>
            <w:r w:rsidRPr="0012760D">
              <w:rPr>
                <w:sz w:val="24"/>
                <w:szCs w:val="24"/>
              </w:rPr>
              <w:t>(183,434)</w:t>
            </w:r>
          </w:p>
        </w:tc>
      </w:tr>
      <w:tr w:rsidR="002502C0" w:rsidRPr="0012760D" w:rsidTr="00907E0B">
        <w:tblPrEx>
          <w:tblCellMar>
            <w:top w:w="0" w:type="dxa"/>
            <w:bottom w:w="0" w:type="dxa"/>
          </w:tblCellMar>
        </w:tblPrEx>
        <w:trPr>
          <w:trHeight w:val="269"/>
        </w:trPr>
        <w:tc>
          <w:tcPr>
            <w:tcW w:w="3421" w:type="pct"/>
            <w:shd w:val="clear" w:color="auto" w:fill="auto"/>
          </w:tcPr>
          <w:p w:rsidR="002502C0" w:rsidRPr="0012760D" w:rsidRDefault="002502C0" w:rsidP="00907E0B">
            <w:pPr>
              <w:rPr>
                <w:sz w:val="24"/>
                <w:szCs w:val="24"/>
              </w:rPr>
            </w:pPr>
          </w:p>
        </w:tc>
        <w:tc>
          <w:tcPr>
            <w:tcW w:w="799" w:type="pct"/>
            <w:shd w:val="clear" w:color="auto" w:fill="auto"/>
          </w:tcPr>
          <w:p w:rsidR="002502C0" w:rsidRPr="0012760D" w:rsidRDefault="002502C0" w:rsidP="00907E0B">
            <w:pPr>
              <w:jc w:val="right"/>
              <w:rPr>
                <w:sz w:val="24"/>
                <w:szCs w:val="24"/>
              </w:rPr>
            </w:pPr>
            <w:r w:rsidRPr="0012760D">
              <w:rPr>
                <w:bCs/>
                <w:sz w:val="24"/>
                <w:szCs w:val="24"/>
              </w:rPr>
              <w:t xml:space="preserve">179,582 </w:t>
            </w:r>
          </w:p>
        </w:tc>
        <w:tc>
          <w:tcPr>
            <w:tcW w:w="780" w:type="pct"/>
            <w:shd w:val="clear" w:color="auto" w:fill="auto"/>
          </w:tcPr>
          <w:p w:rsidR="002502C0" w:rsidRPr="0012760D" w:rsidRDefault="002502C0" w:rsidP="00907E0B">
            <w:pPr>
              <w:jc w:val="right"/>
              <w:rPr>
                <w:sz w:val="24"/>
                <w:szCs w:val="24"/>
              </w:rPr>
            </w:pPr>
            <w:r w:rsidRPr="0012760D">
              <w:rPr>
                <w:bCs/>
                <w:sz w:val="24"/>
                <w:szCs w:val="24"/>
              </w:rPr>
              <w:t>190,012</w:t>
            </w:r>
          </w:p>
        </w:tc>
      </w:tr>
      <w:tr w:rsidR="002502C0" w:rsidRPr="0012760D" w:rsidTr="00907E0B">
        <w:tblPrEx>
          <w:tblCellMar>
            <w:top w:w="0" w:type="dxa"/>
            <w:bottom w:w="0" w:type="dxa"/>
          </w:tblCellMar>
        </w:tblPrEx>
        <w:trPr>
          <w:trHeight w:val="283"/>
        </w:trPr>
        <w:tc>
          <w:tcPr>
            <w:tcW w:w="3421" w:type="pct"/>
            <w:shd w:val="clear" w:color="auto" w:fill="auto"/>
          </w:tcPr>
          <w:p w:rsidR="002502C0" w:rsidRPr="0012760D" w:rsidRDefault="002502C0" w:rsidP="00907E0B">
            <w:pPr>
              <w:rPr>
                <w:sz w:val="24"/>
                <w:szCs w:val="24"/>
              </w:rPr>
            </w:pPr>
            <w:r w:rsidRPr="0012760D">
              <w:rPr>
                <w:bCs/>
                <w:sz w:val="24"/>
                <w:szCs w:val="24"/>
              </w:rPr>
              <w:t>Summary</w:t>
            </w:r>
          </w:p>
        </w:tc>
        <w:tc>
          <w:tcPr>
            <w:tcW w:w="799" w:type="pct"/>
            <w:shd w:val="clear" w:color="auto" w:fill="auto"/>
          </w:tcPr>
          <w:p w:rsidR="002502C0" w:rsidRPr="0012760D" w:rsidRDefault="002502C0" w:rsidP="00907E0B">
            <w:pPr>
              <w:jc w:val="right"/>
              <w:rPr>
                <w:sz w:val="24"/>
                <w:szCs w:val="24"/>
              </w:rPr>
            </w:pPr>
            <w:r w:rsidRPr="0012760D">
              <w:rPr>
                <w:bCs/>
                <w:sz w:val="24"/>
                <w:szCs w:val="24"/>
              </w:rPr>
              <w:t>631,282</w:t>
            </w:r>
          </w:p>
        </w:tc>
        <w:tc>
          <w:tcPr>
            <w:tcW w:w="780" w:type="pct"/>
            <w:shd w:val="clear" w:color="auto" w:fill="auto"/>
          </w:tcPr>
          <w:p w:rsidR="002502C0" w:rsidRPr="0012760D" w:rsidRDefault="002502C0" w:rsidP="00907E0B">
            <w:pPr>
              <w:jc w:val="right"/>
              <w:rPr>
                <w:sz w:val="24"/>
                <w:szCs w:val="24"/>
              </w:rPr>
            </w:pPr>
            <w:r w:rsidRPr="0012760D">
              <w:rPr>
                <w:bCs/>
                <w:sz w:val="24"/>
                <w:szCs w:val="24"/>
              </w:rPr>
              <w:t>484,616</w:t>
            </w:r>
          </w:p>
        </w:tc>
      </w:tr>
    </w:tbl>
    <w:p w:rsidR="002502C0" w:rsidRDefault="002502C0" w:rsidP="002502C0">
      <w:pPr>
        <w:rPr>
          <w:bCs/>
          <w:sz w:val="24"/>
          <w:szCs w:val="24"/>
        </w:rPr>
      </w:pPr>
    </w:p>
    <w:p w:rsidR="00AF2D9F" w:rsidRPr="0012760D" w:rsidRDefault="00AF2D9F" w:rsidP="002502C0">
      <w:pPr>
        <w:rPr>
          <w:bCs/>
          <w:sz w:val="24"/>
          <w:szCs w:val="24"/>
        </w:rPr>
      </w:pPr>
    </w:p>
    <w:p w:rsidR="002502C0" w:rsidRPr="0012760D" w:rsidRDefault="002502C0" w:rsidP="00AF2D9F">
      <w:pPr>
        <w:pStyle w:val="Heading3"/>
      </w:pPr>
      <w:r w:rsidRPr="0012760D">
        <w:t>Reconciliations:</w:t>
      </w:r>
    </w:p>
    <w:p w:rsidR="002502C0" w:rsidRPr="0012760D" w:rsidRDefault="002502C0" w:rsidP="002502C0">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2575"/>
        <w:gridCol w:w="2071"/>
        <w:gridCol w:w="1563"/>
        <w:gridCol w:w="1463"/>
        <w:gridCol w:w="1437"/>
      </w:tblGrid>
      <w:tr w:rsidR="002502C0" w:rsidRPr="0012760D" w:rsidTr="00DC226B">
        <w:tblPrEx>
          <w:tblCellMar>
            <w:top w:w="0" w:type="dxa"/>
            <w:bottom w:w="0" w:type="dxa"/>
          </w:tblCellMar>
        </w:tblPrEx>
        <w:tc>
          <w:tcPr>
            <w:tcW w:w="1413" w:type="pct"/>
            <w:shd w:val="clear" w:color="auto" w:fill="auto"/>
            <w:vAlign w:val="bottom"/>
          </w:tcPr>
          <w:p w:rsidR="002502C0" w:rsidRPr="0012760D" w:rsidRDefault="002502C0" w:rsidP="00907E0B">
            <w:pPr>
              <w:rPr>
                <w:sz w:val="24"/>
                <w:szCs w:val="24"/>
              </w:rPr>
            </w:pPr>
            <w:r w:rsidRPr="0012760D">
              <w:rPr>
                <w:bCs/>
                <w:sz w:val="24"/>
                <w:szCs w:val="24"/>
              </w:rPr>
              <w:t>Carrying Amount 2013</w:t>
            </w:r>
          </w:p>
        </w:tc>
        <w:tc>
          <w:tcPr>
            <w:tcW w:w="1137" w:type="pct"/>
            <w:shd w:val="clear" w:color="auto" w:fill="auto"/>
          </w:tcPr>
          <w:p w:rsidR="002502C0" w:rsidRPr="0012760D" w:rsidRDefault="002502C0" w:rsidP="00907E0B">
            <w:pPr>
              <w:rPr>
                <w:sz w:val="24"/>
                <w:szCs w:val="24"/>
              </w:rPr>
            </w:pPr>
            <w:r w:rsidRPr="0012760D">
              <w:rPr>
                <w:bCs/>
                <w:sz w:val="24"/>
                <w:szCs w:val="24"/>
              </w:rPr>
              <w:t xml:space="preserve">Office Furniture </w:t>
            </w:r>
            <w:r w:rsidR="00236A13">
              <w:rPr>
                <w:bCs/>
                <w:sz w:val="24"/>
                <w:szCs w:val="24"/>
              </w:rPr>
              <w:t>and</w:t>
            </w:r>
            <w:r w:rsidRPr="0012760D">
              <w:rPr>
                <w:bCs/>
                <w:sz w:val="24"/>
                <w:szCs w:val="24"/>
              </w:rPr>
              <w:t xml:space="preserve"> Equipment $</w:t>
            </w:r>
          </w:p>
        </w:tc>
        <w:tc>
          <w:tcPr>
            <w:tcW w:w="858" w:type="pct"/>
            <w:shd w:val="clear" w:color="auto" w:fill="auto"/>
          </w:tcPr>
          <w:p w:rsidR="002502C0" w:rsidRPr="0012760D" w:rsidRDefault="002502C0" w:rsidP="00907E0B">
            <w:pPr>
              <w:rPr>
                <w:sz w:val="24"/>
                <w:szCs w:val="24"/>
              </w:rPr>
            </w:pPr>
            <w:r w:rsidRPr="0012760D">
              <w:rPr>
                <w:bCs/>
                <w:sz w:val="24"/>
                <w:szCs w:val="24"/>
              </w:rPr>
              <w:t>Computer Equipment $</w:t>
            </w:r>
          </w:p>
        </w:tc>
        <w:tc>
          <w:tcPr>
            <w:tcW w:w="803" w:type="pct"/>
            <w:shd w:val="clear" w:color="auto" w:fill="auto"/>
          </w:tcPr>
          <w:p w:rsidR="002502C0" w:rsidRPr="0012760D" w:rsidRDefault="002502C0" w:rsidP="00907E0B">
            <w:pPr>
              <w:rPr>
                <w:sz w:val="24"/>
                <w:szCs w:val="24"/>
              </w:rPr>
            </w:pPr>
            <w:r w:rsidRPr="0012760D">
              <w:rPr>
                <w:bCs/>
                <w:sz w:val="24"/>
                <w:szCs w:val="24"/>
              </w:rPr>
              <w:t>Motor Vehicles Leased $</w:t>
            </w:r>
          </w:p>
        </w:tc>
        <w:tc>
          <w:tcPr>
            <w:tcW w:w="789" w:type="pct"/>
            <w:shd w:val="clear" w:color="auto" w:fill="auto"/>
          </w:tcPr>
          <w:p w:rsidR="002502C0" w:rsidRPr="0012760D" w:rsidRDefault="002502C0" w:rsidP="00907E0B">
            <w:pPr>
              <w:rPr>
                <w:sz w:val="24"/>
                <w:szCs w:val="24"/>
              </w:rPr>
            </w:pPr>
            <w:r w:rsidRPr="0012760D">
              <w:rPr>
                <w:bCs/>
                <w:sz w:val="24"/>
                <w:szCs w:val="24"/>
              </w:rPr>
              <w:t>Total $</w:t>
            </w:r>
          </w:p>
        </w:tc>
      </w:tr>
      <w:tr w:rsidR="002502C0" w:rsidRPr="0012760D" w:rsidTr="00DC226B">
        <w:tblPrEx>
          <w:tblCellMar>
            <w:top w:w="0" w:type="dxa"/>
            <w:bottom w:w="0" w:type="dxa"/>
          </w:tblCellMar>
        </w:tblPrEx>
        <w:tc>
          <w:tcPr>
            <w:tcW w:w="1413" w:type="pct"/>
            <w:shd w:val="clear" w:color="auto" w:fill="auto"/>
          </w:tcPr>
          <w:p w:rsidR="002502C0" w:rsidRPr="0012760D" w:rsidRDefault="002502C0" w:rsidP="00907E0B">
            <w:pPr>
              <w:rPr>
                <w:sz w:val="24"/>
                <w:szCs w:val="24"/>
              </w:rPr>
            </w:pPr>
            <w:r w:rsidRPr="0012760D">
              <w:rPr>
                <w:bCs/>
                <w:sz w:val="24"/>
                <w:szCs w:val="24"/>
              </w:rPr>
              <w:t>Opening Balance</w:t>
            </w:r>
          </w:p>
        </w:tc>
        <w:tc>
          <w:tcPr>
            <w:tcW w:w="1137" w:type="pct"/>
            <w:shd w:val="clear" w:color="auto" w:fill="auto"/>
          </w:tcPr>
          <w:p w:rsidR="002502C0" w:rsidRPr="0012760D" w:rsidRDefault="002502C0" w:rsidP="00907E0B">
            <w:pPr>
              <w:jc w:val="right"/>
              <w:rPr>
                <w:sz w:val="24"/>
                <w:szCs w:val="24"/>
              </w:rPr>
            </w:pPr>
            <w:r w:rsidRPr="0012760D">
              <w:rPr>
                <w:bCs/>
                <w:sz w:val="24"/>
                <w:szCs w:val="24"/>
              </w:rPr>
              <w:t>85,500</w:t>
            </w:r>
          </w:p>
        </w:tc>
        <w:tc>
          <w:tcPr>
            <w:tcW w:w="858" w:type="pct"/>
            <w:shd w:val="clear" w:color="auto" w:fill="auto"/>
          </w:tcPr>
          <w:p w:rsidR="002502C0" w:rsidRPr="0012760D" w:rsidRDefault="002502C0" w:rsidP="00907E0B">
            <w:pPr>
              <w:jc w:val="right"/>
              <w:rPr>
                <w:sz w:val="24"/>
                <w:szCs w:val="24"/>
              </w:rPr>
            </w:pPr>
            <w:r w:rsidRPr="0012760D">
              <w:rPr>
                <w:bCs/>
                <w:sz w:val="24"/>
                <w:szCs w:val="24"/>
              </w:rPr>
              <w:t>209,103</w:t>
            </w:r>
          </w:p>
        </w:tc>
        <w:tc>
          <w:tcPr>
            <w:tcW w:w="803" w:type="pct"/>
            <w:shd w:val="clear" w:color="auto" w:fill="auto"/>
          </w:tcPr>
          <w:p w:rsidR="002502C0" w:rsidRPr="0012760D" w:rsidRDefault="002502C0" w:rsidP="00907E0B">
            <w:pPr>
              <w:jc w:val="right"/>
              <w:rPr>
                <w:sz w:val="24"/>
                <w:szCs w:val="24"/>
              </w:rPr>
            </w:pPr>
            <w:r w:rsidRPr="0012760D">
              <w:rPr>
                <w:bCs/>
                <w:sz w:val="24"/>
                <w:szCs w:val="24"/>
              </w:rPr>
              <w:t>190,013</w:t>
            </w:r>
          </w:p>
        </w:tc>
        <w:tc>
          <w:tcPr>
            <w:tcW w:w="789" w:type="pct"/>
            <w:shd w:val="clear" w:color="auto" w:fill="auto"/>
          </w:tcPr>
          <w:p w:rsidR="002502C0" w:rsidRPr="0012760D" w:rsidRDefault="002502C0" w:rsidP="00907E0B">
            <w:pPr>
              <w:jc w:val="right"/>
              <w:rPr>
                <w:sz w:val="24"/>
                <w:szCs w:val="24"/>
              </w:rPr>
            </w:pPr>
            <w:r w:rsidRPr="0012760D">
              <w:rPr>
                <w:bCs/>
                <w:sz w:val="24"/>
                <w:szCs w:val="24"/>
              </w:rPr>
              <w:t>484,616</w:t>
            </w:r>
          </w:p>
        </w:tc>
      </w:tr>
      <w:tr w:rsidR="002502C0" w:rsidRPr="0012760D" w:rsidTr="00DC226B">
        <w:tblPrEx>
          <w:tblCellMar>
            <w:top w:w="0" w:type="dxa"/>
            <w:bottom w:w="0" w:type="dxa"/>
          </w:tblCellMar>
        </w:tblPrEx>
        <w:tc>
          <w:tcPr>
            <w:tcW w:w="1413" w:type="pct"/>
            <w:shd w:val="clear" w:color="auto" w:fill="auto"/>
          </w:tcPr>
          <w:p w:rsidR="002502C0" w:rsidRPr="0012760D" w:rsidRDefault="002502C0" w:rsidP="00907E0B">
            <w:pPr>
              <w:rPr>
                <w:sz w:val="24"/>
                <w:szCs w:val="24"/>
              </w:rPr>
            </w:pPr>
            <w:r w:rsidRPr="0012760D">
              <w:rPr>
                <w:sz w:val="24"/>
                <w:szCs w:val="24"/>
              </w:rPr>
              <w:t>Additions</w:t>
            </w:r>
          </w:p>
        </w:tc>
        <w:tc>
          <w:tcPr>
            <w:tcW w:w="1137" w:type="pct"/>
            <w:shd w:val="clear" w:color="auto" w:fill="auto"/>
          </w:tcPr>
          <w:p w:rsidR="002502C0" w:rsidRPr="0012760D" w:rsidRDefault="002502C0" w:rsidP="00907E0B">
            <w:pPr>
              <w:jc w:val="right"/>
              <w:rPr>
                <w:sz w:val="24"/>
                <w:szCs w:val="24"/>
              </w:rPr>
            </w:pPr>
            <w:r w:rsidRPr="0012760D">
              <w:rPr>
                <w:sz w:val="24"/>
                <w:szCs w:val="24"/>
              </w:rPr>
              <w:t>42,857</w:t>
            </w:r>
          </w:p>
        </w:tc>
        <w:tc>
          <w:tcPr>
            <w:tcW w:w="858" w:type="pct"/>
            <w:shd w:val="clear" w:color="auto" w:fill="auto"/>
          </w:tcPr>
          <w:p w:rsidR="002502C0" w:rsidRPr="0012760D" w:rsidRDefault="002502C0" w:rsidP="00907E0B">
            <w:pPr>
              <w:jc w:val="right"/>
              <w:rPr>
                <w:sz w:val="24"/>
                <w:szCs w:val="24"/>
              </w:rPr>
            </w:pPr>
            <w:r w:rsidRPr="0012760D">
              <w:rPr>
                <w:sz w:val="24"/>
                <w:szCs w:val="24"/>
              </w:rPr>
              <w:t>275,990</w:t>
            </w:r>
          </w:p>
        </w:tc>
        <w:tc>
          <w:tcPr>
            <w:tcW w:w="803" w:type="pct"/>
            <w:shd w:val="clear" w:color="auto" w:fill="auto"/>
          </w:tcPr>
          <w:p w:rsidR="002502C0" w:rsidRPr="0012760D" w:rsidRDefault="002502C0" w:rsidP="00907E0B">
            <w:pPr>
              <w:jc w:val="right"/>
              <w:rPr>
                <w:sz w:val="24"/>
                <w:szCs w:val="24"/>
              </w:rPr>
            </w:pPr>
            <w:r w:rsidRPr="0012760D">
              <w:rPr>
                <w:sz w:val="24"/>
                <w:szCs w:val="24"/>
              </w:rPr>
              <w:t>57,602</w:t>
            </w:r>
          </w:p>
        </w:tc>
        <w:tc>
          <w:tcPr>
            <w:tcW w:w="789" w:type="pct"/>
            <w:shd w:val="clear" w:color="auto" w:fill="auto"/>
          </w:tcPr>
          <w:p w:rsidR="002502C0" w:rsidRPr="0012760D" w:rsidRDefault="002502C0" w:rsidP="00907E0B">
            <w:pPr>
              <w:jc w:val="right"/>
              <w:rPr>
                <w:sz w:val="24"/>
                <w:szCs w:val="24"/>
              </w:rPr>
            </w:pPr>
            <w:r w:rsidRPr="0012760D">
              <w:rPr>
                <w:sz w:val="24"/>
                <w:szCs w:val="24"/>
              </w:rPr>
              <w:t>376,449</w:t>
            </w:r>
          </w:p>
        </w:tc>
      </w:tr>
      <w:tr w:rsidR="002502C0" w:rsidRPr="0012760D" w:rsidTr="00DC226B">
        <w:tblPrEx>
          <w:tblCellMar>
            <w:top w:w="0" w:type="dxa"/>
            <w:bottom w:w="0" w:type="dxa"/>
          </w:tblCellMar>
        </w:tblPrEx>
        <w:tc>
          <w:tcPr>
            <w:tcW w:w="1413" w:type="pct"/>
            <w:shd w:val="clear" w:color="auto" w:fill="auto"/>
          </w:tcPr>
          <w:p w:rsidR="002502C0" w:rsidRPr="0012760D" w:rsidRDefault="002502C0" w:rsidP="00907E0B">
            <w:pPr>
              <w:rPr>
                <w:sz w:val="24"/>
                <w:szCs w:val="24"/>
              </w:rPr>
            </w:pPr>
            <w:r w:rsidRPr="0012760D">
              <w:rPr>
                <w:sz w:val="24"/>
                <w:szCs w:val="24"/>
              </w:rPr>
              <w:t>Depreciation</w:t>
            </w:r>
          </w:p>
        </w:tc>
        <w:tc>
          <w:tcPr>
            <w:tcW w:w="1137" w:type="pct"/>
            <w:shd w:val="clear" w:color="auto" w:fill="auto"/>
          </w:tcPr>
          <w:p w:rsidR="002502C0" w:rsidRPr="0012760D" w:rsidRDefault="002502C0" w:rsidP="00907E0B">
            <w:pPr>
              <w:jc w:val="right"/>
              <w:rPr>
                <w:sz w:val="24"/>
                <w:szCs w:val="24"/>
              </w:rPr>
            </w:pPr>
            <w:r w:rsidRPr="0012760D">
              <w:rPr>
                <w:sz w:val="24"/>
                <w:szCs w:val="24"/>
              </w:rPr>
              <w:t>(35,717)</w:t>
            </w:r>
          </w:p>
        </w:tc>
        <w:tc>
          <w:tcPr>
            <w:tcW w:w="858" w:type="pct"/>
            <w:shd w:val="clear" w:color="auto" w:fill="auto"/>
          </w:tcPr>
          <w:p w:rsidR="002502C0" w:rsidRPr="0012760D" w:rsidRDefault="002502C0" w:rsidP="00907E0B">
            <w:pPr>
              <w:jc w:val="right"/>
              <w:rPr>
                <w:sz w:val="24"/>
                <w:szCs w:val="24"/>
              </w:rPr>
            </w:pPr>
            <w:r w:rsidRPr="0012760D">
              <w:rPr>
                <w:sz w:val="24"/>
                <w:szCs w:val="24"/>
              </w:rPr>
              <w:t>(125,232)</w:t>
            </w:r>
          </w:p>
        </w:tc>
        <w:tc>
          <w:tcPr>
            <w:tcW w:w="803" w:type="pct"/>
            <w:shd w:val="clear" w:color="auto" w:fill="auto"/>
          </w:tcPr>
          <w:p w:rsidR="002502C0" w:rsidRPr="0012760D" w:rsidRDefault="002502C0" w:rsidP="00907E0B">
            <w:pPr>
              <w:jc w:val="right"/>
              <w:rPr>
                <w:sz w:val="24"/>
                <w:szCs w:val="24"/>
              </w:rPr>
            </w:pPr>
            <w:r w:rsidRPr="0012760D">
              <w:rPr>
                <w:sz w:val="24"/>
                <w:szCs w:val="24"/>
              </w:rPr>
              <w:t>(41,063)</w:t>
            </w:r>
          </w:p>
        </w:tc>
        <w:tc>
          <w:tcPr>
            <w:tcW w:w="789" w:type="pct"/>
            <w:shd w:val="clear" w:color="auto" w:fill="auto"/>
          </w:tcPr>
          <w:p w:rsidR="002502C0" w:rsidRPr="0012760D" w:rsidRDefault="002502C0" w:rsidP="00907E0B">
            <w:pPr>
              <w:jc w:val="right"/>
              <w:rPr>
                <w:sz w:val="24"/>
                <w:szCs w:val="24"/>
              </w:rPr>
            </w:pPr>
            <w:r w:rsidRPr="0012760D">
              <w:rPr>
                <w:sz w:val="24"/>
                <w:szCs w:val="24"/>
              </w:rPr>
              <w:t>(202,012)</w:t>
            </w:r>
          </w:p>
        </w:tc>
      </w:tr>
      <w:tr w:rsidR="002502C0" w:rsidRPr="0012760D" w:rsidTr="00DC226B">
        <w:tblPrEx>
          <w:tblCellMar>
            <w:top w:w="0" w:type="dxa"/>
            <w:bottom w:w="0" w:type="dxa"/>
          </w:tblCellMar>
        </w:tblPrEx>
        <w:tc>
          <w:tcPr>
            <w:tcW w:w="1413" w:type="pct"/>
            <w:shd w:val="clear" w:color="auto" w:fill="auto"/>
          </w:tcPr>
          <w:p w:rsidR="002502C0" w:rsidRPr="0012760D" w:rsidRDefault="002502C0" w:rsidP="00907E0B">
            <w:pPr>
              <w:rPr>
                <w:sz w:val="24"/>
                <w:szCs w:val="24"/>
              </w:rPr>
            </w:pPr>
            <w:r w:rsidRPr="0012760D">
              <w:rPr>
                <w:sz w:val="24"/>
                <w:szCs w:val="24"/>
              </w:rPr>
              <w:t>Disposals</w:t>
            </w:r>
          </w:p>
        </w:tc>
        <w:tc>
          <w:tcPr>
            <w:tcW w:w="1137" w:type="pct"/>
            <w:shd w:val="clear" w:color="auto" w:fill="auto"/>
          </w:tcPr>
          <w:p w:rsidR="002502C0" w:rsidRPr="0012760D" w:rsidRDefault="002502C0" w:rsidP="00907E0B">
            <w:pPr>
              <w:jc w:val="right"/>
              <w:rPr>
                <w:sz w:val="24"/>
                <w:szCs w:val="24"/>
              </w:rPr>
            </w:pPr>
            <w:r w:rsidRPr="0012760D">
              <w:rPr>
                <w:sz w:val="24"/>
                <w:szCs w:val="24"/>
              </w:rPr>
              <w:t>-</w:t>
            </w:r>
          </w:p>
        </w:tc>
        <w:tc>
          <w:tcPr>
            <w:tcW w:w="858" w:type="pct"/>
            <w:shd w:val="clear" w:color="auto" w:fill="auto"/>
          </w:tcPr>
          <w:p w:rsidR="002502C0" w:rsidRPr="0012760D" w:rsidRDefault="002502C0" w:rsidP="00907E0B">
            <w:pPr>
              <w:jc w:val="right"/>
              <w:rPr>
                <w:sz w:val="24"/>
                <w:szCs w:val="24"/>
              </w:rPr>
            </w:pPr>
            <w:r w:rsidRPr="0012760D">
              <w:rPr>
                <w:sz w:val="24"/>
                <w:szCs w:val="24"/>
              </w:rPr>
              <w:t>(801)</w:t>
            </w:r>
          </w:p>
        </w:tc>
        <w:tc>
          <w:tcPr>
            <w:tcW w:w="803" w:type="pct"/>
            <w:shd w:val="clear" w:color="auto" w:fill="auto"/>
          </w:tcPr>
          <w:p w:rsidR="002502C0" w:rsidRPr="0012760D" w:rsidRDefault="002502C0" w:rsidP="00907E0B">
            <w:pPr>
              <w:jc w:val="right"/>
              <w:rPr>
                <w:sz w:val="24"/>
                <w:szCs w:val="24"/>
              </w:rPr>
            </w:pPr>
            <w:r w:rsidRPr="0012760D">
              <w:rPr>
                <w:sz w:val="24"/>
                <w:szCs w:val="24"/>
              </w:rPr>
              <w:t>(26,970)</w:t>
            </w:r>
          </w:p>
        </w:tc>
        <w:tc>
          <w:tcPr>
            <w:tcW w:w="789" w:type="pct"/>
            <w:shd w:val="clear" w:color="auto" w:fill="auto"/>
          </w:tcPr>
          <w:p w:rsidR="002502C0" w:rsidRPr="0012760D" w:rsidRDefault="002502C0" w:rsidP="00907E0B">
            <w:pPr>
              <w:jc w:val="right"/>
              <w:rPr>
                <w:sz w:val="24"/>
                <w:szCs w:val="24"/>
              </w:rPr>
            </w:pPr>
            <w:r w:rsidRPr="0012760D">
              <w:rPr>
                <w:sz w:val="24"/>
                <w:szCs w:val="24"/>
              </w:rPr>
              <w:t>(27,771)</w:t>
            </w:r>
          </w:p>
        </w:tc>
      </w:tr>
      <w:tr w:rsidR="002502C0" w:rsidRPr="0012760D" w:rsidTr="00DC226B">
        <w:tblPrEx>
          <w:tblCellMar>
            <w:top w:w="0" w:type="dxa"/>
            <w:bottom w:w="0" w:type="dxa"/>
          </w:tblCellMar>
        </w:tblPrEx>
        <w:tc>
          <w:tcPr>
            <w:tcW w:w="1413" w:type="pct"/>
            <w:shd w:val="clear" w:color="auto" w:fill="auto"/>
          </w:tcPr>
          <w:p w:rsidR="002502C0" w:rsidRPr="0012760D" w:rsidRDefault="002502C0" w:rsidP="00907E0B">
            <w:pPr>
              <w:rPr>
                <w:sz w:val="24"/>
                <w:szCs w:val="24"/>
              </w:rPr>
            </w:pPr>
            <w:r w:rsidRPr="0012760D">
              <w:rPr>
                <w:bCs/>
                <w:sz w:val="24"/>
                <w:szCs w:val="24"/>
              </w:rPr>
              <w:t>Closing Balance</w:t>
            </w:r>
          </w:p>
        </w:tc>
        <w:tc>
          <w:tcPr>
            <w:tcW w:w="1137" w:type="pct"/>
            <w:shd w:val="clear" w:color="auto" w:fill="auto"/>
          </w:tcPr>
          <w:p w:rsidR="002502C0" w:rsidRPr="0012760D" w:rsidRDefault="002502C0" w:rsidP="00907E0B">
            <w:pPr>
              <w:jc w:val="right"/>
              <w:rPr>
                <w:sz w:val="24"/>
                <w:szCs w:val="24"/>
              </w:rPr>
            </w:pPr>
            <w:r w:rsidRPr="0012760D">
              <w:rPr>
                <w:bCs/>
                <w:sz w:val="24"/>
                <w:szCs w:val="24"/>
              </w:rPr>
              <w:t>92,640</w:t>
            </w:r>
          </w:p>
        </w:tc>
        <w:tc>
          <w:tcPr>
            <w:tcW w:w="858" w:type="pct"/>
            <w:shd w:val="clear" w:color="auto" w:fill="auto"/>
          </w:tcPr>
          <w:p w:rsidR="002502C0" w:rsidRPr="0012760D" w:rsidRDefault="002502C0" w:rsidP="00907E0B">
            <w:pPr>
              <w:jc w:val="right"/>
              <w:rPr>
                <w:sz w:val="24"/>
                <w:szCs w:val="24"/>
              </w:rPr>
            </w:pPr>
            <w:r w:rsidRPr="0012760D">
              <w:rPr>
                <w:bCs/>
                <w:sz w:val="24"/>
                <w:szCs w:val="24"/>
              </w:rPr>
              <w:t>359,060</w:t>
            </w:r>
          </w:p>
        </w:tc>
        <w:tc>
          <w:tcPr>
            <w:tcW w:w="803" w:type="pct"/>
            <w:shd w:val="clear" w:color="auto" w:fill="auto"/>
          </w:tcPr>
          <w:p w:rsidR="002502C0" w:rsidRPr="0012760D" w:rsidRDefault="002502C0" w:rsidP="00907E0B">
            <w:pPr>
              <w:jc w:val="right"/>
              <w:rPr>
                <w:sz w:val="24"/>
                <w:szCs w:val="24"/>
              </w:rPr>
            </w:pPr>
            <w:r w:rsidRPr="0012760D">
              <w:rPr>
                <w:bCs/>
                <w:sz w:val="24"/>
                <w:szCs w:val="24"/>
              </w:rPr>
              <w:t>179,582</w:t>
            </w:r>
          </w:p>
        </w:tc>
        <w:tc>
          <w:tcPr>
            <w:tcW w:w="789" w:type="pct"/>
            <w:shd w:val="clear" w:color="auto" w:fill="auto"/>
          </w:tcPr>
          <w:p w:rsidR="002502C0" w:rsidRPr="0012760D" w:rsidRDefault="002502C0" w:rsidP="00907E0B">
            <w:pPr>
              <w:jc w:val="right"/>
              <w:rPr>
                <w:sz w:val="24"/>
                <w:szCs w:val="24"/>
              </w:rPr>
            </w:pPr>
            <w:r w:rsidRPr="0012760D">
              <w:rPr>
                <w:bCs/>
                <w:sz w:val="24"/>
                <w:szCs w:val="24"/>
              </w:rPr>
              <w:t>631,282</w:t>
            </w:r>
          </w:p>
        </w:tc>
      </w:tr>
      <w:tr w:rsidR="002502C0" w:rsidRPr="0012760D" w:rsidTr="00907E0B">
        <w:tblPrEx>
          <w:tblCellMar>
            <w:top w:w="0" w:type="dxa"/>
            <w:bottom w:w="0" w:type="dxa"/>
          </w:tblCellMar>
        </w:tblPrEx>
        <w:tc>
          <w:tcPr>
            <w:tcW w:w="5000" w:type="pct"/>
            <w:gridSpan w:val="5"/>
            <w:shd w:val="clear" w:color="auto" w:fill="auto"/>
          </w:tcPr>
          <w:p w:rsidR="002502C0" w:rsidRPr="0012760D" w:rsidRDefault="002502C0" w:rsidP="00907E0B">
            <w:pPr>
              <w:rPr>
                <w:sz w:val="24"/>
                <w:szCs w:val="24"/>
              </w:rPr>
            </w:pPr>
            <w:r w:rsidRPr="0012760D">
              <w:rPr>
                <w:bCs/>
                <w:sz w:val="24"/>
                <w:szCs w:val="24"/>
              </w:rPr>
              <w:t>Carrying Amount 2012</w:t>
            </w:r>
          </w:p>
        </w:tc>
      </w:tr>
      <w:tr w:rsidR="002502C0" w:rsidRPr="0012760D" w:rsidTr="00DC226B">
        <w:tblPrEx>
          <w:tblCellMar>
            <w:top w:w="0" w:type="dxa"/>
            <w:bottom w:w="0" w:type="dxa"/>
          </w:tblCellMar>
        </w:tblPrEx>
        <w:tc>
          <w:tcPr>
            <w:tcW w:w="1413" w:type="pct"/>
            <w:shd w:val="clear" w:color="auto" w:fill="auto"/>
          </w:tcPr>
          <w:p w:rsidR="002502C0" w:rsidRPr="0012760D" w:rsidRDefault="002502C0" w:rsidP="00907E0B">
            <w:pPr>
              <w:rPr>
                <w:sz w:val="24"/>
                <w:szCs w:val="24"/>
              </w:rPr>
            </w:pPr>
            <w:r w:rsidRPr="0012760D">
              <w:rPr>
                <w:bCs/>
                <w:sz w:val="24"/>
                <w:szCs w:val="24"/>
              </w:rPr>
              <w:t>Opening Balance</w:t>
            </w:r>
          </w:p>
        </w:tc>
        <w:tc>
          <w:tcPr>
            <w:tcW w:w="1137" w:type="pct"/>
            <w:shd w:val="clear" w:color="auto" w:fill="auto"/>
          </w:tcPr>
          <w:p w:rsidR="002502C0" w:rsidRPr="0012760D" w:rsidRDefault="002502C0" w:rsidP="00907E0B">
            <w:pPr>
              <w:jc w:val="right"/>
              <w:rPr>
                <w:sz w:val="24"/>
                <w:szCs w:val="24"/>
              </w:rPr>
            </w:pPr>
            <w:r w:rsidRPr="0012760D">
              <w:rPr>
                <w:bCs/>
                <w:sz w:val="24"/>
                <w:szCs w:val="24"/>
              </w:rPr>
              <w:t>134,805</w:t>
            </w:r>
          </w:p>
        </w:tc>
        <w:tc>
          <w:tcPr>
            <w:tcW w:w="858" w:type="pct"/>
            <w:shd w:val="clear" w:color="auto" w:fill="auto"/>
          </w:tcPr>
          <w:p w:rsidR="002502C0" w:rsidRPr="0012760D" w:rsidRDefault="002502C0" w:rsidP="00907E0B">
            <w:pPr>
              <w:jc w:val="right"/>
              <w:rPr>
                <w:sz w:val="24"/>
                <w:szCs w:val="24"/>
              </w:rPr>
            </w:pPr>
            <w:r w:rsidRPr="0012760D">
              <w:rPr>
                <w:bCs/>
                <w:sz w:val="24"/>
                <w:szCs w:val="24"/>
              </w:rPr>
              <w:t>202,278</w:t>
            </w:r>
          </w:p>
        </w:tc>
        <w:tc>
          <w:tcPr>
            <w:tcW w:w="803" w:type="pct"/>
            <w:shd w:val="clear" w:color="auto" w:fill="auto"/>
          </w:tcPr>
          <w:p w:rsidR="002502C0" w:rsidRPr="0012760D" w:rsidRDefault="002502C0" w:rsidP="00907E0B">
            <w:pPr>
              <w:jc w:val="right"/>
              <w:rPr>
                <w:sz w:val="24"/>
                <w:szCs w:val="24"/>
              </w:rPr>
            </w:pPr>
            <w:r w:rsidRPr="0012760D">
              <w:rPr>
                <w:bCs/>
                <w:sz w:val="24"/>
                <w:szCs w:val="24"/>
              </w:rPr>
              <w:t>282,667</w:t>
            </w:r>
          </w:p>
        </w:tc>
        <w:tc>
          <w:tcPr>
            <w:tcW w:w="789" w:type="pct"/>
            <w:shd w:val="clear" w:color="auto" w:fill="auto"/>
          </w:tcPr>
          <w:p w:rsidR="002502C0" w:rsidRPr="0012760D" w:rsidRDefault="002502C0" w:rsidP="00907E0B">
            <w:pPr>
              <w:jc w:val="right"/>
              <w:rPr>
                <w:sz w:val="24"/>
                <w:szCs w:val="24"/>
              </w:rPr>
            </w:pPr>
            <w:r w:rsidRPr="0012760D">
              <w:rPr>
                <w:bCs/>
                <w:sz w:val="24"/>
                <w:szCs w:val="24"/>
              </w:rPr>
              <w:t>619,750</w:t>
            </w:r>
          </w:p>
        </w:tc>
      </w:tr>
      <w:tr w:rsidR="002502C0" w:rsidRPr="0012760D" w:rsidTr="00DC226B">
        <w:tblPrEx>
          <w:tblCellMar>
            <w:top w:w="0" w:type="dxa"/>
            <w:bottom w:w="0" w:type="dxa"/>
          </w:tblCellMar>
        </w:tblPrEx>
        <w:tc>
          <w:tcPr>
            <w:tcW w:w="1413" w:type="pct"/>
            <w:shd w:val="clear" w:color="auto" w:fill="auto"/>
          </w:tcPr>
          <w:p w:rsidR="002502C0" w:rsidRPr="0012760D" w:rsidRDefault="002502C0" w:rsidP="00907E0B">
            <w:pPr>
              <w:rPr>
                <w:sz w:val="24"/>
                <w:szCs w:val="24"/>
              </w:rPr>
            </w:pPr>
            <w:r w:rsidRPr="0012760D">
              <w:rPr>
                <w:sz w:val="24"/>
                <w:szCs w:val="24"/>
              </w:rPr>
              <w:t>Additions</w:t>
            </w:r>
          </w:p>
        </w:tc>
        <w:tc>
          <w:tcPr>
            <w:tcW w:w="1137" w:type="pct"/>
            <w:shd w:val="clear" w:color="auto" w:fill="auto"/>
          </w:tcPr>
          <w:p w:rsidR="002502C0" w:rsidRPr="0012760D" w:rsidRDefault="002502C0" w:rsidP="00907E0B">
            <w:pPr>
              <w:jc w:val="right"/>
              <w:rPr>
                <w:sz w:val="24"/>
                <w:szCs w:val="24"/>
              </w:rPr>
            </w:pPr>
            <w:r w:rsidRPr="0012760D">
              <w:rPr>
                <w:sz w:val="24"/>
                <w:szCs w:val="24"/>
              </w:rPr>
              <w:t>2,400</w:t>
            </w:r>
          </w:p>
        </w:tc>
        <w:tc>
          <w:tcPr>
            <w:tcW w:w="858" w:type="pct"/>
            <w:shd w:val="clear" w:color="auto" w:fill="auto"/>
          </w:tcPr>
          <w:p w:rsidR="002502C0" w:rsidRPr="0012760D" w:rsidRDefault="002502C0" w:rsidP="00907E0B">
            <w:pPr>
              <w:jc w:val="right"/>
              <w:rPr>
                <w:sz w:val="24"/>
                <w:szCs w:val="24"/>
              </w:rPr>
            </w:pPr>
            <w:r w:rsidRPr="0012760D">
              <w:rPr>
                <w:sz w:val="24"/>
                <w:szCs w:val="24"/>
              </w:rPr>
              <w:t>141,475</w:t>
            </w:r>
          </w:p>
        </w:tc>
        <w:tc>
          <w:tcPr>
            <w:tcW w:w="803" w:type="pct"/>
            <w:shd w:val="clear" w:color="auto" w:fill="auto"/>
          </w:tcPr>
          <w:p w:rsidR="002502C0" w:rsidRPr="0012760D" w:rsidRDefault="002502C0" w:rsidP="00907E0B">
            <w:pPr>
              <w:jc w:val="right"/>
              <w:rPr>
                <w:sz w:val="24"/>
                <w:szCs w:val="24"/>
              </w:rPr>
            </w:pPr>
            <w:r w:rsidRPr="0012760D">
              <w:rPr>
                <w:sz w:val="24"/>
                <w:szCs w:val="24"/>
              </w:rPr>
              <w:t>-</w:t>
            </w:r>
          </w:p>
        </w:tc>
        <w:tc>
          <w:tcPr>
            <w:tcW w:w="789" w:type="pct"/>
            <w:shd w:val="clear" w:color="auto" w:fill="auto"/>
          </w:tcPr>
          <w:p w:rsidR="002502C0" w:rsidRPr="0012760D" w:rsidRDefault="002502C0" w:rsidP="00907E0B">
            <w:pPr>
              <w:jc w:val="right"/>
              <w:rPr>
                <w:sz w:val="24"/>
                <w:szCs w:val="24"/>
              </w:rPr>
            </w:pPr>
            <w:r w:rsidRPr="0012760D">
              <w:rPr>
                <w:sz w:val="24"/>
                <w:szCs w:val="24"/>
              </w:rPr>
              <w:t>143,875</w:t>
            </w:r>
          </w:p>
        </w:tc>
      </w:tr>
      <w:tr w:rsidR="002502C0" w:rsidRPr="0012760D" w:rsidTr="00DC226B">
        <w:tblPrEx>
          <w:tblCellMar>
            <w:top w:w="0" w:type="dxa"/>
            <w:bottom w:w="0" w:type="dxa"/>
          </w:tblCellMar>
        </w:tblPrEx>
        <w:tc>
          <w:tcPr>
            <w:tcW w:w="1413" w:type="pct"/>
            <w:shd w:val="clear" w:color="auto" w:fill="auto"/>
          </w:tcPr>
          <w:p w:rsidR="002502C0" w:rsidRPr="0012760D" w:rsidRDefault="002502C0" w:rsidP="00907E0B">
            <w:pPr>
              <w:rPr>
                <w:sz w:val="24"/>
                <w:szCs w:val="24"/>
              </w:rPr>
            </w:pPr>
            <w:r w:rsidRPr="0012760D">
              <w:rPr>
                <w:sz w:val="24"/>
                <w:szCs w:val="24"/>
              </w:rPr>
              <w:t>Depreciation</w:t>
            </w:r>
          </w:p>
        </w:tc>
        <w:tc>
          <w:tcPr>
            <w:tcW w:w="1137" w:type="pct"/>
            <w:shd w:val="clear" w:color="auto" w:fill="auto"/>
          </w:tcPr>
          <w:p w:rsidR="002502C0" w:rsidRPr="0012760D" w:rsidRDefault="002502C0" w:rsidP="00907E0B">
            <w:pPr>
              <w:jc w:val="right"/>
              <w:rPr>
                <w:sz w:val="24"/>
                <w:szCs w:val="24"/>
              </w:rPr>
            </w:pPr>
            <w:r w:rsidRPr="0012760D">
              <w:rPr>
                <w:sz w:val="24"/>
                <w:szCs w:val="24"/>
              </w:rPr>
              <w:t>(51,705)</w:t>
            </w:r>
          </w:p>
        </w:tc>
        <w:tc>
          <w:tcPr>
            <w:tcW w:w="858" w:type="pct"/>
            <w:shd w:val="clear" w:color="auto" w:fill="auto"/>
          </w:tcPr>
          <w:p w:rsidR="002502C0" w:rsidRPr="0012760D" w:rsidRDefault="002502C0" w:rsidP="00907E0B">
            <w:pPr>
              <w:jc w:val="right"/>
              <w:rPr>
                <w:sz w:val="24"/>
                <w:szCs w:val="24"/>
              </w:rPr>
            </w:pPr>
            <w:r w:rsidRPr="0012760D">
              <w:rPr>
                <w:sz w:val="24"/>
                <w:szCs w:val="24"/>
              </w:rPr>
              <w:t>(134,650)</w:t>
            </w:r>
          </w:p>
        </w:tc>
        <w:tc>
          <w:tcPr>
            <w:tcW w:w="803" w:type="pct"/>
            <w:shd w:val="clear" w:color="auto" w:fill="auto"/>
          </w:tcPr>
          <w:p w:rsidR="002502C0" w:rsidRPr="0012760D" w:rsidRDefault="002502C0" w:rsidP="00907E0B">
            <w:pPr>
              <w:jc w:val="right"/>
              <w:rPr>
                <w:sz w:val="24"/>
                <w:szCs w:val="24"/>
              </w:rPr>
            </w:pPr>
            <w:r w:rsidRPr="0012760D">
              <w:rPr>
                <w:sz w:val="24"/>
                <w:szCs w:val="24"/>
              </w:rPr>
              <w:t>(92,654)</w:t>
            </w:r>
          </w:p>
        </w:tc>
        <w:tc>
          <w:tcPr>
            <w:tcW w:w="789" w:type="pct"/>
            <w:shd w:val="clear" w:color="auto" w:fill="auto"/>
          </w:tcPr>
          <w:p w:rsidR="002502C0" w:rsidRPr="0012760D" w:rsidRDefault="002502C0" w:rsidP="00907E0B">
            <w:pPr>
              <w:jc w:val="right"/>
              <w:rPr>
                <w:sz w:val="24"/>
                <w:szCs w:val="24"/>
              </w:rPr>
            </w:pPr>
            <w:r w:rsidRPr="0012760D">
              <w:rPr>
                <w:sz w:val="24"/>
                <w:szCs w:val="24"/>
              </w:rPr>
              <w:t>(279,009)</w:t>
            </w:r>
          </w:p>
        </w:tc>
      </w:tr>
      <w:tr w:rsidR="002502C0" w:rsidRPr="0012760D" w:rsidTr="00DC226B">
        <w:tblPrEx>
          <w:tblCellMar>
            <w:top w:w="0" w:type="dxa"/>
            <w:bottom w:w="0" w:type="dxa"/>
          </w:tblCellMar>
        </w:tblPrEx>
        <w:tc>
          <w:tcPr>
            <w:tcW w:w="1413" w:type="pct"/>
            <w:shd w:val="clear" w:color="auto" w:fill="auto"/>
          </w:tcPr>
          <w:p w:rsidR="002502C0" w:rsidRPr="0012760D" w:rsidRDefault="002502C0" w:rsidP="00907E0B">
            <w:pPr>
              <w:rPr>
                <w:sz w:val="24"/>
                <w:szCs w:val="24"/>
              </w:rPr>
            </w:pPr>
            <w:r w:rsidRPr="0012760D">
              <w:rPr>
                <w:sz w:val="24"/>
                <w:szCs w:val="24"/>
              </w:rPr>
              <w:t>Disposals</w:t>
            </w:r>
          </w:p>
        </w:tc>
        <w:tc>
          <w:tcPr>
            <w:tcW w:w="1137" w:type="pct"/>
            <w:shd w:val="clear" w:color="auto" w:fill="auto"/>
          </w:tcPr>
          <w:p w:rsidR="002502C0" w:rsidRPr="0012760D" w:rsidRDefault="002502C0" w:rsidP="00907E0B">
            <w:pPr>
              <w:jc w:val="right"/>
              <w:rPr>
                <w:sz w:val="24"/>
                <w:szCs w:val="24"/>
              </w:rPr>
            </w:pPr>
            <w:r w:rsidRPr="0012760D">
              <w:rPr>
                <w:sz w:val="24"/>
                <w:szCs w:val="24"/>
              </w:rPr>
              <w:t>-</w:t>
            </w:r>
          </w:p>
        </w:tc>
        <w:tc>
          <w:tcPr>
            <w:tcW w:w="858" w:type="pct"/>
            <w:shd w:val="clear" w:color="auto" w:fill="auto"/>
          </w:tcPr>
          <w:p w:rsidR="002502C0" w:rsidRPr="0012760D" w:rsidRDefault="002502C0" w:rsidP="00907E0B">
            <w:pPr>
              <w:jc w:val="right"/>
              <w:rPr>
                <w:sz w:val="24"/>
                <w:szCs w:val="24"/>
              </w:rPr>
            </w:pPr>
            <w:r w:rsidRPr="0012760D">
              <w:rPr>
                <w:sz w:val="24"/>
                <w:szCs w:val="24"/>
              </w:rPr>
              <w:t>-</w:t>
            </w:r>
          </w:p>
        </w:tc>
        <w:tc>
          <w:tcPr>
            <w:tcW w:w="803" w:type="pct"/>
            <w:shd w:val="clear" w:color="auto" w:fill="auto"/>
          </w:tcPr>
          <w:p w:rsidR="002502C0" w:rsidRPr="0012760D" w:rsidRDefault="002502C0" w:rsidP="00907E0B">
            <w:pPr>
              <w:jc w:val="right"/>
              <w:rPr>
                <w:sz w:val="24"/>
                <w:szCs w:val="24"/>
              </w:rPr>
            </w:pPr>
            <w:r w:rsidRPr="0012760D">
              <w:rPr>
                <w:sz w:val="24"/>
                <w:szCs w:val="24"/>
              </w:rPr>
              <w:t>-</w:t>
            </w:r>
          </w:p>
        </w:tc>
        <w:tc>
          <w:tcPr>
            <w:tcW w:w="789" w:type="pct"/>
            <w:shd w:val="clear" w:color="auto" w:fill="auto"/>
          </w:tcPr>
          <w:p w:rsidR="002502C0" w:rsidRPr="0012760D" w:rsidRDefault="002502C0" w:rsidP="00907E0B">
            <w:pPr>
              <w:jc w:val="right"/>
              <w:rPr>
                <w:sz w:val="24"/>
                <w:szCs w:val="24"/>
              </w:rPr>
            </w:pPr>
            <w:r w:rsidRPr="0012760D">
              <w:rPr>
                <w:sz w:val="24"/>
                <w:szCs w:val="24"/>
              </w:rPr>
              <w:t>-</w:t>
            </w:r>
          </w:p>
        </w:tc>
      </w:tr>
      <w:tr w:rsidR="002502C0" w:rsidRPr="0012760D" w:rsidTr="00DC226B">
        <w:tblPrEx>
          <w:tblCellMar>
            <w:top w:w="0" w:type="dxa"/>
            <w:bottom w:w="0" w:type="dxa"/>
          </w:tblCellMar>
        </w:tblPrEx>
        <w:tc>
          <w:tcPr>
            <w:tcW w:w="1413" w:type="pct"/>
            <w:shd w:val="clear" w:color="auto" w:fill="auto"/>
          </w:tcPr>
          <w:p w:rsidR="002502C0" w:rsidRPr="0012760D" w:rsidRDefault="002502C0" w:rsidP="00907E0B">
            <w:pPr>
              <w:rPr>
                <w:sz w:val="24"/>
                <w:szCs w:val="24"/>
              </w:rPr>
            </w:pPr>
            <w:r w:rsidRPr="0012760D">
              <w:rPr>
                <w:bCs/>
                <w:sz w:val="24"/>
                <w:szCs w:val="24"/>
              </w:rPr>
              <w:t>Closing Balance</w:t>
            </w:r>
          </w:p>
        </w:tc>
        <w:tc>
          <w:tcPr>
            <w:tcW w:w="1137" w:type="pct"/>
            <w:shd w:val="clear" w:color="auto" w:fill="auto"/>
          </w:tcPr>
          <w:p w:rsidR="002502C0" w:rsidRPr="0012760D" w:rsidRDefault="002502C0" w:rsidP="00907E0B">
            <w:pPr>
              <w:jc w:val="right"/>
              <w:rPr>
                <w:sz w:val="24"/>
                <w:szCs w:val="24"/>
              </w:rPr>
            </w:pPr>
            <w:r w:rsidRPr="0012760D">
              <w:rPr>
                <w:bCs/>
                <w:sz w:val="24"/>
                <w:szCs w:val="24"/>
              </w:rPr>
              <w:t>85,500</w:t>
            </w:r>
          </w:p>
        </w:tc>
        <w:tc>
          <w:tcPr>
            <w:tcW w:w="858" w:type="pct"/>
            <w:shd w:val="clear" w:color="auto" w:fill="auto"/>
          </w:tcPr>
          <w:p w:rsidR="002502C0" w:rsidRPr="0012760D" w:rsidRDefault="002502C0" w:rsidP="00907E0B">
            <w:pPr>
              <w:jc w:val="right"/>
              <w:rPr>
                <w:sz w:val="24"/>
                <w:szCs w:val="24"/>
              </w:rPr>
            </w:pPr>
            <w:r w:rsidRPr="0012760D">
              <w:rPr>
                <w:bCs/>
                <w:sz w:val="24"/>
                <w:szCs w:val="24"/>
              </w:rPr>
              <w:t>209,103</w:t>
            </w:r>
          </w:p>
        </w:tc>
        <w:tc>
          <w:tcPr>
            <w:tcW w:w="803" w:type="pct"/>
            <w:shd w:val="clear" w:color="auto" w:fill="auto"/>
          </w:tcPr>
          <w:p w:rsidR="002502C0" w:rsidRPr="0012760D" w:rsidRDefault="002502C0" w:rsidP="00907E0B">
            <w:pPr>
              <w:jc w:val="right"/>
              <w:rPr>
                <w:sz w:val="24"/>
                <w:szCs w:val="24"/>
              </w:rPr>
            </w:pPr>
            <w:r w:rsidRPr="0012760D">
              <w:rPr>
                <w:bCs/>
                <w:sz w:val="24"/>
                <w:szCs w:val="24"/>
              </w:rPr>
              <w:t>190,013</w:t>
            </w:r>
          </w:p>
        </w:tc>
        <w:tc>
          <w:tcPr>
            <w:tcW w:w="789" w:type="pct"/>
            <w:shd w:val="clear" w:color="auto" w:fill="auto"/>
          </w:tcPr>
          <w:p w:rsidR="002502C0" w:rsidRPr="0012760D" w:rsidRDefault="002502C0" w:rsidP="00907E0B">
            <w:pPr>
              <w:jc w:val="right"/>
              <w:rPr>
                <w:sz w:val="24"/>
                <w:szCs w:val="24"/>
              </w:rPr>
            </w:pPr>
            <w:r w:rsidRPr="0012760D">
              <w:rPr>
                <w:bCs/>
                <w:sz w:val="24"/>
                <w:szCs w:val="24"/>
              </w:rPr>
              <w:t>484,616</w:t>
            </w:r>
          </w:p>
        </w:tc>
      </w:tr>
    </w:tbl>
    <w:p w:rsidR="00DC226B" w:rsidRDefault="00DC226B" w:rsidP="00DC226B">
      <w:pPr>
        <w:rPr>
          <w:bCs/>
          <w:sz w:val="24"/>
          <w:szCs w:val="24"/>
          <w:lang w:val="en-US"/>
        </w:rPr>
      </w:pPr>
      <w:r w:rsidRPr="0012760D">
        <w:rPr>
          <w:bCs/>
          <w:sz w:val="24"/>
          <w:szCs w:val="24"/>
          <w:lang w:val="en-US"/>
        </w:rPr>
        <w:t>&lt;pp&gt; 42</w:t>
      </w:r>
    </w:p>
    <w:p w:rsidR="00AF2D9F" w:rsidRDefault="00AF2D9F" w:rsidP="00DC226B">
      <w:pPr>
        <w:rPr>
          <w:bCs/>
          <w:sz w:val="24"/>
          <w:szCs w:val="24"/>
          <w:lang w:val="en-US"/>
        </w:rPr>
      </w:pPr>
    </w:p>
    <w:p w:rsidR="00AF2D9F" w:rsidRPr="0012760D" w:rsidRDefault="00AF2D9F" w:rsidP="00DC226B">
      <w:pPr>
        <w:rPr>
          <w:sz w:val="24"/>
          <w:szCs w:val="24"/>
        </w:rPr>
      </w:pPr>
    </w:p>
    <w:p w:rsidR="00DC226B" w:rsidRDefault="00DC226B" w:rsidP="00AF2D9F">
      <w:pPr>
        <w:pStyle w:val="Heading2"/>
        <w:rPr>
          <w:lang w:val="en-US"/>
        </w:rPr>
      </w:pPr>
      <w:r w:rsidRPr="0012760D">
        <w:rPr>
          <w:lang w:val="en-US"/>
        </w:rPr>
        <w:t>8. Intangibles</w:t>
      </w:r>
    </w:p>
    <w:p w:rsidR="00AF2D9F" w:rsidRPr="0012760D" w:rsidRDefault="00AF2D9F" w:rsidP="00DC226B">
      <w:pPr>
        <w:rPr>
          <w:sz w:val="24"/>
          <w:szCs w:val="24"/>
        </w:rPr>
      </w:pPr>
    </w:p>
    <w:p w:rsidR="00DC226B" w:rsidRPr="0012760D" w:rsidRDefault="00AF2D9F" w:rsidP="00DC226B">
      <w:pPr>
        <w:rPr>
          <w:sz w:val="24"/>
          <w:szCs w:val="24"/>
          <w:lang w:val="en-US"/>
        </w:rPr>
      </w:pPr>
      <w:r w:rsidRPr="0012760D">
        <w:rPr>
          <w:sz w:val="24"/>
          <w:szCs w:val="24"/>
          <w:lang w:val="en-US"/>
        </w:rPr>
        <w:t xml:space="preserve">Intangibles </w:t>
      </w:r>
      <w:r w:rsidR="00DC226B" w:rsidRPr="0012760D">
        <w:rPr>
          <w:sz w:val="24"/>
          <w:szCs w:val="24"/>
          <w:lang w:val="en-US"/>
        </w:rPr>
        <w:t>are valued at fair value and reviewed each period for impairment.</w:t>
      </w:r>
    </w:p>
    <w:p w:rsidR="00DC226B" w:rsidRPr="0012760D" w:rsidRDefault="00DC226B" w:rsidP="00DC226B">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4906"/>
        <w:gridCol w:w="2294"/>
        <w:gridCol w:w="1909"/>
      </w:tblGrid>
      <w:tr w:rsidR="00DC226B" w:rsidRPr="0012760D" w:rsidTr="00907E0B">
        <w:tblPrEx>
          <w:tblCellMar>
            <w:top w:w="0" w:type="dxa"/>
            <w:bottom w:w="0" w:type="dxa"/>
          </w:tblCellMar>
        </w:tblPrEx>
        <w:trPr>
          <w:trHeight w:val="245"/>
        </w:trPr>
        <w:tc>
          <w:tcPr>
            <w:tcW w:w="2693" w:type="pct"/>
            <w:shd w:val="clear" w:color="auto" w:fill="auto"/>
          </w:tcPr>
          <w:p w:rsidR="00DC226B" w:rsidRPr="0012760D" w:rsidRDefault="00DC226B" w:rsidP="00907E0B">
            <w:pPr>
              <w:rPr>
                <w:sz w:val="24"/>
                <w:szCs w:val="24"/>
              </w:rPr>
            </w:pPr>
            <w:r w:rsidRPr="0012760D">
              <w:rPr>
                <w:bCs/>
                <w:sz w:val="24"/>
                <w:szCs w:val="24"/>
                <w:lang w:val="en-US"/>
              </w:rPr>
              <w:t>Renewable Energy Certificates</w:t>
            </w:r>
          </w:p>
        </w:tc>
        <w:tc>
          <w:tcPr>
            <w:tcW w:w="1259" w:type="pct"/>
            <w:shd w:val="clear" w:color="auto" w:fill="auto"/>
          </w:tcPr>
          <w:p w:rsidR="00DC226B" w:rsidRPr="0012760D" w:rsidRDefault="00DC226B" w:rsidP="00907E0B">
            <w:pPr>
              <w:jc w:val="right"/>
              <w:rPr>
                <w:sz w:val="24"/>
                <w:szCs w:val="24"/>
              </w:rPr>
            </w:pPr>
            <w:r w:rsidRPr="0012760D">
              <w:rPr>
                <w:bCs/>
                <w:sz w:val="24"/>
                <w:szCs w:val="24"/>
                <w:lang w:val="en-US"/>
              </w:rPr>
              <w:t>2013 $</w:t>
            </w:r>
          </w:p>
        </w:tc>
        <w:tc>
          <w:tcPr>
            <w:tcW w:w="1048" w:type="pct"/>
            <w:shd w:val="clear" w:color="auto" w:fill="auto"/>
          </w:tcPr>
          <w:p w:rsidR="00DC226B" w:rsidRPr="0012760D" w:rsidRDefault="00DC226B" w:rsidP="00907E0B">
            <w:pPr>
              <w:jc w:val="right"/>
              <w:rPr>
                <w:sz w:val="24"/>
                <w:szCs w:val="24"/>
              </w:rPr>
            </w:pPr>
            <w:r w:rsidRPr="0012760D">
              <w:rPr>
                <w:bCs/>
                <w:sz w:val="24"/>
                <w:szCs w:val="24"/>
                <w:lang w:val="en-US"/>
              </w:rPr>
              <w:t>2012 $</w:t>
            </w:r>
          </w:p>
        </w:tc>
      </w:tr>
      <w:tr w:rsidR="00DC226B" w:rsidRPr="0012760D" w:rsidTr="00907E0B">
        <w:tblPrEx>
          <w:tblCellMar>
            <w:top w:w="0" w:type="dxa"/>
            <w:bottom w:w="0" w:type="dxa"/>
          </w:tblCellMar>
        </w:tblPrEx>
        <w:trPr>
          <w:trHeight w:val="259"/>
        </w:trPr>
        <w:tc>
          <w:tcPr>
            <w:tcW w:w="2693" w:type="pct"/>
            <w:shd w:val="clear" w:color="auto" w:fill="auto"/>
          </w:tcPr>
          <w:p w:rsidR="00DC226B" w:rsidRPr="0012760D" w:rsidRDefault="00DC226B" w:rsidP="00907E0B">
            <w:pPr>
              <w:rPr>
                <w:sz w:val="24"/>
                <w:szCs w:val="24"/>
              </w:rPr>
            </w:pPr>
            <w:r w:rsidRPr="0012760D">
              <w:rPr>
                <w:bCs/>
                <w:sz w:val="24"/>
                <w:szCs w:val="24"/>
                <w:lang w:val="en-US"/>
              </w:rPr>
              <w:t>Opening Balance as at 1 July</w:t>
            </w:r>
          </w:p>
        </w:tc>
        <w:tc>
          <w:tcPr>
            <w:tcW w:w="1259" w:type="pct"/>
            <w:shd w:val="clear" w:color="auto" w:fill="auto"/>
          </w:tcPr>
          <w:p w:rsidR="00DC226B" w:rsidRPr="0012760D" w:rsidRDefault="00DC226B" w:rsidP="00907E0B">
            <w:pPr>
              <w:jc w:val="right"/>
              <w:rPr>
                <w:sz w:val="24"/>
                <w:szCs w:val="24"/>
              </w:rPr>
            </w:pPr>
            <w:r w:rsidRPr="0012760D">
              <w:rPr>
                <w:sz w:val="24"/>
                <w:szCs w:val="24"/>
                <w:lang w:val="en-US"/>
              </w:rPr>
              <w:t>2,290,803</w:t>
            </w:r>
          </w:p>
        </w:tc>
        <w:tc>
          <w:tcPr>
            <w:tcW w:w="1048" w:type="pct"/>
            <w:shd w:val="clear" w:color="auto" w:fill="auto"/>
          </w:tcPr>
          <w:p w:rsidR="00DC226B" w:rsidRPr="0012760D" w:rsidRDefault="00DC226B" w:rsidP="00907E0B">
            <w:pPr>
              <w:jc w:val="right"/>
              <w:rPr>
                <w:sz w:val="24"/>
                <w:szCs w:val="24"/>
              </w:rPr>
            </w:pPr>
            <w:r w:rsidRPr="0012760D">
              <w:rPr>
                <w:sz w:val="24"/>
                <w:szCs w:val="24"/>
                <w:lang w:val="en-US"/>
              </w:rPr>
              <w:t>2,290,803</w:t>
            </w:r>
          </w:p>
        </w:tc>
      </w:tr>
      <w:tr w:rsidR="00DC226B" w:rsidRPr="0012760D" w:rsidTr="00407410">
        <w:tblPrEx>
          <w:tblCellMar>
            <w:top w:w="0" w:type="dxa"/>
            <w:bottom w:w="0" w:type="dxa"/>
          </w:tblCellMar>
        </w:tblPrEx>
        <w:trPr>
          <w:trHeight w:val="485"/>
        </w:trPr>
        <w:tc>
          <w:tcPr>
            <w:tcW w:w="2693" w:type="pct"/>
            <w:shd w:val="clear" w:color="auto" w:fill="auto"/>
          </w:tcPr>
          <w:p w:rsidR="00DC226B" w:rsidRPr="0012760D" w:rsidRDefault="00DC226B" w:rsidP="00907E0B">
            <w:pPr>
              <w:rPr>
                <w:sz w:val="24"/>
                <w:szCs w:val="24"/>
              </w:rPr>
            </w:pPr>
            <w:r w:rsidRPr="0012760D">
              <w:rPr>
                <w:sz w:val="24"/>
                <w:szCs w:val="24"/>
                <w:lang w:val="en-US"/>
              </w:rPr>
              <w:t>Transferred to non-Financial Assets Held for Sale</w:t>
            </w:r>
          </w:p>
        </w:tc>
        <w:tc>
          <w:tcPr>
            <w:tcW w:w="1259" w:type="pct"/>
            <w:shd w:val="clear" w:color="auto" w:fill="auto"/>
            <w:vAlign w:val="bottom"/>
          </w:tcPr>
          <w:p w:rsidR="00DC226B" w:rsidRPr="0012760D" w:rsidRDefault="00DC226B" w:rsidP="00407410">
            <w:pPr>
              <w:jc w:val="right"/>
              <w:rPr>
                <w:sz w:val="24"/>
                <w:szCs w:val="24"/>
              </w:rPr>
            </w:pPr>
            <w:r w:rsidRPr="0012760D">
              <w:rPr>
                <w:sz w:val="24"/>
                <w:szCs w:val="24"/>
                <w:lang w:val="en-US"/>
              </w:rPr>
              <w:t>(2,290,803)</w:t>
            </w:r>
          </w:p>
        </w:tc>
        <w:tc>
          <w:tcPr>
            <w:tcW w:w="1048" w:type="pct"/>
            <w:shd w:val="clear" w:color="auto" w:fill="auto"/>
            <w:vAlign w:val="bottom"/>
          </w:tcPr>
          <w:p w:rsidR="00DC226B" w:rsidRPr="0012760D" w:rsidRDefault="00DC226B" w:rsidP="00407410">
            <w:pPr>
              <w:jc w:val="right"/>
              <w:rPr>
                <w:sz w:val="24"/>
                <w:szCs w:val="24"/>
              </w:rPr>
            </w:pPr>
            <w:r w:rsidRPr="0012760D">
              <w:rPr>
                <w:sz w:val="24"/>
                <w:szCs w:val="24"/>
                <w:lang w:val="en-US"/>
              </w:rPr>
              <w:t>-</w:t>
            </w:r>
          </w:p>
        </w:tc>
      </w:tr>
      <w:tr w:rsidR="00DC226B" w:rsidRPr="0012760D" w:rsidTr="00907E0B">
        <w:tblPrEx>
          <w:tblCellMar>
            <w:top w:w="0" w:type="dxa"/>
            <w:bottom w:w="0" w:type="dxa"/>
          </w:tblCellMar>
        </w:tblPrEx>
        <w:trPr>
          <w:trHeight w:val="288"/>
        </w:trPr>
        <w:tc>
          <w:tcPr>
            <w:tcW w:w="2693" w:type="pct"/>
            <w:shd w:val="clear" w:color="auto" w:fill="auto"/>
          </w:tcPr>
          <w:p w:rsidR="00DC226B" w:rsidRPr="0012760D" w:rsidRDefault="00DC226B" w:rsidP="00907E0B">
            <w:pPr>
              <w:rPr>
                <w:sz w:val="24"/>
                <w:szCs w:val="24"/>
              </w:rPr>
            </w:pPr>
            <w:r w:rsidRPr="0012760D">
              <w:rPr>
                <w:bCs/>
                <w:sz w:val="24"/>
                <w:szCs w:val="24"/>
                <w:lang w:val="en-US"/>
              </w:rPr>
              <w:t>Closing Balance as at 30 June</w:t>
            </w:r>
          </w:p>
        </w:tc>
        <w:tc>
          <w:tcPr>
            <w:tcW w:w="1259" w:type="pct"/>
            <w:shd w:val="clear" w:color="auto" w:fill="auto"/>
          </w:tcPr>
          <w:p w:rsidR="00DC226B" w:rsidRPr="0012760D" w:rsidRDefault="00DC226B" w:rsidP="00907E0B">
            <w:pPr>
              <w:jc w:val="right"/>
              <w:rPr>
                <w:sz w:val="24"/>
                <w:szCs w:val="24"/>
              </w:rPr>
            </w:pPr>
            <w:r w:rsidRPr="0012760D">
              <w:rPr>
                <w:bCs/>
                <w:sz w:val="24"/>
                <w:szCs w:val="24"/>
                <w:lang w:val="en-US"/>
              </w:rPr>
              <w:t>-</w:t>
            </w:r>
          </w:p>
        </w:tc>
        <w:tc>
          <w:tcPr>
            <w:tcW w:w="1048" w:type="pct"/>
            <w:shd w:val="clear" w:color="auto" w:fill="auto"/>
          </w:tcPr>
          <w:p w:rsidR="00DC226B" w:rsidRPr="0012760D" w:rsidRDefault="00DC226B" w:rsidP="00907E0B">
            <w:pPr>
              <w:jc w:val="right"/>
              <w:rPr>
                <w:sz w:val="24"/>
                <w:szCs w:val="24"/>
              </w:rPr>
            </w:pPr>
            <w:r w:rsidRPr="0012760D">
              <w:rPr>
                <w:bCs/>
                <w:sz w:val="24"/>
                <w:szCs w:val="24"/>
                <w:lang w:val="en-US"/>
              </w:rPr>
              <w:t>2,290,803</w:t>
            </w:r>
          </w:p>
        </w:tc>
      </w:tr>
    </w:tbl>
    <w:p w:rsidR="00DC226B" w:rsidRDefault="00DC226B" w:rsidP="00DC226B">
      <w:pPr>
        <w:rPr>
          <w:bCs/>
          <w:sz w:val="24"/>
          <w:szCs w:val="24"/>
          <w:lang w:val="en-US"/>
        </w:rPr>
      </w:pPr>
    </w:p>
    <w:p w:rsidR="00AF2D9F" w:rsidRPr="0012760D" w:rsidRDefault="00AF2D9F" w:rsidP="00DC226B">
      <w:pPr>
        <w:rPr>
          <w:bCs/>
          <w:sz w:val="24"/>
          <w:szCs w:val="24"/>
          <w:lang w:val="en-US"/>
        </w:rPr>
      </w:pPr>
    </w:p>
    <w:p w:rsidR="00DC226B" w:rsidRDefault="00DC226B" w:rsidP="00AF2D9F">
      <w:pPr>
        <w:pStyle w:val="Heading2"/>
        <w:rPr>
          <w:lang w:val="en-US"/>
        </w:rPr>
      </w:pPr>
      <w:r w:rsidRPr="0012760D">
        <w:rPr>
          <w:lang w:val="en-US"/>
        </w:rPr>
        <w:t>9. Non-Financial Assets Held for Sale</w:t>
      </w:r>
    </w:p>
    <w:p w:rsidR="00AF2D9F" w:rsidRPr="0012760D" w:rsidRDefault="00AF2D9F" w:rsidP="00DC226B">
      <w:pPr>
        <w:rPr>
          <w:sz w:val="24"/>
          <w:szCs w:val="24"/>
        </w:rPr>
      </w:pPr>
    </w:p>
    <w:p w:rsidR="00DC226B" w:rsidRPr="0012760D" w:rsidRDefault="00DC226B" w:rsidP="00DC226B">
      <w:pPr>
        <w:rPr>
          <w:sz w:val="24"/>
          <w:szCs w:val="24"/>
          <w:lang w:val="en-US"/>
        </w:rPr>
      </w:pPr>
      <w:r w:rsidRPr="0012760D">
        <w:rPr>
          <w:sz w:val="24"/>
          <w:szCs w:val="24"/>
          <w:lang w:val="en-US"/>
        </w:rPr>
        <w:t>Non-financial assets classified as held-for-sale are measured at the lower of carrying amount and fair value.</w:t>
      </w:r>
    </w:p>
    <w:p w:rsidR="00DC226B" w:rsidRPr="0012760D" w:rsidRDefault="00DC226B" w:rsidP="00DC226B">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4931"/>
        <w:gridCol w:w="2507"/>
        <w:gridCol w:w="1671"/>
      </w:tblGrid>
      <w:tr w:rsidR="00DC226B" w:rsidRPr="0012760D" w:rsidTr="00907E0B">
        <w:tblPrEx>
          <w:tblCellMar>
            <w:top w:w="0" w:type="dxa"/>
            <w:bottom w:w="0" w:type="dxa"/>
          </w:tblCellMar>
        </w:tblPrEx>
        <w:trPr>
          <w:trHeight w:val="302"/>
        </w:trPr>
        <w:tc>
          <w:tcPr>
            <w:tcW w:w="2707" w:type="pct"/>
            <w:shd w:val="clear" w:color="auto" w:fill="auto"/>
          </w:tcPr>
          <w:p w:rsidR="00DC226B" w:rsidRPr="0012760D" w:rsidRDefault="00DC226B" w:rsidP="00907E0B">
            <w:pPr>
              <w:rPr>
                <w:sz w:val="24"/>
                <w:szCs w:val="24"/>
              </w:rPr>
            </w:pPr>
            <w:r w:rsidRPr="0012760D">
              <w:rPr>
                <w:bCs/>
                <w:sz w:val="24"/>
                <w:szCs w:val="24"/>
                <w:lang w:val="en-US"/>
              </w:rPr>
              <w:t>Renewable Energy Certificates</w:t>
            </w:r>
          </w:p>
        </w:tc>
        <w:tc>
          <w:tcPr>
            <w:tcW w:w="1376" w:type="pct"/>
            <w:shd w:val="clear" w:color="auto" w:fill="auto"/>
          </w:tcPr>
          <w:p w:rsidR="00DC226B" w:rsidRPr="0012760D" w:rsidRDefault="00DC226B" w:rsidP="00907E0B">
            <w:pPr>
              <w:jc w:val="right"/>
              <w:rPr>
                <w:sz w:val="24"/>
                <w:szCs w:val="24"/>
              </w:rPr>
            </w:pPr>
            <w:r w:rsidRPr="0012760D">
              <w:rPr>
                <w:bCs/>
                <w:sz w:val="24"/>
                <w:szCs w:val="24"/>
                <w:lang w:val="en-US"/>
              </w:rPr>
              <w:t>2013 $</w:t>
            </w:r>
          </w:p>
        </w:tc>
        <w:tc>
          <w:tcPr>
            <w:tcW w:w="917" w:type="pct"/>
            <w:shd w:val="clear" w:color="auto" w:fill="auto"/>
          </w:tcPr>
          <w:p w:rsidR="00DC226B" w:rsidRPr="0012760D" w:rsidRDefault="00DC226B" w:rsidP="00907E0B">
            <w:pPr>
              <w:jc w:val="right"/>
              <w:rPr>
                <w:sz w:val="24"/>
                <w:szCs w:val="24"/>
              </w:rPr>
            </w:pPr>
            <w:r w:rsidRPr="0012760D">
              <w:rPr>
                <w:bCs/>
                <w:sz w:val="24"/>
                <w:szCs w:val="24"/>
                <w:lang w:val="en-US"/>
              </w:rPr>
              <w:t>2012 $</w:t>
            </w:r>
          </w:p>
        </w:tc>
      </w:tr>
      <w:tr w:rsidR="00DC226B" w:rsidRPr="0012760D" w:rsidTr="00907E0B">
        <w:tblPrEx>
          <w:tblCellMar>
            <w:top w:w="0" w:type="dxa"/>
            <w:bottom w:w="0" w:type="dxa"/>
          </w:tblCellMar>
        </w:tblPrEx>
        <w:trPr>
          <w:trHeight w:val="274"/>
        </w:trPr>
        <w:tc>
          <w:tcPr>
            <w:tcW w:w="2707" w:type="pct"/>
            <w:shd w:val="clear" w:color="auto" w:fill="auto"/>
          </w:tcPr>
          <w:p w:rsidR="00DC226B" w:rsidRPr="0012760D" w:rsidRDefault="00DC226B" w:rsidP="00907E0B">
            <w:pPr>
              <w:rPr>
                <w:sz w:val="24"/>
                <w:szCs w:val="24"/>
              </w:rPr>
            </w:pPr>
            <w:r w:rsidRPr="0012760D">
              <w:rPr>
                <w:bCs/>
                <w:sz w:val="24"/>
                <w:szCs w:val="24"/>
                <w:lang w:val="en-US"/>
              </w:rPr>
              <w:t>Opening Balance as at 1 July</w:t>
            </w:r>
          </w:p>
        </w:tc>
        <w:tc>
          <w:tcPr>
            <w:tcW w:w="1376" w:type="pct"/>
            <w:shd w:val="clear" w:color="auto" w:fill="auto"/>
          </w:tcPr>
          <w:p w:rsidR="00DC226B" w:rsidRPr="0012760D" w:rsidRDefault="00DC226B" w:rsidP="00907E0B">
            <w:pPr>
              <w:jc w:val="right"/>
              <w:rPr>
                <w:sz w:val="24"/>
                <w:szCs w:val="24"/>
              </w:rPr>
            </w:pPr>
            <w:r w:rsidRPr="0012760D">
              <w:rPr>
                <w:sz w:val="24"/>
                <w:szCs w:val="24"/>
              </w:rPr>
              <w:t>-</w:t>
            </w:r>
          </w:p>
        </w:tc>
        <w:tc>
          <w:tcPr>
            <w:tcW w:w="917" w:type="pct"/>
            <w:shd w:val="clear" w:color="auto" w:fill="auto"/>
          </w:tcPr>
          <w:p w:rsidR="00DC226B" w:rsidRPr="0012760D" w:rsidRDefault="00DC226B" w:rsidP="00907E0B">
            <w:pPr>
              <w:jc w:val="right"/>
              <w:rPr>
                <w:sz w:val="24"/>
                <w:szCs w:val="24"/>
              </w:rPr>
            </w:pPr>
            <w:r w:rsidRPr="0012760D">
              <w:rPr>
                <w:sz w:val="24"/>
                <w:szCs w:val="24"/>
                <w:lang w:val="en-US"/>
              </w:rPr>
              <w:t>-</w:t>
            </w:r>
          </w:p>
        </w:tc>
      </w:tr>
      <w:tr w:rsidR="00DC226B" w:rsidRPr="0012760D" w:rsidTr="00907E0B">
        <w:tblPrEx>
          <w:tblCellMar>
            <w:top w:w="0" w:type="dxa"/>
            <w:bottom w:w="0" w:type="dxa"/>
          </w:tblCellMar>
        </w:tblPrEx>
        <w:trPr>
          <w:trHeight w:val="293"/>
        </w:trPr>
        <w:tc>
          <w:tcPr>
            <w:tcW w:w="2707" w:type="pct"/>
            <w:shd w:val="clear" w:color="auto" w:fill="auto"/>
          </w:tcPr>
          <w:p w:rsidR="00DC226B" w:rsidRPr="0012760D" w:rsidRDefault="00DC226B" w:rsidP="00907E0B">
            <w:pPr>
              <w:rPr>
                <w:sz w:val="24"/>
                <w:szCs w:val="24"/>
              </w:rPr>
            </w:pPr>
            <w:r w:rsidRPr="0012760D">
              <w:rPr>
                <w:sz w:val="24"/>
                <w:szCs w:val="24"/>
                <w:lang w:val="en-US"/>
              </w:rPr>
              <w:t>Transferred from Intangibles</w:t>
            </w:r>
          </w:p>
        </w:tc>
        <w:tc>
          <w:tcPr>
            <w:tcW w:w="1376" w:type="pct"/>
            <w:shd w:val="clear" w:color="auto" w:fill="auto"/>
          </w:tcPr>
          <w:p w:rsidR="00DC226B" w:rsidRPr="0012760D" w:rsidRDefault="00DC226B" w:rsidP="00907E0B">
            <w:pPr>
              <w:jc w:val="right"/>
              <w:rPr>
                <w:sz w:val="24"/>
                <w:szCs w:val="24"/>
              </w:rPr>
            </w:pPr>
            <w:r w:rsidRPr="0012760D">
              <w:rPr>
                <w:sz w:val="24"/>
                <w:szCs w:val="24"/>
                <w:lang w:val="en-US"/>
              </w:rPr>
              <w:t>2,290,803</w:t>
            </w:r>
          </w:p>
        </w:tc>
        <w:tc>
          <w:tcPr>
            <w:tcW w:w="917" w:type="pct"/>
            <w:shd w:val="clear" w:color="auto" w:fill="auto"/>
          </w:tcPr>
          <w:p w:rsidR="00DC226B" w:rsidRPr="0012760D" w:rsidRDefault="00DC226B" w:rsidP="00907E0B">
            <w:pPr>
              <w:jc w:val="right"/>
              <w:rPr>
                <w:sz w:val="24"/>
                <w:szCs w:val="24"/>
              </w:rPr>
            </w:pPr>
            <w:r w:rsidRPr="0012760D">
              <w:rPr>
                <w:sz w:val="24"/>
                <w:szCs w:val="24"/>
                <w:lang w:val="en-US"/>
              </w:rPr>
              <w:t>-</w:t>
            </w:r>
          </w:p>
        </w:tc>
      </w:tr>
      <w:tr w:rsidR="00DC226B" w:rsidRPr="0012760D" w:rsidTr="00907E0B">
        <w:tblPrEx>
          <w:tblCellMar>
            <w:top w:w="0" w:type="dxa"/>
            <w:bottom w:w="0" w:type="dxa"/>
          </w:tblCellMar>
        </w:tblPrEx>
        <w:trPr>
          <w:trHeight w:val="269"/>
        </w:trPr>
        <w:tc>
          <w:tcPr>
            <w:tcW w:w="2707" w:type="pct"/>
            <w:shd w:val="clear" w:color="auto" w:fill="auto"/>
          </w:tcPr>
          <w:p w:rsidR="00DC226B" w:rsidRPr="0012760D" w:rsidRDefault="00DC226B" w:rsidP="00907E0B">
            <w:pPr>
              <w:rPr>
                <w:sz w:val="24"/>
                <w:szCs w:val="24"/>
              </w:rPr>
            </w:pPr>
            <w:r w:rsidRPr="0012760D">
              <w:rPr>
                <w:bCs/>
                <w:sz w:val="24"/>
                <w:szCs w:val="24"/>
                <w:lang w:val="en-US"/>
              </w:rPr>
              <w:t>Closing Balance as at 30 June</w:t>
            </w:r>
          </w:p>
        </w:tc>
        <w:tc>
          <w:tcPr>
            <w:tcW w:w="1376" w:type="pct"/>
            <w:shd w:val="clear" w:color="auto" w:fill="auto"/>
          </w:tcPr>
          <w:p w:rsidR="00DC226B" w:rsidRPr="0012760D" w:rsidRDefault="00DC226B" w:rsidP="00907E0B">
            <w:pPr>
              <w:jc w:val="right"/>
              <w:rPr>
                <w:sz w:val="24"/>
                <w:szCs w:val="24"/>
              </w:rPr>
            </w:pPr>
            <w:r w:rsidRPr="0012760D">
              <w:rPr>
                <w:bCs/>
                <w:sz w:val="24"/>
                <w:szCs w:val="24"/>
                <w:lang w:val="en-US"/>
              </w:rPr>
              <w:t>2,290,803</w:t>
            </w:r>
          </w:p>
        </w:tc>
        <w:tc>
          <w:tcPr>
            <w:tcW w:w="917" w:type="pct"/>
            <w:shd w:val="clear" w:color="auto" w:fill="auto"/>
          </w:tcPr>
          <w:p w:rsidR="00DC226B" w:rsidRPr="0012760D" w:rsidRDefault="00DC226B" w:rsidP="00907E0B">
            <w:pPr>
              <w:jc w:val="right"/>
              <w:rPr>
                <w:sz w:val="24"/>
                <w:szCs w:val="24"/>
              </w:rPr>
            </w:pPr>
            <w:r w:rsidRPr="0012760D">
              <w:rPr>
                <w:bCs/>
                <w:sz w:val="24"/>
                <w:szCs w:val="24"/>
                <w:lang w:val="en-US"/>
              </w:rPr>
              <w:t>-</w:t>
            </w:r>
          </w:p>
        </w:tc>
      </w:tr>
    </w:tbl>
    <w:p w:rsidR="00DC226B" w:rsidRDefault="00DC226B" w:rsidP="00DC226B">
      <w:pPr>
        <w:rPr>
          <w:bCs/>
          <w:sz w:val="24"/>
          <w:szCs w:val="24"/>
          <w:lang w:val="en-US"/>
        </w:rPr>
      </w:pPr>
    </w:p>
    <w:p w:rsidR="00AF2D9F" w:rsidRPr="0012760D" w:rsidRDefault="00AF2D9F" w:rsidP="00DC226B">
      <w:pPr>
        <w:rPr>
          <w:bCs/>
          <w:sz w:val="24"/>
          <w:szCs w:val="24"/>
          <w:lang w:val="en-US"/>
        </w:rPr>
      </w:pPr>
    </w:p>
    <w:p w:rsidR="00DC226B" w:rsidRPr="0012760D" w:rsidRDefault="00DC226B" w:rsidP="00AF2D9F">
      <w:pPr>
        <w:pStyle w:val="Heading2"/>
        <w:rPr>
          <w:lang w:val="en-US"/>
        </w:rPr>
      </w:pPr>
      <w:r w:rsidRPr="0012760D">
        <w:rPr>
          <w:lang w:val="en-US"/>
        </w:rPr>
        <w:t>10. Payables</w:t>
      </w:r>
    </w:p>
    <w:p w:rsidR="00DC226B" w:rsidRPr="0012760D" w:rsidRDefault="00DC226B" w:rsidP="00DC226B">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5103"/>
        <w:gridCol w:w="2064"/>
        <w:gridCol w:w="1942"/>
      </w:tblGrid>
      <w:tr w:rsidR="00DC226B" w:rsidRPr="0012760D" w:rsidTr="00907E0B">
        <w:tblPrEx>
          <w:tblCellMar>
            <w:top w:w="0" w:type="dxa"/>
            <w:bottom w:w="0" w:type="dxa"/>
          </w:tblCellMar>
        </w:tblPrEx>
        <w:tc>
          <w:tcPr>
            <w:tcW w:w="2801" w:type="pct"/>
            <w:shd w:val="clear" w:color="auto" w:fill="auto"/>
          </w:tcPr>
          <w:p w:rsidR="00DC226B" w:rsidRPr="0012760D" w:rsidRDefault="00DC226B" w:rsidP="00907E0B">
            <w:pPr>
              <w:rPr>
                <w:sz w:val="24"/>
                <w:szCs w:val="24"/>
              </w:rPr>
            </w:pPr>
            <w:r w:rsidRPr="0012760D">
              <w:rPr>
                <w:bCs/>
                <w:sz w:val="24"/>
                <w:szCs w:val="24"/>
                <w:lang w:val="en-US"/>
              </w:rPr>
              <w:t>Contractual</w:t>
            </w:r>
          </w:p>
        </w:tc>
        <w:tc>
          <w:tcPr>
            <w:tcW w:w="1133" w:type="pct"/>
            <w:shd w:val="clear" w:color="auto" w:fill="auto"/>
          </w:tcPr>
          <w:p w:rsidR="00DC226B" w:rsidRPr="0012760D" w:rsidRDefault="00DC226B" w:rsidP="00907E0B">
            <w:pPr>
              <w:jc w:val="right"/>
              <w:rPr>
                <w:sz w:val="24"/>
                <w:szCs w:val="24"/>
              </w:rPr>
            </w:pPr>
            <w:r w:rsidRPr="0012760D">
              <w:rPr>
                <w:bCs/>
                <w:sz w:val="24"/>
                <w:szCs w:val="24"/>
                <w:lang w:val="en-US"/>
              </w:rPr>
              <w:t>2013 $</w:t>
            </w:r>
          </w:p>
        </w:tc>
        <w:tc>
          <w:tcPr>
            <w:tcW w:w="1066" w:type="pct"/>
            <w:shd w:val="clear" w:color="auto" w:fill="auto"/>
          </w:tcPr>
          <w:p w:rsidR="00DC226B" w:rsidRPr="0012760D" w:rsidRDefault="00DC226B" w:rsidP="00907E0B">
            <w:pPr>
              <w:jc w:val="right"/>
              <w:rPr>
                <w:sz w:val="24"/>
                <w:szCs w:val="24"/>
              </w:rPr>
            </w:pPr>
            <w:r w:rsidRPr="0012760D">
              <w:rPr>
                <w:bCs/>
                <w:sz w:val="24"/>
                <w:szCs w:val="24"/>
                <w:lang w:val="en-US"/>
              </w:rPr>
              <w:t>2012 $</w:t>
            </w:r>
          </w:p>
        </w:tc>
      </w:tr>
      <w:tr w:rsidR="00DC226B" w:rsidRPr="0012760D" w:rsidTr="00907E0B">
        <w:tblPrEx>
          <w:tblCellMar>
            <w:top w:w="0" w:type="dxa"/>
            <w:bottom w:w="0" w:type="dxa"/>
          </w:tblCellMar>
        </w:tblPrEx>
        <w:tc>
          <w:tcPr>
            <w:tcW w:w="2801" w:type="pct"/>
            <w:shd w:val="clear" w:color="auto" w:fill="auto"/>
          </w:tcPr>
          <w:p w:rsidR="00DC226B" w:rsidRPr="0012760D" w:rsidRDefault="00DC226B" w:rsidP="00907E0B">
            <w:pPr>
              <w:rPr>
                <w:sz w:val="24"/>
                <w:szCs w:val="24"/>
              </w:rPr>
            </w:pPr>
            <w:r w:rsidRPr="0012760D">
              <w:rPr>
                <w:sz w:val="24"/>
                <w:szCs w:val="24"/>
                <w:lang w:val="en-US"/>
              </w:rPr>
              <w:t>Trade Creditors</w:t>
            </w:r>
          </w:p>
        </w:tc>
        <w:tc>
          <w:tcPr>
            <w:tcW w:w="1133" w:type="pct"/>
            <w:shd w:val="clear" w:color="auto" w:fill="auto"/>
          </w:tcPr>
          <w:p w:rsidR="00DC226B" w:rsidRPr="0012760D" w:rsidRDefault="00DC226B" w:rsidP="00907E0B">
            <w:pPr>
              <w:jc w:val="right"/>
              <w:rPr>
                <w:sz w:val="24"/>
                <w:szCs w:val="24"/>
              </w:rPr>
            </w:pPr>
            <w:r w:rsidRPr="0012760D">
              <w:rPr>
                <w:sz w:val="24"/>
                <w:szCs w:val="24"/>
                <w:lang w:val="en-US"/>
              </w:rPr>
              <w:t>258,980</w:t>
            </w:r>
          </w:p>
        </w:tc>
        <w:tc>
          <w:tcPr>
            <w:tcW w:w="1066" w:type="pct"/>
            <w:shd w:val="clear" w:color="auto" w:fill="auto"/>
          </w:tcPr>
          <w:p w:rsidR="00DC226B" w:rsidRPr="0012760D" w:rsidRDefault="00DC226B" w:rsidP="00907E0B">
            <w:pPr>
              <w:jc w:val="right"/>
              <w:rPr>
                <w:sz w:val="24"/>
                <w:szCs w:val="24"/>
              </w:rPr>
            </w:pPr>
            <w:r w:rsidRPr="0012760D">
              <w:rPr>
                <w:sz w:val="24"/>
                <w:szCs w:val="24"/>
                <w:lang w:val="en-US"/>
              </w:rPr>
              <w:t>307,093</w:t>
            </w:r>
          </w:p>
        </w:tc>
      </w:tr>
      <w:tr w:rsidR="00DC226B" w:rsidRPr="0012760D" w:rsidTr="00907E0B">
        <w:tblPrEx>
          <w:tblCellMar>
            <w:top w:w="0" w:type="dxa"/>
            <w:bottom w:w="0" w:type="dxa"/>
          </w:tblCellMar>
        </w:tblPrEx>
        <w:tc>
          <w:tcPr>
            <w:tcW w:w="2801" w:type="pct"/>
            <w:shd w:val="clear" w:color="auto" w:fill="auto"/>
          </w:tcPr>
          <w:p w:rsidR="00DC226B" w:rsidRPr="0012760D" w:rsidRDefault="00DC226B" w:rsidP="00907E0B">
            <w:pPr>
              <w:rPr>
                <w:sz w:val="24"/>
                <w:szCs w:val="24"/>
              </w:rPr>
            </w:pPr>
            <w:r w:rsidRPr="0012760D">
              <w:rPr>
                <w:sz w:val="24"/>
                <w:szCs w:val="24"/>
                <w:lang w:val="en-US"/>
              </w:rPr>
              <w:t>Termination Payments Payable</w:t>
            </w:r>
          </w:p>
        </w:tc>
        <w:tc>
          <w:tcPr>
            <w:tcW w:w="1133" w:type="pct"/>
            <w:shd w:val="clear" w:color="auto" w:fill="auto"/>
          </w:tcPr>
          <w:p w:rsidR="00DC226B" w:rsidRPr="0012760D" w:rsidRDefault="00DC226B" w:rsidP="00907E0B">
            <w:pPr>
              <w:jc w:val="right"/>
              <w:rPr>
                <w:sz w:val="24"/>
                <w:szCs w:val="24"/>
              </w:rPr>
            </w:pPr>
            <w:r w:rsidRPr="0012760D">
              <w:rPr>
                <w:sz w:val="24"/>
                <w:szCs w:val="24"/>
                <w:lang w:val="en-US"/>
              </w:rPr>
              <w:t>53,509</w:t>
            </w:r>
          </w:p>
        </w:tc>
        <w:tc>
          <w:tcPr>
            <w:tcW w:w="1066" w:type="pct"/>
            <w:shd w:val="clear" w:color="auto" w:fill="auto"/>
          </w:tcPr>
          <w:p w:rsidR="00DC226B" w:rsidRPr="0012760D" w:rsidRDefault="00DC226B" w:rsidP="00907E0B">
            <w:pPr>
              <w:jc w:val="right"/>
              <w:rPr>
                <w:sz w:val="24"/>
                <w:szCs w:val="24"/>
              </w:rPr>
            </w:pPr>
            <w:r w:rsidRPr="0012760D">
              <w:rPr>
                <w:sz w:val="24"/>
                <w:szCs w:val="24"/>
                <w:lang w:val="en-US"/>
              </w:rPr>
              <w:t>318,878</w:t>
            </w:r>
          </w:p>
        </w:tc>
      </w:tr>
      <w:tr w:rsidR="00DC226B" w:rsidRPr="0012760D" w:rsidTr="00907E0B">
        <w:tblPrEx>
          <w:tblCellMar>
            <w:top w:w="0" w:type="dxa"/>
            <w:bottom w:w="0" w:type="dxa"/>
          </w:tblCellMar>
        </w:tblPrEx>
        <w:tc>
          <w:tcPr>
            <w:tcW w:w="2801" w:type="pct"/>
            <w:shd w:val="clear" w:color="auto" w:fill="auto"/>
          </w:tcPr>
          <w:p w:rsidR="00DC226B" w:rsidRPr="0012760D" w:rsidRDefault="00DC226B" w:rsidP="00907E0B">
            <w:pPr>
              <w:rPr>
                <w:sz w:val="24"/>
                <w:szCs w:val="24"/>
              </w:rPr>
            </w:pPr>
            <w:r w:rsidRPr="0012760D">
              <w:rPr>
                <w:sz w:val="24"/>
                <w:szCs w:val="24"/>
                <w:lang w:val="en-US"/>
              </w:rPr>
              <w:t>Accrued Project Grants</w:t>
            </w:r>
          </w:p>
        </w:tc>
        <w:tc>
          <w:tcPr>
            <w:tcW w:w="1133" w:type="pct"/>
            <w:shd w:val="clear" w:color="auto" w:fill="auto"/>
          </w:tcPr>
          <w:p w:rsidR="00DC226B" w:rsidRPr="0012760D" w:rsidRDefault="00DC226B" w:rsidP="00907E0B">
            <w:pPr>
              <w:jc w:val="right"/>
              <w:rPr>
                <w:sz w:val="24"/>
                <w:szCs w:val="24"/>
              </w:rPr>
            </w:pPr>
            <w:r w:rsidRPr="0012760D">
              <w:rPr>
                <w:sz w:val="24"/>
                <w:szCs w:val="24"/>
                <w:lang w:val="en-US"/>
              </w:rPr>
              <w:t>899,681</w:t>
            </w:r>
          </w:p>
        </w:tc>
        <w:tc>
          <w:tcPr>
            <w:tcW w:w="1066" w:type="pct"/>
            <w:shd w:val="clear" w:color="auto" w:fill="auto"/>
          </w:tcPr>
          <w:p w:rsidR="00DC226B" w:rsidRPr="0012760D" w:rsidRDefault="00DC226B" w:rsidP="00907E0B">
            <w:pPr>
              <w:jc w:val="right"/>
              <w:rPr>
                <w:sz w:val="24"/>
                <w:szCs w:val="24"/>
              </w:rPr>
            </w:pPr>
            <w:r w:rsidRPr="0012760D">
              <w:rPr>
                <w:sz w:val="24"/>
                <w:szCs w:val="24"/>
                <w:lang w:val="en-US"/>
              </w:rPr>
              <w:t>1,640,220</w:t>
            </w:r>
          </w:p>
        </w:tc>
      </w:tr>
      <w:tr w:rsidR="00DC226B" w:rsidRPr="0012760D" w:rsidTr="00907E0B">
        <w:tblPrEx>
          <w:tblCellMar>
            <w:top w:w="0" w:type="dxa"/>
            <w:bottom w:w="0" w:type="dxa"/>
          </w:tblCellMar>
        </w:tblPrEx>
        <w:tc>
          <w:tcPr>
            <w:tcW w:w="2801" w:type="pct"/>
            <w:shd w:val="clear" w:color="auto" w:fill="auto"/>
          </w:tcPr>
          <w:p w:rsidR="00DC226B" w:rsidRPr="0012760D" w:rsidRDefault="00DC226B" w:rsidP="00907E0B">
            <w:pPr>
              <w:rPr>
                <w:sz w:val="24"/>
                <w:szCs w:val="24"/>
              </w:rPr>
            </w:pPr>
            <w:r w:rsidRPr="0012760D">
              <w:rPr>
                <w:sz w:val="24"/>
                <w:szCs w:val="24"/>
                <w:lang w:val="en-US"/>
              </w:rPr>
              <w:t>Accrued Expenses</w:t>
            </w:r>
          </w:p>
        </w:tc>
        <w:tc>
          <w:tcPr>
            <w:tcW w:w="1133" w:type="pct"/>
            <w:shd w:val="clear" w:color="auto" w:fill="auto"/>
          </w:tcPr>
          <w:p w:rsidR="00DC226B" w:rsidRPr="0012760D" w:rsidRDefault="00DC226B" w:rsidP="00907E0B">
            <w:pPr>
              <w:jc w:val="right"/>
              <w:rPr>
                <w:sz w:val="24"/>
                <w:szCs w:val="24"/>
              </w:rPr>
            </w:pPr>
            <w:r w:rsidRPr="0012760D">
              <w:rPr>
                <w:sz w:val="24"/>
                <w:szCs w:val="24"/>
                <w:lang w:val="en-US"/>
              </w:rPr>
              <w:t>328,522</w:t>
            </w:r>
          </w:p>
        </w:tc>
        <w:tc>
          <w:tcPr>
            <w:tcW w:w="1066" w:type="pct"/>
            <w:shd w:val="clear" w:color="auto" w:fill="auto"/>
          </w:tcPr>
          <w:p w:rsidR="00DC226B" w:rsidRPr="0012760D" w:rsidRDefault="00DC226B" w:rsidP="00907E0B">
            <w:pPr>
              <w:jc w:val="right"/>
              <w:rPr>
                <w:sz w:val="24"/>
                <w:szCs w:val="24"/>
              </w:rPr>
            </w:pPr>
            <w:r w:rsidRPr="0012760D">
              <w:rPr>
                <w:sz w:val="24"/>
                <w:szCs w:val="24"/>
                <w:lang w:val="en-US"/>
              </w:rPr>
              <w:t>418,550</w:t>
            </w:r>
          </w:p>
        </w:tc>
      </w:tr>
      <w:tr w:rsidR="00DC226B" w:rsidRPr="0012760D" w:rsidTr="00907E0B">
        <w:tblPrEx>
          <w:tblCellMar>
            <w:top w:w="0" w:type="dxa"/>
            <w:bottom w:w="0" w:type="dxa"/>
          </w:tblCellMar>
        </w:tblPrEx>
        <w:tc>
          <w:tcPr>
            <w:tcW w:w="2801" w:type="pct"/>
            <w:shd w:val="clear" w:color="auto" w:fill="auto"/>
          </w:tcPr>
          <w:p w:rsidR="00DC226B" w:rsidRPr="0012760D" w:rsidRDefault="00DC226B" w:rsidP="00907E0B">
            <w:pPr>
              <w:rPr>
                <w:sz w:val="24"/>
                <w:szCs w:val="24"/>
              </w:rPr>
            </w:pPr>
            <w:r w:rsidRPr="0012760D">
              <w:rPr>
                <w:bCs/>
                <w:sz w:val="24"/>
                <w:szCs w:val="24"/>
                <w:lang w:val="en-US"/>
              </w:rPr>
              <w:t>Total Contractual</w:t>
            </w:r>
          </w:p>
        </w:tc>
        <w:tc>
          <w:tcPr>
            <w:tcW w:w="1133" w:type="pct"/>
            <w:shd w:val="clear" w:color="auto" w:fill="auto"/>
          </w:tcPr>
          <w:p w:rsidR="00DC226B" w:rsidRPr="0012760D" w:rsidRDefault="00DC226B" w:rsidP="00907E0B">
            <w:pPr>
              <w:jc w:val="right"/>
              <w:rPr>
                <w:sz w:val="24"/>
                <w:szCs w:val="24"/>
              </w:rPr>
            </w:pPr>
            <w:r w:rsidRPr="0012760D">
              <w:rPr>
                <w:bCs/>
                <w:sz w:val="24"/>
                <w:szCs w:val="24"/>
                <w:lang w:val="en-US"/>
              </w:rPr>
              <w:t>1,540,692</w:t>
            </w:r>
          </w:p>
        </w:tc>
        <w:tc>
          <w:tcPr>
            <w:tcW w:w="1066" w:type="pct"/>
            <w:shd w:val="clear" w:color="auto" w:fill="auto"/>
          </w:tcPr>
          <w:p w:rsidR="00DC226B" w:rsidRPr="0012760D" w:rsidRDefault="00DC226B" w:rsidP="00907E0B">
            <w:pPr>
              <w:jc w:val="right"/>
              <w:rPr>
                <w:sz w:val="24"/>
                <w:szCs w:val="24"/>
              </w:rPr>
            </w:pPr>
            <w:r w:rsidRPr="0012760D">
              <w:rPr>
                <w:bCs/>
                <w:sz w:val="24"/>
                <w:szCs w:val="24"/>
                <w:lang w:val="en-US"/>
              </w:rPr>
              <w:t>2,684,741</w:t>
            </w:r>
          </w:p>
        </w:tc>
      </w:tr>
      <w:tr w:rsidR="00DC226B" w:rsidRPr="0012760D" w:rsidTr="00907E0B">
        <w:tblPrEx>
          <w:tblCellMar>
            <w:top w:w="0" w:type="dxa"/>
            <w:bottom w:w="0" w:type="dxa"/>
          </w:tblCellMar>
        </w:tblPrEx>
        <w:tc>
          <w:tcPr>
            <w:tcW w:w="5000" w:type="pct"/>
            <w:gridSpan w:val="3"/>
            <w:shd w:val="clear" w:color="auto" w:fill="auto"/>
          </w:tcPr>
          <w:p w:rsidR="00DC226B" w:rsidRPr="0012760D" w:rsidRDefault="00DC226B" w:rsidP="00907E0B">
            <w:pPr>
              <w:rPr>
                <w:sz w:val="24"/>
                <w:szCs w:val="24"/>
              </w:rPr>
            </w:pPr>
            <w:r w:rsidRPr="0012760D">
              <w:rPr>
                <w:bCs/>
                <w:sz w:val="24"/>
                <w:szCs w:val="24"/>
                <w:lang w:val="en-US"/>
              </w:rPr>
              <w:t>Statutory</w:t>
            </w:r>
          </w:p>
        </w:tc>
      </w:tr>
      <w:tr w:rsidR="00DC226B" w:rsidRPr="0012760D" w:rsidTr="00907E0B">
        <w:tblPrEx>
          <w:tblCellMar>
            <w:top w:w="0" w:type="dxa"/>
            <w:bottom w:w="0" w:type="dxa"/>
          </w:tblCellMar>
        </w:tblPrEx>
        <w:tc>
          <w:tcPr>
            <w:tcW w:w="2801" w:type="pct"/>
            <w:shd w:val="clear" w:color="auto" w:fill="auto"/>
          </w:tcPr>
          <w:p w:rsidR="00DC226B" w:rsidRPr="0012760D" w:rsidRDefault="00DC226B" w:rsidP="00907E0B">
            <w:pPr>
              <w:rPr>
                <w:sz w:val="24"/>
                <w:szCs w:val="24"/>
              </w:rPr>
            </w:pPr>
            <w:r w:rsidRPr="0012760D">
              <w:rPr>
                <w:sz w:val="24"/>
                <w:szCs w:val="24"/>
                <w:lang w:val="en-US"/>
              </w:rPr>
              <w:t>Trade Creditors</w:t>
            </w:r>
          </w:p>
        </w:tc>
        <w:tc>
          <w:tcPr>
            <w:tcW w:w="1133" w:type="pct"/>
            <w:shd w:val="clear" w:color="auto" w:fill="auto"/>
          </w:tcPr>
          <w:p w:rsidR="00DC226B" w:rsidRPr="0012760D" w:rsidRDefault="00DC226B" w:rsidP="00907E0B">
            <w:pPr>
              <w:jc w:val="right"/>
              <w:rPr>
                <w:sz w:val="24"/>
                <w:szCs w:val="24"/>
              </w:rPr>
            </w:pPr>
            <w:r w:rsidRPr="0012760D">
              <w:rPr>
                <w:sz w:val="24"/>
                <w:szCs w:val="24"/>
                <w:lang w:val="en-US"/>
              </w:rPr>
              <w:t>575,898</w:t>
            </w:r>
          </w:p>
        </w:tc>
        <w:tc>
          <w:tcPr>
            <w:tcW w:w="1066" w:type="pct"/>
            <w:shd w:val="clear" w:color="auto" w:fill="auto"/>
          </w:tcPr>
          <w:p w:rsidR="00DC226B" w:rsidRPr="0012760D" w:rsidRDefault="00DC226B" w:rsidP="00907E0B">
            <w:pPr>
              <w:jc w:val="right"/>
              <w:rPr>
                <w:sz w:val="24"/>
                <w:szCs w:val="24"/>
              </w:rPr>
            </w:pPr>
            <w:r w:rsidRPr="0012760D">
              <w:rPr>
                <w:sz w:val="24"/>
                <w:szCs w:val="24"/>
                <w:lang w:val="en-US"/>
              </w:rPr>
              <w:t>-</w:t>
            </w:r>
          </w:p>
        </w:tc>
      </w:tr>
      <w:tr w:rsidR="00DC226B" w:rsidRPr="0012760D" w:rsidTr="00907E0B">
        <w:tblPrEx>
          <w:tblCellMar>
            <w:top w:w="0" w:type="dxa"/>
            <w:bottom w:w="0" w:type="dxa"/>
          </w:tblCellMar>
        </w:tblPrEx>
        <w:tc>
          <w:tcPr>
            <w:tcW w:w="2801" w:type="pct"/>
            <w:shd w:val="clear" w:color="auto" w:fill="auto"/>
          </w:tcPr>
          <w:p w:rsidR="00DC226B" w:rsidRPr="0012760D" w:rsidRDefault="00DC226B" w:rsidP="00907E0B">
            <w:pPr>
              <w:rPr>
                <w:sz w:val="24"/>
                <w:szCs w:val="24"/>
              </w:rPr>
            </w:pPr>
            <w:r w:rsidRPr="0012760D">
              <w:rPr>
                <w:sz w:val="24"/>
                <w:szCs w:val="24"/>
                <w:lang w:val="en-US"/>
              </w:rPr>
              <w:t>Other Creditor (Department of Environment and Primary Industries)</w:t>
            </w:r>
          </w:p>
        </w:tc>
        <w:tc>
          <w:tcPr>
            <w:tcW w:w="1133" w:type="pct"/>
            <w:shd w:val="clear" w:color="auto" w:fill="auto"/>
          </w:tcPr>
          <w:p w:rsidR="00DC226B" w:rsidRPr="0012760D" w:rsidRDefault="00DC226B" w:rsidP="00907E0B">
            <w:pPr>
              <w:jc w:val="right"/>
              <w:rPr>
                <w:sz w:val="24"/>
                <w:szCs w:val="24"/>
              </w:rPr>
            </w:pPr>
            <w:r w:rsidRPr="0012760D">
              <w:rPr>
                <w:sz w:val="24"/>
                <w:szCs w:val="24"/>
                <w:lang w:val="en-US"/>
              </w:rPr>
              <w:t>4,300,000</w:t>
            </w:r>
          </w:p>
        </w:tc>
        <w:tc>
          <w:tcPr>
            <w:tcW w:w="1066" w:type="pct"/>
            <w:shd w:val="clear" w:color="auto" w:fill="auto"/>
          </w:tcPr>
          <w:p w:rsidR="00DC226B" w:rsidRPr="0012760D" w:rsidRDefault="00DC226B" w:rsidP="00907E0B">
            <w:pPr>
              <w:jc w:val="right"/>
              <w:rPr>
                <w:sz w:val="24"/>
                <w:szCs w:val="24"/>
              </w:rPr>
            </w:pPr>
            <w:r w:rsidRPr="0012760D">
              <w:rPr>
                <w:sz w:val="24"/>
                <w:szCs w:val="24"/>
                <w:lang w:val="en-US"/>
              </w:rPr>
              <w:t>-</w:t>
            </w:r>
          </w:p>
        </w:tc>
      </w:tr>
      <w:tr w:rsidR="00DC226B" w:rsidRPr="0012760D" w:rsidTr="00907E0B">
        <w:tblPrEx>
          <w:tblCellMar>
            <w:top w:w="0" w:type="dxa"/>
            <w:bottom w:w="0" w:type="dxa"/>
          </w:tblCellMar>
        </w:tblPrEx>
        <w:tc>
          <w:tcPr>
            <w:tcW w:w="2801" w:type="pct"/>
            <w:shd w:val="clear" w:color="auto" w:fill="auto"/>
          </w:tcPr>
          <w:p w:rsidR="00DC226B" w:rsidRPr="0012760D" w:rsidRDefault="00DC226B" w:rsidP="00907E0B">
            <w:pPr>
              <w:rPr>
                <w:sz w:val="24"/>
                <w:szCs w:val="24"/>
              </w:rPr>
            </w:pPr>
            <w:r w:rsidRPr="0012760D">
              <w:rPr>
                <w:sz w:val="24"/>
                <w:szCs w:val="24"/>
                <w:lang w:val="en-US"/>
              </w:rPr>
              <w:t>Accrued Expenses</w:t>
            </w:r>
          </w:p>
        </w:tc>
        <w:tc>
          <w:tcPr>
            <w:tcW w:w="1133" w:type="pct"/>
            <w:shd w:val="clear" w:color="auto" w:fill="auto"/>
          </w:tcPr>
          <w:p w:rsidR="00DC226B" w:rsidRPr="0012760D" w:rsidRDefault="00DC226B" w:rsidP="00907E0B">
            <w:pPr>
              <w:jc w:val="right"/>
              <w:rPr>
                <w:sz w:val="24"/>
                <w:szCs w:val="24"/>
              </w:rPr>
            </w:pPr>
            <w:r w:rsidRPr="0012760D">
              <w:rPr>
                <w:sz w:val="24"/>
                <w:szCs w:val="24"/>
                <w:lang w:val="en-US"/>
              </w:rPr>
              <w:t>27,469</w:t>
            </w:r>
          </w:p>
        </w:tc>
        <w:tc>
          <w:tcPr>
            <w:tcW w:w="1066" w:type="pct"/>
            <w:shd w:val="clear" w:color="auto" w:fill="auto"/>
          </w:tcPr>
          <w:p w:rsidR="00DC226B" w:rsidRPr="0012760D" w:rsidRDefault="00DC226B" w:rsidP="00907E0B">
            <w:pPr>
              <w:jc w:val="right"/>
              <w:rPr>
                <w:sz w:val="24"/>
                <w:szCs w:val="24"/>
              </w:rPr>
            </w:pPr>
            <w:r w:rsidRPr="0012760D">
              <w:rPr>
                <w:sz w:val="24"/>
                <w:szCs w:val="24"/>
                <w:lang w:val="en-US"/>
              </w:rPr>
              <w:t>88,254</w:t>
            </w:r>
          </w:p>
        </w:tc>
      </w:tr>
      <w:tr w:rsidR="00DC226B" w:rsidRPr="0012760D" w:rsidTr="00907E0B">
        <w:tblPrEx>
          <w:tblCellMar>
            <w:top w:w="0" w:type="dxa"/>
            <w:bottom w:w="0" w:type="dxa"/>
          </w:tblCellMar>
        </w:tblPrEx>
        <w:tc>
          <w:tcPr>
            <w:tcW w:w="2801" w:type="pct"/>
            <w:shd w:val="clear" w:color="auto" w:fill="auto"/>
          </w:tcPr>
          <w:p w:rsidR="00DC226B" w:rsidRPr="0012760D" w:rsidRDefault="00DC226B" w:rsidP="00907E0B">
            <w:pPr>
              <w:rPr>
                <w:sz w:val="24"/>
                <w:szCs w:val="24"/>
              </w:rPr>
            </w:pPr>
            <w:r w:rsidRPr="0012760D">
              <w:rPr>
                <w:bCs/>
                <w:sz w:val="24"/>
                <w:szCs w:val="24"/>
                <w:lang w:val="en-US"/>
              </w:rPr>
              <w:t>Total Statutory</w:t>
            </w:r>
          </w:p>
        </w:tc>
        <w:tc>
          <w:tcPr>
            <w:tcW w:w="1133" w:type="pct"/>
            <w:shd w:val="clear" w:color="auto" w:fill="auto"/>
          </w:tcPr>
          <w:p w:rsidR="00DC226B" w:rsidRPr="0012760D" w:rsidRDefault="00DC226B" w:rsidP="00907E0B">
            <w:pPr>
              <w:jc w:val="right"/>
              <w:rPr>
                <w:sz w:val="24"/>
                <w:szCs w:val="24"/>
              </w:rPr>
            </w:pPr>
            <w:r w:rsidRPr="0012760D">
              <w:rPr>
                <w:bCs/>
                <w:sz w:val="24"/>
                <w:szCs w:val="24"/>
                <w:lang w:val="en-US"/>
              </w:rPr>
              <w:t>4,903,367</w:t>
            </w:r>
          </w:p>
        </w:tc>
        <w:tc>
          <w:tcPr>
            <w:tcW w:w="1066" w:type="pct"/>
            <w:shd w:val="clear" w:color="auto" w:fill="auto"/>
          </w:tcPr>
          <w:p w:rsidR="00DC226B" w:rsidRPr="0012760D" w:rsidRDefault="00DC226B" w:rsidP="00907E0B">
            <w:pPr>
              <w:jc w:val="right"/>
              <w:rPr>
                <w:sz w:val="24"/>
                <w:szCs w:val="24"/>
              </w:rPr>
            </w:pPr>
            <w:r w:rsidRPr="0012760D">
              <w:rPr>
                <w:bCs/>
                <w:sz w:val="24"/>
                <w:szCs w:val="24"/>
                <w:lang w:val="en-US"/>
              </w:rPr>
              <w:t>88,254</w:t>
            </w:r>
          </w:p>
        </w:tc>
      </w:tr>
      <w:tr w:rsidR="00DC226B" w:rsidRPr="0012760D" w:rsidTr="00907E0B">
        <w:tblPrEx>
          <w:tblCellMar>
            <w:top w:w="0" w:type="dxa"/>
            <w:bottom w:w="0" w:type="dxa"/>
          </w:tblCellMar>
        </w:tblPrEx>
        <w:tc>
          <w:tcPr>
            <w:tcW w:w="2801" w:type="pct"/>
            <w:shd w:val="clear" w:color="auto" w:fill="auto"/>
          </w:tcPr>
          <w:p w:rsidR="00DC226B" w:rsidRPr="0012760D" w:rsidRDefault="00DC226B" w:rsidP="00907E0B">
            <w:pPr>
              <w:rPr>
                <w:sz w:val="24"/>
                <w:szCs w:val="24"/>
              </w:rPr>
            </w:pPr>
            <w:r w:rsidRPr="0012760D">
              <w:rPr>
                <w:bCs/>
                <w:sz w:val="24"/>
                <w:szCs w:val="24"/>
                <w:lang w:val="en-US"/>
              </w:rPr>
              <w:t>Total Payables</w:t>
            </w:r>
          </w:p>
        </w:tc>
        <w:tc>
          <w:tcPr>
            <w:tcW w:w="1133" w:type="pct"/>
            <w:shd w:val="clear" w:color="auto" w:fill="auto"/>
          </w:tcPr>
          <w:p w:rsidR="00DC226B" w:rsidRPr="0012760D" w:rsidRDefault="00DC226B" w:rsidP="00907E0B">
            <w:pPr>
              <w:jc w:val="right"/>
              <w:rPr>
                <w:sz w:val="24"/>
                <w:szCs w:val="24"/>
              </w:rPr>
            </w:pPr>
            <w:r w:rsidRPr="0012760D">
              <w:rPr>
                <w:bCs/>
                <w:sz w:val="24"/>
                <w:szCs w:val="24"/>
                <w:lang w:val="en-US"/>
              </w:rPr>
              <w:t>6,444,059</w:t>
            </w:r>
          </w:p>
        </w:tc>
        <w:tc>
          <w:tcPr>
            <w:tcW w:w="1066" w:type="pct"/>
            <w:shd w:val="clear" w:color="auto" w:fill="auto"/>
          </w:tcPr>
          <w:p w:rsidR="00DC226B" w:rsidRPr="0012760D" w:rsidRDefault="00DC226B" w:rsidP="00907E0B">
            <w:pPr>
              <w:jc w:val="right"/>
              <w:rPr>
                <w:sz w:val="24"/>
                <w:szCs w:val="24"/>
              </w:rPr>
            </w:pPr>
            <w:r w:rsidRPr="0012760D">
              <w:rPr>
                <w:bCs/>
                <w:sz w:val="24"/>
                <w:szCs w:val="24"/>
                <w:lang w:val="en-US"/>
              </w:rPr>
              <w:t>2,772,995</w:t>
            </w:r>
          </w:p>
        </w:tc>
      </w:tr>
    </w:tbl>
    <w:p w:rsidR="00DC226B" w:rsidRDefault="00DC226B" w:rsidP="00DC226B">
      <w:pPr>
        <w:rPr>
          <w:bCs/>
          <w:sz w:val="24"/>
          <w:szCs w:val="24"/>
          <w:lang w:val="en-US"/>
        </w:rPr>
      </w:pPr>
    </w:p>
    <w:p w:rsidR="00AF2D9F" w:rsidRPr="0012760D" w:rsidRDefault="00AF2D9F" w:rsidP="00DC226B">
      <w:pPr>
        <w:rPr>
          <w:bCs/>
          <w:sz w:val="24"/>
          <w:szCs w:val="24"/>
          <w:lang w:val="en-US"/>
        </w:rPr>
      </w:pPr>
    </w:p>
    <w:p w:rsidR="00DC226B" w:rsidRPr="0012760D" w:rsidRDefault="00DC226B" w:rsidP="00AF2D9F">
      <w:pPr>
        <w:pStyle w:val="Heading2"/>
        <w:rPr>
          <w:lang w:val="en-US"/>
        </w:rPr>
      </w:pPr>
      <w:r w:rsidRPr="0012760D">
        <w:rPr>
          <w:lang w:val="en-US"/>
        </w:rPr>
        <w:t>11. Provisions</w:t>
      </w:r>
    </w:p>
    <w:p w:rsidR="00DC226B" w:rsidRPr="0012760D" w:rsidRDefault="00DC226B" w:rsidP="00DC226B">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5064"/>
        <w:gridCol w:w="2130"/>
        <w:gridCol w:w="1915"/>
      </w:tblGrid>
      <w:tr w:rsidR="00DC226B" w:rsidRPr="0012760D" w:rsidTr="00907E0B">
        <w:tblPrEx>
          <w:tblCellMar>
            <w:top w:w="0" w:type="dxa"/>
            <w:bottom w:w="0" w:type="dxa"/>
          </w:tblCellMar>
        </w:tblPrEx>
        <w:tc>
          <w:tcPr>
            <w:tcW w:w="2780" w:type="pct"/>
            <w:shd w:val="clear" w:color="auto" w:fill="auto"/>
          </w:tcPr>
          <w:p w:rsidR="00DC226B" w:rsidRPr="0012760D" w:rsidRDefault="00DC226B" w:rsidP="00907E0B">
            <w:pPr>
              <w:rPr>
                <w:sz w:val="24"/>
                <w:szCs w:val="24"/>
              </w:rPr>
            </w:pPr>
            <w:r w:rsidRPr="0012760D">
              <w:rPr>
                <w:bCs/>
                <w:sz w:val="24"/>
                <w:szCs w:val="24"/>
                <w:lang w:val="en-US"/>
              </w:rPr>
              <w:t>Current</w:t>
            </w:r>
          </w:p>
        </w:tc>
        <w:tc>
          <w:tcPr>
            <w:tcW w:w="1169" w:type="pct"/>
            <w:shd w:val="clear" w:color="auto" w:fill="auto"/>
          </w:tcPr>
          <w:p w:rsidR="00DC226B" w:rsidRPr="0012760D" w:rsidRDefault="00DC226B" w:rsidP="00907E0B">
            <w:pPr>
              <w:jc w:val="right"/>
              <w:rPr>
                <w:sz w:val="24"/>
                <w:szCs w:val="24"/>
              </w:rPr>
            </w:pPr>
            <w:r w:rsidRPr="0012760D">
              <w:rPr>
                <w:bCs/>
                <w:sz w:val="24"/>
                <w:szCs w:val="24"/>
                <w:lang w:val="en-US"/>
              </w:rPr>
              <w:t>2013 $</w:t>
            </w:r>
          </w:p>
        </w:tc>
        <w:tc>
          <w:tcPr>
            <w:tcW w:w="1051" w:type="pct"/>
            <w:shd w:val="clear" w:color="auto" w:fill="auto"/>
          </w:tcPr>
          <w:p w:rsidR="00DC226B" w:rsidRPr="0012760D" w:rsidRDefault="00DC226B" w:rsidP="00907E0B">
            <w:pPr>
              <w:jc w:val="right"/>
              <w:rPr>
                <w:sz w:val="24"/>
                <w:szCs w:val="24"/>
              </w:rPr>
            </w:pPr>
            <w:r w:rsidRPr="0012760D">
              <w:rPr>
                <w:bCs/>
                <w:sz w:val="24"/>
                <w:szCs w:val="24"/>
                <w:lang w:val="en-US"/>
              </w:rPr>
              <w:t>2012 $</w:t>
            </w:r>
          </w:p>
        </w:tc>
      </w:tr>
      <w:tr w:rsidR="00DC226B" w:rsidRPr="0012760D" w:rsidTr="00907E0B">
        <w:tblPrEx>
          <w:tblCellMar>
            <w:top w:w="0" w:type="dxa"/>
            <w:bottom w:w="0" w:type="dxa"/>
          </w:tblCellMar>
        </w:tblPrEx>
        <w:tc>
          <w:tcPr>
            <w:tcW w:w="2780" w:type="pct"/>
            <w:shd w:val="clear" w:color="auto" w:fill="auto"/>
          </w:tcPr>
          <w:p w:rsidR="00DC226B" w:rsidRPr="0012760D" w:rsidRDefault="00DC226B" w:rsidP="00907E0B">
            <w:pPr>
              <w:rPr>
                <w:sz w:val="24"/>
                <w:szCs w:val="24"/>
              </w:rPr>
            </w:pPr>
            <w:r w:rsidRPr="0012760D">
              <w:rPr>
                <w:sz w:val="24"/>
                <w:szCs w:val="24"/>
                <w:lang w:val="en-US"/>
              </w:rPr>
              <w:t xml:space="preserve">Annual leave and unconditional long service leave entitlements, representing 7 years of </w:t>
            </w:r>
            <w:r w:rsidRPr="0012760D">
              <w:rPr>
                <w:sz w:val="24"/>
                <w:szCs w:val="24"/>
                <w:lang w:val="en-US"/>
              </w:rPr>
              <w:lastRenderedPageBreak/>
              <w:t>continuous services:</w:t>
            </w:r>
          </w:p>
          <w:p w:rsidR="00DC226B" w:rsidRPr="0012760D" w:rsidRDefault="00DC226B" w:rsidP="00907E0B">
            <w:pPr>
              <w:rPr>
                <w:sz w:val="24"/>
                <w:szCs w:val="24"/>
              </w:rPr>
            </w:pPr>
            <w:r w:rsidRPr="0012760D">
              <w:rPr>
                <w:sz w:val="24"/>
                <w:szCs w:val="24"/>
                <w:lang w:val="en-US"/>
              </w:rPr>
              <w:t>Short-term employee benefits that fall due within 12 months after the end of the period, measured at nominal value:</w:t>
            </w:r>
          </w:p>
        </w:tc>
        <w:tc>
          <w:tcPr>
            <w:tcW w:w="1169" w:type="pct"/>
            <w:shd w:val="clear" w:color="auto" w:fill="auto"/>
          </w:tcPr>
          <w:p w:rsidR="00DC226B" w:rsidRPr="0012760D" w:rsidRDefault="00DC226B" w:rsidP="00907E0B">
            <w:pPr>
              <w:rPr>
                <w:sz w:val="24"/>
                <w:szCs w:val="24"/>
              </w:rPr>
            </w:pPr>
          </w:p>
        </w:tc>
        <w:tc>
          <w:tcPr>
            <w:tcW w:w="1051" w:type="pct"/>
            <w:shd w:val="clear" w:color="auto" w:fill="auto"/>
          </w:tcPr>
          <w:p w:rsidR="00DC226B" w:rsidRPr="0012760D" w:rsidRDefault="00DC226B" w:rsidP="00907E0B">
            <w:pPr>
              <w:rPr>
                <w:sz w:val="24"/>
                <w:szCs w:val="24"/>
              </w:rPr>
            </w:pPr>
          </w:p>
        </w:tc>
      </w:tr>
      <w:tr w:rsidR="00DC226B" w:rsidRPr="0012760D" w:rsidTr="00907E0B">
        <w:tblPrEx>
          <w:tblCellMar>
            <w:top w:w="0" w:type="dxa"/>
            <w:bottom w:w="0" w:type="dxa"/>
          </w:tblCellMar>
        </w:tblPrEx>
        <w:tc>
          <w:tcPr>
            <w:tcW w:w="2780" w:type="pct"/>
            <w:shd w:val="clear" w:color="auto" w:fill="auto"/>
          </w:tcPr>
          <w:p w:rsidR="00DC226B" w:rsidRPr="0012760D" w:rsidRDefault="00DC226B" w:rsidP="00907E0B">
            <w:pPr>
              <w:rPr>
                <w:sz w:val="24"/>
                <w:szCs w:val="24"/>
              </w:rPr>
            </w:pPr>
            <w:r w:rsidRPr="0012760D">
              <w:rPr>
                <w:sz w:val="24"/>
                <w:szCs w:val="24"/>
                <w:lang w:val="en-US"/>
              </w:rPr>
              <w:lastRenderedPageBreak/>
              <w:t>Annual Leave</w:t>
            </w:r>
          </w:p>
        </w:tc>
        <w:tc>
          <w:tcPr>
            <w:tcW w:w="1169" w:type="pct"/>
            <w:shd w:val="clear" w:color="auto" w:fill="auto"/>
          </w:tcPr>
          <w:p w:rsidR="00DC226B" w:rsidRPr="0012760D" w:rsidRDefault="00DC226B" w:rsidP="00907E0B">
            <w:pPr>
              <w:jc w:val="right"/>
              <w:rPr>
                <w:sz w:val="24"/>
                <w:szCs w:val="24"/>
              </w:rPr>
            </w:pPr>
            <w:r w:rsidRPr="0012760D">
              <w:rPr>
                <w:sz w:val="24"/>
                <w:szCs w:val="24"/>
                <w:lang w:val="en-US"/>
              </w:rPr>
              <w:t>767,935</w:t>
            </w:r>
          </w:p>
        </w:tc>
        <w:tc>
          <w:tcPr>
            <w:tcW w:w="1051" w:type="pct"/>
            <w:shd w:val="clear" w:color="auto" w:fill="auto"/>
          </w:tcPr>
          <w:p w:rsidR="00DC226B" w:rsidRPr="0012760D" w:rsidRDefault="00DC226B" w:rsidP="00907E0B">
            <w:pPr>
              <w:jc w:val="right"/>
              <w:rPr>
                <w:sz w:val="24"/>
                <w:szCs w:val="24"/>
              </w:rPr>
            </w:pPr>
            <w:r w:rsidRPr="0012760D">
              <w:rPr>
                <w:sz w:val="24"/>
                <w:szCs w:val="24"/>
                <w:lang w:val="en-US"/>
              </w:rPr>
              <w:t>826,346</w:t>
            </w:r>
          </w:p>
        </w:tc>
      </w:tr>
      <w:tr w:rsidR="00DC226B" w:rsidRPr="0012760D" w:rsidTr="00907E0B">
        <w:tblPrEx>
          <w:tblCellMar>
            <w:top w:w="0" w:type="dxa"/>
            <w:bottom w:w="0" w:type="dxa"/>
          </w:tblCellMar>
        </w:tblPrEx>
        <w:tc>
          <w:tcPr>
            <w:tcW w:w="2780" w:type="pct"/>
            <w:shd w:val="clear" w:color="auto" w:fill="auto"/>
          </w:tcPr>
          <w:p w:rsidR="00DC226B" w:rsidRPr="0012760D" w:rsidRDefault="00DC226B" w:rsidP="00907E0B">
            <w:pPr>
              <w:rPr>
                <w:sz w:val="24"/>
                <w:szCs w:val="24"/>
              </w:rPr>
            </w:pPr>
            <w:r w:rsidRPr="0012760D">
              <w:rPr>
                <w:sz w:val="24"/>
                <w:szCs w:val="24"/>
                <w:lang w:val="en-US"/>
              </w:rPr>
              <w:t>Long Service Leave</w:t>
            </w:r>
          </w:p>
        </w:tc>
        <w:tc>
          <w:tcPr>
            <w:tcW w:w="1169" w:type="pct"/>
            <w:shd w:val="clear" w:color="auto" w:fill="auto"/>
          </w:tcPr>
          <w:p w:rsidR="00DC226B" w:rsidRPr="0012760D" w:rsidRDefault="00DC226B" w:rsidP="00907E0B">
            <w:pPr>
              <w:jc w:val="right"/>
              <w:rPr>
                <w:sz w:val="24"/>
                <w:szCs w:val="24"/>
              </w:rPr>
            </w:pPr>
            <w:r w:rsidRPr="0012760D">
              <w:rPr>
                <w:sz w:val="24"/>
                <w:szCs w:val="24"/>
                <w:lang w:val="en-US"/>
              </w:rPr>
              <w:t>581,851</w:t>
            </w:r>
          </w:p>
        </w:tc>
        <w:tc>
          <w:tcPr>
            <w:tcW w:w="1051" w:type="pct"/>
            <w:shd w:val="clear" w:color="auto" w:fill="auto"/>
          </w:tcPr>
          <w:p w:rsidR="00DC226B" w:rsidRPr="0012760D" w:rsidRDefault="00DC226B" w:rsidP="00907E0B">
            <w:pPr>
              <w:jc w:val="right"/>
              <w:rPr>
                <w:sz w:val="24"/>
                <w:szCs w:val="24"/>
              </w:rPr>
            </w:pPr>
            <w:r w:rsidRPr="0012760D">
              <w:rPr>
                <w:sz w:val="24"/>
                <w:szCs w:val="24"/>
                <w:lang w:val="en-US"/>
              </w:rPr>
              <w:t>536,391</w:t>
            </w:r>
          </w:p>
        </w:tc>
      </w:tr>
      <w:tr w:rsidR="00DC226B" w:rsidRPr="0012760D" w:rsidTr="00907E0B">
        <w:tblPrEx>
          <w:tblCellMar>
            <w:top w:w="0" w:type="dxa"/>
            <w:bottom w:w="0" w:type="dxa"/>
          </w:tblCellMar>
        </w:tblPrEx>
        <w:tc>
          <w:tcPr>
            <w:tcW w:w="2780" w:type="pct"/>
            <w:shd w:val="clear" w:color="auto" w:fill="auto"/>
          </w:tcPr>
          <w:p w:rsidR="00DC226B" w:rsidRPr="0012760D" w:rsidRDefault="00DC226B" w:rsidP="00907E0B">
            <w:pPr>
              <w:rPr>
                <w:sz w:val="24"/>
                <w:szCs w:val="24"/>
              </w:rPr>
            </w:pPr>
            <w:r w:rsidRPr="0012760D">
              <w:rPr>
                <w:sz w:val="24"/>
                <w:szCs w:val="24"/>
                <w:lang w:val="en-US"/>
              </w:rPr>
              <w:t>Provisions related to employee</w:t>
            </w:r>
            <w:r w:rsidRPr="0012760D">
              <w:rPr>
                <w:sz w:val="24"/>
                <w:szCs w:val="24"/>
              </w:rPr>
              <w:t xml:space="preserve"> </w:t>
            </w:r>
            <w:r w:rsidRPr="0012760D">
              <w:rPr>
                <w:sz w:val="24"/>
                <w:szCs w:val="24"/>
                <w:lang w:val="en-US"/>
              </w:rPr>
              <w:t>benefit on-costs</w:t>
            </w:r>
          </w:p>
        </w:tc>
        <w:tc>
          <w:tcPr>
            <w:tcW w:w="1169" w:type="pct"/>
            <w:shd w:val="clear" w:color="auto" w:fill="auto"/>
          </w:tcPr>
          <w:p w:rsidR="00DC226B" w:rsidRPr="0012760D" w:rsidRDefault="00DC226B" w:rsidP="00907E0B">
            <w:pPr>
              <w:jc w:val="right"/>
              <w:rPr>
                <w:sz w:val="24"/>
                <w:szCs w:val="24"/>
              </w:rPr>
            </w:pPr>
            <w:r w:rsidRPr="0012760D">
              <w:rPr>
                <w:sz w:val="24"/>
                <w:szCs w:val="24"/>
                <w:lang w:val="en-US"/>
              </w:rPr>
              <w:t>207,813</w:t>
            </w:r>
          </w:p>
        </w:tc>
        <w:tc>
          <w:tcPr>
            <w:tcW w:w="1051" w:type="pct"/>
            <w:shd w:val="clear" w:color="auto" w:fill="auto"/>
          </w:tcPr>
          <w:p w:rsidR="00DC226B" w:rsidRPr="0012760D" w:rsidRDefault="00DC226B" w:rsidP="00907E0B">
            <w:pPr>
              <w:jc w:val="right"/>
              <w:rPr>
                <w:sz w:val="24"/>
                <w:szCs w:val="24"/>
              </w:rPr>
            </w:pPr>
            <w:r w:rsidRPr="0012760D">
              <w:rPr>
                <w:sz w:val="24"/>
                <w:szCs w:val="24"/>
                <w:lang w:val="en-US"/>
              </w:rPr>
              <w:t>236,522</w:t>
            </w:r>
          </w:p>
        </w:tc>
      </w:tr>
      <w:tr w:rsidR="00DC226B" w:rsidRPr="0012760D" w:rsidTr="00907E0B">
        <w:tblPrEx>
          <w:tblCellMar>
            <w:top w:w="0" w:type="dxa"/>
            <w:bottom w:w="0" w:type="dxa"/>
          </w:tblCellMar>
        </w:tblPrEx>
        <w:tc>
          <w:tcPr>
            <w:tcW w:w="2780" w:type="pct"/>
            <w:shd w:val="clear" w:color="auto" w:fill="auto"/>
          </w:tcPr>
          <w:p w:rsidR="00DC226B" w:rsidRPr="0012760D" w:rsidRDefault="00DC226B" w:rsidP="00907E0B">
            <w:pPr>
              <w:rPr>
                <w:sz w:val="24"/>
                <w:szCs w:val="24"/>
              </w:rPr>
            </w:pPr>
            <w:r w:rsidRPr="0012760D">
              <w:rPr>
                <w:sz w:val="24"/>
                <w:szCs w:val="24"/>
                <w:lang w:val="en-US"/>
              </w:rPr>
              <w:t>Long-term employee benefits that do not fall due within 12 months after the end of the period, measured at present value:</w:t>
            </w:r>
          </w:p>
        </w:tc>
        <w:tc>
          <w:tcPr>
            <w:tcW w:w="1169" w:type="pct"/>
            <w:shd w:val="clear" w:color="auto" w:fill="auto"/>
          </w:tcPr>
          <w:p w:rsidR="00DC226B" w:rsidRPr="0012760D" w:rsidRDefault="00DC226B" w:rsidP="00907E0B">
            <w:pPr>
              <w:rPr>
                <w:sz w:val="24"/>
                <w:szCs w:val="24"/>
              </w:rPr>
            </w:pPr>
          </w:p>
        </w:tc>
        <w:tc>
          <w:tcPr>
            <w:tcW w:w="1051" w:type="pct"/>
            <w:shd w:val="clear" w:color="auto" w:fill="auto"/>
          </w:tcPr>
          <w:p w:rsidR="00DC226B" w:rsidRPr="0012760D" w:rsidRDefault="00DC226B" w:rsidP="00907E0B">
            <w:pPr>
              <w:rPr>
                <w:sz w:val="24"/>
                <w:szCs w:val="24"/>
              </w:rPr>
            </w:pPr>
          </w:p>
        </w:tc>
      </w:tr>
      <w:tr w:rsidR="00DC226B" w:rsidRPr="0012760D" w:rsidTr="00907E0B">
        <w:tblPrEx>
          <w:tblCellMar>
            <w:top w:w="0" w:type="dxa"/>
            <w:bottom w:w="0" w:type="dxa"/>
          </w:tblCellMar>
        </w:tblPrEx>
        <w:tc>
          <w:tcPr>
            <w:tcW w:w="2780" w:type="pct"/>
            <w:shd w:val="clear" w:color="auto" w:fill="auto"/>
          </w:tcPr>
          <w:p w:rsidR="00DC226B" w:rsidRPr="0012760D" w:rsidRDefault="00DC226B" w:rsidP="00907E0B">
            <w:pPr>
              <w:rPr>
                <w:sz w:val="24"/>
                <w:szCs w:val="24"/>
              </w:rPr>
            </w:pPr>
            <w:r w:rsidRPr="0012760D">
              <w:rPr>
                <w:sz w:val="24"/>
                <w:szCs w:val="24"/>
                <w:lang w:val="en-US"/>
              </w:rPr>
              <w:t>Long Service Leave</w:t>
            </w:r>
          </w:p>
        </w:tc>
        <w:tc>
          <w:tcPr>
            <w:tcW w:w="1169" w:type="pct"/>
            <w:shd w:val="clear" w:color="auto" w:fill="auto"/>
          </w:tcPr>
          <w:p w:rsidR="00DC226B" w:rsidRPr="0012760D" w:rsidRDefault="00DC226B" w:rsidP="00907E0B">
            <w:pPr>
              <w:jc w:val="right"/>
              <w:rPr>
                <w:sz w:val="24"/>
                <w:szCs w:val="24"/>
              </w:rPr>
            </w:pPr>
            <w:r w:rsidRPr="0012760D">
              <w:rPr>
                <w:sz w:val="24"/>
                <w:szCs w:val="24"/>
                <w:lang w:val="en-US"/>
              </w:rPr>
              <w:t>303,191</w:t>
            </w:r>
          </w:p>
        </w:tc>
        <w:tc>
          <w:tcPr>
            <w:tcW w:w="1051" w:type="pct"/>
            <w:shd w:val="clear" w:color="auto" w:fill="auto"/>
          </w:tcPr>
          <w:p w:rsidR="00DC226B" w:rsidRPr="0012760D" w:rsidRDefault="00DC226B" w:rsidP="00907E0B">
            <w:pPr>
              <w:jc w:val="right"/>
              <w:rPr>
                <w:sz w:val="24"/>
                <w:szCs w:val="24"/>
              </w:rPr>
            </w:pPr>
            <w:r w:rsidRPr="0012760D">
              <w:rPr>
                <w:sz w:val="24"/>
                <w:szCs w:val="24"/>
                <w:lang w:val="en-US"/>
              </w:rPr>
              <w:t>401,970</w:t>
            </w:r>
          </w:p>
        </w:tc>
      </w:tr>
      <w:tr w:rsidR="00DC226B" w:rsidRPr="0012760D" w:rsidTr="00407410">
        <w:tblPrEx>
          <w:tblCellMar>
            <w:top w:w="0" w:type="dxa"/>
            <w:bottom w:w="0" w:type="dxa"/>
          </w:tblCellMar>
        </w:tblPrEx>
        <w:tc>
          <w:tcPr>
            <w:tcW w:w="2780" w:type="pct"/>
            <w:shd w:val="clear" w:color="auto" w:fill="auto"/>
          </w:tcPr>
          <w:p w:rsidR="00DC226B" w:rsidRPr="0012760D" w:rsidRDefault="00DC226B" w:rsidP="00907E0B">
            <w:pPr>
              <w:rPr>
                <w:sz w:val="24"/>
                <w:szCs w:val="24"/>
              </w:rPr>
            </w:pPr>
            <w:r w:rsidRPr="0012760D">
              <w:rPr>
                <w:sz w:val="24"/>
                <w:szCs w:val="24"/>
                <w:lang w:val="en-US"/>
              </w:rPr>
              <w:t>Provisions related to employee benefit on-costs</w:t>
            </w:r>
          </w:p>
        </w:tc>
        <w:tc>
          <w:tcPr>
            <w:tcW w:w="1169" w:type="pct"/>
            <w:shd w:val="clear" w:color="auto" w:fill="auto"/>
            <w:vAlign w:val="bottom"/>
          </w:tcPr>
          <w:p w:rsidR="00DC226B" w:rsidRPr="0012760D" w:rsidRDefault="00DC226B" w:rsidP="00407410">
            <w:pPr>
              <w:jc w:val="right"/>
              <w:rPr>
                <w:sz w:val="24"/>
                <w:szCs w:val="24"/>
              </w:rPr>
            </w:pPr>
            <w:r w:rsidRPr="0012760D">
              <w:rPr>
                <w:sz w:val="24"/>
                <w:szCs w:val="24"/>
                <w:lang w:val="en-US"/>
              </w:rPr>
              <w:t>47,395</w:t>
            </w:r>
          </w:p>
        </w:tc>
        <w:tc>
          <w:tcPr>
            <w:tcW w:w="1051" w:type="pct"/>
            <w:shd w:val="clear" w:color="auto" w:fill="auto"/>
            <w:vAlign w:val="bottom"/>
          </w:tcPr>
          <w:p w:rsidR="00DC226B" w:rsidRPr="0012760D" w:rsidRDefault="00DC226B" w:rsidP="00407410">
            <w:pPr>
              <w:jc w:val="right"/>
              <w:rPr>
                <w:sz w:val="24"/>
                <w:szCs w:val="24"/>
              </w:rPr>
            </w:pPr>
            <w:r w:rsidRPr="0012760D">
              <w:rPr>
                <w:sz w:val="24"/>
                <w:szCs w:val="24"/>
                <w:lang w:val="en-US"/>
              </w:rPr>
              <w:t>66,502</w:t>
            </w:r>
          </w:p>
        </w:tc>
      </w:tr>
      <w:tr w:rsidR="00DC226B" w:rsidRPr="0012760D" w:rsidTr="00907E0B">
        <w:tblPrEx>
          <w:tblCellMar>
            <w:top w:w="0" w:type="dxa"/>
            <w:bottom w:w="0" w:type="dxa"/>
          </w:tblCellMar>
        </w:tblPrEx>
        <w:tc>
          <w:tcPr>
            <w:tcW w:w="2780" w:type="pct"/>
            <w:shd w:val="clear" w:color="auto" w:fill="auto"/>
          </w:tcPr>
          <w:p w:rsidR="00DC226B" w:rsidRPr="0012760D" w:rsidRDefault="00DC226B" w:rsidP="00907E0B">
            <w:pPr>
              <w:rPr>
                <w:sz w:val="24"/>
                <w:szCs w:val="24"/>
              </w:rPr>
            </w:pPr>
            <w:r w:rsidRPr="0012760D">
              <w:rPr>
                <w:bCs/>
                <w:sz w:val="24"/>
                <w:szCs w:val="24"/>
                <w:lang w:val="en-US"/>
              </w:rPr>
              <w:t>Total</w:t>
            </w:r>
          </w:p>
        </w:tc>
        <w:tc>
          <w:tcPr>
            <w:tcW w:w="1169" w:type="pct"/>
            <w:shd w:val="clear" w:color="auto" w:fill="auto"/>
          </w:tcPr>
          <w:p w:rsidR="00DC226B" w:rsidRPr="0012760D" w:rsidRDefault="00DC226B" w:rsidP="00907E0B">
            <w:pPr>
              <w:jc w:val="right"/>
              <w:rPr>
                <w:sz w:val="24"/>
                <w:szCs w:val="24"/>
              </w:rPr>
            </w:pPr>
            <w:r w:rsidRPr="0012760D">
              <w:rPr>
                <w:bCs/>
                <w:sz w:val="24"/>
                <w:szCs w:val="24"/>
                <w:lang w:val="en-US"/>
              </w:rPr>
              <w:t>1,908,185</w:t>
            </w:r>
          </w:p>
        </w:tc>
        <w:tc>
          <w:tcPr>
            <w:tcW w:w="1051" w:type="pct"/>
            <w:shd w:val="clear" w:color="auto" w:fill="auto"/>
          </w:tcPr>
          <w:p w:rsidR="00DC226B" w:rsidRPr="0012760D" w:rsidRDefault="00DC226B" w:rsidP="00907E0B">
            <w:pPr>
              <w:jc w:val="right"/>
              <w:rPr>
                <w:sz w:val="24"/>
                <w:szCs w:val="24"/>
              </w:rPr>
            </w:pPr>
            <w:r w:rsidRPr="0012760D">
              <w:rPr>
                <w:bCs/>
                <w:sz w:val="24"/>
                <w:szCs w:val="24"/>
                <w:lang w:val="en-US"/>
              </w:rPr>
              <w:t>2,067,731</w:t>
            </w:r>
          </w:p>
        </w:tc>
      </w:tr>
      <w:tr w:rsidR="00DC226B" w:rsidRPr="0012760D" w:rsidTr="00907E0B">
        <w:tblPrEx>
          <w:tblCellMar>
            <w:top w:w="0" w:type="dxa"/>
            <w:bottom w:w="0" w:type="dxa"/>
          </w:tblCellMar>
        </w:tblPrEx>
        <w:tc>
          <w:tcPr>
            <w:tcW w:w="5000" w:type="pct"/>
            <w:gridSpan w:val="3"/>
            <w:shd w:val="clear" w:color="auto" w:fill="auto"/>
          </w:tcPr>
          <w:p w:rsidR="00DC226B" w:rsidRPr="0012760D" w:rsidRDefault="00DC226B" w:rsidP="00907E0B">
            <w:pPr>
              <w:rPr>
                <w:sz w:val="24"/>
                <w:szCs w:val="24"/>
              </w:rPr>
            </w:pPr>
            <w:r w:rsidRPr="0012760D">
              <w:rPr>
                <w:sz w:val="24"/>
                <w:szCs w:val="24"/>
                <w:lang w:val="en-US"/>
              </w:rPr>
              <w:t>Non-current</w:t>
            </w:r>
          </w:p>
        </w:tc>
      </w:tr>
      <w:tr w:rsidR="00DC226B" w:rsidRPr="0012760D" w:rsidTr="00907E0B">
        <w:tblPrEx>
          <w:tblCellMar>
            <w:top w:w="0" w:type="dxa"/>
            <w:bottom w:w="0" w:type="dxa"/>
          </w:tblCellMar>
        </w:tblPrEx>
        <w:tc>
          <w:tcPr>
            <w:tcW w:w="2780" w:type="pct"/>
            <w:shd w:val="clear" w:color="auto" w:fill="auto"/>
          </w:tcPr>
          <w:p w:rsidR="00DC226B" w:rsidRPr="0012760D" w:rsidRDefault="00DC226B" w:rsidP="00907E0B">
            <w:pPr>
              <w:rPr>
                <w:sz w:val="24"/>
                <w:szCs w:val="24"/>
              </w:rPr>
            </w:pPr>
            <w:r w:rsidRPr="0012760D">
              <w:rPr>
                <w:sz w:val="24"/>
                <w:szCs w:val="24"/>
                <w:lang w:val="en-US"/>
              </w:rPr>
              <w:t>Conditional Long Service Leave</w:t>
            </w:r>
          </w:p>
        </w:tc>
        <w:tc>
          <w:tcPr>
            <w:tcW w:w="1169" w:type="pct"/>
            <w:shd w:val="clear" w:color="auto" w:fill="auto"/>
          </w:tcPr>
          <w:p w:rsidR="00DC226B" w:rsidRPr="0012760D" w:rsidRDefault="00DC226B" w:rsidP="00907E0B">
            <w:pPr>
              <w:jc w:val="right"/>
              <w:rPr>
                <w:sz w:val="24"/>
                <w:szCs w:val="24"/>
              </w:rPr>
            </w:pPr>
            <w:r w:rsidRPr="0012760D">
              <w:rPr>
                <w:sz w:val="24"/>
                <w:szCs w:val="24"/>
                <w:lang w:val="en-US"/>
              </w:rPr>
              <w:t>307,672</w:t>
            </w:r>
          </w:p>
        </w:tc>
        <w:tc>
          <w:tcPr>
            <w:tcW w:w="1051" w:type="pct"/>
            <w:shd w:val="clear" w:color="auto" w:fill="auto"/>
          </w:tcPr>
          <w:p w:rsidR="00DC226B" w:rsidRPr="0012760D" w:rsidRDefault="00DC226B" w:rsidP="00907E0B">
            <w:pPr>
              <w:jc w:val="right"/>
              <w:rPr>
                <w:sz w:val="24"/>
                <w:szCs w:val="24"/>
              </w:rPr>
            </w:pPr>
            <w:r w:rsidRPr="0012760D">
              <w:rPr>
                <w:sz w:val="24"/>
                <w:szCs w:val="24"/>
                <w:lang w:val="en-US"/>
              </w:rPr>
              <w:t>383,610</w:t>
            </w:r>
          </w:p>
        </w:tc>
      </w:tr>
      <w:tr w:rsidR="00DC226B" w:rsidRPr="0012760D" w:rsidTr="00907E0B">
        <w:tblPrEx>
          <w:tblCellMar>
            <w:top w:w="0" w:type="dxa"/>
            <w:bottom w:w="0" w:type="dxa"/>
          </w:tblCellMar>
        </w:tblPrEx>
        <w:tc>
          <w:tcPr>
            <w:tcW w:w="2780" w:type="pct"/>
            <w:shd w:val="clear" w:color="auto" w:fill="auto"/>
          </w:tcPr>
          <w:p w:rsidR="00DC226B" w:rsidRPr="0012760D" w:rsidRDefault="00DC226B" w:rsidP="00907E0B">
            <w:pPr>
              <w:rPr>
                <w:sz w:val="24"/>
                <w:szCs w:val="24"/>
              </w:rPr>
            </w:pPr>
            <w:r w:rsidRPr="0012760D">
              <w:rPr>
                <w:sz w:val="24"/>
                <w:szCs w:val="24"/>
                <w:lang w:val="en-US"/>
              </w:rPr>
              <w:t>Provisions related to employee benefit on-costs</w:t>
            </w:r>
          </w:p>
        </w:tc>
        <w:tc>
          <w:tcPr>
            <w:tcW w:w="1169" w:type="pct"/>
            <w:shd w:val="clear" w:color="auto" w:fill="auto"/>
          </w:tcPr>
          <w:p w:rsidR="00DC226B" w:rsidRPr="0012760D" w:rsidRDefault="00DC226B" w:rsidP="00907E0B">
            <w:pPr>
              <w:jc w:val="right"/>
              <w:rPr>
                <w:sz w:val="24"/>
                <w:szCs w:val="24"/>
              </w:rPr>
            </w:pPr>
            <w:r w:rsidRPr="0012760D">
              <w:rPr>
                <w:sz w:val="24"/>
                <w:szCs w:val="24"/>
                <w:lang w:val="en-US"/>
              </w:rPr>
              <w:t>48,096</w:t>
            </w:r>
          </w:p>
        </w:tc>
        <w:tc>
          <w:tcPr>
            <w:tcW w:w="1051" w:type="pct"/>
            <w:shd w:val="clear" w:color="auto" w:fill="auto"/>
          </w:tcPr>
          <w:p w:rsidR="00DC226B" w:rsidRPr="0012760D" w:rsidRDefault="00DC226B" w:rsidP="00907E0B">
            <w:pPr>
              <w:jc w:val="right"/>
              <w:rPr>
                <w:sz w:val="24"/>
                <w:szCs w:val="24"/>
              </w:rPr>
            </w:pPr>
            <w:r w:rsidRPr="0012760D">
              <w:rPr>
                <w:sz w:val="24"/>
                <w:szCs w:val="24"/>
                <w:lang w:val="en-US"/>
              </w:rPr>
              <w:t>63,464</w:t>
            </w:r>
          </w:p>
        </w:tc>
      </w:tr>
      <w:tr w:rsidR="00DC226B" w:rsidRPr="0012760D" w:rsidTr="00907E0B">
        <w:tblPrEx>
          <w:tblCellMar>
            <w:top w:w="0" w:type="dxa"/>
            <w:bottom w:w="0" w:type="dxa"/>
          </w:tblCellMar>
        </w:tblPrEx>
        <w:tc>
          <w:tcPr>
            <w:tcW w:w="2780" w:type="pct"/>
            <w:shd w:val="clear" w:color="auto" w:fill="auto"/>
          </w:tcPr>
          <w:p w:rsidR="00DC226B" w:rsidRPr="0012760D" w:rsidRDefault="00DC226B" w:rsidP="00907E0B">
            <w:pPr>
              <w:rPr>
                <w:sz w:val="24"/>
                <w:szCs w:val="24"/>
              </w:rPr>
            </w:pPr>
            <w:r w:rsidRPr="0012760D">
              <w:rPr>
                <w:bCs/>
                <w:sz w:val="24"/>
                <w:szCs w:val="24"/>
                <w:lang w:val="en-US"/>
              </w:rPr>
              <w:t>Total</w:t>
            </w:r>
          </w:p>
        </w:tc>
        <w:tc>
          <w:tcPr>
            <w:tcW w:w="1169" w:type="pct"/>
            <w:shd w:val="clear" w:color="auto" w:fill="auto"/>
          </w:tcPr>
          <w:p w:rsidR="00DC226B" w:rsidRPr="0012760D" w:rsidRDefault="00DC226B" w:rsidP="00907E0B">
            <w:pPr>
              <w:jc w:val="right"/>
              <w:rPr>
                <w:sz w:val="24"/>
                <w:szCs w:val="24"/>
              </w:rPr>
            </w:pPr>
            <w:r w:rsidRPr="0012760D">
              <w:rPr>
                <w:bCs/>
                <w:sz w:val="24"/>
                <w:szCs w:val="24"/>
                <w:lang w:val="en-US"/>
              </w:rPr>
              <w:t>355,768</w:t>
            </w:r>
          </w:p>
        </w:tc>
        <w:tc>
          <w:tcPr>
            <w:tcW w:w="1051" w:type="pct"/>
            <w:shd w:val="clear" w:color="auto" w:fill="auto"/>
          </w:tcPr>
          <w:p w:rsidR="00DC226B" w:rsidRPr="0012760D" w:rsidRDefault="00DC226B" w:rsidP="00907E0B">
            <w:pPr>
              <w:jc w:val="right"/>
              <w:rPr>
                <w:sz w:val="24"/>
                <w:szCs w:val="24"/>
              </w:rPr>
            </w:pPr>
            <w:r w:rsidRPr="0012760D">
              <w:rPr>
                <w:bCs/>
                <w:sz w:val="24"/>
                <w:szCs w:val="24"/>
                <w:lang w:val="en-US"/>
              </w:rPr>
              <w:t>447,074</w:t>
            </w:r>
          </w:p>
        </w:tc>
      </w:tr>
      <w:tr w:rsidR="00DC226B" w:rsidRPr="0012760D" w:rsidTr="00907E0B">
        <w:tblPrEx>
          <w:tblCellMar>
            <w:top w:w="0" w:type="dxa"/>
            <w:bottom w:w="0" w:type="dxa"/>
          </w:tblCellMar>
        </w:tblPrEx>
        <w:tc>
          <w:tcPr>
            <w:tcW w:w="2780" w:type="pct"/>
            <w:shd w:val="clear" w:color="auto" w:fill="auto"/>
          </w:tcPr>
          <w:p w:rsidR="00DC226B" w:rsidRPr="0012760D" w:rsidRDefault="00DC226B" w:rsidP="00907E0B">
            <w:pPr>
              <w:rPr>
                <w:sz w:val="24"/>
                <w:szCs w:val="24"/>
              </w:rPr>
            </w:pPr>
            <w:r w:rsidRPr="0012760D">
              <w:rPr>
                <w:bCs/>
                <w:sz w:val="24"/>
                <w:szCs w:val="24"/>
                <w:lang w:val="en-US"/>
              </w:rPr>
              <w:t>Total Provisions</w:t>
            </w:r>
          </w:p>
        </w:tc>
        <w:tc>
          <w:tcPr>
            <w:tcW w:w="1169" w:type="pct"/>
            <w:shd w:val="clear" w:color="auto" w:fill="auto"/>
          </w:tcPr>
          <w:p w:rsidR="00DC226B" w:rsidRPr="0012760D" w:rsidRDefault="00DC226B" w:rsidP="00907E0B">
            <w:pPr>
              <w:jc w:val="right"/>
              <w:rPr>
                <w:sz w:val="24"/>
                <w:szCs w:val="24"/>
              </w:rPr>
            </w:pPr>
            <w:r w:rsidRPr="0012760D">
              <w:rPr>
                <w:bCs/>
                <w:sz w:val="24"/>
                <w:szCs w:val="24"/>
                <w:lang w:val="en-US"/>
              </w:rPr>
              <w:t>2,263,953</w:t>
            </w:r>
          </w:p>
        </w:tc>
        <w:tc>
          <w:tcPr>
            <w:tcW w:w="1051" w:type="pct"/>
            <w:shd w:val="clear" w:color="auto" w:fill="auto"/>
          </w:tcPr>
          <w:p w:rsidR="00DC226B" w:rsidRPr="0012760D" w:rsidRDefault="00DC226B" w:rsidP="00907E0B">
            <w:pPr>
              <w:jc w:val="right"/>
              <w:rPr>
                <w:sz w:val="24"/>
                <w:szCs w:val="24"/>
              </w:rPr>
            </w:pPr>
            <w:r w:rsidRPr="0012760D">
              <w:rPr>
                <w:bCs/>
                <w:sz w:val="24"/>
                <w:szCs w:val="24"/>
                <w:lang w:val="en-US"/>
              </w:rPr>
              <w:t>2,514,805</w:t>
            </w:r>
          </w:p>
        </w:tc>
      </w:tr>
    </w:tbl>
    <w:p w:rsidR="00DC226B" w:rsidRDefault="00DC226B" w:rsidP="00DC226B">
      <w:pPr>
        <w:rPr>
          <w:bCs/>
          <w:sz w:val="24"/>
          <w:szCs w:val="24"/>
          <w:lang w:val="en-US"/>
        </w:rPr>
      </w:pPr>
    </w:p>
    <w:p w:rsidR="00AF2D9F" w:rsidRPr="0012760D" w:rsidRDefault="00AF2D9F" w:rsidP="00DC226B">
      <w:pPr>
        <w:rPr>
          <w:bCs/>
          <w:sz w:val="24"/>
          <w:szCs w:val="24"/>
          <w:lang w:val="en-US"/>
        </w:rPr>
      </w:pPr>
    </w:p>
    <w:p w:rsidR="00DC226B" w:rsidRPr="0012760D" w:rsidRDefault="00DC226B" w:rsidP="00AF2D9F">
      <w:pPr>
        <w:pStyle w:val="Heading2"/>
        <w:rPr>
          <w:lang w:val="en-US"/>
        </w:rPr>
      </w:pPr>
      <w:r w:rsidRPr="0012760D">
        <w:rPr>
          <w:lang w:val="en-US"/>
        </w:rPr>
        <w:t>12. Borrowings</w:t>
      </w:r>
    </w:p>
    <w:p w:rsidR="00DC226B" w:rsidRPr="0012760D" w:rsidRDefault="00DC226B" w:rsidP="00DC226B">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5196"/>
        <w:gridCol w:w="2168"/>
        <w:gridCol w:w="1745"/>
      </w:tblGrid>
      <w:tr w:rsidR="00DC226B" w:rsidRPr="0012760D" w:rsidTr="00907E0B">
        <w:tblPrEx>
          <w:tblCellMar>
            <w:top w:w="0" w:type="dxa"/>
            <w:bottom w:w="0" w:type="dxa"/>
          </w:tblCellMar>
        </w:tblPrEx>
        <w:trPr>
          <w:trHeight w:val="230"/>
        </w:trPr>
        <w:tc>
          <w:tcPr>
            <w:tcW w:w="2852" w:type="pct"/>
            <w:shd w:val="clear" w:color="auto" w:fill="auto"/>
          </w:tcPr>
          <w:p w:rsidR="00DC226B" w:rsidRPr="0012760D" w:rsidRDefault="00DC226B" w:rsidP="00907E0B">
            <w:pPr>
              <w:rPr>
                <w:sz w:val="24"/>
                <w:szCs w:val="24"/>
              </w:rPr>
            </w:pPr>
          </w:p>
        </w:tc>
        <w:tc>
          <w:tcPr>
            <w:tcW w:w="1190" w:type="pct"/>
            <w:shd w:val="clear" w:color="auto" w:fill="auto"/>
          </w:tcPr>
          <w:p w:rsidR="00DC226B" w:rsidRPr="0012760D" w:rsidRDefault="00DC226B" w:rsidP="00907E0B">
            <w:pPr>
              <w:jc w:val="right"/>
              <w:rPr>
                <w:sz w:val="24"/>
                <w:szCs w:val="24"/>
              </w:rPr>
            </w:pPr>
            <w:r w:rsidRPr="0012760D">
              <w:rPr>
                <w:bCs/>
                <w:sz w:val="24"/>
                <w:szCs w:val="24"/>
                <w:lang w:val="en-US"/>
              </w:rPr>
              <w:t>2013 $</w:t>
            </w:r>
          </w:p>
        </w:tc>
        <w:tc>
          <w:tcPr>
            <w:tcW w:w="958" w:type="pct"/>
            <w:shd w:val="clear" w:color="auto" w:fill="auto"/>
          </w:tcPr>
          <w:p w:rsidR="00DC226B" w:rsidRPr="0012760D" w:rsidRDefault="00DC226B" w:rsidP="00907E0B">
            <w:pPr>
              <w:jc w:val="right"/>
              <w:rPr>
                <w:sz w:val="24"/>
                <w:szCs w:val="24"/>
              </w:rPr>
            </w:pPr>
            <w:r w:rsidRPr="0012760D">
              <w:rPr>
                <w:bCs/>
                <w:sz w:val="24"/>
                <w:szCs w:val="24"/>
                <w:lang w:val="en-US"/>
              </w:rPr>
              <w:t>2012 $</w:t>
            </w:r>
          </w:p>
        </w:tc>
      </w:tr>
      <w:tr w:rsidR="00DC226B" w:rsidRPr="0012760D" w:rsidTr="00907E0B">
        <w:tblPrEx>
          <w:tblCellMar>
            <w:top w:w="0" w:type="dxa"/>
            <w:bottom w:w="0" w:type="dxa"/>
          </w:tblCellMar>
        </w:tblPrEx>
        <w:trPr>
          <w:trHeight w:val="293"/>
        </w:trPr>
        <w:tc>
          <w:tcPr>
            <w:tcW w:w="5000" w:type="pct"/>
            <w:gridSpan w:val="3"/>
            <w:shd w:val="clear" w:color="auto" w:fill="auto"/>
          </w:tcPr>
          <w:p w:rsidR="00DC226B" w:rsidRPr="0012760D" w:rsidRDefault="00DC226B" w:rsidP="00907E0B">
            <w:pPr>
              <w:rPr>
                <w:sz w:val="24"/>
                <w:szCs w:val="24"/>
              </w:rPr>
            </w:pPr>
            <w:r w:rsidRPr="0012760D">
              <w:rPr>
                <w:bCs/>
                <w:sz w:val="24"/>
                <w:szCs w:val="24"/>
                <w:lang w:val="en-US"/>
              </w:rPr>
              <w:t>Current Borrowings</w:t>
            </w:r>
          </w:p>
        </w:tc>
      </w:tr>
      <w:tr w:rsidR="00DC226B" w:rsidRPr="0012760D" w:rsidTr="00907E0B">
        <w:tblPrEx>
          <w:tblCellMar>
            <w:top w:w="0" w:type="dxa"/>
            <w:bottom w:w="0" w:type="dxa"/>
          </w:tblCellMar>
        </w:tblPrEx>
        <w:trPr>
          <w:trHeight w:val="283"/>
        </w:trPr>
        <w:tc>
          <w:tcPr>
            <w:tcW w:w="2852" w:type="pct"/>
            <w:shd w:val="clear" w:color="auto" w:fill="auto"/>
          </w:tcPr>
          <w:p w:rsidR="00DC226B" w:rsidRPr="0012760D" w:rsidRDefault="00DC226B" w:rsidP="00907E0B">
            <w:pPr>
              <w:rPr>
                <w:sz w:val="24"/>
                <w:szCs w:val="24"/>
              </w:rPr>
            </w:pPr>
            <w:r w:rsidRPr="0012760D">
              <w:rPr>
                <w:sz w:val="24"/>
                <w:szCs w:val="24"/>
                <w:lang w:val="en-US"/>
              </w:rPr>
              <w:t>Lease Liabilities</w:t>
            </w:r>
          </w:p>
        </w:tc>
        <w:tc>
          <w:tcPr>
            <w:tcW w:w="1190" w:type="pct"/>
            <w:shd w:val="clear" w:color="auto" w:fill="auto"/>
          </w:tcPr>
          <w:p w:rsidR="00DC226B" w:rsidRPr="0012760D" w:rsidRDefault="00DC226B" w:rsidP="00907E0B">
            <w:pPr>
              <w:jc w:val="right"/>
              <w:rPr>
                <w:sz w:val="24"/>
                <w:szCs w:val="24"/>
              </w:rPr>
            </w:pPr>
            <w:r w:rsidRPr="0012760D">
              <w:rPr>
                <w:sz w:val="24"/>
                <w:szCs w:val="24"/>
                <w:lang w:val="en-US"/>
              </w:rPr>
              <w:t>133,655</w:t>
            </w:r>
          </w:p>
        </w:tc>
        <w:tc>
          <w:tcPr>
            <w:tcW w:w="958" w:type="pct"/>
            <w:shd w:val="clear" w:color="auto" w:fill="auto"/>
          </w:tcPr>
          <w:p w:rsidR="00DC226B" w:rsidRPr="0012760D" w:rsidRDefault="00DC226B" w:rsidP="00907E0B">
            <w:pPr>
              <w:jc w:val="right"/>
              <w:rPr>
                <w:sz w:val="24"/>
                <w:szCs w:val="24"/>
              </w:rPr>
            </w:pPr>
            <w:r w:rsidRPr="0012760D">
              <w:rPr>
                <w:sz w:val="24"/>
                <w:szCs w:val="24"/>
                <w:lang w:val="en-US"/>
              </w:rPr>
              <w:t>153,017</w:t>
            </w:r>
          </w:p>
        </w:tc>
      </w:tr>
      <w:tr w:rsidR="00DC226B" w:rsidRPr="0012760D" w:rsidTr="00907E0B">
        <w:tblPrEx>
          <w:tblCellMar>
            <w:top w:w="0" w:type="dxa"/>
            <w:bottom w:w="0" w:type="dxa"/>
          </w:tblCellMar>
        </w:tblPrEx>
        <w:trPr>
          <w:trHeight w:val="312"/>
        </w:trPr>
        <w:tc>
          <w:tcPr>
            <w:tcW w:w="2852" w:type="pct"/>
            <w:shd w:val="clear" w:color="auto" w:fill="auto"/>
          </w:tcPr>
          <w:p w:rsidR="00DC226B" w:rsidRPr="0012760D" w:rsidRDefault="00DC226B" w:rsidP="00907E0B">
            <w:pPr>
              <w:rPr>
                <w:sz w:val="24"/>
                <w:szCs w:val="24"/>
              </w:rPr>
            </w:pPr>
            <w:r w:rsidRPr="0012760D">
              <w:rPr>
                <w:bCs/>
                <w:sz w:val="24"/>
                <w:szCs w:val="24"/>
                <w:lang w:val="en-US"/>
              </w:rPr>
              <w:t>Total Current Borrowings</w:t>
            </w:r>
          </w:p>
        </w:tc>
        <w:tc>
          <w:tcPr>
            <w:tcW w:w="1190" w:type="pct"/>
            <w:shd w:val="clear" w:color="auto" w:fill="auto"/>
          </w:tcPr>
          <w:p w:rsidR="00DC226B" w:rsidRPr="0012760D" w:rsidRDefault="00DC226B" w:rsidP="00907E0B">
            <w:pPr>
              <w:jc w:val="right"/>
              <w:rPr>
                <w:sz w:val="24"/>
                <w:szCs w:val="24"/>
              </w:rPr>
            </w:pPr>
            <w:r w:rsidRPr="0012760D">
              <w:rPr>
                <w:bCs/>
                <w:sz w:val="24"/>
                <w:szCs w:val="24"/>
                <w:lang w:val="en-US"/>
              </w:rPr>
              <w:t>133,655</w:t>
            </w:r>
          </w:p>
        </w:tc>
        <w:tc>
          <w:tcPr>
            <w:tcW w:w="958" w:type="pct"/>
            <w:shd w:val="clear" w:color="auto" w:fill="auto"/>
          </w:tcPr>
          <w:p w:rsidR="00DC226B" w:rsidRPr="0012760D" w:rsidRDefault="00DC226B" w:rsidP="00907E0B">
            <w:pPr>
              <w:jc w:val="right"/>
              <w:rPr>
                <w:sz w:val="24"/>
                <w:szCs w:val="24"/>
              </w:rPr>
            </w:pPr>
            <w:r w:rsidRPr="0012760D">
              <w:rPr>
                <w:bCs/>
                <w:sz w:val="24"/>
                <w:szCs w:val="24"/>
                <w:lang w:val="en-US"/>
              </w:rPr>
              <w:t>153,017</w:t>
            </w:r>
          </w:p>
        </w:tc>
      </w:tr>
      <w:tr w:rsidR="00DC226B" w:rsidRPr="0012760D" w:rsidTr="00907E0B">
        <w:tblPrEx>
          <w:tblCellMar>
            <w:top w:w="0" w:type="dxa"/>
            <w:bottom w:w="0" w:type="dxa"/>
          </w:tblCellMar>
        </w:tblPrEx>
        <w:trPr>
          <w:trHeight w:val="288"/>
        </w:trPr>
        <w:tc>
          <w:tcPr>
            <w:tcW w:w="5000" w:type="pct"/>
            <w:gridSpan w:val="3"/>
            <w:shd w:val="clear" w:color="auto" w:fill="auto"/>
          </w:tcPr>
          <w:p w:rsidR="00DC226B" w:rsidRPr="0012760D" w:rsidRDefault="00DC226B" w:rsidP="00907E0B">
            <w:pPr>
              <w:rPr>
                <w:sz w:val="24"/>
                <w:szCs w:val="24"/>
              </w:rPr>
            </w:pPr>
            <w:r w:rsidRPr="0012760D">
              <w:rPr>
                <w:bCs/>
                <w:sz w:val="24"/>
                <w:szCs w:val="24"/>
                <w:lang w:val="en-US"/>
              </w:rPr>
              <w:t>Non-Current Borrowings</w:t>
            </w:r>
          </w:p>
        </w:tc>
      </w:tr>
      <w:tr w:rsidR="00DC226B" w:rsidRPr="0012760D" w:rsidTr="00907E0B">
        <w:tblPrEx>
          <w:tblCellMar>
            <w:top w:w="0" w:type="dxa"/>
            <w:bottom w:w="0" w:type="dxa"/>
          </w:tblCellMar>
        </w:tblPrEx>
        <w:trPr>
          <w:trHeight w:val="264"/>
        </w:trPr>
        <w:tc>
          <w:tcPr>
            <w:tcW w:w="2852" w:type="pct"/>
            <w:shd w:val="clear" w:color="auto" w:fill="auto"/>
          </w:tcPr>
          <w:p w:rsidR="00DC226B" w:rsidRPr="0012760D" w:rsidRDefault="00DC226B" w:rsidP="00907E0B">
            <w:pPr>
              <w:rPr>
                <w:sz w:val="24"/>
                <w:szCs w:val="24"/>
              </w:rPr>
            </w:pPr>
            <w:r w:rsidRPr="0012760D">
              <w:rPr>
                <w:sz w:val="24"/>
                <w:szCs w:val="24"/>
                <w:lang w:val="en-US"/>
              </w:rPr>
              <w:t>Lease Liabilities</w:t>
            </w:r>
          </w:p>
        </w:tc>
        <w:tc>
          <w:tcPr>
            <w:tcW w:w="1190" w:type="pct"/>
            <w:shd w:val="clear" w:color="auto" w:fill="auto"/>
          </w:tcPr>
          <w:p w:rsidR="00DC226B" w:rsidRPr="0012760D" w:rsidRDefault="00DC226B" w:rsidP="00907E0B">
            <w:pPr>
              <w:jc w:val="right"/>
              <w:rPr>
                <w:sz w:val="24"/>
                <w:szCs w:val="24"/>
              </w:rPr>
            </w:pPr>
            <w:r w:rsidRPr="0012760D">
              <w:rPr>
                <w:sz w:val="24"/>
                <w:szCs w:val="24"/>
                <w:lang w:val="en-US"/>
              </w:rPr>
              <w:t>45,857</w:t>
            </w:r>
          </w:p>
        </w:tc>
        <w:tc>
          <w:tcPr>
            <w:tcW w:w="958" w:type="pct"/>
            <w:shd w:val="clear" w:color="auto" w:fill="auto"/>
          </w:tcPr>
          <w:p w:rsidR="00DC226B" w:rsidRPr="0012760D" w:rsidRDefault="00DC226B" w:rsidP="00907E0B">
            <w:pPr>
              <w:jc w:val="right"/>
              <w:rPr>
                <w:sz w:val="24"/>
                <w:szCs w:val="24"/>
              </w:rPr>
            </w:pPr>
            <w:r w:rsidRPr="0012760D">
              <w:rPr>
                <w:sz w:val="24"/>
                <w:szCs w:val="24"/>
                <w:lang w:val="en-US"/>
              </w:rPr>
              <w:t>39,139</w:t>
            </w:r>
          </w:p>
        </w:tc>
      </w:tr>
      <w:tr w:rsidR="00DC226B" w:rsidRPr="0012760D" w:rsidTr="00907E0B">
        <w:tblPrEx>
          <w:tblCellMar>
            <w:top w:w="0" w:type="dxa"/>
            <w:bottom w:w="0" w:type="dxa"/>
          </w:tblCellMar>
        </w:tblPrEx>
        <w:trPr>
          <w:trHeight w:val="274"/>
        </w:trPr>
        <w:tc>
          <w:tcPr>
            <w:tcW w:w="2852" w:type="pct"/>
            <w:shd w:val="clear" w:color="auto" w:fill="auto"/>
          </w:tcPr>
          <w:p w:rsidR="00DC226B" w:rsidRPr="0012760D" w:rsidRDefault="00DC226B" w:rsidP="00907E0B">
            <w:pPr>
              <w:rPr>
                <w:sz w:val="24"/>
                <w:szCs w:val="24"/>
              </w:rPr>
            </w:pPr>
            <w:r w:rsidRPr="0012760D">
              <w:rPr>
                <w:bCs/>
                <w:sz w:val="24"/>
                <w:szCs w:val="24"/>
                <w:lang w:val="en-US"/>
              </w:rPr>
              <w:t>Total Non-Current Borrowings</w:t>
            </w:r>
          </w:p>
        </w:tc>
        <w:tc>
          <w:tcPr>
            <w:tcW w:w="1190" w:type="pct"/>
            <w:shd w:val="clear" w:color="auto" w:fill="auto"/>
          </w:tcPr>
          <w:p w:rsidR="00DC226B" w:rsidRPr="0012760D" w:rsidRDefault="00DC226B" w:rsidP="00907E0B">
            <w:pPr>
              <w:jc w:val="right"/>
              <w:rPr>
                <w:sz w:val="24"/>
                <w:szCs w:val="24"/>
              </w:rPr>
            </w:pPr>
            <w:r w:rsidRPr="0012760D">
              <w:rPr>
                <w:bCs/>
                <w:sz w:val="24"/>
                <w:szCs w:val="24"/>
                <w:lang w:val="en-US"/>
              </w:rPr>
              <w:t>45,857</w:t>
            </w:r>
          </w:p>
        </w:tc>
        <w:tc>
          <w:tcPr>
            <w:tcW w:w="958" w:type="pct"/>
            <w:shd w:val="clear" w:color="auto" w:fill="auto"/>
          </w:tcPr>
          <w:p w:rsidR="00DC226B" w:rsidRPr="0012760D" w:rsidRDefault="00DC226B" w:rsidP="00907E0B">
            <w:pPr>
              <w:jc w:val="right"/>
              <w:rPr>
                <w:sz w:val="24"/>
                <w:szCs w:val="24"/>
              </w:rPr>
            </w:pPr>
            <w:r w:rsidRPr="0012760D">
              <w:rPr>
                <w:bCs/>
                <w:sz w:val="24"/>
                <w:szCs w:val="24"/>
                <w:lang w:val="en-US"/>
              </w:rPr>
              <w:t>39,139</w:t>
            </w:r>
          </w:p>
        </w:tc>
      </w:tr>
      <w:tr w:rsidR="00DC226B" w:rsidRPr="0012760D" w:rsidTr="00907E0B">
        <w:tblPrEx>
          <w:tblCellMar>
            <w:top w:w="0" w:type="dxa"/>
            <w:bottom w:w="0" w:type="dxa"/>
          </w:tblCellMar>
        </w:tblPrEx>
        <w:trPr>
          <w:trHeight w:val="278"/>
        </w:trPr>
        <w:tc>
          <w:tcPr>
            <w:tcW w:w="2852" w:type="pct"/>
            <w:shd w:val="clear" w:color="auto" w:fill="auto"/>
          </w:tcPr>
          <w:p w:rsidR="00DC226B" w:rsidRPr="0012760D" w:rsidRDefault="00DC226B" w:rsidP="00907E0B">
            <w:pPr>
              <w:rPr>
                <w:sz w:val="24"/>
                <w:szCs w:val="24"/>
              </w:rPr>
            </w:pPr>
            <w:r w:rsidRPr="0012760D">
              <w:rPr>
                <w:bCs/>
                <w:sz w:val="24"/>
                <w:szCs w:val="24"/>
                <w:lang w:val="en-US"/>
              </w:rPr>
              <w:t>Total Borrowings</w:t>
            </w:r>
          </w:p>
        </w:tc>
        <w:tc>
          <w:tcPr>
            <w:tcW w:w="1190" w:type="pct"/>
            <w:shd w:val="clear" w:color="auto" w:fill="auto"/>
          </w:tcPr>
          <w:p w:rsidR="00DC226B" w:rsidRPr="0012760D" w:rsidRDefault="00DC226B" w:rsidP="00907E0B">
            <w:pPr>
              <w:jc w:val="right"/>
              <w:rPr>
                <w:sz w:val="24"/>
                <w:szCs w:val="24"/>
              </w:rPr>
            </w:pPr>
            <w:r w:rsidRPr="0012760D">
              <w:rPr>
                <w:bCs/>
                <w:sz w:val="24"/>
                <w:szCs w:val="24"/>
                <w:lang w:val="en-US"/>
              </w:rPr>
              <w:t>179,512</w:t>
            </w:r>
          </w:p>
        </w:tc>
        <w:tc>
          <w:tcPr>
            <w:tcW w:w="958" w:type="pct"/>
            <w:shd w:val="clear" w:color="auto" w:fill="auto"/>
          </w:tcPr>
          <w:p w:rsidR="00DC226B" w:rsidRPr="0012760D" w:rsidRDefault="00DC226B" w:rsidP="00907E0B">
            <w:pPr>
              <w:jc w:val="right"/>
              <w:rPr>
                <w:sz w:val="24"/>
                <w:szCs w:val="24"/>
              </w:rPr>
            </w:pPr>
            <w:r w:rsidRPr="0012760D">
              <w:rPr>
                <w:bCs/>
                <w:sz w:val="24"/>
                <w:szCs w:val="24"/>
                <w:lang w:val="en-US"/>
              </w:rPr>
              <w:t>192,156</w:t>
            </w:r>
          </w:p>
        </w:tc>
      </w:tr>
    </w:tbl>
    <w:p w:rsidR="003E5497" w:rsidRPr="0012760D" w:rsidRDefault="003E5497" w:rsidP="003E5497">
      <w:pPr>
        <w:rPr>
          <w:bCs/>
          <w:sz w:val="24"/>
          <w:szCs w:val="24"/>
        </w:rPr>
      </w:pPr>
      <w:r w:rsidRPr="0012760D">
        <w:rPr>
          <w:bCs/>
          <w:sz w:val="24"/>
          <w:szCs w:val="24"/>
        </w:rPr>
        <w:t>&lt;pp&gt; 43</w:t>
      </w:r>
    </w:p>
    <w:p w:rsidR="003E5497" w:rsidRDefault="003E5497" w:rsidP="003E5497">
      <w:pPr>
        <w:rPr>
          <w:sz w:val="24"/>
          <w:szCs w:val="24"/>
        </w:rPr>
      </w:pPr>
    </w:p>
    <w:p w:rsidR="00AF2D9F" w:rsidRPr="0012760D" w:rsidRDefault="00AF2D9F" w:rsidP="003E5497">
      <w:pPr>
        <w:rPr>
          <w:sz w:val="24"/>
          <w:szCs w:val="24"/>
        </w:rPr>
      </w:pPr>
    </w:p>
    <w:p w:rsidR="003E5497" w:rsidRDefault="003E5497" w:rsidP="00AF2D9F">
      <w:pPr>
        <w:pStyle w:val="Heading2"/>
      </w:pPr>
      <w:r w:rsidRPr="0012760D">
        <w:t>13. Superannuation</w:t>
      </w:r>
    </w:p>
    <w:p w:rsidR="00AF2D9F" w:rsidRPr="0012760D" w:rsidRDefault="00AF2D9F" w:rsidP="003E5497">
      <w:pPr>
        <w:rPr>
          <w:sz w:val="24"/>
          <w:szCs w:val="24"/>
        </w:rPr>
      </w:pPr>
    </w:p>
    <w:p w:rsidR="003E5497" w:rsidRPr="0012760D" w:rsidRDefault="003E5497" w:rsidP="003E5497">
      <w:pPr>
        <w:rPr>
          <w:sz w:val="24"/>
          <w:szCs w:val="24"/>
        </w:rPr>
      </w:pPr>
      <w:r w:rsidRPr="0012760D">
        <w:rPr>
          <w:sz w:val="24"/>
          <w:szCs w:val="24"/>
        </w:rPr>
        <w:t>Contributions to the defined benefit and accumulation funds incurred and reported in the Comprehensive Operating Statement, are as follows:</w:t>
      </w:r>
    </w:p>
    <w:p w:rsidR="003E5497" w:rsidRPr="0012760D" w:rsidRDefault="003E5497" w:rsidP="003E5497">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5384"/>
        <w:gridCol w:w="1807"/>
        <w:gridCol w:w="1918"/>
      </w:tblGrid>
      <w:tr w:rsidR="003E5497" w:rsidRPr="0012760D" w:rsidTr="00907E0B">
        <w:tblPrEx>
          <w:tblCellMar>
            <w:top w:w="0" w:type="dxa"/>
            <w:bottom w:w="0" w:type="dxa"/>
          </w:tblCellMar>
        </w:tblPrEx>
        <w:tc>
          <w:tcPr>
            <w:tcW w:w="2955" w:type="pct"/>
            <w:shd w:val="clear" w:color="auto" w:fill="auto"/>
          </w:tcPr>
          <w:p w:rsidR="003E5497" w:rsidRPr="0012760D" w:rsidRDefault="003E5497" w:rsidP="00907E0B">
            <w:pPr>
              <w:rPr>
                <w:sz w:val="24"/>
                <w:szCs w:val="24"/>
              </w:rPr>
            </w:pPr>
          </w:p>
        </w:tc>
        <w:tc>
          <w:tcPr>
            <w:tcW w:w="992" w:type="pct"/>
            <w:shd w:val="clear" w:color="auto" w:fill="auto"/>
          </w:tcPr>
          <w:p w:rsidR="003E5497" w:rsidRPr="0012760D" w:rsidRDefault="003E5497" w:rsidP="00907E0B">
            <w:pPr>
              <w:jc w:val="right"/>
              <w:rPr>
                <w:sz w:val="24"/>
                <w:szCs w:val="24"/>
              </w:rPr>
            </w:pPr>
            <w:r w:rsidRPr="0012760D">
              <w:rPr>
                <w:bCs/>
                <w:sz w:val="24"/>
                <w:szCs w:val="24"/>
              </w:rPr>
              <w:t>2013 $</w:t>
            </w:r>
          </w:p>
        </w:tc>
        <w:tc>
          <w:tcPr>
            <w:tcW w:w="1053" w:type="pct"/>
            <w:shd w:val="clear" w:color="auto" w:fill="auto"/>
          </w:tcPr>
          <w:p w:rsidR="003E5497" w:rsidRPr="0012760D" w:rsidRDefault="003E5497" w:rsidP="00907E0B">
            <w:pPr>
              <w:jc w:val="right"/>
              <w:rPr>
                <w:sz w:val="24"/>
                <w:szCs w:val="24"/>
              </w:rPr>
            </w:pPr>
            <w:r w:rsidRPr="0012760D">
              <w:rPr>
                <w:bCs/>
                <w:sz w:val="24"/>
                <w:szCs w:val="24"/>
              </w:rPr>
              <w:t>2012 $</w:t>
            </w:r>
          </w:p>
        </w:tc>
      </w:tr>
      <w:tr w:rsidR="003E5497" w:rsidRPr="0012760D" w:rsidTr="00907E0B">
        <w:tblPrEx>
          <w:tblCellMar>
            <w:top w:w="0" w:type="dxa"/>
            <w:bottom w:w="0" w:type="dxa"/>
          </w:tblCellMar>
        </w:tblPrEx>
        <w:tc>
          <w:tcPr>
            <w:tcW w:w="5000" w:type="pct"/>
            <w:gridSpan w:val="3"/>
            <w:shd w:val="clear" w:color="auto" w:fill="auto"/>
          </w:tcPr>
          <w:p w:rsidR="003E5497" w:rsidRPr="0012760D" w:rsidRDefault="003E5497" w:rsidP="00907E0B">
            <w:pPr>
              <w:rPr>
                <w:sz w:val="24"/>
                <w:szCs w:val="24"/>
              </w:rPr>
            </w:pPr>
            <w:r w:rsidRPr="0012760D">
              <w:rPr>
                <w:bCs/>
                <w:sz w:val="24"/>
                <w:szCs w:val="24"/>
              </w:rPr>
              <w:t>Defined benefit fund</w:t>
            </w:r>
          </w:p>
        </w:tc>
      </w:tr>
      <w:tr w:rsidR="003E5497" w:rsidRPr="0012760D" w:rsidTr="00907E0B">
        <w:tblPrEx>
          <w:tblCellMar>
            <w:top w:w="0" w:type="dxa"/>
            <w:bottom w:w="0" w:type="dxa"/>
          </w:tblCellMar>
        </w:tblPrEx>
        <w:tc>
          <w:tcPr>
            <w:tcW w:w="2955" w:type="pct"/>
            <w:shd w:val="clear" w:color="auto" w:fill="auto"/>
          </w:tcPr>
          <w:p w:rsidR="003E5497" w:rsidRPr="0012760D" w:rsidRDefault="003E5497" w:rsidP="00907E0B">
            <w:pPr>
              <w:rPr>
                <w:sz w:val="24"/>
                <w:szCs w:val="24"/>
              </w:rPr>
            </w:pPr>
            <w:r w:rsidRPr="0012760D">
              <w:rPr>
                <w:sz w:val="24"/>
                <w:szCs w:val="24"/>
              </w:rPr>
              <w:t>Emergency Services and State Super Fund</w:t>
            </w:r>
          </w:p>
        </w:tc>
        <w:tc>
          <w:tcPr>
            <w:tcW w:w="992" w:type="pct"/>
            <w:shd w:val="clear" w:color="auto" w:fill="auto"/>
          </w:tcPr>
          <w:p w:rsidR="003E5497" w:rsidRPr="0012760D" w:rsidRDefault="003E5497" w:rsidP="00907E0B">
            <w:pPr>
              <w:jc w:val="right"/>
              <w:rPr>
                <w:sz w:val="24"/>
                <w:szCs w:val="24"/>
              </w:rPr>
            </w:pPr>
            <w:r w:rsidRPr="0012760D">
              <w:rPr>
                <w:sz w:val="24"/>
                <w:szCs w:val="24"/>
              </w:rPr>
              <w:t>32,897</w:t>
            </w:r>
          </w:p>
        </w:tc>
        <w:tc>
          <w:tcPr>
            <w:tcW w:w="1053" w:type="pct"/>
            <w:shd w:val="clear" w:color="auto" w:fill="auto"/>
          </w:tcPr>
          <w:p w:rsidR="003E5497" w:rsidRPr="0012760D" w:rsidRDefault="003E5497" w:rsidP="00907E0B">
            <w:pPr>
              <w:jc w:val="right"/>
              <w:rPr>
                <w:sz w:val="24"/>
                <w:szCs w:val="24"/>
              </w:rPr>
            </w:pPr>
            <w:r w:rsidRPr="0012760D">
              <w:rPr>
                <w:sz w:val="24"/>
                <w:szCs w:val="24"/>
              </w:rPr>
              <w:t>36,744</w:t>
            </w:r>
          </w:p>
        </w:tc>
      </w:tr>
      <w:tr w:rsidR="003E5497" w:rsidRPr="0012760D" w:rsidTr="00907E0B">
        <w:tblPrEx>
          <w:tblCellMar>
            <w:top w:w="0" w:type="dxa"/>
            <w:bottom w:w="0" w:type="dxa"/>
          </w:tblCellMar>
        </w:tblPrEx>
        <w:tc>
          <w:tcPr>
            <w:tcW w:w="5000" w:type="pct"/>
            <w:gridSpan w:val="3"/>
            <w:shd w:val="clear" w:color="auto" w:fill="auto"/>
          </w:tcPr>
          <w:p w:rsidR="003E5497" w:rsidRPr="0012760D" w:rsidRDefault="003E5497" w:rsidP="00907E0B">
            <w:pPr>
              <w:rPr>
                <w:sz w:val="24"/>
                <w:szCs w:val="24"/>
              </w:rPr>
            </w:pPr>
            <w:r w:rsidRPr="0012760D">
              <w:rPr>
                <w:bCs/>
                <w:sz w:val="24"/>
                <w:szCs w:val="24"/>
              </w:rPr>
              <w:t>Accumulation funds</w:t>
            </w:r>
          </w:p>
        </w:tc>
      </w:tr>
      <w:tr w:rsidR="003E5497" w:rsidRPr="0012760D" w:rsidTr="00907E0B">
        <w:tblPrEx>
          <w:tblCellMar>
            <w:top w:w="0" w:type="dxa"/>
            <w:bottom w:w="0" w:type="dxa"/>
          </w:tblCellMar>
        </w:tblPrEx>
        <w:tc>
          <w:tcPr>
            <w:tcW w:w="2955" w:type="pct"/>
            <w:shd w:val="clear" w:color="auto" w:fill="auto"/>
          </w:tcPr>
          <w:p w:rsidR="003E5497" w:rsidRPr="0012760D" w:rsidRDefault="003E5497" w:rsidP="00907E0B">
            <w:pPr>
              <w:rPr>
                <w:sz w:val="24"/>
                <w:szCs w:val="24"/>
              </w:rPr>
            </w:pPr>
            <w:r w:rsidRPr="0012760D">
              <w:rPr>
                <w:sz w:val="24"/>
                <w:szCs w:val="24"/>
              </w:rPr>
              <w:lastRenderedPageBreak/>
              <w:t>VicSuper</w:t>
            </w:r>
          </w:p>
        </w:tc>
        <w:tc>
          <w:tcPr>
            <w:tcW w:w="992" w:type="pct"/>
            <w:shd w:val="clear" w:color="auto" w:fill="auto"/>
          </w:tcPr>
          <w:p w:rsidR="003E5497" w:rsidRPr="0012760D" w:rsidRDefault="003E5497" w:rsidP="00907E0B">
            <w:pPr>
              <w:jc w:val="right"/>
              <w:rPr>
                <w:sz w:val="24"/>
                <w:szCs w:val="24"/>
              </w:rPr>
            </w:pPr>
            <w:r w:rsidRPr="0012760D">
              <w:rPr>
                <w:sz w:val="24"/>
                <w:szCs w:val="24"/>
              </w:rPr>
              <w:t>537,501</w:t>
            </w:r>
          </w:p>
        </w:tc>
        <w:tc>
          <w:tcPr>
            <w:tcW w:w="1053" w:type="pct"/>
            <w:shd w:val="clear" w:color="auto" w:fill="auto"/>
          </w:tcPr>
          <w:p w:rsidR="003E5497" w:rsidRPr="0012760D" w:rsidRDefault="003E5497" w:rsidP="00907E0B">
            <w:pPr>
              <w:jc w:val="right"/>
              <w:rPr>
                <w:sz w:val="24"/>
                <w:szCs w:val="24"/>
              </w:rPr>
            </w:pPr>
            <w:r w:rsidRPr="0012760D">
              <w:rPr>
                <w:sz w:val="24"/>
                <w:szCs w:val="24"/>
              </w:rPr>
              <w:t>665,081</w:t>
            </w:r>
          </w:p>
        </w:tc>
      </w:tr>
      <w:tr w:rsidR="003E5497" w:rsidRPr="0012760D" w:rsidTr="00907E0B">
        <w:tblPrEx>
          <w:tblCellMar>
            <w:top w:w="0" w:type="dxa"/>
            <w:bottom w:w="0" w:type="dxa"/>
          </w:tblCellMar>
        </w:tblPrEx>
        <w:tc>
          <w:tcPr>
            <w:tcW w:w="2955" w:type="pct"/>
            <w:shd w:val="clear" w:color="auto" w:fill="auto"/>
          </w:tcPr>
          <w:p w:rsidR="003E5497" w:rsidRPr="0012760D" w:rsidRDefault="003E5497" w:rsidP="00907E0B">
            <w:pPr>
              <w:rPr>
                <w:sz w:val="24"/>
                <w:szCs w:val="24"/>
              </w:rPr>
            </w:pPr>
            <w:r w:rsidRPr="0012760D">
              <w:rPr>
                <w:sz w:val="24"/>
                <w:szCs w:val="24"/>
              </w:rPr>
              <w:t>Vision Super</w:t>
            </w:r>
          </w:p>
        </w:tc>
        <w:tc>
          <w:tcPr>
            <w:tcW w:w="992" w:type="pct"/>
            <w:shd w:val="clear" w:color="auto" w:fill="auto"/>
          </w:tcPr>
          <w:p w:rsidR="003E5497" w:rsidRPr="0012760D" w:rsidRDefault="003E5497" w:rsidP="00907E0B">
            <w:pPr>
              <w:jc w:val="right"/>
              <w:rPr>
                <w:sz w:val="24"/>
                <w:szCs w:val="24"/>
              </w:rPr>
            </w:pPr>
            <w:r w:rsidRPr="0012760D">
              <w:rPr>
                <w:sz w:val="24"/>
                <w:szCs w:val="24"/>
              </w:rPr>
              <w:t>53,640</w:t>
            </w:r>
          </w:p>
        </w:tc>
        <w:tc>
          <w:tcPr>
            <w:tcW w:w="1053" w:type="pct"/>
            <w:shd w:val="clear" w:color="auto" w:fill="auto"/>
          </w:tcPr>
          <w:p w:rsidR="003E5497" w:rsidRPr="0012760D" w:rsidRDefault="003E5497" w:rsidP="00907E0B">
            <w:pPr>
              <w:jc w:val="right"/>
              <w:rPr>
                <w:sz w:val="24"/>
                <w:szCs w:val="24"/>
              </w:rPr>
            </w:pPr>
            <w:r w:rsidRPr="0012760D">
              <w:rPr>
                <w:sz w:val="24"/>
                <w:szCs w:val="24"/>
              </w:rPr>
              <w:t>68,228</w:t>
            </w:r>
          </w:p>
        </w:tc>
      </w:tr>
      <w:tr w:rsidR="003E5497" w:rsidRPr="0012760D" w:rsidTr="00907E0B">
        <w:tblPrEx>
          <w:tblCellMar>
            <w:top w:w="0" w:type="dxa"/>
            <w:bottom w:w="0" w:type="dxa"/>
          </w:tblCellMar>
        </w:tblPrEx>
        <w:tc>
          <w:tcPr>
            <w:tcW w:w="2955" w:type="pct"/>
            <w:shd w:val="clear" w:color="auto" w:fill="auto"/>
          </w:tcPr>
          <w:p w:rsidR="003E5497" w:rsidRPr="0012760D" w:rsidRDefault="003E5497" w:rsidP="00907E0B">
            <w:pPr>
              <w:rPr>
                <w:sz w:val="24"/>
                <w:szCs w:val="24"/>
              </w:rPr>
            </w:pPr>
            <w:r w:rsidRPr="0012760D">
              <w:rPr>
                <w:sz w:val="24"/>
                <w:szCs w:val="24"/>
              </w:rPr>
              <w:t>Australian Super</w:t>
            </w:r>
          </w:p>
        </w:tc>
        <w:tc>
          <w:tcPr>
            <w:tcW w:w="992" w:type="pct"/>
            <w:shd w:val="clear" w:color="auto" w:fill="auto"/>
          </w:tcPr>
          <w:p w:rsidR="003E5497" w:rsidRPr="0012760D" w:rsidRDefault="003E5497" w:rsidP="00907E0B">
            <w:pPr>
              <w:jc w:val="right"/>
              <w:rPr>
                <w:sz w:val="24"/>
                <w:szCs w:val="24"/>
              </w:rPr>
            </w:pPr>
            <w:r w:rsidRPr="0012760D">
              <w:rPr>
                <w:sz w:val="24"/>
                <w:szCs w:val="24"/>
              </w:rPr>
              <w:t>42,201</w:t>
            </w:r>
          </w:p>
        </w:tc>
        <w:tc>
          <w:tcPr>
            <w:tcW w:w="1053" w:type="pct"/>
            <w:shd w:val="clear" w:color="auto" w:fill="auto"/>
          </w:tcPr>
          <w:p w:rsidR="003E5497" w:rsidRPr="0012760D" w:rsidRDefault="003E5497" w:rsidP="00907E0B">
            <w:pPr>
              <w:jc w:val="right"/>
              <w:rPr>
                <w:sz w:val="24"/>
                <w:szCs w:val="24"/>
              </w:rPr>
            </w:pPr>
            <w:r w:rsidRPr="0012760D">
              <w:rPr>
                <w:sz w:val="24"/>
                <w:szCs w:val="24"/>
              </w:rPr>
              <w:t>42,200</w:t>
            </w:r>
          </w:p>
        </w:tc>
      </w:tr>
      <w:tr w:rsidR="003E5497" w:rsidRPr="0012760D" w:rsidTr="00907E0B">
        <w:tblPrEx>
          <w:tblCellMar>
            <w:top w:w="0" w:type="dxa"/>
            <w:bottom w:w="0" w:type="dxa"/>
          </w:tblCellMar>
        </w:tblPrEx>
        <w:tc>
          <w:tcPr>
            <w:tcW w:w="2955" w:type="pct"/>
            <w:shd w:val="clear" w:color="auto" w:fill="auto"/>
          </w:tcPr>
          <w:p w:rsidR="003E5497" w:rsidRPr="0012760D" w:rsidRDefault="003E5497" w:rsidP="00907E0B">
            <w:pPr>
              <w:rPr>
                <w:sz w:val="24"/>
                <w:szCs w:val="24"/>
              </w:rPr>
            </w:pPr>
            <w:r w:rsidRPr="0012760D">
              <w:rPr>
                <w:sz w:val="24"/>
                <w:szCs w:val="24"/>
              </w:rPr>
              <w:t>Australian Ethical Super Fund</w:t>
            </w:r>
          </w:p>
        </w:tc>
        <w:tc>
          <w:tcPr>
            <w:tcW w:w="992" w:type="pct"/>
            <w:shd w:val="clear" w:color="auto" w:fill="auto"/>
          </w:tcPr>
          <w:p w:rsidR="003E5497" w:rsidRPr="0012760D" w:rsidRDefault="003E5497" w:rsidP="00907E0B">
            <w:pPr>
              <w:jc w:val="right"/>
              <w:rPr>
                <w:sz w:val="24"/>
                <w:szCs w:val="24"/>
              </w:rPr>
            </w:pPr>
            <w:r w:rsidRPr="0012760D">
              <w:rPr>
                <w:sz w:val="24"/>
                <w:szCs w:val="24"/>
              </w:rPr>
              <w:t>23,244</w:t>
            </w:r>
          </w:p>
        </w:tc>
        <w:tc>
          <w:tcPr>
            <w:tcW w:w="1053" w:type="pct"/>
            <w:shd w:val="clear" w:color="auto" w:fill="auto"/>
          </w:tcPr>
          <w:p w:rsidR="003E5497" w:rsidRPr="0012760D" w:rsidRDefault="003E5497" w:rsidP="00907E0B">
            <w:pPr>
              <w:jc w:val="right"/>
              <w:rPr>
                <w:sz w:val="24"/>
                <w:szCs w:val="24"/>
              </w:rPr>
            </w:pPr>
            <w:r w:rsidRPr="0012760D">
              <w:rPr>
                <w:sz w:val="24"/>
                <w:szCs w:val="24"/>
              </w:rPr>
              <w:t>27,197</w:t>
            </w:r>
          </w:p>
        </w:tc>
      </w:tr>
      <w:tr w:rsidR="003E5497" w:rsidRPr="0012760D" w:rsidTr="00907E0B">
        <w:tblPrEx>
          <w:tblCellMar>
            <w:top w:w="0" w:type="dxa"/>
            <w:bottom w:w="0" w:type="dxa"/>
          </w:tblCellMar>
        </w:tblPrEx>
        <w:tc>
          <w:tcPr>
            <w:tcW w:w="2955" w:type="pct"/>
            <w:shd w:val="clear" w:color="auto" w:fill="auto"/>
          </w:tcPr>
          <w:p w:rsidR="003E5497" w:rsidRPr="0012760D" w:rsidRDefault="003E5497" w:rsidP="00907E0B">
            <w:pPr>
              <w:rPr>
                <w:sz w:val="24"/>
                <w:szCs w:val="24"/>
              </w:rPr>
            </w:pPr>
            <w:r w:rsidRPr="0012760D">
              <w:rPr>
                <w:sz w:val="24"/>
                <w:szCs w:val="24"/>
              </w:rPr>
              <w:t>Hostplus</w:t>
            </w:r>
          </w:p>
        </w:tc>
        <w:tc>
          <w:tcPr>
            <w:tcW w:w="992" w:type="pct"/>
            <w:shd w:val="clear" w:color="auto" w:fill="auto"/>
          </w:tcPr>
          <w:p w:rsidR="003E5497" w:rsidRPr="0012760D" w:rsidRDefault="003E5497" w:rsidP="00907E0B">
            <w:pPr>
              <w:jc w:val="right"/>
              <w:rPr>
                <w:sz w:val="24"/>
                <w:szCs w:val="24"/>
              </w:rPr>
            </w:pPr>
            <w:r w:rsidRPr="0012760D">
              <w:rPr>
                <w:sz w:val="24"/>
                <w:szCs w:val="24"/>
              </w:rPr>
              <w:t>27,835</w:t>
            </w:r>
          </w:p>
        </w:tc>
        <w:tc>
          <w:tcPr>
            <w:tcW w:w="1053" w:type="pct"/>
            <w:shd w:val="clear" w:color="auto" w:fill="auto"/>
          </w:tcPr>
          <w:p w:rsidR="003E5497" w:rsidRPr="0012760D" w:rsidRDefault="003E5497" w:rsidP="00907E0B">
            <w:pPr>
              <w:jc w:val="right"/>
              <w:rPr>
                <w:sz w:val="24"/>
                <w:szCs w:val="24"/>
              </w:rPr>
            </w:pPr>
            <w:r w:rsidRPr="0012760D">
              <w:rPr>
                <w:sz w:val="24"/>
                <w:szCs w:val="24"/>
              </w:rPr>
              <w:t>12,116</w:t>
            </w:r>
          </w:p>
        </w:tc>
      </w:tr>
      <w:tr w:rsidR="003E5497" w:rsidRPr="0012760D" w:rsidTr="00907E0B">
        <w:tblPrEx>
          <w:tblCellMar>
            <w:top w:w="0" w:type="dxa"/>
            <w:bottom w:w="0" w:type="dxa"/>
          </w:tblCellMar>
        </w:tblPrEx>
        <w:tc>
          <w:tcPr>
            <w:tcW w:w="2955" w:type="pct"/>
            <w:shd w:val="clear" w:color="auto" w:fill="auto"/>
          </w:tcPr>
          <w:p w:rsidR="003E5497" w:rsidRPr="0012760D" w:rsidRDefault="003E5497" w:rsidP="00907E0B">
            <w:pPr>
              <w:rPr>
                <w:sz w:val="24"/>
                <w:szCs w:val="24"/>
              </w:rPr>
            </w:pPr>
            <w:r w:rsidRPr="0012760D">
              <w:rPr>
                <w:sz w:val="24"/>
                <w:szCs w:val="24"/>
              </w:rPr>
              <w:t>UniSuper</w:t>
            </w:r>
          </w:p>
        </w:tc>
        <w:tc>
          <w:tcPr>
            <w:tcW w:w="992" w:type="pct"/>
            <w:shd w:val="clear" w:color="auto" w:fill="auto"/>
          </w:tcPr>
          <w:p w:rsidR="003E5497" w:rsidRPr="0012760D" w:rsidRDefault="003E5497" w:rsidP="00907E0B">
            <w:pPr>
              <w:jc w:val="right"/>
              <w:rPr>
                <w:sz w:val="24"/>
                <w:szCs w:val="24"/>
              </w:rPr>
            </w:pPr>
            <w:r w:rsidRPr="0012760D">
              <w:rPr>
                <w:sz w:val="24"/>
                <w:szCs w:val="24"/>
              </w:rPr>
              <w:t>36,186</w:t>
            </w:r>
          </w:p>
        </w:tc>
        <w:tc>
          <w:tcPr>
            <w:tcW w:w="1053" w:type="pct"/>
            <w:shd w:val="clear" w:color="auto" w:fill="auto"/>
          </w:tcPr>
          <w:p w:rsidR="003E5497" w:rsidRPr="0012760D" w:rsidRDefault="003E5497" w:rsidP="00907E0B">
            <w:pPr>
              <w:jc w:val="right"/>
              <w:rPr>
                <w:sz w:val="24"/>
                <w:szCs w:val="24"/>
              </w:rPr>
            </w:pPr>
            <w:r w:rsidRPr="0012760D">
              <w:rPr>
                <w:sz w:val="24"/>
                <w:szCs w:val="24"/>
              </w:rPr>
              <w:t>37,581</w:t>
            </w:r>
          </w:p>
        </w:tc>
      </w:tr>
      <w:tr w:rsidR="003E5497" w:rsidRPr="0012760D" w:rsidTr="00907E0B">
        <w:tblPrEx>
          <w:tblCellMar>
            <w:top w:w="0" w:type="dxa"/>
            <w:bottom w:w="0" w:type="dxa"/>
          </w:tblCellMar>
        </w:tblPrEx>
        <w:tc>
          <w:tcPr>
            <w:tcW w:w="2955" w:type="pct"/>
            <w:shd w:val="clear" w:color="auto" w:fill="auto"/>
          </w:tcPr>
          <w:p w:rsidR="003E5497" w:rsidRPr="0012760D" w:rsidRDefault="003E5497" w:rsidP="00907E0B">
            <w:pPr>
              <w:rPr>
                <w:sz w:val="24"/>
                <w:szCs w:val="24"/>
              </w:rPr>
            </w:pPr>
            <w:r w:rsidRPr="0012760D">
              <w:rPr>
                <w:sz w:val="24"/>
                <w:szCs w:val="24"/>
              </w:rPr>
              <w:t>Various other accumulation funds</w:t>
            </w:r>
          </w:p>
        </w:tc>
        <w:tc>
          <w:tcPr>
            <w:tcW w:w="992" w:type="pct"/>
            <w:shd w:val="clear" w:color="auto" w:fill="auto"/>
          </w:tcPr>
          <w:p w:rsidR="003E5497" w:rsidRPr="0012760D" w:rsidRDefault="003E5497" w:rsidP="00907E0B">
            <w:pPr>
              <w:jc w:val="right"/>
              <w:rPr>
                <w:sz w:val="24"/>
                <w:szCs w:val="24"/>
              </w:rPr>
            </w:pPr>
            <w:r w:rsidRPr="0012760D">
              <w:rPr>
                <w:sz w:val="24"/>
                <w:szCs w:val="24"/>
              </w:rPr>
              <w:t>166,006</w:t>
            </w:r>
          </w:p>
        </w:tc>
        <w:tc>
          <w:tcPr>
            <w:tcW w:w="1053" w:type="pct"/>
            <w:shd w:val="clear" w:color="auto" w:fill="auto"/>
          </w:tcPr>
          <w:p w:rsidR="003E5497" w:rsidRPr="0012760D" w:rsidRDefault="003E5497" w:rsidP="00907E0B">
            <w:pPr>
              <w:jc w:val="right"/>
              <w:rPr>
                <w:sz w:val="24"/>
                <w:szCs w:val="24"/>
              </w:rPr>
            </w:pPr>
            <w:r w:rsidRPr="0012760D">
              <w:rPr>
                <w:sz w:val="24"/>
                <w:szCs w:val="24"/>
              </w:rPr>
              <w:t>204,523</w:t>
            </w:r>
          </w:p>
        </w:tc>
      </w:tr>
      <w:tr w:rsidR="003E5497" w:rsidRPr="0012760D" w:rsidTr="00907E0B">
        <w:tblPrEx>
          <w:tblCellMar>
            <w:top w:w="0" w:type="dxa"/>
            <w:bottom w:w="0" w:type="dxa"/>
          </w:tblCellMar>
        </w:tblPrEx>
        <w:tc>
          <w:tcPr>
            <w:tcW w:w="2955" w:type="pct"/>
            <w:shd w:val="clear" w:color="auto" w:fill="auto"/>
          </w:tcPr>
          <w:p w:rsidR="003E5497" w:rsidRPr="0012760D" w:rsidRDefault="003E5497" w:rsidP="00907E0B">
            <w:pPr>
              <w:rPr>
                <w:sz w:val="24"/>
                <w:szCs w:val="24"/>
              </w:rPr>
            </w:pPr>
            <w:r w:rsidRPr="0012760D">
              <w:rPr>
                <w:bCs/>
                <w:sz w:val="24"/>
                <w:szCs w:val="24"/>
              </w:rPr>
              <w:t>Total</w:t>
            </w:r>
          </w:p>
        </w:tc>
        <w:tc>
          <w:tcPr>
            <w:tcW w:w="992" w:type="pct"/>
            <w:shd w:val="clear" w:color="auto" w:fill="auto"/>
          </w:tcPr>
          <w:p w:rsidR="003E5497" w:rsidRPr="0012760D" w:rsidRDefault="003E5497" w:rsidP="00907E0B">
            <w:pPr>
              <w:jc w:val="right"/>
              <w:rPr>
                <w:sz w:val="24"/>
                <w:szCs w:val="24"/>
              </w:rPr>
            </w:pPr>
            <w:r w:rsidRPr="0012760D">
              <w:rPr>
                <w:bCs/>
                <w:sz w:val="24"/>
                <w:szCs w:val="24"/>
              </w:rPr>
              <w:t>919,510</w:t>
            </w:r>
          </w:p>
        </w:tc>
        <w:tc>
          <w:tcPr>
            <w:tcW w:w="1053" w:type="pct"/>
            <w:shd w:val="clear" w:color="auto" w:fill="auto"/>
          </w:tcPr>
          <w:p w:rsidR="003E5497" w:rsidRPr="0012760D" w:rsidRDefault="003E5497" w:rsidP="00907E0B">
            <w:pPr>
              <w:jc w:val="right"/>
              <w:rPr>
                <w:sz w:val="24"/>
                <w:szCs w:val="24"/>
              </w:rPr>
            </w:pPr>
            <w:r w:rsidRPr="0012760D">
              <w:rPr>
                <w:bCs/>
                <w:sz w:val="24"/>
                <w:szCs w:val="24"/>
              </w:rPr>
              <w:t>1,093,670</w:t>
            </w:r>
          </w:p>
        </w:tc>
      </w:tr>
    </w:tbl>
    <w:p w:rsidR="003E5497" w:rsidRPr="0012760D" w:rsidRDefault="003E5497" w:rsidP="003E5497">
      <w:pPr>
        <w:rPr>
          <w:sz w:val="24"/>
          <w:szCs w:val="24"/>
        </w:rPr>
      </w:pPr>
    </w:p>
    <w:p w:rsidR="003E5497" w:rsidRDefault="003E5497" w:rsidP="003E5497">
      <w:pPr>
        <w:rPr>
          <w:sz w:val="24"/>
          <w:szCs w:val="24"/>
        </w:rPr>
      </w:pPr>
      <w:r w:rsidRPr="0012760D">
        <w:rPr>
          <w:sz w:val="24"/>
          <w:szCs w:val="24"/>
        </w:rPr>
        <w:t>Superannuation contributions outstanding at 30 June 2013 were $4,119 (2012: $9,272).</w:t>
      </w:r>
    </w:p>
    <w:p w:rsidR="00AF2D9F" w:rsidRPr="0012760D" w:rsidRDefault="00AF2D9F" w:rsidP="003E5497">
      <w:pPr>
        <w:rPr>
          <w:sz w:val="24"/>
          <w:szCs w:val="24"/>
        </w:rPr>
      </w:pPr>
    </w:p>
    <w:p w:rsidR="003E5497" w:rsidRDefault="003E5497" w:rsidP="003E5497">
      <w:pPr>
        <w:rPr>
          <w:sz w:val="24"/>
          <w:szCs w:val="24"/>
        </w:rPr>
      </w:pPr>
      <w:r w:rsidRPr="0012760D">
        <w:rPr>
          <w:sz w:val="24"/>
          <w:szCs w:val="24"/>
        </w:rPr>
        <w:t>There are no loans by the superannuation funds to Sustainability Victoria.</w:t>
      </w:r>
    </w:p>
    <w:p w:rsidR="00AF2D9F" w:rsidRDefault="00AF2D9F" w:rsidP="003E5497">
      <w:pPr>
        <w:rPr>
          <w:sz w:val="24"/>
          <w:szCs w:val="24"/>
        </w:rPr>
      </w:pPr>
    </w:p>
    <w:p w:rsidR="00AF2D9F" w:rsidRPr="0012760D" w:rsidRDefault="00AF2D9F" w:rsidP="003E5497">
      <w:pPr>
        <w:rPr>
          <w:sz w:val="24"/>
          <w:szCs w:val="24"/>
        </w:rPr>
      </w:pPr>
    </w:p>
    <w:p w:rsidR="003E5497" w:rsidRPr="0012760D" w:rsidRDefault="003E5497" w:rsidP="00AF2D9F">
      <w:pPr>
        <w:pStyle w:val="Heading2"/>
      </w:pPr>
      <w:r w:rsidRPr="0012760D">
        <w:t>14. Reconciliation of Net Cash Flows from Operating Activities to Net Result</w:t>
      </w:r>
    </w:p>
    <w:p w:rsidR="003E5497" w:rsidRPr="0012760D" w:rsidRDefault="003E5497" w:rsidP="003E5497">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4582"/>
        <w:gridCol w:w="2545"/>
        <w:gridCol w:w="1982"/>
      </w:tblGrid>
      <w:tr w:rsidR="003E5497" w:rsidRPr="0012760D" w:rsidTr="00907E0B">
        <w:tblPrEx>
          <w:tblCellMar>
            <w:top w:w="0" w:type="dxa"/>
            <w:bottom w:w="0" w:type="dxa"/>
          </w:tblCellMar>
        </w:tblPrEx>
        <w:tc>
          <w:tcPr>
            <w:tcW w:w="2515" w:type="pct"/>
            <w:shd w:val="clear" w:color="auto" w:fill="auto"/>
          </w:tcPr>
          <w:p w:rsidR="003E5497" w:rsidRPr="0012760D" w:rsidRDefault="003E5497" w:rsidP="00907E0B">
            <w:pPr>
              <w:rPr>
                <w:sz w:val="24"/>
                <w:szCs w:val="24"/>
              </w:rPr>
            </w:pPr>
          </w:p>
        </w:tc>
        <w:tc>
          <w:tcPr>
            <w:tcW w:w="1397" w:type="pct"/>
            <w:shd w:val="clear" w:color="auto" w:fill="auto"/>
          </w:tcPr>
          <w:p w:rsidR="003E5497" w:rsidRPr="0012760D" w:rsidRDefault="003E5497" w:rsidP="00907E0B">
            <w:pPr>
              <w:jc w:val="right"/>
              <w:rPr>
                <w:sz w:val="24"/>
                <w:szCs w:val="24"/>
              </w:rPr>
            </w:pPr>
            <w:r w:rsidRPr="0012760D">
              <w:rPr>
                <w:bCs/>
                <w:sz w:val="24"/>
                <w:szCs w:val="24"/>
              </w:rPr>
              <w:t>2013 $</w:t>
            </w:r>
          </w:p>
        </w:tc>
        <w:tc>
          <w:tcPr>
            <w:tcW w:w="1088" w:type="pct"/>
            <w:shd w:val="clear" w:color="auto" w:fill="auto"/>
          </w:tcPr>
          <w:p w:rsidR="003E5497" w:rsidRPr="0012760D" w:rsidRDefault="003E5497" w:rsidP="00907E0B">
            <w:pPr>
              <w:jc w:val="right"/>
              <w:rPr>
                <w:sz w:val="24"/>
                <w:szCs w:val="24"/>
              </w:rPr>
            </w:pPr>
            <w:r w:rsidRPr="0012760D">
              <w:rPr>
                <w:bCs/>
                <w:sz w:val="24"/>
                <w:szCs w:val="24"/>
              </w:rPr>
              <w:t>2012$</w:t>
            </w:r>
          </w:p>
        </w:tc>
      </w:tr>
      <w:tr w:rsidR="003E5497" w:rsidRPr="0012760D" w:rsidTr="00907E0B">
        <w:tblPrEx>
          <w:tblCellMar>
            <w:top w:w="0" w:type="dxa"/>
            <w:bottom w:w="0" w:type="dxa"/>
          </w:tblCellMar>
        </w:tblPrEx>
        <w:tc>
          <w:tcPr>
            <w:tcW w:w="2515" w:type="pct"/>
            <w:shd w:val="clear" w:color="auto" w:fill="auto"/>
          </w:tcPr>
          <w:p w:rsidR="003E5497" w:rsidRPr="0012760D" w:rsidRDefault="003E5497" w:rsidP="00907E0B">
            <w:pPr>
              <w:rPr>
                <w:sz w:val="24"/>
                <w:szCs w:val="24"/>
              </w:rPr>
            </w:pPr>
            <w:r w:rsidRPr="0012760D">
              <w:rPr>
                <w:sz w:val="24"/>
                <w:szCs w:val="24"/>
              </w:rPr>
              <w:t>Net surplus/(deficit) for the year</w:t>
            </w:r>
          </w:p>
        </w:tc>
        <w:tc>
          <w:tcPr>
            <w:tcW w:w="1397" w:type="pct"/>
            <w:shd w:val="clear" w:color="auto" w:fill="auto"/>
          </w:tcPr>
          <w:p w:rsidR="003E5497" w:rsidRPr="0012760D" w:rsidRDefault="003E5497" w:rsidP="00907E0B">
            <w:pPr>
              <w:jc w:val="right"/>
              <w:rPr>
                <w:sz w:val="24"/>
                <w:szCs w:val="24"/>
              </w:rPr>
            </w:pPr>
            <w:r w:rsidRPr="0012760D">
              <w:rPr>
                <w:sz w:val="24"/>
                <w:szCs w:val="24"/>
              </w:rPr>
              <w:t>11,767,257</w:t>
            </w:r>
          </w:p>
        </w:tc>
        <w:tc>
          <w:tcPr>
            <w:tcW w:w="1088" w:type="pct"/>
            <w:shd w:val="clear" w:color="auto" w:fill="auto"/>
          </w:tcPr>
          <w:p w:rsidR="003E5497" w:rsidRPr="0012760D" w:rsidRDefault="003E5497" w:rsidP="00907E0B">
            <w:pPr>
              <w:jc w:val="right"/>
              <w:rPr>
                <w:sz w:val="24"/>
                <w:szCs w:val="24"/>
              </w:rPr>
            </w:pPr>
            <w:r w:rsidRPr="0012760D">
              <w:rPr>
                <w:sz w:val="24"/>
                <w:szCs w:val="24"/>
              </w:rPr>
              <w:t>4,049,698</w:t>
            </w:r>
          </w:p>
        </w:tc>
      </w:tr>
      <w:tr w:rsidR="003E5497" w:rsidRPr="0012760D" w:rsidTr="00907E0B">
        <w:tblPrEx>
          <w:tblCellMar>
            <w:top w:w="0" w:type="dxa"/>
            <w:bottom w:w="0" w:type="dxa"/>
          </w:tblCellMar>
        </w:tblPrEx>
        <w:tc>
          <w:tcPr>
            <w:tcW w:w="2515" w:type="pct"/>
            <w:shd w:val="clear" w:color="auto" w:fill="auto"/>
          </w:tcPr>
          <w:p w:rsidR="003E5497" w:rsidRPr="0012760D" w:rsidRDefault="003E5497" w:rsidP="00907E0B">
            <w:pPr>
              <w:rPr>
                <w:sz w:val="24"/>
                <w:szCs w:val="24"/>
              </w:rPr>
            </w:pPr>
            <w:r w:rsidRPr="0012760D">
              <w:rPr>
                <w:sz w:val="24"/>
                <w:szCs w:val="24"/>
              </w:rPr>
              <w:t>Depreciation</w:t>
            </w:r>
          </w:p>
        </w:tc>
        <w:tc>
          <w:tcPr>
            <w:tcW w:w="1397" w:type="pct"/>
            <w:shd w:val="clear" w:color="auto" w:fill="auto"/>
          </w:tcPr>
          <w:p w:rsidR="003E5497" w:rsidRPr="0012760D" w:rsidRDefault="003E5497" w:rsidP="00907E0B">
            <w:pPr>
              <w:jc w:val="right"/>
              <w:rPr>
                <w:sz w:val="24"/>
                <w:szCs w:val="24"/>
              </w:rPr>
            </w:pPr>
            <w:r w:rsidRPr="0012760D">
              <w:rPr>
                <w:sz w:val="24"/>
                <w:szCs w:val="24"/>
              </w:rPr>
              <w:t>202,012</w:t>
            </w:r>
          </w:p>
        </w:tc>
        <w:tc>
          <w:tcPr>
            <w:tcW w:w="1088" w:type="pct"/>
            <w:shd w:val="clear" w:color="auto" w:fill="auto"/>
          </w:tcPr>
          <w:p w:rsidR="003E5497" w:rsidRPr="0012760D" w:rsidRDefault="003E5497" w:rsidP="00907E0B">
            <w:pPr>
              <w:jc w:val="right"/>
              <w:rPr>
                <w:sz w:val="24"/>
                <w:szCs w:val="24"/>
              </w:rPr>
            </w:pPr>
            <w:r w:rsidRPr="0012760D">
              <w:rPr>
                <w:sz w:val="24"/>
                <w:szCs w:val="24"/>
              </w:rPr>
              <w:t>279,009</w:t>
            </w:r>
          </w:p>
        </w:tc>
      </w:tr>
      <w:tr w:rsidR="003E5497" w:rsidRPr="0012760D" w:rsidTr="00907E0B">
        <w:tblPrEx>
          <w:tblCellMar>
            <w:top w:w="0" w:type="dxa"/>
            <w:bottom w:w="0" w:type="dxa"/>
          </w:tblCellMar>
        </w:tblPrEx>
        <w:tc>
          <w:tcPr>
            <w:tcW w:w="2515" w:type="pct"/>
            <w:shd w:val="clear" w:color="auto" w:fill="auto"/>
          </w:tcPr>
          <w:p w:rsidR="003E5497" w:rsidRPr="0012760D" w:rsidRDefault="003E5497" w:rsidP="00907E0B">
            <w:pPr>
              <w:rPr>
                <w:sz w:val="24"/>
                <w:szCs w:val="24"/>
              </w:rPr>
            </w:pPr>
            <w:r w:rsidRPr="0012760D">
              <w:rPr>
                <w:sz w:val="24"/>
                <w:szCs w:val="24"/>
              </w:rPr>
              <w:t>Write down of assets</w:t>
            </w:r>
          </w:p>
        </w:tc>
        <w:tc>
          <w:tcPr>
            <w:tcW w:w="1397" w:type="pct"/>
            <w:shd w:val="clear" w:color="auto" w:fill="auto"/>
          </w:tcPr>
          <w:p w:rsidR="003E5497" w:rsidRPr="0012760D" w:rsidRDefault="003E5497" w:rsidP="00907E0B">
            <w:pPr>
              <w:jc w:val="right"/>
              <w:rPr>
                <w:sz w:val="24"/>
                <w:szCs w:val="24"/>
              </w:rPr>
            </w:pPr>
            <w:r w:rsidRPr="0012760D">
              <w:rPr>
                <w:sz w:val="24"/>
                <w:szCs w:val="24"/>
              </w:rPr>
              <w:t>26,970</w:t>
            </w:r>
          </w:p>
        </w:tc>
        <w:tc>
          <w:tcPr>
            <w:tcW w:w="1088" w:type="pct"/>
            <w:shd w:val="clear" w:color="auto" w:fill="auto"/>
          </w:tcPr>
          <w:p w:rsidR="003E5497" w:rsidRPr="0012760D" w:rsidRDefault="003E5497" w:rsidP="00907E0B">
            <w:pPr>
              <w:jc w:val="right"/>
              <w:rPr>
                <w:sz w:val="24"/>
                <w:szCs w:val="24"/>
              </w:rPr>
            </w:pPr>
            <w:r w:rsidRPr="0012760D">
              <w:rPr>
                <w:sz w:val="24"/>
                <w:szCs w:val="24"/>
              </w:rPr>
              <w:t>-</w:t>
            </w:r>
          </w:p>
        </w:tc>
      </w:tr>
      <w:tr w:rsidR="003E5497" w:rsidRPr="0012760D" w:rsidTr="00907E0B">
        <w:tblPrEx>
          <w:tblCellMar>
            <w:top w:w="0" w:type="dxa"/>
            <w:bottom w:w="0" w:type="dxa"/>
          </w:tblCellMar>
        </w:tblPrEx>
        <w:tc>
          <w:tcPr>
            <w:tcW w:w="2515" w:type="pct"/>
            <w:shd w:val="clear" w:color="auto" w:fill="auto"/>
          </w:tcPr>
          <w:p w:rsidR="003E5497" w:rsidRPr="0012760D" w:rsidRDefault="003E5497" w:rsidP="00907E0B">
            <w:pPr>
              <w:rPr>
                <w:sz w:val="24"/>
                <w:szCs w:val="24"/>
              </w:rPr>
            </w:pPr>
            <w:r w:rsidRPr="0012760D">
              <w:rPr>
                <w:sz w:val="24"/>
                <w:szCs w:val="24"/>
              </w:rPr>
              <w:t>Finance lease costs</w:t>
            </w:r>
          </w:p>
        </w:tc>
        <w:tc>
          <w:tcPr>
            <w:tcW w:w="1397" w:type="pct"/>
            <w:shd w:val="clear" w:color="auto" w:fill="auto"/>
          </w:tcPr>
          <w:p w:rsidR="003E5497" w:rsidRPr="0012760D" w:rsidRDefault="003E5497" w:rsidP="00907E0B">
            <w:pPr>
              <w:jc w:val="right"/>
              <w:rPr>
                <w:sz w:val="24"/>
                <w:szCs w:val="24"/>
              </w:rPr>
            </w:pPr>
            <w:r w:rsidRPr="0012760D">
              <w:rPr>
                <w:sz w:val="24"/>
                <w:szCs w:val="24"/>
              </w:rPr>
              <w:t>11,504</w:t>
            </w:r>
          </w:p>
        </w:tc>
        <w:tc>
          <w:tcPr>
            <w:tcW w:w="1088" w:type="pct"/>
            <w:shd w:val="clear" w:color="auto" w:fill="auto"/>
          </w:tcPr>
          <w:p w:rsidR="003E5497" w:rsidRPr="0012760D" w:rsidRDefault="003E5497" w:rsidP="00907E0B">
            <w:pPr>
              <w:jc w:val="right"/>
              <w:rPr>
                <w:sz w:val="24"/>
                <w:szCs w:val="24"/>
              </w:rPr>
            </w:pPr>
            <w:r w:rsidRPr="0012760D">
              <w:rPr>
                <w:sz w:val="24"/>
                <w:szCs w:val="24"/>
              </w:rPr>
              <w:t>15,809</w:t>
            </w:r>
          </w:p>
        </w:tc>
      </w:tr>
      <w:tr w:rsidR="003E5497" w:rsidRPr="0012760D" w:rsidTr="00907E0B">
        <w:tblPrEx>
          <w:tblCellMar>
            <w:top w:w="0" w:type="dxa"/>
            <w:bottom w:w="0" w:type="dxa"/>
          </w:tblCellMar>
        </w:tblPrEx>
        <w:tc>
          <w:tcPr>
            <w:tcW w:w="2515" w:type="pct"/>
            <w:shd w:val="clear" w:color="auto" w:fill="auto"/>
          </w:tcPr>
          <w:p w:rsidR="003E5497" w:rsidRPr="0012760D" w:rsidRDefault="003E5497" w:rsidP="00907E0B">
            <w:pPr>
              <w:rPr>
                <w:sz w:val="24"/>
                <w:szCs w:val="24"/>
              </w:rPr>
            </w:pPr>
            <w:r w:rsidRPr="0012760D">
              <w:rPr>
                <w:sz w:val="24"/>
                <w:szCs w:val="24"/>
              </w:rPr>
              <w:t>Gain on disposal of assets</w:t>
            </w:r>
          </w:p>
        </w:tc>
        <w:tc>
          <w:tcPr>
            <w:tcW w:w="1397" w:type="pct"/>
            <w:shd w:val="clear" w:color="auto" w:fill="auto"/>
          </w:tcPr>
          <w:p w:rsidR="003E5497" w:rsidRPr="0012760D" w:rsidRDefault="003E5497" w:rsidP="00907E0B">
            <w:pPr>
              <w:jc w:val="right"/>
              <w:rPr>
                <w:sz w:val="24"/>
                <w:szCs w:val="24"/>
              </w:rPr>
            </w:pPr>
            <w:r w:rsidRPr="0012760D">
              <w:rPr>
                <w:sz w:val="24"/>
                <w:szCs w:val="24"/>
              </w:rPr>
              <w:t>(3,426)</w:t>
            </w:r>
          </w:p>
        </w:tc>
        <w:tc>
          <w:tcPr>
            <w:tcW w:w="1088" w:type="pct"/>
            <w:shd w:val="clear" w:color="auto" w:fill="auto"/>
          </w:tcPr>
          <w:p w:rsidR="003E5497" w:rsidRPr="0012760D" w:rsidRDefault="003E5497" w:rsidP="00907E0B">
            <w:pPr>
              <w:jc w:val="right"/>
              <w:rPr>
                <w:sz w:val="24"/>
                <w:szCs w:val="24"/>
              </w:rPr>
            </w:pPr>
            <w:r w:rsidRPr="0012760D">
              <w:rPr>
                <w:sz w:val="24"/>
                <w:szCs w:val="24"/>
              </w:rPr>
              <w:t>(2,641)</w:t>
            </w:r>
          </w:p>
        </w:tc>
      </w:tr>
      <w:tr w:rsidR="003E5497" w:rsidRPr="0012760D" w:rsidTr="00907E0B">
        <w:tblPrEx>
          <w:tblCellMar>
            <w:top w:w="0" w:type="dxa"/>
            <w:bottom w:w="0" w:type="dxa"/>
          </w:tblCellMar>
        </w:tblPrEx>
        <w:tc>
          <w:tcPr>
            <w:tcW w:w="2515" w:type="pct"/>
            <w:shd w:val="clear" w:color="auto" w:fill="auto"/>
          </w:tcPr>
          <w:p w:rsidR="003E5497" w:rsidRPr="0012760D" w:rsidRDefault="003E5497" w:rsidP="00907E0B">
            <w:pPr>
              <w:rPr>
                <w:sz w:val="24"/>
                <w:szCs w:val="24"/>
              </w:rPr>
            </w:pPr>
            <w:r w:rsidRPr="0012760D">
              <w:rPr>
                <w:sz w:val="24"/>
                <w:szCs w:val="24"/>
              </w:rPr>
              <w:t>Decrease in employee entitlements</w:t>
            </w:r>
          </w:p>
        </w:tc>
        <w:tc>
          <w:tcPr>
            <w:tcW w:w="1397" w:type="pct"/>
            <w:shd w:val="clear" w:color="auto" w:fill="auto"/>
          </w:tcPr>
          <w:p w:rsidR="003E5497" w:rsidRPr="0012760D" w:rsidRDefault="003E5497" w:rsidP="00907E0B">
            <w:pPr>
              <w:jc w:val="right"/>
              <w:rPr>
                <w:sz w:val="24"/>
                <w:szCs w:val="24"/>
              </w:rPr>
            </w:pPr>
            <w:r w:rsidRPr="0012760D">
              <w:rPr>
                <w:sz w:val="24"/>
                <w:szCs w:val="24"/>
              </w:rPr>
              <w:t>(250,852)</w:t>
            </w:r>
          </w:p>
        </w:tc>
        <w:tc>
          <w:tcPr>
            <w:tcW w:w="1088" w:type="pct"/>
            <w:shd w:val="clear" w:color="auto" w:fill="auto"/>
          </w:tcPr>
          <w:p w:rsidR="003E5497" w:rsidRPr="0012760D" w:rsidRDefault="003E5497" w:rsidP="00907E0B">
            <w:pPr>
              <w:jc w:val="right"/>
              <w:rPr>
                <w:sz w:val="24"/>
                <w:szCs w:val="24"/>
              </w:rPr>
            </w:pPr>
            <w:r w:rsidRPr="0012760D">
              <w:rPr>
                <w:sz w:val="24"/>
                <w:szCs w:val="24"/>
              </w:rPr>
              <w:t>(56,558)</w:t>
            </w:r>
          </w:p>
        </w:tc>
      </w:tr>
      <w:tr w:rsidR="003E5497" w:rsidRPr="0012760D" w:rsidTr="00907E0B">
        <w:tblPrEx>
          <w:tblCellMar>
            <w:top w:w="0" w:type="dxa"/>
            <w:bottom w:w="0" w:type="dxa"/>
          </w:tblCellMar>
        </w:tblPrEx>
        <w:tc>
          <w:tcPr>
            <w:tcW w:w="2515" w:type="pct"/>
            <w:shd w:val="clear" w:color="auto" w:fill="auto"/>
          </w:tcPr>
          <w:p w:rsidR="003E5497" w:rsidRPr="0012760D" w:rsidRDefault="003E5497" w:rsidP="00907E0B">
            <w:pPr>
              <w:rPr>
                <w:sz w:val="24"/>
                <w:szCs w:val="24"/>
              </w:rPr>
            </w:pPr>
            <w:r w:rsidRPr="0012760D">
              <w:rPr>
                <w:sz w:val="24"/>
                <w:szCs w:val="24"/>
              </w:rPr>
              <w:t>Decrease in intangibles</w:t>
            </w:r>
          </w:p>
        </w:tc>
        <w:tc>
          <w:tcPr>
            <w:tcW w:w="1397" w:type="pct"/>
            <w:shd w:val="clear" w:color="auto" w:fill="auto"/>
          </w:tcPr>
          <w:p w:rsidR="003E5497" w:rsidRPr="0012760D" w:rsidRDefault="003E5497" w:rsidP="00907E0B">
            <w:pPr>
              <w:jc w:val="right"/>
              <w:rPr>
                <w:sz w:val="24"/>
                <w:szCs w:val="24"/>
              </w:rPr>
            </w:pPr>
            <w:r w:rsidRPr="0012760D">
              <w:rPr>
                <w:sz w:val="24"/>
                <w:szCs w:val="24"/>
              </w:rPr>
              <w:t>(2,290,803)</w:t>
            </w:r>
          </w:p>
        </w:tc>
        <w:tc>
          <w:tcPr>
            <w:tcW w:w="1088" w:type="pct"/>
            <w:shd w:val="clear" w:color="auto" w:fill="auto"/>
          </w:tcPr>
          <w:p w:rsidR="003E5497" w:rsidRPr="0012760D" w:rsidRDefault="003E5497" w:rsidP="00907E0B">
            <w:pPr>
              <w:jc w:val="right"/>
              <w:rPr>
                <w:sz w:val="24"/>
                <w:szCs w:val="24"/>
              </w:rPr>
            </w:pPr>
            <w:r w:rsidRPr="0012760D">
              <w:rPr>
                <w:sz w:val="24"/>
                <w:szCs w:val="24"/>
              </w:rPr>
              <w:t>-</w:t>
            </w:r>
          </w:p>
        </w:tc>
      </w:tr>
      <w:tr w:rsidR="003E5497" w:rsidRPr="0012760D" w:rsidTr="00907E0B">
        <w:tblPrEx>
          <w:tblCellMar>
            <w:top w:w="0" w:type="dxa"/>
            <w:bottom w:w="0" w:type="dxa"/>
          </w:tblCellMar>
        </w:tblPrEx>
        <w:tc>
          <w:tcPr>
            <w:tcW w:w="2515" w:type="pct"/>
            <w:shd w:val="clear" w:color="auto" w:fill="auto"/>
          </w:tcPr>
          <w:p w:rsidR="003E5497" w:rsidRPr="0012760D" w:rsidRDefault="003E5497" w:rsidP="00907E0B">
            <w:pPr>
              <w:rPr>
                <w:sz w:val="24"/>
                <w:szCs w:val="24"/>
              </w:rPr>
            </w:pPr>
            <w:r w:rsidRPr="0012760D">
              <w:rPr>
                <w:sz w:val="24"/>
                <w:szCs w:val="24"/>
              </w:rPr>
              <w:t>Increase in non-financial assets held for sale</w:t>
            </w:r>
          </w:p>
        </w:tc>
        <w:tc>
          <w:tcPr>
            <w:tcW w:w="1397" w:type="pct"/>
            <w:shd w:val="clear" w:color="auto" w:fill="auto"/>
            <w:vAlign w:val="bottom"/>
          </w:tcPr>
          <w:p w:rsidR="003E5497" w:rsidRPr="0012760D" w:rsidRDefault="003E5497" w:rsidP="00907E0B">
            <w:pPr>
              <w:jc w:val="right"/>
              <w:rPr>
                <w:sz w:val="24"/>
                <w:szCs w:val="24"/>
              </w:rPr>
            </w:pPr>
            <w:r w:rsidRPr="0012760D">
              <w:rPr>
                <w:sz w:val="24"/>
                <w:szCs w:val="24"/>
              </w:rPr>
              <w:t>2,290,803</w:t>
            </w:r>
          </w:p>
        </w:tc>
        <w:tc>
          <w:tcPr>
            <w:tcW w:w="1088" w:type="pct"/>
            <w:shd w:val="clear" w:color="auto" w:fill="auto"/>
            <w:vAlign w:val="bottom"/>
          </w:tcPr>
          <w:p w:rsidR="003E5497" w:rsidRPr="0012760D" w:rsidRDefault="003E5497" w:rsidP="00907E0B">
            <w:pPr>
              <w:jc w:val="right"/>
              <w:rPr>
                <w:sz w:val="24"/>
                <w:szCs w:val="24"/>
              </w:rPr>
            </w:pPr>
            <w:r w:rsidRPr="0012760D">
              <w:rPr>
                <w:sz w:val="24"/>
                <w:szCs w:val="24"/>
              </w:rPr>
              <w:t>-</w:t>
            </w:r>
          </w:p>
        </w:tc>
      </w:tr>
      <w:tr w:rsidR="003E5497" w:rsidRPr="0012760D" w:rsidTr="00907E0B">
        <w:tblPrEx>
          <w:tblCellMar>
            <w:top w:w="0" w:type="dxa"/>
            <w:bottom w:w="0" w:type="dxa"/>
          </w:tblCellMar>
        </w:tblPrEx>
        <w:tc>
          <w:tcPr>
            <w:tcW w:w="2515" w:type="pct"/>
            <w:shd w:val="clear" w:color="auto" w:fill="auto"/>
          </w:tcPr>
          <w:p w:rsidR="003E5497" w:rsidRPr="0012760D" w:rsidRDefault="003E5497" w:rsidP="00907E0B">
            <w:pPr>
              <w:rPr>
                <w:sz w:val="24"/>
                <w:szCs w:val="24"/>
              </w:rPr>
            </w:pPr>
            <w:r w:rsidRPr="0012760D">
              <w:rPr>
                <w:sz w:val="24"/>
                <w:szCs w:val="24"/>
              </w:rPr>
              <w:t>Increase in payables</w:t>
            </w:r>
          </w:p>
        </w:tc>
        <w:tc>
          <w:tcPr>
            <w:tcW w:w="1397" w:type="pct"/>
            <w:shd w:val="clear" w:color="auto" w:fill="auto"/>
          </w:tcPr>
          <w:p w:rsidR="003E5497" w:rsidRPr="0012760D" w:rsidRDefault="003E5497" w:rsidP="00907E0B">
            <w:pPr>
              <w:jc w:val="right"/>
              <w:rPr>
                <w:sz w:val="24"/>
                <w:szCs w:val="24"/>
              </w:rPr>
            </w:pPr>
            <w:r w:rsidRPr="0012760D">
              <w:rPr>
                <w:sz w:val="24"/>
                <w:szCs w:val="24"/>
              </w:rPr>
              <w:t>3,671,064</w:t>
            </w:r>
          </w:p>
        </w:tc>
        <w:tc>
          <w:tcPr>
            <w:tcW w:w="1088" w:type="pct"/>
            <w:shd w:val="clear" w:color="auto" w:fill="auto"/>
          </w:tcPr>
          <w:p w:rsidR="003E5497" w:rsidRPr="0012760D" w:rsidRDefault="003E5497" w:rsidP="00907E0B">
            <w:pPr>
              <w:jc w:val="right"/>
              <w:rPr>
                <w:sz w:val="24"/>
                <w:szCs w:val="24"/>
              </w:rPr>
            </w:pPr>
            <w:r w:rsidRPr="0012760D">
              <w:rPr>
                <w:sz w:val="24"/>
                <w:szCs w:val="24"/>
              </w:rPr>
              <w:t>385,174</w:t>
            </w:r>
          </w:p>
        </w:tc>
      </w:tr>
      <w:tr w:rsidR="003E5497" w:rsidRPr="0012760D" w:rsidTr="00907E0B">
        <w:tblPrEx>
          <w:tblCellMar>
            <w:top w:w="0" w:type="dxa"/>
            <w:bottom w:w="0" w:type="dxa"/>
          </w:tblCellMar>
        </w:tblPrEx>
        <w:tc>
          <w:tcPr>
            <w:tcW w:w="2515" w:type="pct"/>
            <w:shd w:val="clear" w:color="auto" w:fill="auto"/>
          </w:tcPr>
          <w:p w:rsidR="003E5497" w:rsidRPr="0012760D" w:rsidRDefault="003E5497" w:rsidP="00907E0B">
            <w:pPr>
              <w:rPr>
                <w:sz w:val="24"/>
                <w:szCs w:val="24"/>
              </w:rPr>
            </w:pPr>
            <w:r w:rsidRPr="0012760D">
              <w:rPr>
                <w:sz w:val="24"/>
                <w:szCs w:val="24"/>
              </w:rPr>
              <w:t>Decrease in prepayments</w:t>
            </w:r>
          </w:p>
        </w:tc>
        <w:tc>
          <w:tcPr>
            <w:tcW w:w="1397" w:type="pct"/>
            <w:shd w:val="clear" w:color="auto" w:fill="auto"/>
          </w:tcPr>
          <w:p w:rsidR="003E5497" w:rsidRPr="0012760D" w:rsidRDefault="003E5497" w:rsidP="00907E0B">
            <w:pPr>
              <w:jc w:val="right"/>
              <w:rPr>
                <w:sz w:val="24"/>
                <w:szCs w:val="24"/>
              </w:rPr>
            </w:pPr>
            <w:r w:rsidRPr="0012760D">
              <w:rPr>
                <w:sz w:val="24"/>
                <w:szCs w:val="24"/>
              </w:rPr>
              <w:t>(3,705)</w:t>
            </w:r>
          </w:p>
        </w:tc>
        <w:tc>
          <w:tcPr>
            <w:tcW w:w="1088" w:type="pct"/>
            <w:shd w:val="clear" w:color="auto" w:fill="auto"/>
          </w:tcPr>
          <w:p w:rsidR="003E5497" w:rsidRPr="0012760D" w:rsidRDefault="003E5497" w:rsidP="00907E0B">
            <w:pPr>
              <w:jc w:val="right"/>
              <w:rPr>
                <w:sz w:val="24"/>
                <w:szCs w:val="24"/>
              </w:rPr>
            </w:pPr>
            <w:r w:rsidRPr="0012760D">
              <w:rPr>
                <w:sz w:val="24"/>
                <w:szCs w:val="24"/>
              </w:rPr>
              <w:t>(93,288)</w:t>
            </w:r>
          </w:p>
        </w:tc>
      </w:tr>
      <w:tr w:rsidR="003E5497" w:rsidRPr="0012760D" w:rsidTr="00907E0B">
        <w:tblPrEx>
          <w:tblCellMar>
            <w:top w:w="0" w:type="dxa"/>
            <w:bottom w:w="0" w:type="dxa"/>
          </w:tblCellMar>
        </w:tblPrEx>
        <w:tc>
          <w:tcPr>
            <w:tcW w:w="2515" w:type="pct"/>
            <w:shd w:val="clear" w:color="auto" w:fill="auto"/>
          </w:tcPr>
          <w:p w:rsidR="003E5497" w:rsidRPr="0012760D" w:rsidRDefault="003E5497" w:rsidP="00907E0B">
            <w:pPr>
              <w:rPr>
                <w:sz w:val="24"/>
                <w:szCs w:val="24"/>
              </w:rPr>
            </w:pPr>
            <w:r w:rsidRPr="0012760D">
              <w:rPr>
                <w:sz w:val="24"/>
                <w:szCs w:val="24"/>
              </w:rPr>
              <w:t>(Decrease)/increase in receivables</w:t>
            </w:r>
          </w:p>
        </w:tc>
        <w:tc>
          <w:tcPr>
            <w:tcW w:w="1397" w:type="pct"/>
            <w:shd w:val="clear" w:color="auto" w:fill="auto"/>
          </w:tcPr>
          <w:p w:rsidR="003E5497" w:rsidRPr="0012760D" w:rsidRDefault="003E5497" w:rsidP="00907E0B">
            <w:pPr>
              <w:jc w:val="right"/>
              <w:rPr>
                <w:sz w:val="24"/>
                <w:szCs w:val="24"/>
              </w:rPr>
            </w:pPr>
            <w:r w:rsidRPr="0012760D">
              <w:rPr>
                <w:sz w:val="24"/>
                <w:szCs w:val="24"/>
              </w:rPr>
              <w:t>(1,813,487)</w:t>
            </w:r>
          </w:p>
        </w:tc>
        <w:tc>
          <w:tcPr>
            <w:tcW w:w="1088" w:type="pct"/>
            <w:shd w:val="clear" w:color="auto" w:fill="auto"/>
          </w:tcPr>
          <w:p w:rsidR="003E5497" w:rsidRPr="0012760D" w:rsidRDefault="003E5497" w:rsidP="00907E0B">
            <w:pPr>
              <w:jc w:val="right"/>
              <w:rPr>
                <w:sz w:val="24"/>
                <w:szCs w:val="24"/>
              </w:rPr>
            </w:pPr>
            <w:r w:rsidRPr="0012760D">
              <w:rPr>
                <w:sz w:val="24"/>
                <w:szCs w:val="24"/>
              </w:rPr>
              <w:t>13,072</w:t>
            </w:r>
          </w:p>
        </w:tc>
      </w:tr>
      <w:tr w:rsidR="003E5497" w:rsidRPr="0012760D" w:rsidTr="00907E0B">
        <w:tblPrEx>
          <w:tblCellMar>
            <w:top w:w="0" w:type="dxa"/>
            <w:bottom w:w="0" w:type="dxa"/>
          </w:tblCellMar>
        </w:tblPrEx>
        <w:tc>
          <w:tcPr>
            <w:tcW w:w="2515" w:type="pct"/>
            <w:shd w:val="clear" w:color="auto" w:fill="auto"/>
          </w:tcPr>
          <w:p w:rsidR="003E5497" w:rsidRPr="0012760D" w:rsidRDefault="003E5497" w:rsidP="00907E0B">
            <w:pPr>
              <w:rPr>
                <w:sz w:val="24"/>
                <w:szCs w:val="24"/>
              </w:rPr>
            </w:pPr>
            <w:r w:rsidRPr="0012760D">
              <w:rPr>
                <w:sz w:val="24"/>
                <w:szCs w:val="24"/>
              </w:rPr>
              <w:t>Decrease in unearned revenue</w:t>
            </w:r>
          </w:p>
        </w:tc>
        <w:tc>
          <w:tcPr>
            <w:tcW w:w="1397" w:type="pct"/>
            <w:shd w:val="clear" w:color="auto" w:fill="auto"/>
          </w:tcPr>
          <w:p w:rsidR="003E5497" w:rsidRPr="0012760D" w:rsidRDefault="003E5497" w:rsidP="00907E0B">
            <w:pPr>
              <w:jc w:val="right"/>
              <w:rPr>
                <w:sz w:val="24"/>
                <w:szCs w:val="24"/>
              </w:rPr>
            </w:pPr>
            <w:r w:rsidRPr="0012760D">
              <w:rPr>
                <w:sz w:val="24"/>
                <w:szCs w:val="24"/>
              </w:rPr>
              <w:t>-</w:t>
            </w:r>
          </w:p>
        </w:tc>
        <w:tc>
          <w:tcPr>
            <w:tcW w:w="1088" w:type="pct"/>
            <w:shd w:val="clear" w:color="auto" w:fill="auto"/>
          </w:tcPr>
          <w:p w:rsidR="003E5497" w:rsidRPr="0012760D" w:rsidRDefault="003E5497" w:rsidP="00907E0B">
            <w:pPr>
              <w:jc w:val="right"/>
              <w:rPr>
                <w:sz w:val="24"/>
                <w:szCs w:val="24"/>
              </w:rPr>
            </w:pPr>
            <w:r w:rsidRPr="0012760D">
              <w:rPr>
                <w:sz w:val="24"/>
                <w:szCs w:val="24"/>
              </w:rPr>
              <w:t>(309,000)</w:t>
            </w:r>
          </w:p>
        </w:tc>
      </w:tr>
      <w:tr w:rsidR="003E5497" w:rsidRPr="0012760D" w:rsidTr="00907E0B">
        <w:tblPrEx>
          <w:tblCellMar>
            <w:top w:w="0" w:type="dxa"/>
            <w:bottom w:w="0" w:type="dxa"/>
          </w:tblCellMar>
        </w:tblPrEx>
        <w:tc>
          <w:tcPr>
            <w:tcW w:w="2515" w:type="pct"/>
            <w:shd w:val="clear" w:color="auto" w:fill="auto"/>
          </w:tcPr>
          <w:p w:rsidR="003E5497" w:rsidRPr="0012760D" w:rsidRDefault="003E5497" w:rsidP="00907E0B">
            <w:pPr>
              <w:rPr>
                <w:sz w:val="24"/>
                <w:szCs w:val="24"/>
              </w:rPr>
            </w:pPr>
            <w:r w:rsidRPr="0012760D">
              <w:rPr>
                <w:bCs/>
                <w:sz w:val="24"/>
                <w:szCs w:val="24"/>
              </w:rPr>
              <w:t>Net Cash Inflow from Operating Activities</w:t>
            </w:r>
          </w:p>
        </w:tc>
        <w:tc>
          <w:tcPr>
            <w:tcW w:w="1397" w:type="pct"/>
            <w:shd w:val="clear" w:color="auto" w:fill="auto"/>
          </w:tcPr>
          <w:p w:rsidR="003E5497" w:rsidRPr="0012760D" w:rsidRDefault="003E5497" w:rsidP="00907E0B">
            <w:pPr>
              <w:jc w:val="right"/>
              <w:rPr>
                <w:sz w:val="24"/>
                <w:szCs w:val="24"/>
              </w:rPr>
            </w:pPr>
            <w:r w:rsidRPr="0012760D">
              <w:rPr>
                <w:bCs/>
                <w:sz w:val="24"/>
                <w:szCs w:val="24"/>
              </w:rPr>
              <w:t>13,607,337</w:t>
            </w:r>
          </w:p>
        </w:tc>
        <w:tc>
          <w:tcPr>
            <w:tcW w:w="1088" w:type="pct"/>
            <w:shd w:val="clear" w:color="auto" w:fill="auto"/>
          </w:tcPr>
          <w:p w:rsidR="003E5497" w:rsidRPr="0012760D" w:rsidRDefault="003E5497" w:rsidP="00907E0B">
            <w:pPr>
              <w:jc w:val="right"/>
              <w:rPr>
                <w:sz w:val="24"/>
                <w:szCs w:val="24"/>
              </w:rPr>
            </w:pPr>
            <w:r w:rsidRPr="0012760D">
              <w:rPr>
                <w:bCs/>
                <w:sz w:val="24"/>
                <w:szCs w:val="24"/>
              </w:rPr>
              <w:t>4,281,275</w:t>
            </w:r>
          </w:p>
        </w:tc>
      </w:tr>
    </w:tbl>
    <w:p w:rsidR="003E5497" w:rsidRDefault="003E5497" w:rsidP="003E5497">
      <w:pPr>
        <w:rPr>
          <w:bCs/>
          <w:sz w:val="24"/>
          <w:szCs w:val="24"/>
        </w:rPr>
      </w:pPr>
    </w:p>
    <w:p w:rsidR="00AF2D9F" w:rsidRPr="0012760D" w:rsidRDefault="00AF2D9F" w:rsidP="003E5497">
      <w:pPr>
        <w:rPr>
          <w:bCs/>
          <w:sz w:val="24"/>
          <w:szCs w:val="24"/>
        </w:rPr>
      </w:pPr>
    </w:p>
    <w:p w:rsidR="003E5497" w:rsidRDefault="003E5497" w:rsidP="00AF2D9F">
      <w:pPr>
        <w:pStyle w:val="Heading2"/>
      </w:pPr>
      <w:r w:rsidRPr="0012760D">
        <w:t>15. Operating Lease Commitments</w:t>
      </w:r>
    </w:p>
    <w:p w:rsidR="00AF2D9F" w:rsidRPr="0012760D" w:rsidRDefault="00AF2D9F" w:rsidP="003E5497">
      <w:pPr>
        <w:rPr>
          <w:sz w:val="24"/>
          <w:szCs w:val="24"/>
        </w:rPr>
      </w:pPr>
    </w:p>
    <w:p w:rsidR="003E5497" w:rsidRDefault="003E5497" w:rsidP="003E5497">
      <w:pPr>
        <w:rPr>
          <w:sz w:val="24"/>
          <w:szCs w:val="24"/>
        </w:rPr>
      </w:pPr>
      <w:r w:rsidRPr="0012760D">
        <w:rPr>
          <w:sz w:val="24"/>
          <w:szCs w:val="24"/>
        </w:rPr>
        <w:t>Lease payments for the CBD office accommodation located at Level 28/50 Lonsdale Street is classified as an operating lease, where substantially all the risks and benefits remain with the lessor and are charged as expenses in the periods in which they are incurred. No other operating leases existed at 30 June 2013.</w:t>
      </w:r>
    </w:p>
    <w:p w:rsidR="00AF2D9F" w:rsidRPr="0012760D" w:rsidRDefault="00AF2D9F" w:rsidP="003E5497">
      <w:pPr>
        <w:rPr>
          <w:sz w:val="24"/>
          <w:szCs w:val="24"/>
        </w:rPr>
      </w:pPr>
    </w:p>
    <w:p w:rsidR="003E5497" w:rsidRPr="0012760D" w:rsidRDefault="003E5497" w:rsidP="003E5497">
      <w:pPr>
        <w:rPr>
          <w:sz w:val="24"/>
          <w:szCs w:val="24"/>
        </w:rPr>
      </w:pPr>
      <w:r w:rsidRPr="0012760D">
        <w:rPr>
          <w:sz w:val="24"/>
          <w:szCs w:val="24"/>
        </w:rPr>
        <w:t>The following commitments have been contracted for by Sustainability Victoria.</w:t>
      </w:r>
    </w:p>
    <w:p w:rsidR="003E5497" w:rsidRPr="0012760D" w:rsidRDefault="003E5497" w:rsidP="003E5497">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4815"/>
        <w:gridCol w:w="2157"/>
        <w:gridCol w:w="2137"/>
      </w:tblGrid>
      <w:tr w:rsidR="003E5497" w:rsidRPr="0012760D" w:rsidTr="00907E0B">
        <w:tblPrEx>
          <w:tblCellMar>
            <w:top w:w="0" w:type="dxa"/>
            <w:bottom w:w="0" w:type="dxa"/>
          </w:tblCellMar>
        </w:tblPrEx>
        <w:tc>
          <w:tcPr>
            <w:tcW w:w="2643" w:type="pct"/>
            <w:shd w:val="clear" w:color="auto" w:fill="auto"/>
          </w:tcPr>
          <w:p w:rsidR="003E5497" w:rsidRPr="0012760D" w:rsidRDefault="003E5497" w:rsidP="00907E0B">
            <w:pPr>
              <w:rPr>
                <w:sz w:val="24"/>
                <w:szCs w:val="24"/>
              </w:rPr>
            </w:pPr>
          </w:p>
        </w:tc>
        <w:tc>
          <w:tcPr>
            <w:tcW w:w="1184" w:type="pct"/>
            <w:shd w:val="clear" w:color="auto" w:fill="auto"/>
          </w:tcPr>
          <w:p w:rsidR="003E5497" w:rsidRPr="0012760D" w:rsidRDefault="003E5497" w:rsidP="00907E0B">
            <w:pPr>
              <w:jc w:val="right"/>
              <w:rPr>
                <w:sz w:val="24"/>
                <w:szCs w:val="24"/>
              </w:rPr>
            </w:pPr>
            <w:r w:rsidRPr="0012760D">
              <w:rPr>
                <w:bCs/>
                <w:sz w:val="24"/>
                <w:szCs w:val="24"/>
              </w:rPr>
              <w:t>2013 $</w:t>
            </w:r>
          </w:p>
        </w:tc>
        <w:tc>
          <w:tcPr>
            <w:tcW w:w="1173" w:type="pct"/>
            <w:shd w:val="clear" w:color="auto" w:fill="auto"/>
          </w:tcPr>
          <w:p w:rsidR="003E5497" w:rsidRPr="0012760D" w:rsidRDefault="003E5497" w:rsidP="00907E0B">
            <w:pPr>
              <w:jc w:val="right"/>
              <w:rPr>
                <w:sz w:val="24"/>
                <w:szCs w:val="24"/>
              </w:rPr>
            </w:pPr>
            <w:r w:rsidRPr="0012760D">
              <w:rPr>
                <w:bCs/>
                <w:sz w:val="24"/>
                <w:szCs w:val="24"/>
              </w:rPr>
              <w:t>2012 $</w:t>
            </w:r>
          </w:p>
        </w:tc>
      </w:tr>
      <w:tr w:rsidR="003E5497" w:rsidRPr="0012760D" w:rsidTr="00907E0B">
        <w:tblPrEx>
          <w:tblCellMar>
            <w:top w:w="0" w:type="dxa"/>
            <w:bottom w:w="0" w:type="dxa"/>
          </w:tblCellMar>
        </w:tblPrEx>
        <w:tc>
          <w:tcPr>
            <w:tcW w:w="2643" w:type="pct"/>
            <w:shd w:val="clear" w:color="auto" w:fill="auto"/>
          </w:tcPr>
          <w:p w:rsidR="003E5497" w:rsidRPr="0012760D" w:rsidRDefault="003E5497" w:rsidP="00907E0B">
            <w:pPr>
              <w:rPr>
                <w:sz w:val="24"/>
                <w:szCs w:val="24"/>
              </w:rPr>
            </w:pPr>
            <w:r w:rsidRPr="0012760D">
              <w:rPr>
                <w:sz w:val="24"/>
                <w:szCs w:val="24"/>
              </w:rPr>
              <w:t>(i) not later than one year</w:t>
            </w:r>
          </w:p>
        </w:tc>
        <w:tc>
          <w:tcPr>
            <w:tcW w:w="1184" w:type="pct"/>
            <w:shd w:val="clear" w:color="auto" w:fill="auto"/>
          </w:tcPr>
          <w:p w:rsidR="003E5497" w:rsidRPr="0012760D" w:rsidRDefault="003E5497" w:rsidP="00907E0B">
            <w:pPr>
              <w:jc w:val="right"/>
              <w:rPr>
                <w:sz w:val="24"/>
                <w:szCs w:val="24"/>
              </w:rPr>
            </w:pPr>
            <w:r w:rsidRPr="0012760D">
              <w:rPr>
                <w:sz w:val="24"/>
                <w:szCs w:val="24"/>
              </w:rPr>
              <w:t>982,610</w:t>
            </w:r>
          </w:p>
        </w:tc>
        <w:tc>
          <w:tcPr>
            <w:tcW w:w="1173" w:type="pct"/>
            <w:shd w:val="clear" w:color="auto" w:fill="auto"/>
          </w:tcPr>
          <w:p w:rsidR="003E5497" w:rsidRPr="0012760D" w:rsidRDefault="003E5497" w:rsidP="00907E0B">
            <w:pPr>
              <w:jc w:val="right"/>
              <w:rPr>
                <w:sz w:val="24"/>
                <w:szCs w:val="24"/>
              </w:rPr>
            </w:pPr>
            <w:r w:rsidRPr="0012760D">
              <w:rPr>
                <w:sz w:val="24"/>
                <w:szCs w:val="24"/>
              </w:rPr>
              <w:t>944,818</w:t>
            </w:r>
          </w:p>
        </w:tc>
      </w:tr>
      <w:tr w:rsidR="003E5497" w:rsidRPr="0012760D" w:rsidTr="00907E0B">
        <w:tblPrEx>
          <w:tblCellMar>
            <w:top w:w="0" w:type="dxa"/>
            <w:bottom w:w="0" w:type="dxa"/>
          </w:tblCellMar>
        </w:tblPrEx>
        <w:tc>
          <w:tcPr>
            <w:tcW w:w="2643" w:type="pct"/>
            <w:shd w:val="clear" w:color="auto" w:fill="auto"/>
          </w:tcPr>
          <w:p w:rsidR="003E5497" w:rsidRPr="0012760D" w:rsidRDefault="003E5497" w:rsidP="00907E0B">
            <w:pPr>
              <w:rPr>
                <w:sz w:val="24"/>
                <w:szCs w:val="24"/>
              </w:rPr>
            </w:pPr>
            <w:r w:rsidRPr="0012760D">
              <w:rPr>
                <w:sz w:val="24"/>
                <w:szCs w:val="24"/>
              </w:rPr>
              <w:lastRenderedPageBreak/>
              <w:t>(i</w:t>
            </w:r>
            <w:r w:rsidR="00C16B42">
              <w:rPr>
                <w:sz w:val="24"/>
                <w:szCs w:val="24"/>
              </w:rPr>
              <w:t xml:space="preserve"> i) later than one year but not </w:t>
            </w:r>
            <w:r w:rsidRPr="0012760D">
              <w:rPr>
                <w:sz w:val="24"/>
                <w:szCs w:val="24"/>
              </w:rPr>
              <w:t>later than five years</w:t>
            </w:r>
          </w:p>
        </w:tc>
        <w:tc>
          <w:tcPr>
            <w:tcW w:w="1184" w:type="pct"/>
            <w:shd w:val="clear" w:color="auto" w:fill="auto"/>
            <w:vAlign w:val="bottom"/>
          </w:tcPr>
          <w:p w:rsidR="003E5497" w:rsidRPr="0012760D" w:rsidRDefault="003E5497" w:rsidP="00907E0B">
            <w:pPr>
              <w:jc w:val="right"/>
              <w:rPr>
                <w:sz w:val="24"/>
                <w:szCs w:val="24"/>
              </w:rPr>
            </w:pPr>
            <w:r w:rsidRPr="0012760D">
              <w:rPr>
                <w:sz w:val="24"/>
                <w:szCs w:val="24"/>
              </w:rPr>
              <w:t>4,339,521</w:t>
            </w:r>
          </w:p>
        </w:tc>
        <w:tc>
          <w:tcPr>
            <w:tcW w:w="1173" w:type="pct"/>
            <w:shd w:val="clear" w:color="auto" w:fill="auto"/>
            <w:vAlign w:val="bottom"/>
          </w:tcPr>
          <w:p w:rsidR="003E5497" w:rsidRPr="0012760D" w:rsidRDefault="003E5497" w:rsidP="00907E0B">
            <w:pPr>
              <w:jc w:val="right"/>
              <w:rPr>
                <w:sz w:val="24"/>
                <w:szCs w:val="24"/>
              </w:rPr>
            </w:pPr>
            <w:r w:rsidRPr="0012760D">
              <w:rPr>
                <w:sz w:val="24"/>
                <w:szCs w:val="24"/>
              </w:rPr>
              <w:t>4,172,617</w:t>
            </w:r>
          </w:p>
        </w:tc>
      </w:tr>
      <w:tr w:rsidR="003E5497" w:rsidRPr="0012760D" w:rsidTr="00907E0B">
        <w:tblPrEx>
          <w:tblCellMar>
            <w:top w:w="0" w:type="dxa"/>
            <w:bottom w:w="0" w:type="dxa"/>
          </w:tblCellMar>
        </w:tblPrEx>
        <w:tc>
          <w:tcPr>
            <w:tcW w:w="2643" w:type="pct"/>
            <w:shd w:val="clear" w:color="auto" w:fill="auto"/>
          </w:tcPr>
          <w:p w:rsidR="003E5497" w:rsidRPr="0012760D" w:rsidRDefault="003E5497" w:rsidP="00907E0B">
            <w:pPr>
              <w:rPr>
                <w:sz w:val="24"/>
                <w:szCs w:val="24"/>
              </w:rPr>
            </w:pPr>
            <w:r w:rsidRPr="0012760D">
              <w:rPr>
                <w:sz w:val="24"/>
                <w:szCs w:val="24"/>
              </w:rPr>
              <w:t>(i i i) later than five years</w:t>
            </w:r>
          </w:p>
        </w:tc>
        <w:tc>
          <w:tcPr>
            <w:tcW w:w="1184" w:type="pct"/>
            <w:shd w:val="clear" w:color="auto" w:fill="auto"/>
          </w:tcPr>
          <w:p w:rsidR="003E5497" w:rsidRPr="0012760D" w:rsidRDefault="003E5497" w:rsidP="00907E0B">
            <w:pPr>
              <w:jc w:val="right"/>
              <w:rPr>
                <w:sz w:val="24"/>
                <w:szCs w:val="24"/>
              </w:rPr>
            </w:pPr>
            <w:r w:rsidRPr="0012760D">
              <w:rPr>
                <w:sz w:val="24"/>
                <w:szCs w:val="24"/>
              </w:rPr>
              <w:t>3,948,755</w:t>
            </w:r>
          </w:p>
        </w:tc>
        <w:tc>
          <w:tcPr>
            <w:tcW w:w="1173" w:type="pct"/>
            <w:shd w:val="clear" w:color="auto" w:fill="auto"/>
          </w:tcPr>
          <w:p w:rsidR="003E5497" w:rsidRPr="0012760D" w:rsidRDefault="003E5497" w:rsidP="00907E0B">
            <w:pPr>
              <w:jc w:val="right"/>
              <w:rPr>
                <w:sz w:val="24"/>
                <w:szCs w:val="24"/>
              </w:rPr>
            </w:pPr>
            <w:r w:rsidRPr="0012760D">
              <w:rPr>
                <w:sz w:val="24"/>
                <w:szCs w:val="24"/>
              </w:rPr>
              <w:t>5,098,269</w:t>
            </w:r>
          </w:p>
        </w:tc>
      </w:tr>
      <w:tr w:rsidR="003E5497" w:rsidRPr="0012760D" w:rsidTr="00907E0B">
        <w:tblPrEx>
          <w:tblCellMar>
            <w:top w:w="0" w:type="dxa"/>
            <w:bottom w:w="0" w:type="dxa"/>
          </w:tblCellMar>
        </w:tblPrEx>
        <w:tc>
          <w:tcPr>
            <w:tcW w:w="2643" w:type="pct"/>
            <w:shd w:val="clear" w:color="auto" w:fill="auto"/>
          </w:tcPr>
          <w:p w:rsidR="003E5497" w:rsidRPr="0012760D" w:rsidRDefault="003E5497" w:rsidP="00907E0B">
            <w:pPr>
              <w:rPr>
                <w:sz w:val="24"/>
                <w:szCs w:val="24"/>
              </w:rPr>
            </w:pPr>
            <w:r w:rsidRPr="0012760D">
              <w:rPr>
                <w:bCs/>
                <w:sz w:val="24"/>
                <w:szCs w:val="24"/>
              </w:rPr>
              <w:t>Total</w:t>
            </w:r>
          </w:p>
        </w:tc>
        <w:tc>
          <w:tcPr>
            <w:tcW w:w="1184" w:type="pct"/>
            <w:shd w:val="clear" w:color="auto" w:fill="auto"/>
          </w:tcPr>
          <w:p w:rsidR="003E5497" w:rsidRPr="0012760D" w:rsidRDefault="003E5497" w:rsidP="00907E0B">
            <w:pPr>
              <w:jc w:val="right"/>
              <w:rPr>
                <w:sz w:val="24"/>
                <w:szCs w:val="24"/>
              </w:rPr>
            </w:pPr>
            <w:r w:rsidRPr="0012760D">
              <w:rPr>
                <w:bCs/>
                <w:sz w:val="24"/>
                <w:szCs w:val="24"/>
              </w:rPr>
              <w:t>9,270,886</w:t>
            </w:r>
          </w:p>
        </w:tc>
        <w:tc>
          <w:tcPr>
            <w:tcW w:w="1173" w:type="pct"/>
            <w:shd w:val="clear" w:color="auto" w:fill="auto"/>
          </w:tcPr>
          <w:p w:rsidR="003E5497" w:rsidRPr="0012760D" w:rsidRDefault="003E5497" w:rsidP="00907E0B">
            <w:pPr>
              <w:jc w:val="right"/>
              <w:rPr>
                <w:sz w:val="24"/>
                <w:szCs w:val="24"/>
              </w:rPr>
            </w:pPr>
            <w:r w:rsidRPr="0012760D">
              <w:rPr>
                <w:bCs/>
                <w:sz w:val="24"/>
                <w:szCs w:val="24"/>
              </w:rPr>
              <w:t>10,215,704</w:t>
            </w:r>
          </w:p>
        </w:tc>
      </w:tr>
    </w:tbl>
    <w:p w:rsidR="001F0B7A" w:rsidRDefault="001F0B7A" w:rsidP="001F0B7A">
      <w:pPr>
        <w:rPr>
          <w:bCs/>
          <w:sz w:val="24"/>
          <w:szCs w:val="24"/>
        </w:rPr>
      </w:pPr>
      <w:r w:rsidRPr="0012760D">
        <w:rPr>
          <w:bCs/>
          <w:sz w:val="24"/>
          <w:szCs w:val="24"/>
        </w:rPr>
        <w:t>&lt;pp&gt; 44</w:t>
      </w:r>
    </w:p>
    <w:p w:rsidR="00C16B42" w:rsidRDefault="00C16B42" w:rsidP="001F0B7A">
      <w:pPr>
        <w:rPr>
          <w:bCs/>
          <w:sz w:val="24"/>
          <w:szCs w:val="24"/>
        </w:rPr>
      </w:pPr>
    </w:p>
    <w:p w:rsidR="00C16B42" w:rsidRPr="0012760D" w:rsidRDefault="00C16B42" w:rsidP="001F0B7A">
      <w:pPr>
        <w:rPr>
          <w:sz w:val="24"/>
          <w:szCs w:val="24"/>
        </w:rPr>
      </w:pPr>
    </w:p>
    <w:p w:rsidR="001F0B7A" w:rsidRPr="0012760D" w:rsidRDefault="001F0B7A" w:rsidP="00C16B42">
      <w:pPr>
        <w:pStyle w:val="Heading2"/>
      </w:pPr>
      <w:r w:rsidRPr="0012760D">
        <w:t>16. Finance Lease Commitments</w:t>
      </w:r>
    </w:p>
    <w:p w:rsidR="001F0B7A" w:rsidRPr="0012760D" w:rsidRDefault="001F0B7A" w:rsidP="001F0B7A">
      <w:pPr>
        <w:rPr>
          <w:sz w:val="24"/>
          <w:szCs w:val="24"/>
        </w:rPr>
      </w:pPr>
    </w:p>
    <w:p w:rsidR="001F0B7A" w:rsidRDefault="001F0B7A" w:rsidP="001F0B7A">
      <w:pPr>
        <w:rPr>
          <w:sz w:val="24"/>
          <w:szCs w:val="24"/>
        </w:rPr>
      </w:pPr>
      <w:r w:rsidRPr="0012760D">
        <w:rPr>
          <w:sz w:val="24"/>
          <w:szCs w:val="24"/>
        </w:rPr>
        <w:t>A lease asset and liability are established at the present value of minimum lease payments for all motor vehicles leased through VicFleet. lease payments are allocated between the principal component of the lease liability and the interest expense.</w:t>
      </w:r>
    </w:p>
    <w:p w:rsidR="00C16B42" w:rsidRPr="0012760D" w:rsidRDefault="00C16B42" w:rsidP="001F0B7A">
      <w:pPr>
        <w:rPr>
          <w:sz w:val="24"/>
          <w:szCs w:val="24"/>
        </w:rPr>
      </w:pPr>
    </w:p>
    <w:p w:rsidR="001F0B7A" w:rsidRPr="0012760D" w:rsidRDefault="001F0B7A" w:rsidP="001F0B7A">
      <w:pPr>
        <w:rPr>
          <w:sz w:val="24"/>
          <w:szCs w:val="24"/>
        </w:rPr>
      </w:pPr>
      <w:r w:rsidRPr="0012760D">
        <w:rPr>
          <w:sz w:val="24"/>
          <w:szCs w:val="24"/>
        </w:rPr>
        <w:t>The following commitments have been contracted for by Sustainability Victoria.</w:t>
      </w:r>
    </w:p>
    <w:p w:rsidR="001F0B7A" w:rsidRPr="0012760D" w:rsidRDefault="001F0B7A" w:rsidP="001F0B7A">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3746"/>
        <w:gridCol w:w="1255"/>
        <w:gridCol w:w="1275"/>
        <w:gridCol w:w="1419"/>
        <w:gridCol w:w="1414"/>
      </w:tblGrid>
      <w:tr w:rsidR="001F0B7A" w:rsidRPr="0012760D" w:rsidTr="00907E0B">
        <w:tblPrEx>
          <w:tblCellMar>
            <w:top w:w="0" w:type="dxa"/>
            <w:bottom w:w="0" w:type="dxa"/>
          </w:tblCellMar>
        </w:tblPrEx>
        <w:tc>
          <w:tcPr>
            <w:tcW w:w="2056" w:type="pct"/>
            <w:vMerge w:val="restart"/>
            <w:shd w:val="clear" w:color="auto" w:fill="auto"/>
          </w:tcPr>
          <w:p w:rsidR="001F0B7A" w:rsidRPr="0012760D" w:rsidRDefault="001F0B7A" w:rsidP="00907E0B">
            <w:pPr>
              <w:rPr>
                <w:sz w:val="24"/>
                <w:szCs w:val="24"/>
              </w:rPr>
            </w:pPr>
          </w:p>
        </w:tc>
        <w:tc>
          <w:tcPr>
            <w:tcW w:w="1389" w:type="pct"/>
            <w:gridSpan w:val="2"/>
            <w:shd w:val="clear" w:color="auto" w:fill="auto"/>
            <w:vAlign w:val="bottom"/>
          </w:tcPr>
          <w:p w:rsidR="001F0B7A" w:rsidRPr="0012760D" w:rsidRDefault="001F0B7A" w:rsidP="00907E0B">
            <w:pPr>
              <w:rPr>
                <w:sz w:val="24"/>
                <w:szCs w:val="24"/>
              </w:rPr>
            </w:pPr>
            <w:r w:rsidRPr="0012760D">
              <w:rPr>
                <w:bCs/>
                <w:sz w:val="24"/>
                <w:szCs w:val="24"/>
              </w:rPr>
              <w:t>Minimum future lease payments</w:t>
            </w:r>
          </w:p>
        </w:tc>
        <w:tc>
          <w:tcPr>
            <w:tcW w:w="1555" w:type="pct"/>
            <w:gridSpan w:val="2"/>
            <w:shd w:val="clear" w:color="auto" w:fill="auto"/>
          </w:tcPr>
          <w:p w:rsidR="001F0B7A" w:rsidRPr="0012760D" w:rsidRDefault="001F0B7A" w:rsidP="00907E0B">
            <w:pPr>
              <w:rPr>
                <w:sz w:val="24"/>
                <w:szCs w:val="24"/>
              </w:rPr>
            </w:pPr>
            <w:r w:rsidRPr="0012760D">
              <w:rPr>
                <w:bCs/>
                <w:sz w:val="24"/>
                <w:szCs w:val="24"/>
              </w:rPr>
              <w:t>Present value of minimum future lease payments</w:t>
            </w:r>
          </w:p>
        </w:tc>
      </w:tr>
      <w:tr w:rsidR="001F0B7A" w:rsidRPr="0012760D" w:rsidTr="00907E0B">
        <w:tblPrEx>
          <w:tblCellMar>
            <w:top w:w="0" w:type="dxa"/>
            <w:bottom w:w="0" w:type="dxa"/>
          </w:tblCellMar>
        </w:tblPrEx>
        <w:tc>
          <w:tcPr>
            <w:tcW w:w="2056" w:type="pct"/>
            <w:vMerge/>
            <w:shd w:val="clear" w:color="auto" w:fill="auto"/>
          </w:tcPr>
          <w:p w:rsidR="001F0B7A" w:rsidRPr="0012760D" w:rsidRDefault="001F0B7A" w:rsidP="00907E0B">
            <w:pPr>
              <w:rPr>
                <w:sz w:val="24"/>
                <w:szCs w:val="24"/>
              </w:rPr>
            </w:pPr>
          </w:p>
        </w:tc>
        <w:tc>
          <w:tcPr>
            <w:tcW w:w="689" w:type="pct"/>
            <w:shd w:val="clear" w:color="auto" w:fill="auto"/>
          </w:tcPr>
          <w:p w:rsidR="001F0B7A" w:rsidRPr="0012760D" w:rsidRDefault="001F0B7A" w:rsidP="00907E0B">
            <w:pPr>
              <w:jc w:val="right"/>
              <w:rPr>
                <w:sz w:val="24"/>
                <w:szCs w:val="24"/>
              </w:rPr>
            </w:pPr>
            <w:r w:rsidRPr="0012760D">
              <w:rPr>
                <w:bCs/>
                <w:sz w:val="24"/>
                <w:szCs w:val="24"/>
              </w:rPr>
              <w:t>2013 $</w:t>
            </w:r>
          </w:p>
        </w:tc>
        <w:tc>
          <w:tcPr>
            <w:tcW w:w="700" w:type="pct"/>
            <w:shd w:val="clear" w:color="auto" w:fill="auto"/>
          </w:tcPr>
          <w:p w:rsidR="001F0B7A" w:rsidRPr="0012760D" w:rsidRDefault="001F0B7A" w:rsidP="00907E0B">
            <w:pPr>
              <w:jc w:val="right"/>
              <w:rPr>
                <w:sz w:val="24"/>
                <w:szCs w:val="24"/>
              </w:rPr>
            </w:pPr>
            <w:r w:rsidRPr="0012760D">
              <w:rPr>
                <w:bCs/>
                <w:sz w:val="24"/>
                <w:szCs w:val="24"/>
              </w:rPr>
              <w:t>2012 $</w:t>
            </w:r>
          </w:p>
        </w:tc>
        <w:tc>
          <w:tcPr>
            <w:tcW w:w="779" w:type="pct"/>
            <w:shd w:val="clear" w:color="auto" w:fill="auto"/>
          </w:tcPr>
          <w:p w:rsidR="001F0B7A" w:rsidRPr="0012760D" w:rsidRDefault="001F0B7A" w:rsidP="00907E0B">
            <w:pPr>
              <w:jc w:val="right"/>
              <w:rPr>
                <w:sz w:val="24"/>
                <w:szCs w:val="24"/>
              </w:rPr>
            </w:pPr>
            <w:r w:rsidRPr="0012760D">
              <w:rPr>
                <w:bCs/>
                <w:sz w:val="24"/>
                <w:szCs w:val="24"/>
              </w:rPr>
              <w:t>2013 $</w:t>
            </w:r>
          </w:p>
        </w:tc>
        <w:tc>
          <w:tcPr>
            <w:tcW w:w="776" w:type="pct"/>
            <w:shd w:val="clear" w:color="auto" w:fill="auto"/>
          </w:tcPr>
          <w:p w:rsidR="001F0B7A" w:rsidRPr="0012760D" w:rsidRDefault="001F0B7A" w:rsidP="00907E0B">
            <w:pPr>
              <w:jc w:val="right"/>
              <w:rPr>
                <w:sz w:val="24"/>
                <w:szCs w:val="24"/>
              </w:rPr>
            </w:pPr>
            <w:r w:rsidRPr="0012760D">
              <w:rPr>
                <w:bCs/>
                <w:sz w:val="24"/>
                <w:szCs w:val="24"/>
              </w:rPr>
              <w:t>2012 $</w:t>
            </w:r>
          </w:p>
        </w:tc>
      </w:tr>
      <w:tr w:rsidR="001F0B7A" w:rsidRPr="0012760D" w:rsidTr="00907E0B">
        <w:tblPrEx>
          <w:tblCellMar>
            <w:top w:w="0" w:type="dxa"/>
            <w:bottom w:w="0" w:type="dxa"/>
          </w:tblCellMar>
        </w:tblPrEx>
        <w:tc>
          <w:tcPr>
            <w:tcW w:w="2056" w:type="pct"/>
            <w:shd w:val="clear" w:color="auto" w:fill="auto"/>
          </w:tcPr>
          <w:p w:rsidR="001F0B7A" w:rsidRPr="0012760D" w:rsidRDefault="001F0B7A" w:rsidP="00907E0B">
            <w:pPr>
              <w:rPr>
                <w:sz w:val="24"/>
                <w:szCs w:val="24"/>
              </w:rPr>
            </w:pPr>
            <w:r w:rsidRPr="0012760D">
              <w:rPr>
                <w:sz w:val="24"/>
                <w:szCs w:val="24"/>
              </w:rPr>
              <w:t>(i) not longer than one year</w:t>
            </w:r>
          </w:p>
        </w:tc>
        <w:tc>
          <w:tcPr>
            <w:tcW w:w="689" w:type="pct"/>
            <w:shd w:val="clear" w:color="auto" w:fill="auto"/>
          </w:tcPr>
          <w:p w:rsidR="001F0B7A" w:rsidRPr="0012760D" w:rsidRDefault="001F0B7A" w:rsidP="00907E0B">
            <w:pPr>
              <w:jc w:val="right"/>
              <w:rPr>
                <w:sz w:val="24"/>
                <w:szCs w:val="24"/>
              </w:rPr>
            </w:pPr>
            <w:r w:rsidRPr="0012760D">
              <w:rPr>
                <w:sz w:val="24"/>
                <w:szCs w:val="24"/>
              </w:rPr>
              <w:t>138,197</w:t>
            </w:r>
          </w:p>
        </w:tc>
        <w:tc>
          <w:tcPr>
            <w:tcW w:w="700" w:type="pct"/>
            <w:shd w:val="clear" w:color="auto" w:fill="auto"/>
          </w:tcPr>
          <w:p w:rsidR="001F0B7A" w:rsidRPr="0012760D" w:rsidRDefault="001F0B7A" w:rsidP="00907E0B">
            <w:pPr>
              <w:jc w:val="right"/>
              <w:rPr>
                <w:sz w:val="24"/>
                <w:szCs w:val="24"/>
              </w:rPr>
            </w:pPr>
            <w:r w:rsidRPr="0012760D">
              <w:rPr>
                <w:sz w:val="24"/>
                <w:szCs w:val="24"/>
              </w:rPr>
              <w:t>157,805</w:t>
            </w:r>
          </w:p>
        </w:tc>
        <w:tc>
          <w:tcPr>
            <w:tcW w:w="779" w:type="pct"/>
            <w:shd w:val="clear" w:color="auto" w:fill="auto"/>
          </w:tcPr>
          <w:p w:rsidR="001F0B7A" w:rsidRPr="0012760D" w:rsidRDefault="001F0B7A" w:rsidP="00907E0B">
            <w:pPr>
              <w:jc w:val="right"/>
              <w:rPr>
                <w:sz w:val="24"/>
                <w:szCs w:val="24"/>
              </w:rPr>
            </w:pPr>
            <w:r w:rsidRPr="0012760D">
              <w:rPr>
                <w:sz w:val="24"/>
                <w:szCs w:val="24"/>
              </w:rPr>
              <w:t>133,655</w:t>
            </w:r>
          </w:p>
        </w:tc>
        <w:tc>
          <w:tcPr>
            <w:tcW w:w="776" w:type="pct"/>
            <w:shd w:val="clear" w:color="auto" w:fill="auto"/>
          </w:tcPr>
          <w:p w:rsidR="001F0B7A" w:rsidRPr="0012760D" w:rsidRDefault="001F0B7A" w:rsidP="00907E0B">
            <w:pPr>
              <w:jc w:val="right"/>
              <w:rPr>
                <w:sz w:val="24"/>
                <w:szCs w:val="24"/>
              </w:rPr>
            </w:pPr>
            <w:r w:rsidRPr="0012760D">
              <w:rPr>
                <w:sz w:val="24"/>
                <w:szCs w:val="24"/>
              </w:rPr>
              <w:t>153,017</w:t>
            </w:r>
          </w:p>
        </w:tc>
      </w:tr>
      <w:tr w:rsidR="001F0B7A" w:rsidRPr="0012760D" w:rsidTr="00907E0B">
        <w:tblPrEx>
          <w:tblCellMar>
            <w:top w:w="0" w:type="dxa"/>
            <w:bottom w:w="0" w:type="dxa"/>
          </w:tblCellMar>
        </w:tblPrEx>
        <w:tc>
          <w:tcPr>
            <w:tcW w:w="2056" w:type="pct"/>
            <w:shd w:val="clear" w:color="auto" w:fill="auto"/>
          </w:tcPr>
          <w:p w:rsidR="001F0B7A" w:rsidRPr="0012760D" w:rsidRDefault="001F0B7A" w:rsidP="00907E0B">
            <w:pPr>
              <w:rPr>
                <w:sz w:val="24"/>
                <w:szCs w:val="24"/>
              </w:rPr>
            </w:pPr>
            <w:r w:rsidRPr="0012760D">
              <w:rPr>
                <w:sz w:val="24"/>
                <w:szCs w:val="24"/>
              </w:rPr>
              <w:t>(i i) longer than one year and not longer than five years</w:t>
            </w:r>
          </w:p>
        </w:tc>
        <w:tc>
          <w:tcPr>
            <w:tcW w:w="689" w:type="pct"/>
            <w:shd w:val="clear" w:color="auto" w:fill="auto"/>
            <w:vAlign w:val="bottom"/>
          </w:tcPr>
          <w:p w:rsidR="001F0B7A" w:rsidRPr="0012760D" w:rsidRDefault="001F0B7A" w:rsidP="00907E0B">
            <w:pPr>
              <w:jc w:val="right"/>
              <w:rPr>
                <w:sz w:val="24"/>
                <w:szCs w:val="24"/>
              </w:rPr>
            </w:pPr>
            <w:r w:rsidRPr="0012760D">
              <w:rPr>
                <w:sz w:val="24"/>
                <w:szCs w:val="24"/>
              </w:rPr>
              <w:t>50,313</w:t>
            </w:r>
          </w:p>
        </w:tc>
        <w:tc>
          <w:tcPr>
            <w:tcW w:w="700" w:type="pct"/>
            <w:shd w:val="clear" w:color="auto" w:fill="auto"/>
            <w:vAlign w:val="bottom"/>
          </w:tcPr>
          <w:p w:rsidR="001F0B7A" w:rsidRPr="0012760D" w:rsidRDefault="001F0B7A" w:rsidP="00907E0B">
            <w:pPr>
              <w:jc w:val="right"/>
              <w:rPr>
                <w:sz w:val="24"/>
                <w:szCs w:val="24"/>
              </w:rPr>
            </w:pPr>
            <w:r w:rsidRPr="0012760D">
              <w:rPr>
                <w:sz w:val="24"/>
                <w:szCs w:val="24"/>
              </w:rPr>
              <w:t>39,647</w:t>
            </w:r>
          </w:p>
        </w:tc>
        <w:tc>
          <w:tcPr>
            <w:tcW w:w="779" w:type="pct"/>
            <w:shd w:val="clear" w:color="auto" w:fill="auto"/>
            <w:vAlign w:val="bottom"/>
          </w:tcPr>
          <w:p w:rsidR="001F0B7A" w:rsidRPr="0012760D" w:rsidRDefault="001F0B7A" w:rsidP="00907E0B">
            <w:pPr>
              <w:jc w:val="right"/>
              <w:rPr>
                <w:sz w:val="24"/>
                <w:szCs w:val="24"/>
              </w:rPr>
            </w:pPr>
            <w:r w:rsidRPr="0012760D">
              <w:rPr>
                <w:sz w:val="24"/>
                <w:szCs w:val="24"/>
              </w:rPr>
              <w:t>45,857</w:t>
            </w:r>
          </w:p>
        </w:tc>
        <w:tc>
          <w:tcPr>
            <w:tcW w:w="776" w:type="pct"/>
            <w:shd w:val="clear" w:color="auto" w:fill="auto"/>
            <w:vAlign w:val="bottom"/>
          </w:tcPr>
          <w:p w:rsidR="001F0B7A" w:rsidRPr="0012760D" w:rsidRDefault="001F0B7A" w:rsidP="00907E0B">
            <w:pPr>
              <w:jc w:val="right"/>
              <w:rPr>
                <w:sz w:val="24"/>
                <w:szCs w:val="24"/>
              </w:rPr>
            </w:pPr>
            <w:r w:rsidRPr="0012760D">
              <w:rPr>
                <w:sz w:val="24"/>
                <w:szCs w:val="24"/>
              </w:rPr>
              <w:t>39,139</w:t>
            </w:r>
          </w:p>
        </w:tc>
      </w:tr>
      <w:tr w:rsidR="001F0B7A" w:rsidRPr="0012760D" w:rsidTr="00907E0B">
        <w:tblPrEx>
          <w:tblCellMar>
            <w:top w:w="0" w:type="dxa"/>
            <w:bottom w:w="0" w:type="dxa"/>
          </w:tblCellMar>
        </w:tblPrEx>
        <w:tc>
          <w:tcPr>
            <w:tcW w:w="2056" w:type="pct"/>
            <w:shd w:val="clear" w:color="auto" w:fill="auto"/>
          </w:tcPr>
          <w:p w:rsidR="001F0B7A" w:rsidRPr="0012760D" w:rsidRDefault="001F0B7A" w:rsidP="00907E0B">
            <w:pPr>
              <w:rPr>
                <w:sz w:val="24"/>
                <w:szCs w:val="24"/>
              </w:rPr>
            </w:pPr>
            <w:r w:rsidRPr="0012760D">
              <w:rPr>
                <w:bCs/>
                <w:sz w:val="24"/>
                <w:szCs w:val="24"/>
              </w:rPr>
              <w:t>Minimum future lease payment</w:t>
            </w:r>
          </w:p>
        </w:tc>
        <w:tc>
          <w:tcPr>
            <w:tcW w:w="689" w:type="pct"/>
            <w:shd w:val="clear" w:color="auto" w:fill="auto"/>
          </w:tcPr>
          <w:p w:rsidR="001F0B7A" w:rsidRPr="0012760D" w:rsidRDefault="001F0B7A" w:rsidP="00907E0B">
            <w:pPr>
              <w:jc w:val="right"/>
              <w:rPr>
                <w:sz w:val="24"/>
                <w:szCs w:val="24"/>
              </w:rPr>
            </w:pPr>
            <w:r w:rsidRPr="0012760D">
              <w:rPr>
                <w:bCs/>
                <w:sz w:val="24"/>
                <w:szCs w:val="24"/>
              </w:rPr>
              <w:t>188,510</w:t>
            </w:r>
          </w:p>
        </w:tc>
        <w:tc>
          <w:tcPr>
            <w:tcW w:w="700" w:type="pct"/>
            <w:shd w:val="clear" w:color="auto" w:fill="auto"/>
          </w:tcPr>
          <w:p w:rsidR="001F0B7A" w:rsidRPr="0012760D" w:rsidRDefault="001F0B7A" w:rsidP="00907E0B">
            <w:pPr>
              <w:jc w:val="right"/>
              <w:rPr>
                <w:sz w:val="24"/>
                <w:szCs w:val="24"/>
              </w:rPr>
            </w:pPr>
            <w:r w:rsidRPr="0012760D">
              <w:rPr>
                <w:bCs/>
                <w:sz w:val="24"/>
                <w:szCs w:val="24"/>
              </w:rPr>
              <w:t>197,452</w:t>
            </w:r>
          </w:p>
        </w:tc>
        <w:tc>
          <w:tcPr>
            <w:tcW w:w="779" w:type="pct"/>
            <w:shd w:val="clear" w:color="auto" w:fill="auto"/>
          </w:tcPr>
          <w:p w:rsidR="001F0B7A" w:rsidRPr="0012760D" w:rsidRDefault="001F0B7A" w:rsidP="00907E0B">
            <w:pPr>
              <w:jc w:val="right"/>
              <w:rPr>
                <w:sz w:val="24"/>
                <w:szCs w:val="24"/>
              </w:rPr>
            </w:pPr>
            <w:r w:rsidRPr="0012760D">
              <w:rPr>
                <w:bCs/>
                <w:sz w:val="24"/>
                <w:szCs w:val="24"/>
              </w:rPr>
              <w:t>179,512</w:t>
            </w:r>
          </w:p>
        </w:tc>
        <w:tc>
          <w:tcPr>
            <w:tcW w:w="776" w:type="pct"/>
            <w:shd w:val="clear" w:color="auto" w:fill="auto"/>
          </w:tcPr>
          <w:p w:rsidR="001F0B7A" w:rsidRPr="0012760D" w:rsidRDefault="001F0B7A" w:rsidP="00907E0B">
            <w:pPr>
              <w:jc w:val="right"/>
              <w:rPr>
                <w:sz w:val="24"/>
                <w:szCs w:val="24"/>
              </w:rPr>
            </w:pPr>
            <w:r w:rsidRPr="0012760D">
              <w:rPr>
                <w:bCs/>
                <w:sz w:val="24"/>
                <w:szCs w:val="24"/>
              </w:rPr>
              <w:t>192,156</w:t>
            </w:r>
          </w:p>
        </w:tc>
      </w:tr>
      <w:tr w:rsidR="001F0B7A" w:rsidRPr="0012760D" w:rsidTr="00907E0B">
        <w:tblPrEx>
          <w:tblCellMar>
            <w:top w:w="0" w:type="dxa"/>
            <w:bottom w:w="0" w:type="dxa"/>
          </w:tblCellMar>
        </w:tblPrEx>
        <w:tc>
          <w:tcPr>
            <w:tcW w:w="2056" w:type="pct"/>
            <w:shd w:val="clear" w:color="auto" w:fill="auto"/>
          </w:tcPr>
          <w:p w:rsidR="001F0B7A" w:rsidRPr="0012760D" w:rsidRDefault="001F0B7A" w:rsidP="00907E0B">
            <w:pPr>
              <w:rPr>
                <w:sz w:val="24"/>
                <w:szCs w:val="24"/>
              </w:rPr>
            </w:pPr>
            <w:r w:rsidRPr="0012760D">
              <w:rPr>
                <w:sz w:val="24"/>
                <w:szCs w:val="24"/>
              </w:rPr>
              <w:t>Less: future finance charges</w:t>
            </w:r>
          </w:p>
        </w:tc>
        <w:tc>
          <w:tcPr>
            <w:tcW w:w="689" w:type="pct"/>
            <w:shd w:val="clear" w:color="auto" w:fill="auto"/>
          </w:tcPr>
          <w:p w:rsidR="001F0B7A" w:rsidRPr="0012760D" w:rsidRDefault="001F0B7A" w:rsidP="00907E0B">
            <w:pPr>
              <w:jc w:val="right"/>
              <w:rPr>
                <w:sz w:val="24"/>
                <w:szCs w:val="24"/>
              </w:rPr>
            </w:pPr>
            <w:r w:rsidRPr="0012760D">
              <w:rPr>
                <w:sz w:val="24"/>
                <w:szCs w:val="24"/>
              </w:rPr>
              <w:t>8,998</w:t>
            </w:r>
          </w:p>
        </w:tc>
        <w:tc>
          <w:tcPr>
            <w:tcW w:w="700" w:type="pct"/>
            <w:shd w:val="clear" w:color="auto" w:fill="auto"/>
          </w:tcPr>
          <w:p w:rsidR="001F0B7A" w:rsidRPr="0012760D" w:rsidRDefault="001F0B7A" w:rsidP="00907E0B">
            <w:pPr>
              <w:jc w:val="right"/>
              <w:rPr>
                <w:sz w:val="24"/>
                <w:szCs w:val="24"/>
              </w:rPr>
            </w:pPr>
            <w:r w:rsidRPr="0012760D">
              <w:rPr>
                <w:sz w:val="24"/>
                <w:szCs w:val="24"/>
              </w:rPr>
              <w:t>5,296</w:t>
            </w:r>
          </w:p>
        </w:tc>
        <w:tc>
          <w:tcPr>
            <w:tcW w:w="779" w:type="pct"/>
            <w:shd w:val="clear" w:color="auto" w:fill="auto"/>
          </w:tcPr>
          <w:p w:rsidR="001F0B7A" w:rsidRPr="0012760D" w:rsidRDefault="001F0B7A" w:rsidP="00907E0B">
            <w:pPr>
              <w:jc w:val="right"/>
              <w:rPr>
                <w:sz w:val="24"/>
                <w:szCs w:val="24"/>
              </w:rPr>
            </w:pPr>
            <w:r w:rsidRPr="0012760D">
              <w:rPr>
                <w:sz w:val="24"/>
                <w:szCs w:val="24"/>
              </w:rPr>
              <w:t>-</w:t>
            </w:r>
          </w:p>
        </w:tc>
        <w:tc>
          <w:tcPr>
            <w:tcW w:w="776" w:type="pct"/>
            <w:shd w:val="clear" w:color="auto" w:fill="auto"/>
          </w:tcPr>
          <w:p w:rsidR="001F0B7A" w:rsidRPr="0012760D" w:rsidRDefault="001F0B7A" w:rsidP="00907E0B">
            <w:pPr>
              <w:jc w:val="right"/>
              <w:rPr>
                <w:sz w:val="24"/>
                <w:szCs w:val="24"/>
              </w:rPr>
            </w:pPr>
            <w:r w:rsidRPr="0012760D">
              <w:rPr>
                <w:sz w:val="24"/>
                <w:szCs w:val="24"/>
              </w:rPr>
              <w:t>-</w:t>
            </w:r>
          </w:p>
        </w:tc>
      </w:tr>
      <w:tr w:rsidR="001F0B7A" w:rsidRPr="0012760D" w:rsidTr="00907E0B">
        <w:tblPrEx>
          <w:tblCellMar>
            <w:top w:w="0" w:type="dxa"/>
            <w:bottom w:w="0" w:type="dxa"/>
          </w:tblCellMar>
        </w:tblPrEx>
        <w:tc>
          <w:tcPr>
            <w:tcW w:w="2056" w:type="pct"/>
            <w:shd w:val="clear" w:color="auto" w:fill="auto"/>
          </w:tcPr>
          <w:p w:rsidR="001F0B7A" w:rsidRPr="0012760D" w:rsidRDefault="001F0B7A" w:rsidP="00907E0B">
            <w:pPr>
              <w:rPr>
                <w:sz w:val="24"/>
                <w:szCs w:val="24"/>
              </w:rPr>
            </w:pPr>
            <w:r w:rsidRPr="0012760D">
              <w:rPr>
                <w:bCs/>
                <w:sz w:val="24"/>
                <w:szCs w:val="24"/>
              </w:rPr>
              <w:t>Present value of minimum lease payments</w:t>
            </w:r>
          </w:p>
        </w:tc>
        <w:tc>
          <w:tcPr>
            <w:tcW w:w="689" w:type="pct"/>
            <w:shd w:val="clear" w:color="auto" w:fill="auto"/>
            <w:vAlign w:val="bottom"/>
          </w:tcPr>
          <w:p w:rsidR="001F0B7A" w:rsidRPr="0012760D" w:rsidRDefault="001F0B7A" w:rsidP="00907E0B">
            <w:pPr>
              <w:jc w:val="right"/>
              <w:rPr>
                <w:sz w:val="24"/>
                <w:szCs w:val="24"/>
              </w:rPr>
            </w:pPr>
            <w:r w:rsidRPr="0012760D">
              <w:rPr>
                <w:bCs/>
                <w:sz w:val="24"/>
                <w:szCs w:val="24"/>
              </w:rPr>
              <w:t>179,512</w:t>
            </w:r>
          </w:p>
        </w:tc>
        <w:tc>
          <w:tcPr>
            <w:tcW w:w="700" w:type="pct"/>
            <w:shd w:val="clear" w:color="auto" w:fill="auto"/>
            <w:vAlign w:val="bottom"/>
          </w:tcPr>
          <w:p w:rsidR="001F0B7A" w:rsidRPr="0012760D" w:rsidRDefault="001F0B7A" w:rsidP="00907E0B">
            <w:pPr>
              <w:jc w:val="right"/>
              <w:rPr>
                <w:sz w:val="24"/>
                <w:szCs w:val="24"/>
              </w:rPr>
            </w:pPr>
            <w:r w:rsidRPr="0012760D">
              <w:rPr>
                <w:bCs/>
                <w:sz w:val="24"/>
                <w:szCs w:val="24"/>
              </w:rPr>
              <w:t>192,156</w:t>
            </w:r>
          </w:p>
        </w:tc>
        <w:tc>
          <w:tcPr>
            <w:tcW w:w="779" w:type="pct"/>
            <w:shd w:val="clear" w:color="auto" w:fill="auto"/>
            <w:vAlign w:val="bottom"/>
          </w:tcPr>
          <w:p w:rsidR="001F0B7A" w:rsidRPr="0012760D" w:rsidRDefault="001F0B7A" w:rsidP="00907E0B">
            <w:pPr>
              <w:jc w:val="right"/>
              <w:rPr>
                <w:sz w:val="24"/>
                <w:szCs w:val="24"/>
              </w:rPr>
            </w:pPr>
            <w:r w:rsidRPr="0012760D">
              <w:rPr>
                <w:bCs/>
                <w:sz w:val="24"/>
                <w:szCs w:val="24"/>
              </w:rPr>
              <w:t>179,512</w:t>
            </w:r>
          </w:p>
        </w:tc>
        <w:tc>
          <w:tcPr>
            <w:tcW w:w="776" w:type="pct"/>
            <w:shd w:val="clear" w:color="auto" w:fill="auto"/>
            <w:vAlign w:val="bottom"/>
          </w:tcPr>
          <w:p w:rsidR="001F0B7A" w:rsidRPr="0012760D" w:rsidRDefault="001F0B7A" w:rsidP="00907E0B">
            <w:pPr>
              <w:jc w:val="right"/>
              <w:rPr>
                <w:sz w:val="24"/>
                <w:szCs w:val="24"/>
              </w:rPr>
            </w:pPr>
            <w:r w:rsidRPr="0012760D">
              <w:rPr>
                <w:bCs/>
                <w:sz w:val="24"/>
                <w:szCs w:val="24"/>
              </w:rPr>
              <w:t>192,156</w:t>
            </w:r>
          </w:p>
        </w:tc>
      </w:tr>
      <w:tr w:rsidR="001F0B7A" w:rsidRPr="0012760D" w:rsidTr="00907E0B">
        <w:tblPrEx>
          <w:tblCellMar>
            <w:top w:w="0" w:type="dxa"/>
            <w:bottom w:w="0" w:type="dxa"/>
          </w:tblCellMar>
        </w:tblPrEx>
        <w:tc>
          <w:tcPr>
            <w:tcW w:w="5000" w:type="pct"/>
            <w:gridSpan w:val="5"/>
            <w:shd w:val="clear" w:color="auto" w:fill="auto"/>
          </w:tcPr>
          <w:p w:rsidR="001F0B7A" w:rsidRPr="0012760D" w:rsidRDefault="001F0B7A" w:rsidP="00907E0B">
            <w:pPr>
              <w:rPr>
                <w:sz w:val="24"/>
                <w:szCs w:val="24"/>
              </w:rPr>
            </w:pPr>
            <w:r w:rsidRPr="0012760D">
              <w:rPr>
                <w:bCs/>
                <w:sz w:val="24"/>
                <w:szCs w:val="24"/>
              </w:rPr>
              <w:t>Included in the financial statements as:</w:t>
            </w:r>
          </w:p>
        </w:tc>
      </w:tr>
      <w:tr w:rsidR="001F0B7A" w:rsidRPr="0012760D" w:rsidTr="00907E0B">
        <w:tblPrEx>
          <w:tblCellMar>
            <w:top w:w="0" w:type="dxa"/>
            <w:bottom w:w="0" w:type="dxa"/>
          </w:tblCellMar>
        </w:tblPrEx>
        <w:tc>
          <w:tcPr>
            <w:tcW w:w="2056" w:type="pct"/>
            <w:shd w:val="clear" w:color="auto" w:fill="auto"/>
          </w:tcPr>
          <w:p w:rsidR="001F0B7A" w:rsidRPr="0012760D" w:rsidRDefault="001F0B7A" w:rsidP="00907E0B">
            <w:pPr>
              <w:rPr>
                <w:sz w:val="24"/>
                <w:szCs w:val="24"/>
              </w:rPr>
            </w:pPr>
            <w:r w:rsidRPr="0012760D">
              <w:rPr>
                <w:sz w:val="24"/>
                <w:szCs w:val="24"/>
              </w:rPr>
              <w:t>Current borrowings lease liabilities (note 12)</w:t>
            </w:r>
          </w:p>
        </w:tc>
        <w:tc>
          <w:tcPr>
            <w:tcW w:w="689" w:type="pct"/>
            <w:shd w:val="clear" w:color="auto" w:fill="auto"/>
          </w:tcPr>
          <w:p w:rsidR="001F0B7A" w:rsidRPr="0012760D" w:rsidRDefault="001F0B7A" w:rsidP="00907E0B">
            <w:pPr>
              <w:jc w:val="right"/>
              <w:rPr>
                <w:sz w:val="24"/>
                <w:szCs w:val="24"/>
              </w:rPr>
            </w:pPr>
            <w:r w:rsidRPr="0012760D">
              <w:rPr>
                <w:sz w:val="24"/>
                <w:szCs w:val="24"/>
              </w:rPr>
              <w:t>-</w:t>
            </w:r>
          </w:p>
        </w:tc>
        <w:tc>
          <w:tcPr>
            <w:tcW w:w="700" w:type="pct"/>
            <w:shd w:val="clear" w:color="auto" w:fill="auto"/>
          </w:tcPr>
          <w:p w:rsidR="001F0B7A" w:rsidRPr="0012760D" w:rsidRDefault="001F0B7A" w:rsidP="00907E0B">
            <w:pPr>
              <w:jc w:val="right"/>
              <w:rPr>
                <w:sz w:val="24"/>
                <w:szCs w:val="24"/>
              </w:rPr>
            </w:pPr>
            <w:r w:rsidRPr="0012760D">
              <w:rPr>
                <w:sz w:val="24"/>
                <w:szCs w:val="24"/>
              </w:rPr>
              <w:t>-</w:t>
            </w:r>
          </w:p>
        </w:tc>
        <w:tc>
          <w:tcPr>
            <w:tcW w:w="779" w:type="pct"/>
            <w:shd w:val="clear" w:color="auto" w:fill="auto"/>
          </w:tcPr>
          <w:p w:rsidR="001F0B7A" w:rsidRPr="0012760D" w:rsidRDefault="001F0B7A" w:rsidP="00907E0B">
            <w:pPr>
              <w:jc w:val="right"/>
              <w:rPr>
                <w:sz w:val="24"/>
                <w:szCs w:val="24"/>
              </w:rPr>
            </w:pPr>
            <w:r w:rsidRPr="0012760D">
              <w:rPr>
                <w:sz w:val="24"/>
                <w:szCs w:val="24"/>
              </w:rPr>
              <w:t>133,655</w:t>
            </w:r>
          </w:p>
        </w:tc>
        <w:tc>
          <w:tcPr>
            <w:tcW w:w="776" w:type="pct"/>
            <w:shd w:val="clear" w:color="auto" w:fill="auto"/>
          </w:tcPr>
          <w:p w:rsidR="001F0B7A" w:rsidRPr="0012760D" w:rsidRDefault="001F0B7A" w:rsidP="00907E0B">
            <w:pPr>
              <w:jc w:val="right"/>
              <w:rPr>
                <w:sz w:val="24"/>
                <w:szCs w:val="24"/>
              </w:rPr>
            </w:pPr>
            <w:r w:rsidRPr="0012760D">
              <w:rPr>
                <w:sz w:val="24"/>
                <w:szCs w:val="24"/>
              </w:rPr>
              <w:t>153,017</w:t>
            </w:r>
          </w:p>
        </w:tc>
      </w:tr>
      <w:tr w:rsidR="001F0B7A" w:rsidRPr="0012760D" w:rsidTr="00907E0B">
        <w:tblPrEx>
          <w:tblCellMar>
            <w:top w:w="0" w:type="dxa"/>
            <w:bottom w:w="0" w:type="dxa"/>
          </w:tblCellMar>
        </w:tblPrEx>
        <w:tc>
          <w:tcPr>
            <w:tcW w:w="2056" w:type="pct"/>
            <w:shd w:val="clear" w:color="auto" w:fill="auto"/>
          </w:tcPr>
          <w:p w:rsidR="001F0B7A" w:rsidRPr="0012760D" w:rsidRDefault="001F0B7A" w:rsidP="00907E0B">
            <w:pPr>
              <w:rPr>
                <w:sz w:val="24"/>
                <w:szCs w:val="24"/>
              </w:rPr>
            </w:pPr>
            <w:r w:rsidRPr="0012760D">
              <w:rPr>
                <w:sz w:val="24"/>
                <w:szCs w:val="24"/>
              </w:rPr>
              <w:t>Non-current borrowings lease liabilities (note 12)</w:t>
            </w:r>
          </w:p>
        </w:tc>
        <w:tc>
          <w:tcPr>
            <w:tcW w:w="689" w:type="pct"/>
            <w:shd w:val="clear" w:color="auto" w:fill="auto"/>
          </w:tcPr>
          <w:p w:rsidR="001F0B7A" w:rsidRPr="0012760D" w:rsidRDefault="001F0B7A" w:rsidP="00907E0B">
            <w:pPr>
              <w:jc w:val="right"/>
              <w:rPr>
                <w:sz w:val="24"/>
                <w:szCs w:val="24"/>
              </w:rPr>
            </w:pPr>
            <w:r w:rsidRPr="0012760D">
              <w:rPr>
                <w:sz w:val="24"/>
                <w:szCs w:val="24"/>
              </w:rPr>
              <w:t>-</w:t>
            </w:r>
          </w:p>
        </w:tc>
        <w:tc>
          <w:tcPr>
            <w:tcW w:w="700" w:type="pct"/>
            <w:shd w:val="clear" w:color="auto" w:fill="auto"/>
          </w:tcPr>
          <w:p w:rsidR="001F0B7A" w:rsidRPr="0012760D" w:rsidRDefault="001F0B7A" w:rsidP="00907E0B">
            <w:pPr>
              <w:jc w:val="right"/>
              <w:rPr>
                <w:sz w:val="24"/>
                <w:szCs w:val="24"/>
              </w:rPr>
            </w:pPr>
            <w:r w:rsidRPr="0012760D">
              <w:rPr>
                <w:sz w:val="24"/>
                <w:szCs w:val="24"/>
              </w:rPr>
              <w:t>-</w:t>
            </w:r>
          </w:p>
        </w:tc>
        <w:tc>
          <w:tcPr>
            <w:tcW w:w="779" w:type="pct"/>
            <w:shd w:val="clear" w:color="auto" w:fill="auto"/>
          </w:tcPr>
          <w:p w:rsidR="001F0B7A" w:rsidRPr="0012760D" w:rsidRDefault="001F0B7A" w:rsidP="00907E0B">
            <w:pPr>
              <w:jc w:val="right"/>
              <w:rPr>
                <w:sz w:val="24"/>
                <w:szCs w:val="24"/>
              </w:rPr>
            </w:pPr>
            <w:r w:rsidRPr="0012760D">
              <w:rPr>
                <w:sz w:val="24"/>
                <w:szCs w:val="24"/>
              </w:rPr>
              <w:t>45,857</w:t>
            </w:r>
          </w:p>
        </w:tc>
        <w:tc>
          <w:tcPr>
            <w:tcW w:w="776" w:type="pct"/>
            <w:shd w:val="clear" w:color="auto" w:fill="auto"/>
          </w:tcPr>
          <w:p w:rsidR="001F0B7A" w:rsidRPr="0012760D" w:rsidRDefault="001F0B7A" w:rsidP="00907E0B">
            <w:pPr>
              <w:jc w:val="right"/>
              <w:rPr>
                <w:sz w:val="24"/>
                <w:szCs w:val="24"/>
              </w:rPr>
            </w:pPr>
            <w:r w:rsidRPr="0012760D">
              <w:rPr>
                <w:sz w:val="24"/>
                <w:szCs w:val="24"/>
              </w:rPr>
              <w:t>39,139</w:t>
            </w:r>
          </w:p>
        </w:tc>
      </w:tr>
      <w:tr w:rsidR="001F0B7A" w:rsidRPr="0012760D" w:rsidTr="00907E0B">
        <w:tblPrEx>
          <w:tblCellMar>
            <w:top w:w="0" w:type="dxa"/>
            <w:bottom w:w="0" w:type="dxa"/>
          </w:tblCellMar>
        </w:tblPrEx>
        <w:tc>
          <w:tcPr>
            <w:tcW w:w="2056" w:type="pct"/>
            <w:shd w:val="clear" w:color="auto" w:fill="auto"/>
          </w:tcPr>
          <w:p w:rsidR="001F0B7A" w:rsidRPr="0012760D" w:rsidRDefault="001F0B7A" w:rsidP="00907E0B">
            <w:pPr>
              <w:rPr>
                <w:sz w:val="24"/>
                <w:szCs w:val="24"/>
              </w:rPr>
            </w:pPr>
            <w:r w:rsidRPr="0012760D">
              <w:rPr>
                <w:bCs/>
                <w:sz w:val="24"/>
                <w:szCs w:val="24"/>
              </w:rPr>
              <w:t>Total</w:t>
            </w:r>
          </w:p>
        </w:tc>
        <w:tc>
          <w:tcPr>
            <w:tcW w:w="689" w:type="pct"/>
            <w:shd w:val="clear" w:color="auto" w:fill="auto"/>
          </w:tcPr>
          <w:p w:rsidR="001F0B7A" w:rsidRPr="0012760D" w:rsidRDefault="001F0B7A" w:rsidP="00907E0B">
            <w:pPr>
              <w:jc w:val="right"/>
              <w:rPr>
                <w:sz w:val="24"/>
                <w:szCs w:val="24"/>
              </w:rPr>
            </w:pPr>
            <w:r w:rsidRPr="0012760D">
              <w:rPr>
                <w:bCs/>
                <w:sz w:val="24"/>
                <w:szCs w:val="24"/>
              </w:rPr>
              <w:t>-</w:t>
            </w:r>
          </w:p>
        </w:tc>
        <w:tc>
          <w:tcPr>
            <w:tcW w:w="700" w:type="pct"/>
            <w:shd w:val="clear" w:color="auto" w:fill="auto"/>
          </w:tcPr>
          <w:p w:rsidR="001F0B7A" w:rsidRPr="0012760D" w:rsidRDefault="001F0B7A" w:rsidP="00907E0B">
            <w:pPr>
              <w:jc w:val="right"/>
              <w:rPr>
                <w:sz w:val="24"/>
                <w:szCs w:val="24"/>
              </w:rPr>
            </w:pPr>
            <w:r w:rsidRPr="0012760D">
              <w:rPr>
                <w:bCs/>
                <w:sz w:val="24"/>
                <w:szCs w:val="24"/>
              </w:rPr>
              <w:t>-</w:t>
            </w:r>
          </w:p>
        </w:tc>
        <w:tc>
          <w:tcPr>
            <w:tcW w:w="779" w:type="pct"/>
            <w:shd w:val="clear" w:color="auto" w:fill="auto"/>
          </w:tcPr>
          <w:p w:rsidR="001F0B7A" w:rsidRPr="0012760D" w:rsidRDefault="001F0B7A" w:rsidP="00907E0B">
            <w:pPr>
              <w:jc w:val="right"/>
              <w:rPr>
                <w:sz w:val="24"/>
                <w:szCs w:val="24"/>
              </w:rPr>
            </w:pPr>
            <w:r w:rsidRPr="0012760D">
              <w:rPr>
                <w:bCs/>
                <w:sz w:val="24"/>
                <w:szCs w:val="24"/>
              </w:rPr>
              <w:t>179,512</w:t>
            </w:r>
          </w:p>
        </w:tc>
        <w:tc>
          <w:tcPr>
            <w:tcW w:w="776" w:type="pct"/>
            <w:shd w:val="clear" w:color="auto" w:fill="auto"/>
          </w:tcPr>
          <w:p w:rsidR="001F0B7A" w:rsidRPr="0012760D" w:rsidRDefault="001F0B7A" w:rsidP="00907E0B">
            <w:pPr>
              <w:jc w:val="right"/>
              <w:rPr>
                <w:sz w:val="24"/>
                <w:szCs w:val="24"/>
              </w:rPr>
            </w:pPr>
            <w:r w:rsidRPr="0012760D">
              <w:rPr>
                <w:bCs/>
                <w:sz w:val="24"/>
                <w:szCs w:val="24"/>
              </w:rPr>
              <w:t>192,156</w:t>
            </w:r>
          </w:p>
        </w:tc>
      </w:tr>
    </w:tbl>
    <w:p w:rsidR="00C16B42" w:rsidRDefault="00C16B42" w:rsidP="001F0B7A">
      <w:pPr>
        <w:rPr>
          <w:bCs/>
          <w:sz w:val="24"/>
          <w:szCs w:val="24"/>
        </w:rPr>
      </w:pPr>
    </w:p>
    <w:p w:rsidR="00C16B42" w:rsidRDefault="00C16B42" w:rsidP="001F0B7A">
      <w:pPr>
        <w:rPr>
          <w:bCs/>
          <w:sz w:val="24"/>
          <w:szCs w:val="24"/>
        </w:rPr>
      </w:pPr>
    </w:p>
    <w:p w:rsidR="001F0B7A" w:rsidRPr="0012760D" w:rsidRDefault="001F0B7A" w:rsidP="00C16B42">
      <w:pPr>
        <w:pStyle w:val="Heading2"/>
      </w:pPr>
      <w:r w:rsidRPr="0012760D">
        <w:t>17. Committed Expenditure</w:t>
      </w:r>
    </w:p>
    <w:p w:rsidR="001F0B7A" w:rsidRPr="0012760D" w:rsidRDefault="001F0B7A" w:rsidP="001F0B7A">
      <w:pPr>
        <w:rPr>
          <w:sz w:val="24"/>
          <w:szCs w:val="24"/>
        </w:rPr>
      </w:pPr>
    </w:p>
    <w:p w:rsidR="001F0B7A" w:rsidRPr="0012760D" w:rsidRDefault="001F0B7A" w:rsidP="001F0B7A">
      <w:pPr>
        <w:rPr>
          <w:sz w:val="24"/>
          <w:szCs w:val="24"/>
        </w:rPr>
      </w:pPr>
      <w:r w:rsidRPr="0012760D">
        <w:rPr>
          <w:sz w:val="24"/>
          <w:szCs w:val="24"/>
        </w:rPr>
        <w:t>Financial commitments entered into through 229 contracts by Sustainability Victoria as at the reporting date (284 at 30 June 2012), not included in the Balance Sheet and to be carried forward into the 2013 to 14 financial year and beyond, are as follows:</w:t>
      </w:r>
    </w:p>
    <w:p w:rsidR="001F0B7A" w:rsidRPr="0012760D" w:rsidRDefault="001F0B7A" w:rsidP="001F0B7A">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5559"/>
        <w:gridCol w:w="2264"/>
        <w:gridCol w:w="1286"/>
      </w:tblGrid>
      <w:tr w:rsidR="001F0B7A" w:rsidRPr="0012760D" w:rsidTr="00907E0B">
        <w:tblPrEx>
          <w:tblCellMar>
            <w:top w:w="0" w:type="dxa"/>
            <w:bottom w:w="0" w:type="dxa"/>
          </w:tblCellMar>
        </w:tblPrEx>
        <w:tc>
          <w:tcPr>
            <w:tcW w:w="3050" w:type="pct"/>
            <w:shd w:val="clear" w:color="auto" w:fill="auto"/>
          </w:tcPr>
          <w:p w:rsidR="001F0B7A" w:rsidRPr="0012760D" w:rsidRDefault="001F0B7A" w:rsidP="00907E0B">
            <w:pPr>
              <w:rPr>
                <w:sz w:val="24"/>
                <w:szCs w:val="24"/>
              </w:rPr>
            </w:pPr>
          </w:p>
        </w:tc>
        <w:tc>
          <w:tcPr>
            <w:tcW w:w="1243" w:type="pct"/>
            <w:shd w:val="clear" w:color="auto" w:fill="auto"/>
          </w:tcPr>
          <w:p w:rsidR="001F0B7A" w:rsidRPr="0012760D" w:rsidRDefault="001F0B7A" w:rsidP="00907E0B">
            <w:pPr>
              <w:jc w:val="right"/>
              <w:rPr>
                <w:sz w:val="24"/>
                <w:szCs w:val="24"/>
              </w:rPr>
            </w:pPr>
            <w:r w:rsidRPr="0012760D">
              <w:rPr>
                <w:bCs/>
                <w:sz w:val="24"/>
                <w:szCs w:val="24"/>
              </w:rPr>
              <w:t>2013 $</w:t>
            </w:r>
          </w:p>
        </w:tc>
        <w:tc>
          <w:tcPr>
            <w:tcW w:w="706" w:type="pct"/>
            <w:shd w:val="clear" w:color="auto" w:fill="auto"/>
          </w:tcPr>
          <w:p w:rsidR="001F0B7A" w:rsidRPr="0012760D" w:rsidRDefault="001F0B7A" w:rsidP="00907E0B">
            <w:pPr>
              <w:jc w:val="right"/>
              <w:rPr>
                <w:sz w:val="24"/>
                <w:szCs w:val="24"/>
              </w:rPr>
            </w:pPr>
            <w:r w:rsidRPr="0012760D">
              <w:rPr>
                <w:bCs/>
                <w:sz w:val="24"/>
                <w:szCs w:val="24"/>
              </w:rPr>
              <w:t>2012 $</w:t>
            </w:r>
          </w:p>
        </w:tc>
      </w:tr>
      <w:tr w:rsidR="001F0B7A" w:rsidRPr="0012760D" w:rsidTr="00907E0B">
        <w:tblPrEx>
          <w:tblCellMar>
            <w:top w:w="0" w:type="dxa"/>
            <w:bottom w:w="0" w:type="dxa"/>
          </w:tblCellMar>
        </w:tblPrEx>
        <w:tc>
          <w:tcPr>
            <w:tcW w:w="3050" w:type="pct"/>
            <w:shd w:val="clear" w:color="auto" w:fill="auto"/>
          </w:tcPr>
          <w:p w:rsidR="001F0B7A" w:rsidRPr="0012760D" w:rsidRDefault="001F0B7A" w:rsidP="00907E0B">
            <w:pPr>
              <w:rPr>
                <w:sz w:val="24"/>
                <w:szCs w:val="24"/>
              </w:rPr>
            </w:pPr>
            <w:r w:rsidRPr="0012760D">
              <w:rPr>
                <w:sz w:val="24"/>
                <w:szCs w:val="24"/>
              </w:rPr>
              <w:t>(i) not later than one year</w:t>
            </w:r>
          </w:p>
        </w:tc>
        <w:tc>
          <w:tcPr>
            <w:tcW w:w="1243" w:type="pct"/>
            <w:shd w:val="clear" w:color="auto" w:fill="auto"/>
          </w:tcPr>
          <w:p w:rsidR="001F0B7A" w:rsidRPr="0012760D" w:rsidRDefault="001F0B7A" w:rsidP="00907E0B">
            <w:pPr>
              <w:jc w:val="right"/>
              <w:rPr>
                <w:sz w:val="24"/>
                <w:szCs w:val="24"/>
              </w:rPr>
            </w:pPr>
            <w:r w:rsidRPr="0012760D">
              <w:rPr>
                <w:sz w:val="24"/>
                <w:szCs w:val="24"/>
              </w:rPr>
              <w:t>10,719,104</w:t>
            </w:r>
          </w:p>
        </w:tc>
        <w:tc>
          <w:tcPr>
            <w:tcW w:w="706" w:type="pct"/>
            <w:shd w:val="clear" w:color="auto" w:fill="auto"/>
          </w:tcPr>
          <w:p w:rsidR="001F0B7A" w:rsidRPr="0012760D" w:rsidRDefault="001F0B7A" w:rsidP="00907E0B">
            <w:pPr>
              <w:jc w:val="right"/>
              <w:rPr>
                <w:sz w:val="24"/>
                <w:szCs w:val="24"/>
              </w:rPr>
            </w:pPr>
            <w:r w:rsidRPr="0012760D">
              <w:rPr>
                <w:sz w:val="24"/>
                <w:szCs w:val="24"/>
              </w:rPr>
              <w:t>8,580,049</w:t>
            </w:r>
          </w:p>
        </w:tc>
      </w:tr>
      <w:tr w:rsidR="001F0B7A" w:rsidRPr="0012760D" w:rsidTr="00907E0B">
        <w:tblPrEx>
          <w:tblCellMar>
            <w:top w:w="0" w:type="dxa"/>
            <w:bottom w:w="0" w:type="dxa"/>
          </w:tblCellMar>
        </w:tblPrEx>
        <w:tc>
          <w:tcPr>
            <w:tcW w:w="3050" w:type="pct"/>
            <w:shd w:val="clear" w:color="auto" w:fill="auto"/>
          </w:tcPr>
          <w:p w:rsidR="001F0B7A" w:rsidRPr="0012760D" w:rsidRDefault="001F0B7A" w:rsidP="00907E0B">
            <w:pPr>
              <w:rPr>
                <w:sz w:val="24"/>
                <w:szCs w:val="24"/>
              </w:rPr>
            </w:pPr>
            <w:r w:rsidRPr="0012760D">
              <w:rPr>
                <w:sz w:val="24"/>
                <w:szCs w:val="24"/>
              </w:rPr>
              <w:t>(</w:t>
            </w:r>
            <w:r w:rsidR="003E27B0" w:rsidRPr="0012760D">
              <w:rPr>
                <w:sz w:val="24"/>
                <w:szCs w:val="24"/>
              </w:rPr>
              <w:t xml:space="preserve">i </w:t>
            </w:r>
            <w:r w:rsidRPr="0012760D">
              <w:rPr>
                <w:sz w:val="24"/>
                <w:szCs w:val="24"/>
              </w:rPr>
              <w:t>i) later than one year but not later than five years</w:t>
            </w:r>
          </w:p>
        </w:tc>
        <w:tc>
          <w:tcPr>
            <w:tcW w:w="1243" w:type="pct"/>
            <w:shd w:val="clear" w:color="auto" w:fill="auto"/>
          </w:tcPr>
          <w:p w:rsidR="001F0B7A" w:rsidRPr="0012760D" w:rsidRDefault="001F0B7A" w:rsidP="00907E0B">
            <w:pPr>
              <w:jc w:val="right"/>
              <w:rPr>
                <w:sz w:val="24"/>
                <w:szCs w:val="24"/>
              </w:rPr>
            </w:pPr>
            <w:r w:rsidRPr="0012760D">
              <w:rPr>
                <w:sz w:val="24"/>
                <w:szCs w:val="24"/>
              </w:rPr>
              <w:t>4,197,449</w:t>
            </w:r>
          </w:p>
        </w:tc>
        <w:tc>
          <w:tcPr>
            <w:tcW w:w="706" w:type="pct"/>
            <w:shd w:val="clear" w:color="auto" w:fill="auto"/>
          </w:tcPr>
          <w:p w:rsidR="001F0B7A" w:rsidRPr="0012760D" w:rsidRDefault="001F0B7A" w:rsidP="00907E0B">
            <w:pPr>
              <w:jc w:val="right"/>
              <w:rPr>
                <w:sz w:val="24"/>
                <w:szCs w:val="24"/>
              </w:rPr>
            </w:pPr>
            <w:r w:rsidRPr="0012760D">
              <w:rPr>
                <w:sz w:val="24"/>
                <w:szCs w:val="24"/>
              </w:rPr>
              <w:t>2,896,702</w:t>
            </w:r>
          </w:p>
        </w:tc>
      </w:tr>
      <w:tr w:rsidR="001F0B7A" w:rsidRPr="0012760D" w:rsidTr="00907E0B">
        <w:tblPrEx>
          <w:tblCellMar>
            <w:top w:w="0" w:type="dxa"/>
            <w:bottom w:w="0" w:type="dxa"/>
          </w:tblCellMar>
        </w:tblPrEx>
        <w:tc>
          <w:tcPr>
            <w:tcW w:w="3050" w:type="pct"/>
            <w:shd w:val="clear" w:color="auto" w:fill="auto"/>
          </w:tcPr>
          <w:p w:rsidR="001F0B7A" w:rsidRPr="0012760D" w:rsidRDefault="001F0B7A" w:rsidP="00907E0B">
            <w:pPr>
              <w:rPr>
                <w:sz w:val="24"/>
                <w:szCs w:val="24"/>
              </w:rPr>
            </w:pPr>
            <w:r w:rsidRPr="0012760D">
              <w:rPr>
                <w:bCs/>
                <w:sz w:val="24"/>
                <w:szCs w:val="24"/>
              </w:rPr>
              <w:t>Total Commitments</w:t>
            </w:r>
          </w:p>
        </w:tc>
        <w:tc>
          <w:tcPr>
            <w:tcW w:w="1243" w:type="pct"/>
            <w:shd w:val="clear" w:color="auto" w:fill="auto"/>
          </w:tcPr>
          <w:p w:rsidR="001F0B7A" w:rsidRPr="0012760D" w:rsidRDefault="001F0B7A" w:rsidP="00907E0B">
            <w:pPr>
              <w:jc w:val="right"/>
              <w:rPr>
                <w:sz w:val="24"/>
                <w:szCs w:val="24"/>
              </w:rPr>
            </w:pPr>
            <w:r w:rsidRPr="0012760D">
              <w:rPr>
                <w:bCs/>
                <w:sz w:val="24"/>
                <w:szCs w:val="24"/>
              </w:rPr>
              <w:t>14,916,553</w:t>
            </w:r>
          </w:p>
        </w:tc>
        <w:tc>
          <w:tcPr>
            <w:tcW w:w="706" w:type="pct"/>
            <w:shd w:val="clear" w:color="auto" w:fill="auto"/>
          </w:tcPr>
          <w:p w:rsidR="001F0B7A" w:rsidRPr="0012760D" w:rsidRDefault="001F0B7A" w:rsidP="00907E0B">
            <w:pPr>
              <w:jc w:val="right"/>
              <w:rPr>
                <w:sz w:val="24"/>
                <w:szCs w:val="24"/>
              </w:rPr>
            </w:pPr>
            <w:r w:rsidRPr="0012760D">
              <w:rPr>
                <w:bCs/>
                <w:sz w:val="24"/>
                <w:szCs w:val="24"/>
              </w:rPr>
              <w:t>11,476,751</w:t>
            </w:r>
          </w:p>
        </w:tc>
      </w:tr>
    </w:tbl>
    <w:p w:rsidR="008E1F6B" w:rsidRDefault="008E1F6B" w:rsidP="008E1F6B">
      <w:pPr>
        <w:rPr>
          <w:bCs/>
          <w:sz w:val="24"/>
          <w:szCs w:val="24"/>
        </w:rPr>
      </w:pPr>
      <w:r w:rsidRPr="0012760D">
        <w:rPr>
          <w:bCs/>
          <w:sz w:val="24"/>
          <w:szCs w:val="24"/>
        </w:rPr>
        <w:t>&lt;pp&gt; 45</w:t>
      </w:r>
    </w:p>
    <w:p w:rsidR="00C16B42" w:rsidRDefault="00C16B42" w:rsidP="008E1F6B">
      <w:pPr>
        <w:rPr>
          <w:bCs/>
          <w:sz w:val="24"/>
          <w:szCs w:val="24"/>
        </w:rPr>
      </w:pPr>
    </w:p>
    <w:p w:rsidR="00C16B42" w:rsidRPr="0012760D" w:rsidRDefault="00C16B42" w:rsidP="008E1F6B">
      <w:pPr>
        <w:rPr>
          <w:sz w:val="24"/>
          <w:szCs w:val="24"/>
        </w:rPr>
      </w:pPr>
    </w:p>
    <w:p w:rsidR="008E1F6B" w:rsidRDefault="008E1F6B" w:rsidP="00C16B42">
      <w:pPr>
        <w:pStyle w:val="Heading2"/>
      </w:pPr>
      <w:r w:rsidRPr="0012760D">
        <w:t>18. Sustainability Fund</w:t>
      </w:r>
    </w:p>
    <w:p w:rsidR="00C16B42" w:rsidRPr="0012760D" w:rsidRDefault="00C16B42" w:rsidP="008E1F6B">
      <w:pPr>
        <w:rPr>
          <w:sz w:val="24"/>
          <w:szCs w:val="24"/>
        </w:rPr>
      </w:pPr>
    </w:p>
    <w:p w:rsidR="008E1F6B" w:rsidRDefault="008E1F6B" w:rsidP="008E1F6B">
      <w:pPr>
        <w:rPr>
          <w:sz w:val="24"/>
          <w:szCs w:val="24"/>
        </w:rPr>
      </w:pPr>
      <w:r w:rsidRPr="0012760D">
        <w:rPr>
          <w:sz w:val="24"/>
          <w:szCs w:val="24"/>
        </w:rPr>
        <w:t xml:space="preserve">The sustainability Fund (SF) account forms part of the environment protection Fund, which is managed by the environment protection authority (EPA). EPA credits the SF account with all landfill levy revenue remaining after distributions to itself, waste management groups and sustainability Victoria, in accordance with the </w:t>
      </w:r>
      <w:r w:rsidRPr="0012760D">
        <w:rPr>
          <w:i/>
          <w:iCs/>
          <w:sz w:val="24"/>
          <w:szCs w:val="24"/>
        </w:rPr>
        <w:t>Environment Protection (Distribution of Landfill Levy) Regulations</w:t>
      </w:r>
      <w:r w:rsidRPr="0012760D">
        <w:rPr>
          <w:sz w:val="24"/>
          <w:szCs w:val="24"/>
        </w:rPr>
        <w:t xml:space="preserve">. Funds in the SF account are allocated by the Premier and the Minister for Environment And Climate Change to projects aimed at best practices in waste management and fostering environmentally sustainable use of resources in accordance with the </w:t>
      </w:r>
      <w:r w:rsidRPr="0012760D">
        <w:rPr>
          <w:i/>
          <w:iCs/>
          <w:sz w:val="24"/>
          <w:szCs w:val="24"/>
        </w:rPr>
        <w:t xml:space="preserve">Environment Protection Act 1970 </w:t>
      </w:r>
      <w:r w:rsidRPr="0012760D">
        <w:rPr>
          <w:sz w:val="24"/>
          <w:szCs w:val="24"/>
        </w:rPr>
        <w:t>(Vic) and the Sustainability Fund Priority Statement.</w:t>
      </w:r>
    </w:p>
    <w:p w:rsidR="00C16B42" w:rsidRPr="0012760D" w:rsidRDefault="00C16B42" w:rsidP="008E1F6B">
      <w:pPr>
        <w:rPr>
          <w:sz w:val="24"/>
          <w:szCs w:val="24"/>
        </w:rPr>
      </w:pPr>
    </w:p>
    <w:p w:rsidR="008E1F6B" w:rsidRDefault="008E1F6B" w:rsidP="008E1F6B">
      <w:pPr>
        <w:rPr>
          <w:sz w:val="24"/>
          <w:szCs w:val="24"/>
        </w:rPr>
      </w:pPr>
      <w:r w:rsidRPr="0012760D">
        <w:rPr>
          <w:sz w:val="24"/>
          <w:szCs w:val="24"/>
        </w:rPr>
        <w:t>The SF secretariat, managed by Sustainability Victoria (SV), oversees the management of these projects and receives a management fee for doing so. Except for the management fees, all payments to grant recipients and reimbursements from the EPA relating to these projects are processed by Sustainability Victoria through its balance sheet.</w:t>
      </w:r>
    </w:p>
    <w:p w:rsidR="00C16B42" w:rsidRPr="0012760D" w:rsidRDefault="00C16B42" w:rsidP="008E1F6B">
      <w:pPr>
        <w:rPr>
          <w:sz w:val="24"/>
          <w:szCs w:val="24"/>
        </w:rPr>
      </w:pPr>
    </w:p>
    <w:p w:rsidR="008E1F6B" w:rsidRPr="0012760D" w:rsidRDefault="008E1F6B" w:rsidP="008E1F6B">
      <w:pPr>
        <w:rPr>
          <w:sz w:val="24"/>
          <w:szCs w:val="24"/>
        </w:rPr>
      </w:pPr>
      <w:r w:rsidRPr="0012760D">
        <w:rPr>
          <w:sz w:val="24"/>
          <w:szCs w:val="24"/>
        </w:rPr>
        <w:t>Payments made to funding recipients totalled $35,576,269 (2012: $27,063,325). An amount held of $550,000 had not been paid to the Metropolitan Waste Management Group, due to the non-delivery of milestones as at 30 June 2013.</w:t>
      </w:r>
    </w:p>
    <w:p w:rsidR="008E1F6B" w:rsidRPr="0012760D" w:rsidRDefault="008E1F6B" w:rsidP="008E1F6B">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7063"/>
        <w:gridCol w:w="2046"/>
      </w:tblGrid>
      <w:tr w:rsidR="008E1F6B" w:rsidRPr="0012760D" w:rsidTr="00907E0B">
        <w:tblPrEx>
          <w:tblCellMar>
            <w:top w:w="0" w:type="dxa"/>
            <w:bottom w:w="0" w:type="dxa"/>
          </w:tblCellMar>
        </w:tblPrEx>
        <w:tc>
          <w:tcPr>
            <w:tcW w:w="3877" w:type="pct"/>
            <w:shd w:val="clear" w:color="auto" w:fill="auto"/>
          </w:tcPr>
          <w:p w:rsidR="008E1F6B" w:rsidRPr="0012760D" w:rsidRDefault="008E1F6B" w:rsidP="00907E0B">
            <w:pPr>
              <w:rPr>
                <w:sz w:val="24"/>
                <w:szCs w:val="24"/>
              </w:rPr>
            </w:pPr>
            <w:r w:rsidRPr="0012760D">
              <w:rPr>
                <w:bCs/>
                <w:sz w:val="24"/>
                <w:szCs w:val="24"/>
              </w:rPr>
              <w:t>Reconciliation of Sustainability Fund Account:</w:t>
            </w:r>
          </w:p>
        </w:tc>
        <w:tc>
          <w:tcPr>
            <w:tcW w:w="1123" w:type="pct"/>
            <w:shd w:val="clear" w:color="auto" w:fill="auto"/>
          </w:tcPr>
          <w:p w:rsidR="008E1F6B" w:rsidRPr="0012760D" w:rsidRDefault="008E1F6B" w:rsidP="00907E0B">
            <w:pPr>
              <w:jc w:val="right"/>
              <w:rPr>
                <w:sz w:val="24"/>
                <w:szCs w:val="24"/>
              </w:rPr>
            </w:pPr>
            <w:r w:rsidRPr="0012760D">
              <w:rPr>
                <w:bCs/>
                <w:sz w:val="24"/>
                <w:szCs w:val="24"/>
              </w:rPr>
              <w:t>Total $</w:t>
            </w:r>
          </w:p>
        </w:tc>
      </w:tr>
      <w:tr w:rsidR="008E1F6B" w:rsidRPr="0012760D" w:rsidTr="00907E0B">
        <w:tblPrEx>
          <w:tblCellMar>
            <w:top w:w="0" w:type="dxa"/>
            <w:bottom w:w="0" w:type="dxa"/>
          </w:tblCellMar>
        </w:tblPrEx>
        <w:tc>
          <w:tcPr>
            <w:tcW w:w="3877" w:type="pct"/>
            <w:shd w:val="clear" w:color="auto" w:fill="auto"/>
          </w:tcPr>
          <w:p w:rsidR="008E1F6B" w:rsidRPr="0012760D" w:rsidRDefault="008E1F6B" w:rsidP="00907E0B">
            <w:pPr>
              <w:rPr>
                <w:sz w:val="24"/>
                <w:szCs w:val="24"/>
              </w:rPr>
            </w:pPr>
            <w:r w:rsidRPr="0012760D">
              <w:rPr>
                <w:bCs/>
                <w:sz w:val="24"/>
                <w:szCs w:val="24"/>
              </w:rPr>
              <w:t>Opening balance 1 July 2012</w:t>
            </w:r>
          </w:p>
        </w:tc>
        <w:tc>
          <w:tcPr>
            <w:tcW w:w="1123" w:type="pct"/>
            <w:shd w:val="clear" w:color="auto" w:fill="auto"/>
          </w:tcPr>
          <w:p w:rsidR="008E1F6B" w:rsidRPr="0012760D" w:rsidRDefault="008E1F6B" w:rsidP="00907E0B">
            <w:pPr>
              <w:jc w:val="right"/>
              <w:rPr>
                <w:sz w:val="24"/>
                <w:szCs w:val="24"/>
              </w:rPr>
            </w:pPr>
            <w:r w:rsidRPr="0012760D">
              <w:rPr>
                <w:bCs/>
                <w:sz w:val="24"/>
                <w:szCs w:val="24"/>
              </w:rPr>
              <w:t>118,321,147</w:t>
            </w:r>
          </w:p>
        </w:tc>
      </w:tr>
      <w:tr w:rsidR="008E1F6B" w:rsidRPr="0012760D" w:rsidTr="00907E0B">
        <w:tblPrEx>
          <w:tblCellMar>
            <w:top w:w="0" w:type="dxa"/>
            <w:bottom w:w="0" w:type="dxa"/>
          </w:tblCellMar>
        </w:tblPrEx>
        <w:tc>
          <w:tcPr>
            <w:tcW w:w="3877" w:type="pct"/>
            <w:shd w:val="clear" w:color="auto" w:fill="auto"/>
          </w:tcPr>
          <w:p w:rsidR="008E1F6B" w:rsidRPr="0012760D" w:rsidRDefault="008E1F6B" w:rsidP="00907E0B">
            <w:pPr>
              <w:rPr>
                <w:sz w:val="24"/>
                <w:szCs w:val="24"/>
              </w:rPr>
            </w:pPr>
            <w:r w:rsidRPr="0012760D">
              <w:rPr>
                <w:sz w:val="24"/>
                <w:szCs w:val="24"/>
              </w:rPr>
              <w:t>Share of landfill levies received by the Sustainability Fund</w:t>
            </w:r>
          </w:p>
        </w:tc>
        <w:tc>
          <w:tcPr>
            <w:tcW w:w="1123" w:type="pct"/>
            <w:shd w:val="clear" w:color="auto" w:fill="auto"/>
          </w:tcPr>
          <w:p w:rsidR="008E1F6B" w:rsidRPr="0012760D" w:rsidRDefault="008E1F6B" w:rsidP="00907E0B">
            <w:pPr>
              <w:jc w:val="right"/>
              <w:rPr>
                <w:sz w:val="24"/>
                <w:szCs w:val="24"/>
              </w:rPr>
            </w:pPr>
            <w:r w:rsidRPr="0012760D">
              <w:rPr>
                <w:sz w:val="24"/>
                <w:szCs w:val="24"/>
              </w:rPr>
              <w:t>88,606,256</w:t>
            </w:r>
          </w:p>
        </w:tc>
      </w:tr>
      <w:tr w:rsidR="008E1F6B" w:rsidRPr="0012760D" w:rsidTr="00907E0B">
        <w:tblPrEx>
          <w:tblCellMar>
            <w:top w:w="0" w:type="dxa"/>
            <w:bottom w:w="0" w:type="dxa"/>
          </w:tblCellMar>
        </w:tblPrEx>
        <w:tc>
          <w:tcPr>
            <w:tcW w:w="3877" w:type="pct"/>
            <w:shd w:val="clear" w:color="auto" w:fill="auto"/>
          </w:tcPr>
          <w:p w:rsidR="008E1F6B" w:rsidRPr="0012760D" w:rsidRDefault="008E1F6B" w:rsidP="00907E0B">
            <w:pPr>
              <w:rPr>
                <w:sz w:val="24"/>
                <w:szCs w:val="24"/>
              </w:rPr>
            </w:pPr>
            <w:r w:rsidRPr="0012760D">
              <w:rPr>
                <w:sz w:val="24"/>
                <w:szCs w:val="24"/>
              </w:rPr>
              <w:t>Amounts received from EPA to be paid to funding recipients</w:t>
            </w:r>
          </w:p>
        </w:tc>
        <w:tc>
          <w:tcPr>
            <w:tcW w:w="1123" w:type="pct"/>
            <w:shd w:val="clear" w:color="auto" w:fill="auto"/>
          </w:tcPr>
          <w:p w:rsidR="008E1F6B" w:rsidRPr="0012760D" w:rsidRDefault="008E1F6B" w:rsidP="00907E0B">
            <w:pPr>
              <w:jc w:val="right"/>
              <w:rPr>
                <w:sz w:val="24"/>
                <w:szCs w:val="24"/>
              </w:rPr>
            </w:pPr>
            <w:r w:rsidRPr="0012760D">
              <w:rPr>
                <w:sz w:val="24"/>
                <w:szCs w:val="24"/>
              </w:rPr>
              <w:t>(36,126,269)</w:t>
            </w:r>
          </w:p>
        </w:tc>
      </w:tr>
      <w:tr w:rsidR="008E1F6B" w:rsidRPr="0012760D" w:rsidTr="00907E0B">
        <w:tblPrEx>
          <w:tblCellMar>
            <w:top w:w="0" w:type="dxa"/>
            <w:bottom w:w="0" w:type="dxa"/>
          </w:tblCellMar>
        </w:tblPrEx>
        <w:tc>
          <w:tcPr>
            <w:tcW w:w="3877" w:type="pct"/>
            <w:shd w:val="clear" w:color="auto" w:fill="auto"/>
          </w:tcPr>
          <w:p w:rsidR="008E1F6B" w:rsidRPr="0012760D" w:rsidRDefault="008E1F6B" w:rsidP="00907E0B">
            <w:pPr>
              <w:rPr>
                <w:sz w:val="24"/>
                <w:szCs w:val="24"/>
              </w:rPr>
            </w:pPr>
            <w:r w:rsidRPr="0012760D">
              <w:rPr>
                <w:sz w:val="24"/>
                <w:szCs w:val="24"/>
              </w:rPr>
              <w:t>Sustainability Victoria</w:t>
            </w:r>
            <w:r w:rsidR="00907E0B" w:rsidRPr="0012760D">
              <w:rPr>
                <w:sz w:val="24"/>
                <w:szCs w:val="24"/>
              </w:rPr>
              <w:t>'</w:t>
            </w:r>
            <w:r w:rsidRPr="0012760D">
              <w:rPr>
                <w:sz w:val="24"/>
                <w:szCs w:val="24"/>
              </w:rPr>
              <w:t>s management fee ($767,405) plus other direct expenses</w:t>
            </w:r>
          </w:p>
        </w:tc>
        <w:tc>
          <w:tcPr>
            <w:tcW w:w="1123" w:type="pct"/>
            <w:shd w:val="clear" w:color="auto" w:fill="auto"/>
            <w:vAlign w:val="bottom"/>
          </w:tcPr>
          <w:p w:rsidR="008E1F6B" w:rsidRPr="0012760D" w:rsidRDefault="008E1F6B" w:rsidP="00907E0B">
            <w:pPr>
              <w:jc w:val="right"/>
              <w:rPr>
                <w:sz w:val="24"/>
                <w:szCs w:val="24"/>
              </w:rPr>
            </w:pPr>
            <w:r w:rsidRPr="0012760D">
              <w:rPr>
                <w:sz w:val="24"/>
                <w:szCs w:val="24"/>
              </w:rPr>
              <w:t>(800,000)</w:t>
            </w:r>
          </w:p>
        </w:tc>
      </w:tr>
      <w:tr w:rsidR="008E1F6B" w:rsidRPr="0012760D" w:rsidTr="00907E0B">
        <w:tblPrEx>
          <w:tblCellMar>
            <w:top w:w="0" w:type="dxa"/>
            <w:bottom w:w="0" w:type="dxa"/>
          </w:tblCellMar>
        </w:tblPrEx>
        <w:tc>
          <w:tcPr>
            <w:tcW w:w="3877" w:type="pct"/>
            <w:shd w:val="clear" w:color="auto" w:fill="auto"/>
          </w:tcPr>
          <w:p w:rsidR="008E1F6B" w:rsidRPr="0012760D" w:rsidRDefault="008E1F6B" w:rsidP="00907E0B">
            <w:pPr>
              <w:rPr>
                <w:sz w:val="24"/>
                <w:szCs w:val="24"/>
              </w:rPr>
            </w:pPr>
            <w:r w:rsidRPr="0012760D">
              <w:rPr>
                <w:bCs/>
                <w:sz w:val="24"/>
                <w:szCs w:val="24"/>
              </w:rPr>
              <w:t>Closing Balance 30 June 2013</w:t>
            </w:r>
          </w:p>
        </w:tc>
        <w:tc>
          <w:tcPr>
            <w:tcW w:w="1123" w:type="pct"/>
            <w:shd w:val="clear" w:color="auto" w:fill="auto"/>
          </w:tcPr>
          <w:p w:rsidR="008E1F6B" w:rsidRPr="0012760D" w:rsidRDefault="008E1F6B" w:rsidP="00907E0B">
            <w:pPr>
              <w:jc w:val="right"/>
              <w:rPr>
                <w:sz w:val="24"/>
                <w:szCs w:val="24"/>
              </w:rPr>
            </w:pPr>
            <w:r w:rsidRPr="0012760D">
              <w:rPr>
                <w:bCs/>
                <w:sz w:val="24"/>
                <w:szCs w:val="24"/>
              </w:rPr>
              <w:t>170,001,134</w:t>
            </w:r>
          </w:p>
        </w:tc>
      </w:tr>
      <w:tr w:rsidR="008E1F6B" w:rsidRPr="0012760D" w:rsidTr="00907E0B">
        <w:tblPrEx>
          <w:tblCellMar>
            <w:top w:w="0" w:type="dxa"/>
            <w:bottom w:w="0" w:type="dxa"/>
          </w:tblCellMar>
        </w:tblPrEx>
        <w:tc>
          <w:tcPr>
            <w:tcW w:w="3877" w:type="pct"/>
            <w:shd w:val="clear" w:color="auto" w:fill="auto"/>
          </w:tcPr>
          <w:p w:rsidR="008E1F6B" w:rsidRPr="0012760D" w:rsidRDefault="008E1F6B" w:rsidP="00907E0B">
            <w:pPr>
              <w:rPr>
                <w:sz w:val="24"/>
                <w:szCs w:val="24"/>
              </w:rPr>
            </w:pPr>
            <w:r w:rsidRPr="0012760D">
              <w:rPr>
                <w:bCs/>
                <w:sz w:val="24"/>
                <w:szCs w:val="24"/>
              </w:rPr>
              <w:t>Opening balance 1 July 2011</w:t>
            </w:r>
          </w:p>
        </w:tc>
        <w:tc>
          <w:tcPr>
            <w:tcW w:w="1123" w:type="pct"/>
            <w:shd w:val="clear" w:color="auto" w:fill="auto"/>
          </w:tcPr>
          <w:p w:rsidR="008E1F6B" w:rsidRPr="0012760D" w:rsidRDefault="008E1F6B" w:rsidP="00907E0B">
            <w:pPr>
              <w:jc w:val="right"/>
              <w:rPr>
                <w:sz w:val="24"/>
                <w:szCs w:val="24"/>
              </w:rPr>
            </w:pPr>
            <w:r w:rsidRPr="0012760D">
              <w:rPr>
                <w:bCs/>
                <w:sz w:val="24"/>
                <w:szCs w:val="24"/>
              </w:rPr>
              <w:t>47,038,025</w:t>
            </w:r>
          </w:p>
        </w:tc>
      </w:tr>
      <w:tr w:rsidR="008E1F6B" w:rsidRPr="0012760D" w:rsidTr="00907E0B">
        <w:tblPrEx>
          <w:tblCellMar>
            <w:top w:w="0" w:type="dxa"/>
            <w:bottom w:w="0" w:type="dxa"/>
          </w:tblCellMar>
        </w:tblPrEx>
        <w:tc>
          <w:tcPr>
            <w:tcW w:w="3877" w:type="pct"/>
            <w:shd w:val="clear" w:color="auto" w:fill="auto"/>
          </w:tcPr>
          <w:p w:rsidR="008E1F6B" w:rsidRPr="0012760D" w:rsidRDefault="008E1F6B" w:rsidP="00907E0B">
            <w:pPr>
              <w:rPr>
                <w:sz w:val="24"/>
                <w:szCs w:val="24"/>
              </w:rPr>
            </w:pPr>
            <w:r w:rsidRPr="0012760D">
              <w:rPr>
                <w:sz w:val="24"/>
                <w:szCs w:val="24"/>
              </w:rPr>
              <w:t>Share of landfill levies received by the Sustainability Fund</w:t>
            </w:r>
          </w:p>
        </w:tc>
        <w:tc>
          <w:tcPr>
            <w:tcW w:w="1123" w:type="pct"/>
            <w:shd w:val="clear" w:color="auto" w:fill="auto"/>
          </w:tcPr>
          <w:p w:rsidR="008E1F6B" w:rsidRPr="0012760D" w:rsidRDefault="008E1F6B" w:rsidP="00907E0B">
            <w:pPr>
              <w:jc w:val="right"/>
              <w:rPr>
                <w:sz w:val="24"/>
                <w:szCs w:val="24"/>
              </w:rPr>
            </w:pPr>
            <w:r w:rsidRPr="0012760D">
              <w:rPr>
                <w:sz w:val="24"/>
                <w:szCs w:val="24"/>
              </w:rPr>
              <w:t>99,146,447</w:t>
            </w:r>
          </w:p>
        </w:tc>
      </w:tr>
      <w:tr w:rsidR="008E1F6B" w:rsidRPr="0012760D" w:rsidTr="00907E0B">
        <w:tblPrEx>
          <w:tblCellMar>
            <w:top w:w="0" w:type="dxa"/>
            <w:bottom w:w="0" w:type="dxa"/>
          </w:tblCellMar>
        </w:tblPrEx>
        <w:tc>
          <w:tcPr>
            <w:tcW w:w="3877" w:type="pct"/>
            <w:shd w:val="clear" w:color="auto" w:fill="auto"/>
          </w:tcPr>
          <w:p w:rsidR="008E1F6B" w:rsidRPr="0012760D" w:rsidRDefault="008E1F6B" w:rsidP="00907E0B">
            <w:pPr>
              <w:rPr>
                <w:sz w:val="24"/>
                <w:szCs w:val="24"/>
              </w:rPr>
            </w:pPr>
            <w:r w:rsidRPr="0012760D">
              <w:rPr>
                <w:sz w:val="24"/>
                <w:szCs w:val="24"/>
              </w:rPr>
              <w:t>Amounts received from EPA to be paid to funding recipients</w:t>
            </w:r>
          </w:p>
        </w:tc>
        <w:tc>
          <w:tcPr>
            <w:tcW w:w="1123" w:type="pct"/>
            <w:shd w:val="clear" w:color="auto" w:fill="auto"/>
          </w:tcPr>
          <w:p w:rsidR="008E1F6B" w:rsidRPr="0012760D" w:rsidRDefault="008E1F6B" w:rsidP="00907E0B">
            <w:pPr>
              <w:jc w:val="right"/>
              <w:rPr>
                <w:sz w:val="24"/>
                <w:szCs w:val="24"/>
              </w:rPr>
            </w:pPr>
            <w:r w:rsidRPr="0012760D">
              <w:rPr>
                <w:sz w:val="24"/>
                <w:szCs w:val="24"/>
              </w:rPr>
              <w:t>(27,063,325)</w:t>
            </w:r>
          </w:p>
        </w:tc>
      </w:tr>
      <w:tr w:rsidR="008E1F6B" w:rsidRPr="0012760D" w:rsidTr="00907E0B">
        <w:tblPrEx>
          <w:tblCellMar>
            <w:top w:w="0" w:type="dxa"/>
            <w:bottom w:w="0" w:type="dxa"/>
          </w:tblCellMar>
        </w:tblPrEx>
        <w:tc>
          <w:tcPr>
            <w:tcW w:w="3877" w:type="pct"/>
            <w:shd w:val="clear" w:color="auto" w:fill="auto"/>
          </w:tcPr>
          <w:p w:rsidR="008E1F6B" w:rsidRPr="0012760D" w:rsidRDefault="008E1F6B" w:rsidP="00907E0B">
            <w:pPr>
              <w:rPr>
                <w:sz w:val="24"/>
                <w:szCs w:val="24"/>
              </w:rPr>
            </w:pPr>
            <w:r w:rsidRPr="0012760D">
              <w:rPr>
                <w:sz w:val="24"/>
                <w:szCs w:val="24"/>
              </w:rPr>
              <w:t>Sustainability Victoria</w:t>
            </w:r>
            <w:r w:rsidR="00907E0B" w:rsidRPr="0012760D">
              <w:rPr>
                <w:sz w:val="24"/>
                <w:szCs w:val="24"/>
              </w:rPr>
              <w:t>'</w:t>
            </w:r>
            <w:r w:rsidRPr="0012760D">
              <w:rPr>
                <w:sz w:val="24"/>
                <w:szCs w:val="24"/>
              </w:rPr>
              <w:t>s management fee ($763,450) plus other direct expenses</w:t>
            </w:r>
          </w:p>
        </w:tc>
        <w:tc>
          <w:tcPr>
            <w:tcW w:w="1123" w:type="pct"/>
            <w:shd w:val="clear" w:color="auto" w:fill="auto"/>
            <w:vAlign w:val="bottom"/>
          </w:tcPr>
          <w:p w:rsidR="008E1F6B" w:rsidRPr="0012760D" w:rsidRDefault="008E1F6B" w:rsidP="00907E0B">
            <w:pPr>
              <w:jc w:val="right"/>
              <w:rPr>
                <w:sz w:val="24"/>
                <w:szCs w:val="24"/>
              </w:rPr>
            </w:pPr>
            <w:r w:rsidRPr="0012760D">
              <w:rPr>
                <w:sz w:val="24"/>
                <w:szCs w:val="24"/>
              </w:rPr>
              <w:t>(800,000)</w:t>
            </w:r>
          </w:p>
        </w:tc>
      </w:tr>
      <w:tr w:rsidR="008E1F6B" w:rsidRPr="0012760D" w:rsidTr="00907E0B">
        <w:tblPrEx>
          <w:tblCellMar>
            <w:top w:w="0" w:type="dxa"/>
            <w:bottom w:w="0" w:type="dxa"/>
          </w:tblCellMar>
        </w:tblPrEx>
        <w:tc>
          <w:tcPr>
            <w:tcW w:w="3877" w:type="pct"/>
            <w:shd w:val="clear" w:color="auto" w:fill="auto"/>
          </w:tcPr>
          <w:p w:rsidR="008E1F6B" w:rsidRPr="0012760D" w:rsidRDefault="008E1F6B" w:rsidP="00907E0B">
            <w:pPr>
              <w:rPr>
                <w:sz w:val="24"/>
                <w:szCs w:val="24"/>
              </w:rPr>
            </w:pPr>
            <w:r w:rsidRPr="0012760D">
              <w:rPr>
                <w:bCs/>
                <w:sz w:val="24"/>
                <w:szCs w:val="24"/>
              </w:rPr>
              <w:t>Closing balance 30 June 2012</w:t>
            </w:r>
          </w:p>
        </w:tc>
        <w:tc>
          <w:tcPr>
            <w:tcW w:w="1123" w:type="pct"/>
            <w:shd w:val="clear" w:color="auto" w:fill="auto"/>
          </w:tcPr>
          <w:p w:rsidR="008E1F6B" w:rsidRPr="0012760D" w:rsidRDefault="008E1F6B" w:rsidP="00907E0B">
            <w:pPr>
              <w:jc w:val="right"/>
              <w:rPr>
                <w:sz w:val="24"/>
                <w:szCs w:val="24"/>
              </w:rPr>
            </w:pPr>
            <w:r w:rsidRPr="0012760D">
              <w:rPr>
                <w:bCs/>
                <w:sz w:val="24"/>
                <w:szCs w:val="24"/>
              </w:rPr>
              <w:t>118,321,147</w:t>
            </w:r>
          </w:p>
        </w:tc>
      </w:tr>
    </w:tbl>
    <w:p w:rsidR="008E1F6B" w:rsidRDefault="008E1F6B" w:rsidP="008E1F6B">
      <w:pPr>
        <w:rPr>
          <w:bCs/>
          <w:sz w:val="24"/>
          <w:szCs w:val="24"/>
        </w:rPr>
      </w:pPr>
    </w:p>
    <w:p w:rsidR="00C16B42" w:rsidRPr="0012760D" w:rsidRDefault="00C16B42" w:rsidP="008E1F6B">
      <w:pPr>
        <w:rPr>
          <w:bCs/>
          <w:sz w:val="24"/>
          <w:szCs w:val="24"/>
        </w:rPr>
      </w:pPr>
    </w:p>
    <w:p w:rsidR="008E1F6B" w:rsidRDefault="008E1F6B" w:rsidP="00C16B42">
      <w:pPr>
        <w:pStyle w:val="Heading2"/>
      </w:pPr>
      <w:r w:rsidRPr="0012760D">
        <w:t>19. Responsible Person-Related Disclosures</w:t>
      </w:r>
    </w:p>
    <w:p w:rsidR="00C16B42" w:rsidRPr="0012760D" w:rsidRDefault="00C16B42" w:rsidP="008E1F6B">
      <w:pPr>
        <w:rPr>
          <w:sz w:val="24"/>
          <w:szCs w:val="24"/>
        </w:rPr>
      </w:pPr>
    </w:p>
    <w:p w:rsidR="008E1F6B" w:rsidRPr="0012760D" w:rsidRDefault="008E1F6B" w:rsidP="008E1F6B">
      <w:pPr>
        <w:rPr>
          <w:sz w:val="24"/>
          <w:szCs w:val="24"/>
        </w:rPr>
      </w:pPr>
      <w:r w:rsidRPr="0012760D">
        <w:rPr>
          <w:sz w:val="24"/>
          <w:szCs w:val="24"/>
        </w:rPr>
        <w:t xml:space="preserve">In accordance with the Ministerial Directions issued by the Minister for Finance under the </w:t>
      </w:r>
      <w:r w:rsidRPr="0012760D">
        <w:rPr>
          <w:i/>
          <w:iCs/>
          <w:sz w:val="24"/>
          <w:szCs w:val="24"/>
        </w:rPr>
        <w:t>Financial Management Act 1994</w:t>
      </w:r>
      <w:r w:rsidRPr="0012760D">
        <w:rPr>
          <w:sz w:val="24"/>
          <w:szCs w:val="24"/>
        </w:rPr>
        <w:t>, the following disclosures are made regarding responsible persons for the reporting period.</w:t>
      </w:r>
    </w:p>
    <w:p w:rsidR="008E1F6B" w:rsidRPr="0012760D" w:rsidRDefault="008E1F6B" w:rsidP="008E1F6B">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3726"/>
        <w:gridCol w:w="2410"/>
        <w:gridCol w:w="2973"/>
      </w:tblGrid>
      <w:tr w:rsidR="008E1F6B" w:rsidRPr="0012760D" w:rsidTr="00907E0B">
        <w:tblPrEx>
          <w:tblCellMar>
            <w:top w:w="0" w:type="dxa"/>
            <w:bottom w:w="0" w:type="dxa"/>
          </w:tblCellMar>
        </w:tblPrEx>
        <w:tc>
          <w:tcPr>
            <w:tcW w:w="2045" w:type="pct"/>
            <w:shd w:val="clear" w:color="auto" w:fill="auto"/>
          </w:tcPr>
          <w:p w:rsidR="008E1F6B" w:rsidRPr="0012760D" w:rsidRDefault="008E1F6B" w:rsidP="00907E0B">
            <w:pPr>
              <w:rPr>
                <w:sz w:val="24"/>
                <w:szCs w:val="24"/>
              </w:rPr>
            </w:pPr>
            <w:r w:rsidRPr="0012760D">
              <w:rPr>
                <w:sz w:val="24"/>
                <w:szCs w:val="24"/>
              </w:rPr>
              <w:t>Board members:</w:t>
            </w:r>
          </w:p>
        </w:tc>
        <w:tc>
          <w:tcPr>
            <w:tcW w:w="1323" w:type="pct"/>
            <w:shd w:val="clear" w:color="auto" w:fill="auto"/>
          </w:tcPr>
          <w:p w:rsidR="008E1F6B" w:rsidRPr="0012760D" w:rsidRDefault="008E1F6B" w:rsidP="00C16B42">
            <w:pPr>
              <w:jc w:val="right"/>
              <w:rPr>
                <w:sz w:val="24"/>
                <w:szCs w:val="24"/>
              </w:rPr>
            </w:pPr>
            <w:r w:rsidRPr="0012760D">
              <w:rPr>
                <w:bCs/>
                <w:sz w:val="24"/>
                <w:szCs w:val="24"/>
              </w:rPr>
              <w:t>Meetings held</w:t>
            </w:r>
          </w:p>
        </w:tc>
        <w:tc>
          <w:tcPr>
            <w:tcW w:w="1632" w:type="pct"/>
            <w:shd w:val="clear" w:color="auto" w:fill="auto"/>
          </w:tcPr>
          <w:p w:rsidR="008E1F6B" w:rsidRPr="0012760D" w:rsidRDefault="008E1F6B" w:rsidP="00C16B42">
            <w:pPr>
              <w:jc w:val="right"/>
              <w:rPr>
                <w:sz w:val="24"/>
                <w:szCs w:val="24"/>
              </w:rPr>
            </w:pPr>
            <w:r w:rsidRPr="0012760D">
              <w:rPr>
                <w:bCs/>
                <w:sz w:val="24"/>
                <w:szCs w:val="24"/>
              </w:rPr>
              <w:t>Meetings attended</w:t>
            </w:r>
          </w:p>
        </w:tc>
      </w:tr>
      <w:tr w:rsidR="008E1F6B" w:rsidRPr="0012760D" w:rsidTr="00907E0B">
        <w:tblPrEx>
          <w:tblCellMar>
            <w:top w:w="0" w:type="dxa"/>
            <w:bottom w:w="0" w:type="dxa"/>
          </w:tblCellMar>
        </w:tblPrEx>
        <w:tc>
          <w:tcPr>
            <w:tcW w:w="5000" w:type="pct"/>
            <w:gridSpan w:val="3"/>
            <w:shd w:val="clear" w:color="auto" w:fill="auto"/>
          </w:tcPr>
          <w:p w:rsidR="008E1F6B" w:rsidRPr="0012760D" w:rsidRDefault="008E1F6B" w:rsidP="00907E0B">
            <w:pPr>
              <w:rPr>
                <w:sz w:val="24"/>
                <w:szCs w:val="24"/>
              </w:rPr>
            </w:pPr>
            <w:r w:rsidRPr="0012760D">
              <w:rPr>
                <w:bCs/>
                <w:sz w:val="24"/>
                <w:szCs w:val="24"/>
              </w:rPr>
              <w:t>1 July 2012 to 30 June 2013</w:t>
            </w:r>
          </w:p>
        </w:tc>
      </w:tr>
      <w:tr w:rsidR="008E1F6B" w:rsidRPr="0012760D" w:rsidTr="00907E0B">
        <w:tblPrEx>
          <w:tblCellMar>
            <w:top w:w="0" w:type="dxa"/>
            <w:bottom w:w="0" w:type="dxa"/>
          </w:tblCellMar>
        </w:tblPrEx>
        <w:tc>
          <w:tcPr>
            <w:tcW w:w="2045" w:type="pct"/>
            <w:shd w:val="clear" w:color="auto" w:fill="auto"/>
          </w:tcPr>
          <w:p w:rsidR="008E1F6B" w:rsidRPr="0012760D" w:rsidRDefault="008E1F6B" w:rsidP="00907E0B">
            <w:pPr>
              <w:rPr>
                <w:sz w:val="24"/>
                <w:szCs w:val="24"/>
              </w:rPr>
            </w:pPr>
            <w:r w:rsidRPr="0012760D">
              <w:rPr>
                <w:sz w:val="24"/>
                <w:szCs w:val="24"/>
              </w:rPr>
              <w:lastRenderedPageBreak/>
              <w:t>Doctor Gillian Sparkes, Chair</w:t>
            </w:r>
          </w:p>
        </w:tc>
        <w:tc>
          <w:tcPr>
            <w:tcW w:w="1323" w:type="pct"/>
            <w:shd w:val="clear" w:color="auto" w:fill="auto"/>
          </w:tcPr>
          <w:p w:rsidR="008E1F6B" w:rsidRPr="0012760D" w:rsidRDefault="008E1F6B" w:rsidP="00C16B42">
            <w:pPr>
              <w:jc w:val="right"/>
              <w:rPr>
                <w:sz w:val="24"/>
                <w:szCs w:val="24"/>
              </w:rPr>
            </w:pPr>
            <w:r w:rsidRPr="0012760D">
              <w:rPr>
                <w:sz w:val="24"/>
                <w:szCs w:val="24"/>
              </w:rPr>
              <w:t>9</w:t>
            </w:r>
          </w:p>
        </w:tc>
        <w:tc>
          <w:tcPr>
            <w:tcW w:w="1632" w:type="pct"/>
            <w:shd w:val="clear" w:color="auto" w:fill="auto"/>
          </w:tcPr>
          <w:p w:rsidR="008E1F6B" w:rsidRPr="0012760D" w:rsidRDefault="008E1F6B" w:rsidP="00C16B42">
            <w:pPr>
              <w:jc w:val="right"/>
              <w:rPr>
                <w:sz w:val="24"/>
                <w:szCs w:val="24"/>
              </w:rPr>
            </w:pPr>
            <w:r w:rsidRPr="0012760D">
              <w:rPr>
                <w:sz w:val="24"/>
                <w:szCs w:val="24"/>
              </w:rPr>
              <w:t>9</w:t>
            </w:r>
          </w:p>
        </w:tc>
      </w:tr>
      <w:tr w:rsidR="008E1F6B" w:rsidRPr="0012760D" w:rsidTr="00907E0B">
        <w:tblPrEx>
          <w:tblCellMar>
            <w:top w:w="0" w:type="dxa"/>
            <w:bottom w:w="0" w:type="dxa"/>
          </w:tblCellMar>
        </w:tblPrEx>
        <w:tc>
          <w:tcPr>
            <w:tcW w:w="2045" w:type="pct"/>
            <w:shd w:val="clear" w:color="auto" w:fill="auto"/>
          </w:tcPr>
          <w:p w:rsidR="008E1F6B" w:rsidRPr="0012760D" w:rsidRDefault="008E1F6B" w:rsidP="00907E0B">
            <w:pPr>
              <w:rPr>
                <w:sz w:val="24"/>
                <w:szCs w:val="24"/>
              </w:rPr>
            </w:pPr>
            <w:r w:rsidRPr="0012760D">
              <w:rPr>
                <w:sz w:val="24"/>
                <w:szCs w:val="24"/>
              </w:rPr>
              <w:t>Mike Hill, Deputy Chair</w:t>
            </w:r>
          </w:p>
        </w:tc>
        <w:tc>
          <w:tcPr>
            <w:tcW w:w="1323" w:type="pct"/>
            <w:shd w:val="clear" w:color="auto" w:fill="auto"/>
          </w:tcPr>
          <w:p w:rsidR="008E1F6B" w:rsidRPr="0012760D" w:rsidRDefault="008E1F6B" w:rsidP="00C16B42">
            <w:pPr>
              <w:jc w:val="right"/>
              <w:rPr>
                <w:sz w:val="24"/>
                <w:szCs w:val="24"/>
              </w:rPr>
            </w:pPr>
            <w:r w:rsidRPr="0012760D">
              <w:rPr>
                <w:sz w:val="24"/>
                <w:szCs w:val="24"/>
              </w:rPr>
              <w:t>9</w:t>
            </w:r>
          </w:p>
        </w:tc>
        <w:tc>
          <w:tcPr>
            <w:tcW w:w="1632" w:type="pct"/>
            <w:shd w:val="clear" w:color="auto" w:fill="auto"/>
          </w:tcPr>
          <w:p w:rsidR="008E1F6B" w:rsidRPr="0012760D" w:rsidRDefault="008E1F6B" w:rsidP="00C16B42">
            <w:pPr>
              <w:jc w:val="right"/>
              <w:rPr>
                <w:sz w:val="24"/>
                <w:szCs w:val="24"/>
              </w:rPr>
            </w:pPr>
            <w:r w:rsidRPr="0012760D">
              <w:rPr>
                <w:sz w:val="24"/>
                <w:szCs w:val="24"/>
              </w:rPr>
              <w:t>8</w:t>
            </w:r>
          </w:p>
        </w:tc>
      </w:tr>
      <w:tr w:rsidR="008E1F6B" w:rsidRPr="0012760D" w:rsidTr="00907E0B">
        <w:tblPrEx>
          <w:tblCellMar>
            <w:top w:w="0" w:type="dxa"/>
            <w:bottom w:w="0" w:type="dxa"/>
          </w:tblCellMar>
        </w:tblPrEx>
        <w:tc>
          <w:tcPr>
            <w:tcW w:w="2045" w:type="pct"/>
            <w:shd w:val="clear" w:color="auto" w:fill="auto"/>
          </w:tcPr>
          <w:p w:rsidR="008E1F6B" w:rsidRPr="0012760D" w:rsidRDefault="008E1F6B" w:rsidP="00907E0B">
            <w:pPr>
              <w:rPr>
                <w:sz w:val="24"/>
                <w:szCs w:val="24"/>
              </w:rPr>
            </w:pPr>
            <w:r w:rsidRPr="0012760D">
              <w:rPr>
                <w:sz w:val="24"/>
                <w:szCs w:val="24"/>
              </w:rPr>
              <w:t>Cheryl Batagol</w:t>
            </w:r>
          </w:p>
        </w:tc>
        <w:tc>
          <w:tcPr>
            <w:tcW w:w="1323" w:type="pct"/>
            <w:shd w:val="clear" w:color="auto" w:fill="auto"/>
          </w:tcPr>
          <w:p w:rsidR="008E1F6B" w:rsidRPr="0012760D" w:rsidRDefault="008E1F6B" w:rsidP="00C16B42">
            <w:pPr>
              <w:jc w:val="right"/>
              <w:rPr>
                <w:sz w:val="24"/>
                <w:szCs w:val="24"/>
              </w:rPr>
            </w:pPr>
            <w:r w:rsidRPr="0012760D">
              <w:rPr>
                <w:sz w:val="24"/>
                <w:szCs w:val="24"/>
              </w:rPr>
              <w:t>9</w:t>
            </w:r>
          </w:p>
        </w:tc>
        <w:tc>
          <w:tcPr>
            <w:tcW w:w="1632" w:type="pct"/>
            <w:shd w:val="clear" w:color="auto" w:fill="auto"/>
          </w:tcPr>
          <w:p w:rsidR="008E1F6B" w:rsidRPr="0012760D" w:rsidRDefault="008E1F6B" w:rsidP="00C16B42">
            <w:pPr>
              <w:jc w:val="right"/>
              <w:rPr>
                <w:sz w:val="24"/>
                <w:szCs w:val="24"/>
              </w:rPr>
            </w:pPr>
            <w:r w:rsidRPr="0012760D">
              <w:rPr>
                <w:sz w:val="24"/>
                <w:szCs w:val="24"/>
              </w:rPr>
              <w:t>8</w:t>
            </w:r>
          </w:p>
        </w:tc>
      </w:tr>
      <w:tr w:rsidR="008E1F6B" w:rsidRPr="0012760D" w:rsidTr="00907E0B">
        <w:tblPrEx>
          <w:tblCellMar>
            <w:top w:w="0" w:type="dxa"/>
            <w:bottom w:w="0" w:type="dxa"/>
          </w:tblCellMar>
        </w:tblPrEx>
        <w:tc>
          <w:tcPr>
            <w:tcW w:w="2045" w:type="pct"/>
            <w:shd w:val="clear" w:color="auto" w:fill="auto"/>
          </w:tcPr>
          <w:p w:rsidR="008E1F6B" w:rsidRPr="0012760D" w:rsidRDefault="008E1F6B" w:rsidP="00907E0B">
            <w:pPr>
              <w:rPr>
                <w:sz w:val="24"/>
                <w:szCs w:val="24"/>
              </w:rPr>
            </w:pPr>
            <w:r w:rsidRPr="0012760D">
              <w:rPr>
                <w:sz w:val="24"/>
                <w:szCs w:val="24"/>
              </w:rPr>
              <w:t>Suzanne Evans</w:t>
            </w:r>
          </w:p>
        </w:tc>
        <w:tc>
          <w:tcPr>
            <w:tcW w:w="1323" w:type="pct"/>
            <w:shd w:val="clear" w:color="auto" w:fill="auto"/>
          </w:tcPr>
          <w:p w:rsidR="008E1F6B" w:rsidRPr="0012760D" w:rsidRDefault="008E1F6B" w:rsidP="00C16B42">
            <w:pPr>
              <w:jc w:val="right"/>
              <w:rPr>
                <w:sz w:val="24"/>
                <w:szCs w:val="24"/>
              </w:rPr>
            </w:pPr>
            <w:r w:rsidRPr="0012760D">
              <w:rPr>
                <w:sz w:val="24"/>
                <w:szCs w:val="24"/>
              </w:rPr>
              <w:t>9</w:t>
            </w:r>
          </w:p>
        </w:tc>
        <w:tc>
          <w:tcPr>
            <w:tcW w:w="1632" w:type="pct"/>
            <w:shd w:val="clear" w:color="auto" w:fill="auto"/>
          </w:tcPr>
          <w:p w:rsidR="008E1F6B" w:rsidRPr="0012760D" w:rsidRDefault="008E1F6B" w:rsidP="00C16B42">
            <w:pPr>
              <w:jc w:val="right"/>
              <w:rPr>
                <w:sz w:val="24"/>
                <w:szCs w:val="24"/>
              </w:rPr>
            </w:pPr>
            <w:r w:rsidRPr="0012760D">
              <w:rPr>
                <w:sz w:val="24"/>
                <w:szCs w:val="24"/>
              </w:rPr>
              <w:t>8</w:t>
            </w:r>
          </w:p>
        </w:tc>
      </w:tr>
      <w:tr w:rsidR="008E1F6B" w:rsidRPr="0012760D" w:rsidTr="00907E0B">
        <w:tblPrEx>
          <w:tblCellMar>
            <w:top w:w="0" w:type="dxa"/>
            <w:bottom w:w="0" w:type="dxa"/>
          </w:tblCellMar>
        </w:tblPrEx>
        <w:tc>
          <w:tcPr>
            <w:tcW w:w="2045" w:type="pct"/>
            <w:shd w:val="clear" w:color="auto" w:fill="auto"/>
          </w:tcPr>
          <w:p w:rsidR="008E1F6B" w:rsidRPr="0012760D" w:rsidRDefault="008E1F6B" w:rsidP="00907E0B">
            <w:pPr>
              <w:rPr>
                <w:sz w:val="24"/>
                <w:szCs w:val="24"/>
              </w:rPr>
            </w:pPr>
            <w:r w:rsidRPr="0012760D">
              <w:rPr>
                <w:sz w:val="24"/>
                <w:szCs w:val="24"/>
              </w:rPr>
              <w:t>TONY HINTON</w:t>
            </w:r>
          </w:p>
        </w:tc>
        <w:tc>
          <w:tcPr>
            <w:tcW w:w="1323" w:type="pct"/>
            <w:shd w:val="clear" w:color="auto" w:fill="auto"/>
          </w:tcPr>
          <w:p w:rsidR="008E1F6B" w:rsidRPr="0012760D" w:rsidRDefault="008E1F6B" w:rsidP="00C16B42">
            <w:pPr>
              <w:jc w:val="right"/>
              <w:rPr>
                <w:sz w:val="24"/>
                <w:szCs w:val="24"/>
              </w:rPr>
            </w:pPr>
            <w:r w:rsidRPr="0012760D">
              <w:rPr>
                <w:sz w:val="24"/>
                <w:szCs w:val="24"/>
              </w:rPr>
              <w:t>9</w:t>
            </w:r>
          </w:p>
        </w:tc>
        <w:tc>
          <w:tcPr>
            <w:tcW w:w="1632" w:type="pct"/>
            <w:shd w:val="clear" w:color="auto" w:fill="auto"/>
          </w:tcPr>
          <w:p w:rsidR="008E1F6B" w:rsidRPr="0012760D" w:rsidRDefault="008E1F6B" w:rsidP="00C16B42">
            <w:pPr>
              <w:jc w:val="right"/>
              <w:rPr>
                <w:sz w:val="24"/>
                <w:szCs w:val="24"/>
              </w:rPr>
            </w:pPr>
            <w:r w:rsidRPr="0012760D">
              <w:rPr>
                <w:sz w:val="24"/>
                <w:szCs w:val="24"/>
              </w:rPr>
              <w:t>9</w:t>
            </w:r>
          </w:p>
        </w:tc>
      </w:tr>
      <w:tr w:rsidR="008E1F6B" w:rsidRPr="0012760D" w:rsidTr="00907E0B">
        <w:tblPrEx>
          <w:tblCellMar>
            <w:top w:w="0" w:type="dxa"/>
            <w:bottom w:w="0" w:type="dxa"/>
          </w:tblCellMar>
        </w:tblPrEx>
        <w:tc>
          <w:tcPr>
            <w:tcW w:w="2045" w:type="pct"/>
            <w:shd w:val="clear" w:color="auto" w:fill="auto"/>
          </w:tcPr>
          <w:p w:rsidR="008E1F6B" w:rsidRPr="0012760D" w:rsidRDefault="008E1F6B" w:rsidP="00907E0B">
            <w:pPr>
              <w:rPr>
                <w:sz w:val="24"/>
                <w:szCs w:val="24"/>
              </w:rPr>
            </w:pPr>
            <w:r w:rsidRPr="0012760D">
              <w:rPr>
                <w:sz w:val="24"/>
                <w:szCs w:val="24"/>
              </w:rPr>
              <w:t>Ron Lovett</w:t>
            </w:r>
          </w:p>
        </w:tc>
        <w:tc>
          <w:tcPr>
            <w:tcW w:w="1323" w:type="pct"/>
            <w:shd w:val="clear" w:color="auto" w:fill="auto"/>
          </w:tcPr>
          <w:p w:rsidR="008E1F6B" w:rsidRPr="0012760D" w:rsidRDefault="008E1F6B" w:rsidP="00C16B42">
            <w:pPr>
              <w:jc w:val="right"/>
              <w:rPr>
                <w:sz w:val="24"/>
                <w:szCs w:val="24"/>
              </w:rPr>
            </w:pPr>
            <w:r w:rsidRPr="0012760D">
              <w:rPr>
                <w:sz w:val="24"/>
                <w:szCs w:val="24"/>
              </w:rPr>
              <w:t>9</w:t>
            </w:r>
          </w:p>
        </w:tc>
        <w:tc>
          <w:tcPr>
            <w:tcW w:w="1632" w:type="pct"/>
            <w:shd w:val="clear" w:color="auto" w:fill="auto"/>
          </w:tcPr>
          <w:p w:rsidR="008E1F6B" w:rsidRPr="0012760D" w:rsidRDefault="008E1F6B" w:rsidP="00C16B42">
            <w:pPr>
              <w:jc w:val="right"/>
              <w:rPr>
                <w:sz w:val="24"/>
                <w:szCs w:val="24"/>
              </w:rPr>
            </w:pPr>
            <w:r w:rsidRPr="0012760D">
              <w:rPr>
                <w:sz w:val="24"/>
                <w:szCs w:val="24"/>
              </w:rPr>
              <w:t>8</w:t>
            </w:r>
          </w:p>
        </w:tc>
      </w:tr>
      <w:tr w:rsidR="008E1F6B" w:rsidRPr="0012760D" w:rsidTr="00907E0B">
        <w:tblPrEx>
          <w:tblCellMar>
            <w:top w:w="0" w:type="dxa"/>
            <w:bottom w:w="0" w:type="dxa"/>
          </w:tblCellMar>
        </w:tblPrEx>
        <w:tc>
          <w:tcPr>
            <w:tcW w:w="2045" w:type="pct"/>
            <w:shd w:val="clear" w:color="auto" w:fill="auto"/>
          </w:tcPr>
          <w:p w:rsidR="008E1F6B" w:rsidRPr="0012760D" w:rsidRDefault="008E1F6B" w:rsidP="00907E0B">
            <w:pPr>
              <w:rPr>
                <w:sz w:val="24"/>
                <w:szCs w:val="24"/>
              </w:rPr>
            </w:pPr>
            <w:r w:rsidRPr="0012760D">
              <w:rPr>
                <w:sz w:val="24"/>
                <w:szCs w:val="24"/>
              </w:rPr>
              <w:t>Ross McCann</w:t>
            </w:r>
          </w:p>
        </w:tc>
        <w:tc>
          <w:tcPr>
            <w:tcW w:w="1323" w:type="pct"/>
            <w:shd w:val="clear" w:color="auto" w:fill="auto"/>
          </w:tcPr>
          <w:p w:rsidR="008E1F6B" w:rsidRPr="0012760D" w:rsidRDefault="008E1F6B" w:rsidP="00C16B42">
            <w:pPr>
              <w:jc w:val="right"/>
              <w:rPr>
                <w:sz w:val="24"/>
                <w:szCs w:val="24"/>
              </w:rPr>
            </w:pPr>
            <w:r w:rsidRPr="0012760D">
              <w:rPr>
                <w:sz w:val="24"/>
                <w:szCs w:val="24"/>
              </w:rPr>
              <w:t>9</w:t>
            </w:r>
          </w:p>
        </w:tc>
        <w:tc>
          <w:tcPr>
            <w:tcW w:w="1632" w:type="pct"/>
            <w:shd w:val="clear" w:color="auto" w:fill="auto"/>
          </w:tcPr>
          <w:p w:rsidR="008E1F6B" w:rsidRPr="0012760D" w:rsidRDefault="008E1F6B" w:rsidP="00C16B42">
            <w:pPr>
              <w:jc w:val="right"/>
              <w:rPr>
                <w:sz w:val="24"/>
                <w:szCs w:val="24"/>
              </w:rPr>
            </w:pPr>
            <w:r w:rsidRPr="0012760D">
              <w:rPr>
                <w:sz w:val="24"/>
                <w:szCs w:val="24"/>
              </w:rPr>
              <w:t>5</w:t>
            </w:r>
          </w:p>
        </w:tc>
      </w:tr>
    </w:tbl>
    <w:p w:rsidR="008E1F6B" w:rsidRDefault="008E1F6B" w:rsidP="008E1F6B">
      <w:pPr>
        <w:rPr>
          <w:bCs/>
          <w:sz w:val="24"/>
          <w:szCs w:val="24"/>
        </w:rPr>
      </w:pPr>
    </w:p>
    <w:p w:rsidR="00C16B42" w:rsidRPr="0012760D" w:rsidRDefault="00C16B42" w:rsidP="008E1F6B">
      <w:pPr>
        <w:rPr>
          <w:bCs/>
          <w:sz w:val="24"/>
          <w:szCs w:val="24"/>
        </w:rPr>
      </w:pPr>
    </w:p>
    <w:p w:rsidR="008E1F6B" w:rsidRDefault="008E1F6B" w:rsidP="00C16B42">
      <w:pPr>
        <w:pStyle w:val="Heading3"/>
      </w:pPr>
      <w:r w:rsidRPr="0012760D">
        <w:t>Accountable Officer: Stan Krpan, Chief Executive Officer</w:t>
      </w:r>
    </w:p>
    <w:p w:rsidR="00C16B42" w:rsidRPr="0012760D" w:rsidRDefault="00C16B42" w:rsidP="008E1F6B">
      <w:pPr>
        <w:rPr>
          <w:sz w:val="24"/>
          <w:szCs w:val="24"/>
        </w:rPr>
      </w:pPr>
    </w:p>
    <w:p w:rsidR="008E1F6B" w:rsidRPr="0012760D" w:rsidRDefault="008E1F6B" w:rsidP="008E1F6B">
      <w:pPr>
        <w:rPr>
          <w:sz w:val="24"/>
          <w:szCs w:val="24"/>
        </w:rPr>
      </w:pPr>
      <w:r w:rsidRPr="0012760D">
        <w:rPr>
          <w:sz w:val="24"/>
          <w:szCs w:val="24"/>
        </w:rPr>
        <w:t>The remuneration of the Minister for Environment and Climate Change, Honourable Ryan Smith, is reported in the financial statements of the Department of Premier and Cabinet.</w:t>
      </w:r>
    </w:p>
    <w:p w:rsidR="00A54719" w:rsidRDefault="00A54719" w:rsidP="00A54719">
      <w:pPr>
        <w:rPr>
          <w:bCs/>
          <w:sz w:val="24"/>
          <w:szCs w:val="24"/>
        </w:rPr>
      </w:pPr>
      <w:r w:rsidRPr="0012760D">
        <w:rPr>
          <w:bCs/>
          <w:sz w:val="24"/>
          <w:szCs w:val="24"/>
        </w:rPr>
        <w:t>&lt;pp&gt; 46</w:t>
      </w:r>
    </w:p>
    <w:p w:rsidR="00C16B42" w:rsidRDefault="00C16B42" w:rsidP="00A54719">
      <w:pPr>
        <w:rPr>
          <w:bCs/>
          <w:sz w:val="24"/>
          <w:szCs w:val="24"/>
        </w:rPr>
      </w:pPr>
    </w:p>
    <w:p w:rsidR="00C16B42" w:rsidRPr="0012760D" w:rsidRDefault="00C16B42" w:rsidP="00A54719">
      <w:pPr>
        <w:rPr>
          <w:sz w:val="24"/>
          <w:szCs w:val="24"/>
        </w:rPr>
      </w:pPr>
    </w:p>
    <w:p w:rsidR="00A54719" w:rsidRDefault="00A54719" w:rsidP="00C16B42">
      <w:pPr>
        <w:pStyle w:val="Heading2"/>
      </w:pPr>
      <w:r w:rsidRPr="0012760D">
        <w:t>20. Related Party Transactions</w:t>
      </w:r>
    </w:p>
    <w:p w:rsidR="00C16B42" w:rsidRPr="0012760D" w:rsidRDefault="00C16B42" w:rsidP="00A54719">
      <w:pPr>
        <w:rPr>
          <w:sz w:val="24"/>
          <w:szCs w:val="24"/>
        </w:rPr>
      </w:pPr>
    </w:p>
    <w:p w:rsidR="00A54719" w:rsidRPr="0012760D" w:rsidRDefault="00A54719" w:rsidP="00A54719">
      <w:pPr>
        <w:rPr>
          <w:sz w:val="24"/>
          <w:szCs w:val="24"/>
        </w:rPr>
      </w:pPr>
      <w:r w:rsidRPr="0012760D">
        <w:rPr>
          <w:sz w:val="24"/>
          <w:szCs w:val="24"/>
        </w:rPr>
        <w:t>The nature and terms and conditions of the project grants, consulting services, rental agreements and sponsorships between sustainability Victoria and the related parties totalled $167,342 paid and payable (2012: $199,557). all transactions with related parties were conducted at arm</w:t>
      </w:r>
      <w:r w:rsidR="00907E0B" w:rsidRPr="0012760D">
        <w:rPr>
          <w:sz w:val="24"/>
          <w:szCs w:val="24"/>
        </w:rPr>
        <w:t>'</w:t>
      </w:r>
      <w:r w:rsidRPr="0012760D">
        <w:rPr>
          <w:sz w:val="24"/>
          <w:szCs w:val="24"/>
        </w:rPr>
        <w:t>s length and were the same as for all other grant recipients, consultants, rental agreements and sponsorship recipients. no other related party transactions occurred during the reporting period.</w:t>
      </w:r>
    </w:p>
    <w:p w:rsidR="00A54719" w:rsidRPr="0012760D" w:rsidRDefault="00A54719" w:rsidP="00A54719">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2340"/>
        <w:gridCol w:w="2731"/>
        <w:gridCol w:w="2990"/>
        <w:gridCol w:w="1048"/>
      </w:tblGrid>
      <w:tr w:rsidR="00A54719" w:rsidRPr="0012760D" w:rsidTr="00907E0B">
        <w:tblPrEx>
          <w:tblCellMar>
            <w:top w:w="0" w:type="dxa"/>
            <w:bottom w:w="0" w:type="dxa"/>
          </w:tblCellMar>
        </w:tblPrEx>
        <w:trPr>
          <w:trHeight w:val="250"/>
        </w:trPr>
        <w:tc>
          <w:tcPr>
            <w:tcW w:w="1284" w:type="pct"/>
            <w:shd w:val="clear" w:color="auto" w:fill="auto"/>
          </w:tcPr>
          <w:p w:rsidR="00A54719" w:rsidRPr="0012760D" w:rsidRDefault="00A54719" w:rsidP="00907E0B">
            <w:pPr>
              <w:rPr>
                <w:sz w:val="24"/>
                <w:szCs w:val="24"/>
              </w:rPr>
            </w:pPr>
            <w:r w:rsidRPr="0012760D">
              <w:rPr>
                <w:bCs/>
                <w:sz w:val="24"/>
                <w:szCs w:val="24"/>
              </w:rPr>
              <w:t>Board member</w:t>
            </w:r>
          </w:p>
        </w:tc>
        <w:tc>
          <w:tcPr>
            <w:tcW w:w="1499" w:type="pct"/>
            <w:shd w:val="clear" w:color="auto" w:fill="auto"/>
          </w:tcPr>
          <w:p w:rsidR="00A54719" w:rsidRPr="0012760D" w:rsidRDefault="00A54719" w:rsidP="00907E0B">
            <w:pPr>
              <w:rPr>
                <w:sz w:val="24"/>
                <w:szCs w:val="24"/>
              </w:rPr>
            </w:pPr>
            <w:r w:rsidRPr="0012760D">
              <w:rPr>
                <w:bCs/>
                <w:sz w:val="24"/>
                <w:szCs w:val="24"/>
              </w:rPr>
              <w:t>Entity</w:t>
            </w:r>
          </w:p>
        </w:tc>
        <w:tc>
          <w:tcPr>
            <w:tcW w:w="1641" w:type="pct"/>
            <w:shd w:val="clear" w:color="auto" w:fill="auto"/>
          </w:tcPr>
          <w:p w:rsidR="00A54719" w:rsidRPr="0012760D" w:rsidRDefault="00A54719" w:rsidP="00907E0B">
            <w:pPr>
              <w:rPr>
                <w:sz w:val="24"/>
                <w:szCs w:val="24"/>
              </w:rPr>
            </w:pPr>
            <w:r w:rsidRPr="0012760D">
              <w:rPr>
                <w:bCs/>
                <w:sz w:val="24"/>
                <w:szCs w:val="24"/>
              </w:rPr>
              <w:t>Details</w:t>
            </w:r>
          </w:p>
        </w:tc>
        <w:tc>
          <w:tcPr>
            <w:tcW w:w="575" w:type="pct"/>
            <w:shd w:val="clear" w:color="auto" w:fill="auto"/>
          </w:tcPr>
          <w:p w:rsidR="00A54719" w:rsidRPr="0012760D" w:rsidRDefault="00A54719" w:rsidP="00907E0B">
            <w:pPr>
              <w:jc w:val="right"/>
              <w:rPr>
                <w:sz w:val="24"/>
                <w:szCs w:val="24"/>
              </w:rPr>
            </w:pPr>
            <w:r w:rsidRPr="0012760D">
              <w:rPr>
                <w:bCs/>
                <w:sz w:val="24"/>
                <w:szCs w:val="24"/>
              </w:rPr>
              <w:t>$</w:t>
            </w:r>
          </w:p>
        </w:tc>
      </w:tr>
      <w:tr w:rsidR="00A54719" w:rsidRPr="0012760D" w:rsidTr="00907E0B">
        <w:tblPrEx>
          <w:tblCellMar>
            <w:top w:w="0" w:type="dxa"/>
            <w:bottom w:w="0" w:type="dxa"/>
          </w:tblCellMar>
        </w:tblPrEx>
        <w:trPr>
          <w:trHeight w:val="499"/>
        </w:trPr>
        <w:tc>
          <w:tcPr>
            <w:tcW w:w="1284" w:type="pct"/>
            <w:shd w:val="clear" w:color="auto" w:fill="auto"/>
          </w:tcPr>
          <w:p w:rsidR="00A54719" w:rsidRPr="0012760D" w:rsidRDefault="00A54719" w:rsidP="00907E0B">
            <w:pPr>
              <w:rPr>
                <w:sz w:val="24"/>
                <w:szCs w:val="24"/>
              </w:rPr>
            </w:pPr>
            <w:r w:rsidRPr="0012760D">
              <w:rPr>
                <w:sz w:val="24"/>
                <w:szCs w:val="24"/>
              </w:rPr>
              <w:t>Cheryl Batagol and Ross McCann</w:t>
            </w:r>
          </w:p>
        </w:tc>
        <w:tc>
          <w:tcPr>
            <w:tcW w:w="1499" w:type="pct"/>
            <w:shd w:val="clear" w:color="auto" w:fill="auto"/>
          </w:tcPr>
          <w:p w:rsidR="00A54719" w:rsidRPr="0012760D" w:rsidRDefault="00A54719" w:rsidP="00907E0B">
            <w:pPr>
              <w:rPr>
                <w:sz w:val="24"/>
                <w:szCs w:val="24"/>
              </w:rPr>
            </w:pPr>
            <w:r w:rsidRPr="0012760D">
              <w:rPr>
                <w:sz w:val="24"/>
                <w:szCs w:val="24"/>
              </w:rPr>
              <w:t>Environment Protection Authority (EPA)</w:t>
            </w:r>
          </w:p>
        </w:tc>
        <w:tc>
          <w:tcPr>
            <w:tcW w:w="1641" w:type="pct"/>
            <w:shd w:val="clear" w:color="auto" w:fill="auto"/>
          </w:tcPr>
          <w:p w:rsidR="00A54719" w:rsidRPr="0012760D" w:rsidRDefault="00A54719" w:rsidP="00907E0B">
            <w:pPr>
              <w:rPr>
                <w:sz w:val="24"/>
                <w:szCs w:val="24"/>
              </w:rPr>
            </w:pPr>
            <w:r w:rsidRPr="0012760D">
              <w:rPr>
                <w:sz w:val="24"/>
                <w:szCs w:val="24"/>
              </w:rPr>
              <w:t>Deed of novation of NPCIA Service Agreement</w:t>
            </w:r>
          </w:p>
        </w:tc>
        <w:tc>
          <w:tcPr>
            <w:tcW w:w="575" w:type="pct"/>
            <w:shd w:val="clear" w:color="auto" w:fill="auto"/>
          </w:tcPr>
          <w:p w:rsidR="00A54719" w:rsidRPr="0012760D" w:rsidRDefault="00A54719" w:rsidP="00907E0B">
            <w:pPr>
              <w:jc w:val="right"/>
              <w:rPr>
                <w:sz w:val="24"/>
                <w:szCs w:val="24"/>
              </w:rPr>
            </w:pPr>
            <w:r w:rsidRPr="0012760D">
              <w:rPr>
                <w:sz w:val="24"/>
                <w:szCs w:val="24"/>
              </w:rPr>
              <w:t>102,795</w:t>
            </w:r>
          </w:p>
        </w:tc>
      </w:tr>
      <w:tr w:rsidR="00A54719" w:rsidRPr="0012760D" w:rsidTr="00907E0B">
        <w:tblPrEx>
          <w:tblCellMar>
            <w:top w:w="0" w:type="dxa"/>
            <w:bottom w:w="0" w:type="dxa"/>
          </w:tblCellMar>
        </w:tblPrEx>
        <w:trPr>
          <w:trHeight w:val="614"/>
        </w:trPr>
        <w:tc>
          <w:tcPr>
            <w:tcW w:w="1284" w:type="pct"/>
            <w:shd w:val="clear" w:color="auto" w:fill="auto"/>
          </w:tcPr>
          <w:p w:rsidR="00A54719" w:rsidRPr="0012760D" w:rsidRDefault="00A54719" w:rsidP="00907E0B">
            <w:pPr>
              <w:rPr>
                <w:sz w:val="24"/>
                <w:szCs w:val="24"/>
              </w:rPr>
            </w:pPr>
            <w:r w:rsidRPr="0012760D">
              <w:rPr>
                <w:sz w:val="24"/>
                <w:szCs w:val="24"/>
              </w:rPr>
              <w:t>Doctor Gillian Sparkes and Suzanne Evans</w:t>
            </w:r>
          </w:p>
        </w:tc>
        <w:tc>
          <w:tcPr>
            <w:tcW w:w="1499" w:type="pct"/>
            <w:shd w:val="clear" w:color="auto" w:fill="auto"/>
          </w:tcPr>
          <w:p w:rsidR="00A54719" w:rsidRPr="0012760D" w:rsidRDefault="00A54719" w:rsidP="00907E0B">
            <w:pPr>
              <w:rPr>
                <w:sz w:val="24"/>
                <w:szCs w:val="24"/>
              </w:rPr>
            </w:pPr>
            <w:r w:rsidRPr="0012760D">
              <w:rPr>
                <w:sz w:val="24"/>
                <w:szCs w:val="24"/>
              </w:rPr>
              <w:t>Department of Environment and Primary Industries</w:t>
            </w:r>
          </w:p>
        </w:tc>
        <w:tc>
          <w:tcPr>
            <w:tcW w:w="1641" w:type="pct"/>
            <w:shd w:val="clear" w:color="auto" w:fill="auto"/>
          </w:tcPr>
          <w:p w:rsidR="00A54719" w:rsidRPr="0012760D" w:rsidRDefault="00A54719" w:rsidP="00907E0B">
            <w:pPr>
              <w:rPr>
                <w:sz w:val="24"/>
                <w:szCs w:val="24"/>
              </w:rPr>
            </w:pPr>
            <w:r w:rsidRPr="0012760D">
              <w:rPr>
                <w:sz w:val="24"/>
                <w:szCs w:val="24"/>
              </w:rPr>
              <w:t>Accommodation Licence and Business Services Agreement for 5 Regional Office Locations.</w:t>
            </w:r>
          </w:p>
        </w:tc>
        <w:tc>
          <w:tcPr>
            <w:tcW w:w="575" w:type="pct"/>
            <w:shd w:val="clear" w:color="auto" w:fill="auto"/>
          </w:tcPr>
          <w:p w:rsidR="00A54719" w:rsidRPr="0012760D" w:rsidRDefault="00A54719" w:rsidP="00907E0B">
            <w:pPr>
              <w:jc w:val="right"/>
              <w:rPr>
                <w:sz w:val="24"/>
                <w:szCs w:val="24"/>
              </w:rPr>
            </w:pPr>
            <w:r w:rsidRPr="0012760D">
              <w:rPr>
                <w:sz w:val="24"/>
                <w:szCs w:val="24"/>
              </w:rPr>
              <w:t>64,547</w:t>
            </w:r>
          </w:p>
        </w:tc>
      </w:tr>
      <w:tr w:rsidR="00A54719" w:rsidRPr="0012760D" w:rsidTr="00907E0B">
        <w:tblPrEx>
          <w:tblCellMar>
            <w:top w:w="0" w:type="dxa"/>
            <w:bottom w:w="0" w:type="dxa"/>
          </w:tblCellMar>
        </w:tblPrEx>
        <w:trPr>
          <w:trHeight w:val="288"/>
        </w:trPr>
        <w:tc>
          <w:tcPr>
            <w:tcW w:w="1284" w:type="pct"/>
            <w:shd w:val="clear" w:color="auto" w:fill="auto"/>
          </w:tcPr>
          <w:p w:rsidR="00A54719" w:rsidRPr="0012760D" w:rsidRDefault="00A54719" w:rsidP="00907E0B">
            <w:pPr>
              <w:rPr>
                <w:sz w:val="24"/>
                <w:szCs w:val="24"/>
              </w:rPr>
            </w:pPr>
            <w:r w:rsidRPr="0012760D">
              <w:rPr>
                <w:bCs/>
                <w:sz w:val="24"/>
                <w:szCs w:val="24"/>
              </w:rPr>
              <w:t>Total</w:t>
            </w:r>
          </w:p>
        </w:tc>
        <w:tc>
          <w:tcPr>
            <w:tcW w:w="1499" w:type="pct"/>
            <w:shd w:val="clear" w:color="auto" w:fill="auto"/>
          </w:tcPr>
          <w:p w:rsidR="00A54719" w:rsidRPr="0012760D" w:rsidRDefault="00A54719" w:rsidP="00907E0B">
            <w:pPr>
              <w:rPr>
                <w:sz w:val="24"/>
                <w:szCs w:val="24"/>
              </w:rPr>
            </w:pPr>
          </w:p>
        </w:tc>
        <w:tc>
          <w:tcPr>
            <w:tcW w:w="1641" w:type="pct"/>
            <w:shd w:val="clear" w:color="auto" w:fill="auto"/>
          </w:tcPr>
          <w:p w:rsidR="00A54719" w:rsidRPr="0012760D" w:rsidRDefault="00A54719" w:rsidP="00907E0B">
            <w:pPr>
              <w:rPr>
                <w:sz w:val="24"/>
                <w:szCs w:val="24"/>
              </w:rPr>
            </w:pPr>
          </w:p>
        </w:tc>
        <w:tc>
          <w:tcPr>
            <w:tcW w:w="575" w:type="pct"/>
            <w:shd w:val="clear" w:color="auto" w:fill="auto"/>
          </w:tcPr>
          <w:p w:rsidR="00A54719" w:rsidRPr="0012760D" w:rsidRDefault="00A54719" w:rsidP="00907E0B">
            <w:pPr>
              <w:jc w:val="right"/>
              <w:rPr>
                <w:sz w:val="24"/>
                <w:szCs w:val="24"/>
              </w:rPr>
            </w:pPr>
            <w:r w:rsidRPr="0012760D">
              <w:rPr>
                <w:bCs/>
                <w:sz w:val="24"/>
                <w:szCs w:val="24"/>
              </w:rPr>
              <w:t>167,342</w:t>
            </w:r>
          </w:p>
        </w:tc>
      </w:tr>
    </w:tbl>
    <w:p w:rsidR="00A54719" w:rsidRDefault="00A54719" w:rsidP="00A54719">
      <w:pPr>
        <w:rPr>
          <w:bCs/>
          <w:sz w:val="24"/>
          <w:szCs w:val="24"/>
        </w:rPr>
      </w:pPr>
    </w:p>
    <w:p w:rsidR="00C16B42" w:rsidRPr="0012760D" w:rsidRDefault="00C16B42" w:rsidP="00A54719">
      <w:pPr>
        <w:rPr>
          <w:bCs/>
          <w:sz w:val="24"/>
          <w:szCs w:val="24"/>
        </w:rPr>
      </w:pPr>
    </w:p>
    <w:p w:rsidR="00A54719" w:rsidRDefault="00A54719" w:rsidP="00C16B42">
      <w:pPr>
        <w:pStyle w:val="Heading2"/>
      </w:pPr>
      <w:r w:rsidRPr="0012760D">
        <w:t>21. Remuneration</w:t>
      </w:r>
    </w:p>
    <w:p w:rsidR="00C16B42" w:rsidRPr="0012760D" w:rsidRDefault="00C16B42" w:rsidP="00A54719">
      <w:pPr>
        <w:rPr>
          <w:sz w:val="24"/>
          <w:szCs w:val="24"/>
        </w:rPr>
      </w:pPr>
    </w:p>
    <w:p w:rsidR="00A54719" w:rsidRDefault="00A54719" w:rsidP="00C16B42">
      <w:pPr>
        <w:pStyle w:val="Heading3"/>
      </w:pPr>
      <w:r w:rsidRPr="0012760D">
        <w:t>Remuneration of Responsible Persons</w:t>
      </w:r>
    </w:p>
    <w:p w:rsidR="00C16B42" w:rsidRPr="0012760D" w:rsidRDefault="00C16B42" w:rsidP="00A54719">
      <w:pPr>
        <w:rPr>
          <w:sz w:val="24"/>
          <w:szCs w:val="24"/>
        </w:rPr>
      </w:pPr>
    </w:p>
    <w:p w:rsidR="00A54719" w:rsidRPr="0012760D" w:rsidRDefault="00A54719" w:rsidP="00A54719">
      <w:pPr>
        <w:rPr>
          <w:sz w:val="24"/>
          <w:szCs w:val="24"/>
        </w:rPr>
      </w:pPr>
      <w:r w:rsidRPr="0012760D">
        <w:rPr>
          <w:sz w:val="24"/>
          <w:szCs w:val="24"/>
        </w:rPr>
        <w:t>Remuneration received or receivable by Responsible Officers and Accountable Officers under their relevant band was:</w:t>
      </w:r>
    </w:p>
    <w:p w:rsidR="00A54719" w:rsidRPr="0012760D" w:rsidRDefault="00A54719" w:rsidP="00A54719">
      <w:pPr>
        <w:rPr>
          <w:sz w:val="24"/>
          <w:szCs w:val="24"/>
        </w:rPr>
      </w:pPr>
    </w:p>
    <w:tbl>
      <w:tblPr>
        <w:tblW w:w="5002"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40" w:type="dxa"/>
          <w:right w:w="40" w:type="dxa"/>
        </w:tblCellMar>
        <w:tblLook w:val="0000" w:firstRow="0" w:lastRow="0" w:firstColumn="0" w:lastColumn="0" w:noHBand="0" w:noVBand="0"/>
      </w:tblPr>
      <w:tblGrid>
        <w:gridCol w:w="1741"/>
        <w:gridCol w:w="1985"/>
        <w:gridCol w:w="1844"/>
        <w:gridCol w:w="1879"/>
        <w:gridCol w:w="1664"/>
      </w:tblGrid>
      <w:tr w:rsidR="00A54719" w:rsidRPr="0012760D" w:rsidTr="00907E0B">
        <w:tblPrEx>
          <w:tblCellMar>
            <w:top w:w="0" w:type="dxa"/>
            <w:bottom w:w="0" w:type="dxa"/>
          </w:tblCellMar>
        </w:tblPrEx>
        <w:trPr>
          <w:trHeight w:val="710"/>
        </w:trPr>
        <w:tc>
          <w:tcPr>
            <w:tcW w:w="955" w:type="pct"/>
            <w:shd w:val="clear" w:color="auto" w:fill="auto"/>
            <w:vAlign w:val="bottom"/>
          </w:tcPr>
          <w:p w:rsidR="00A54719" w:rsidRPr="0012760D" w:rsidRDefault="00A54719" w:rsidP="00907E0B">
            <w:pPr>
              <w:rPr>
                <w:sz w:val="24"/>
                <w:szCs w:val="24"/>
              </w:rPr>
            </w:pPr>
            <w:r w:rsidRPr="0012760D">
              <w:rPr>
                <w:bCs/>
                <w:sz w:val="24"/>
                <w:szCs w:val="24"/>
              </w:rPr>
              <w:t>Income band</w:t>
            </w:r>
          </w:p>
        </w:tc>
        <w:tc>
          <w:tcPr>
            <w:tcW w:w="1089" w:type="pct"/>
            <w:shd w:val="clear" w:color="auto" w:fill="auto"/>
          </w:tcPr>
          <w:p w:rsidR="00A54719" w:rsidRPr="0012760D" w:rsidRDefault="00A54719" w:rsidP="00907E0B">
            <w:pPr>
              <w:rPr>
                <w:bCs/>
                <w:sz w:val="24"/>
                <w:szCs w:val="24"/>
              </w:rPr>
            </w:pPr>
            <w:r w:rsidRPr="0012760D">
              <w:rPr>
                <w:bCs/>
                <w:sz w:val="24"/>
                <w:szCs w:val="24"/>
              </w:rPr>
              <w:t>Total Remuneration 2013</w:t>
            </w:r>
          </w:p>
          <w:p w:rsidR="00A54719" w:rsidRPr="0012760D" w:rsidRDefault="00A54719" w:rsidP="00907E0B">
            <w:pPr>
              <w:rPr>
                <w:sz w:val="24"/>
                <w:szCs w:val="24"/>
              </w:rPr>
            </w:pPr>
            <w:r w:rsidRPr="0012760D">
              <w:rPr>
                <w:bCs/>
                <w:sz w:val="24"/>
                <w:szCs w:val="24"/>
              </w:rPr>
              <w:t>Number</w:t>
            </w:r>
          </w:p>
        </w:tc>
        <w:tc>
          <w:tcPr>
            <w:tcW w:w="1012" w:type="pct"/>
            <w:shd w:val="clear" w:color="auto" w:fill="auto"/>
          </w:tcPr>
          <w:p w:rsidR="00A54719" w:rsidRPr="0012760D" w:rsidRDefault="00A54719" w:rsidP="00907E0B">
            <w:pPr>
              <w:rPr>
                <w:bCs/>
                <w:sz w:val="24"/>
                <w:szCs w:val="24"/>
              </w:rPr>
            </w:pPr>
            <w:r w:rsidRPr="0012760D">
              <w:rPr>
                <w:bCs/>
                <w:sz w:val="24"/>
                <w:szCs w:val="24"/>
              </w:rPr>
              <w:t>Base Remuneration 2013</w:t>
            </w:r>
          </w:p>
          <w:p w:rsidR="00A54719" w:rsidRPr="0012760D" w:rsidRDefault="00A54719" w:rsidP="00907E0B">
            <w:pPr>
              <w:rPr>
                <w:sz w:val="24"/>
                <w:szCs w:val="24"/>
              </w:rPr>
            </w:pPr>
            <w:r w:rsidRPr="0012760D">
              <w:rPr>
                <w:bCs/>
                <w:sz w:val="24"/>
                <w:szCs w:val="24"/>
              </w:rPr>
              <w:t>Number</w:t>
            </w:r>
          </w:p>
        </w:tc>
        <w:tc>
          <w:tcPr>
            <w:tcW w:w="1031" w:type="pct"/>
            <w:shd w:val="clear" w:color="auto" w:fill="auto"/>
          </w:tcPr>
          <w:p w:rsidR="00A54719" w:rsidRPr="0012760D" w:rsidRDefault="00A54719" w:rsidP="00907E0B">
            <w:pPr>
              <w:rPr>
                <w:bCs/>
                <w:sz w:val="24"/>
                <w:szCs w:val="24"/>
              </w:rPr>
            </w:pPr>
            <w:r w:rsidRPr="0012760D">
              <w:rPr>
                <w:bCs/>
                <w:sz w:val="24"/>
                <w:szCs w:val="24"/>
              </w:rPr>
              <w:t>Total Remuneration 2012</w:t>
            </w:r>
          </w:p>
          <w:p w:rsidR="00A54719" w:rsidRPr="0012760D" w:rsidRDefault="00A54719" w:rsidP="00907E0B">
            <w:pPr>
              <w:rPr>
                <w:sz w:val="24"/>
                <w:szCs w:val="24"/>
              </w:rPr>
            </w:pPr>
            <w:r w:rsidRPr="0012760D">
              <w:rPr>
                <w:bCs/>
                <w:sz w:val="24"/>
                <w:szCs w:val="24"/>
              </w:rPr>
              <w:t>Number</w:t>
            </w:r>
          </w:p>
        </w:tc>
        <w:tc>
          <w:tcPr>
            <w:tcW w:w="913" w:type="pct"/>
            <w:shd w:val="clear" w:color="auto" w:fill="auto"/>
          </w:tcPr>
          <w:p w:rsidR="00A54719" w:rsidRPr="0012760D" w:rsidRDefault="00A54719" w:rsidP="00907E0B">
            <w:pPr>
              <w:rPr>
                <w:bCs/>
                <w:sz w:val="24"/>
                <w:szCs w:val="24"/>
              </w:rPr>
            </w:pPr>
            <w:r w:rsidRPr="0012760D">
              <w:rPr>
                <w:bCs/>
                <w:sz w:val="24"/>
                <w:szCs w:val="24"/>
              </w:rPr>
              <w:t>Base Remuneration2012</w:t>
            </w:r>
          </w:p>
          <w:p w:rsidR="00A54719" w:rsidRPr="0012760D" w:rsidRDefault="00A54719" w:rsidP="00907E0B">
            <w:pPr>
              <w:rPr>
                <w:sz w:val="24"/>
                <w:szCs w:val="24"/>
              </w:rPr>
            </w:pPr>
            <w:r w:rsidRPr="0012760D">
              <w:rPr>
                <w:bCs/>
                <w:sz w:val="24"/>
                <w:szCs w:val="24"/>
              </w:rPr>
              <w:t>Number</w:t>
            </w:r>
          </w:p>
        </w:tc>
      </w:tr>
      <w:tr w:rsidR="00A54719" w:rsidRPr="0012760D" w:rsidTr="00907E0B">
        <w:tblPrEx>
          <w:tblCellMar>
            <w:top w:w="0" w:type="dxa"/>
            <w:bottom w:w="0" w:type="dxa"/>
          </w:tblCellMar>
        </w:tblPrEx>
        <w:trPr>
          <w:trHeight w:val="302"/>
        </w:trPr>
        <w:tc>
          <w:tcPr>
            <w:tcW w:w="955" w:type="pct"/>
            <w:shd w:val="clear" w:color="auto" w:fill="auto"/>
          </w:tcPr>
          <w:p w:rsidR="00A54719" w:rsidRPr="0012760D" w:rsidRDefault="00A54719" w:rsidP="00907E0B">
            <w:pPr>
              <w:rPr>
                <w:sz w:val="24"/>
                <w:szCs w:val="24"/>
              </w:rPr>
            </w:pPr>
            <w:r w:rsidRPr="0012760D">
              <w:rPr>
                <w:sz w:val="24"/>
                <w:szCs w:val="24"/>
              </w:rPr>
              <w:lastRenderedPageBreak/>
              <w:t>0 to $9,999</w:t>
            </w:r>
          </w:p>
        </w:tc>
        <w:tc>
          <w:tcPr>
            <w:tcW w:w="1089" w:type="pct"/>
            <w:shd w:val="clear" w:color="auto" w:fill="auto"/>
          </w:tcPr>
          <w:p w:rsidR="00A54719" w:rsidRPr="0012760D" w:rsidRDefault="00A54719" w:rsidP="00907E0B">
            <w:pPr>
              <w:jc w:val="right"/>
              <w:rPr>
                <w:sz w:val="24"/>
                <w:szCs w:val="24"/>
              </w:rPr>
            </w:pPr>
            <w:r w:rsidRPr="0012760D">
              <w:rPr>
                <w:sz w:val="24"/>
                <w:szCs w:val="24"/>
              </w:rPr>
              <w:t>7</w:t>
            </w:r>
          </w:p>
        </w:tc>
        <w:tc>
          <w:tcPr>
            <w:tcW w:w="1012" w:type="pct"/>
            <w:shd w:val="clear" w:color="auto" w:fill="auto"/>
          </w:tcPr>
          <w:p w:rsidR="00A54719" w:rsidRPr="0012760D" w:rsidRDefault="00A54719" w:rsidP="00907E0B">
            <w:pPr>
              <w:jc w:val="right"/>
              <w:rPr>
                <w:sz w:val="24"/>
                <w:szCs w:val="24"/>
              </w:rPr>
            </w:pPr>
            <w:r w:rsidRPr="0012760D">
              <w:rPr>
                <w:sz w:val="24"/>
                <w:szCs w:val="24"/>
              </w:rPr>
              <w:t>7</w:t>
            </w:r>
          </w:p>
        </w:tc>
        <w:tc>
          <w:tcPr>
            <w:tcW w:w="1031" w:type="pct"/>
            <w:shd w:val="clear" w:color="auto" w:fill="auto"/>
          </w:tcPr>
          <w:p w:rsidR="00A54719" w:rsidRPr="0012760D" w:rsidRDefault="00A54719" w:rsidP="00907E0B">
            <w:pPr>
              <w:jc w:val="right"/>
              <w:rPr>
                <w:sz w:val="24"/>
                <w:szCs w:val="24"/>
              </w:rPr>
            </w:pPr>
            <w:r w:rsidRPr="0012760D">
              <w:rPr>
                <w:sz w:val="24"/>
                <w:szCs w:val="24"/>
              </w:rPr>
              <w:t>11</w:t>
            </w:r>
          </w:p>
        </w:tc>
        <w:tc>
          <w:tcPr>
            <w:tcW w:w="913" w:type="pct"/>
            <w:shd w:val="clear" w:color="auto" w:fill="auto"/>
          </w:tcPr>
          <w:p w:rsidR="00A54719" w:rsidRPr="0012760D" w:rsidRDefault="00A54719" w:rsidP="00907E0B">
            <w:pPr>
              <w:jc w:val="right"/>
              <w:rPr>
                <w:sz w:val="24"/>
                <w:szCs w:val="24"/>
              </w:rPr>
            </w:pPr>
            <w:r w:rsidRPr="0012760D">
              <w:rPr>
                <w:sz w:val="24"/>
                <w:szCs w:val="24"/>
              </w:rPr>
              <w:t>11</w:t>
            </w:r>
          </w:p>
        </w:tc>
      </w:tr>
      <w:tr w:rsidR="00A54719" w:rsidRPr="0012760D" w:rsidTr="00907E0B">
        <w:tblPrEx>
          <w:tblCellMar>
            <w:top w:w="0" w:type="dxa"/>
            <w:bottom w:w="0" w:type="dxa"/>
          </w:tblCellMar>
        </w:tblPrEx>
        <w:trPr>
          <w:trHeight w:val="283"/>
        </w:trPr>
        <w:tc>
          <w:tcPr>
            <w:tcW w:w="955" w:type="pct"/>
            <w:shd w:val="clear" w:color="auto" w:fill="auto"/>
          </w:tcPr>
          <w:p w:rsidR="00A54719" w:rsidRPr="0012760D" w:rsidRDefault="00A54719" w:rsidP="00907E0B">
            <w:pPr>
              <w:rPr>
                <w:sz w:val="24"/>
                <w:szCs w:val="24"/>
              </w:rPr>
            </w:pPr>
            <w:r w:rsidRPr="0012760D">
              <w:rPr>
                <w:sz w:val="24"/>
                <w:szCs w:val="24"/>
              </w:rPr>
              <w:t>$30,000 to $39,999</w:t>
            </w:r>
          </w:p>
        </w:tc>
        <w:tc>
          <w:tcPr>
            <w:tcW w:w="1089" w:type="pct"/>
            <w:shd w:val="clear" w:color="auto" w:fill="auto"/>
          </w:tcPr>
          <w:p w:rsidR="00A54719" w:rsidRPr="0012760D" w:rsidRDefault="00A54719" w:rsidP="00907E0B">
            <w:pPr>
              <w:jc w:val="right"/>
              <w:rPr>
                <w:sz w:val="24"/>
                <w:szCs w:val="24"/>
              </w:rPr>
            </w:pPr>
            <w:r w:rsidRPr="0012760D">
              <w:rPr>
                <w:sz w:val="24"/>
                <w:szCs w:val="24"/>
              </w:rPr>
              <w:t>0</w:t>
            </w:r>
          </w:p>
        </w:tc>
        <w:tc>
          <w:tcPr>
            <w:tcW w:w="1012" w:type="pct"/>
            <w:shd w:val="clear" w:color="auto" w:fill="auto"/>
          </w:tcPr>
          <w:p w:rsidR="00A54719" w:rsidRPr="0012760D" w:rsidRDefault="00A54719" w:rsidP="00907E0B">
            <w:pPr>
              <w:jc w:val="right"/>
              <w:rPr>
                <w:sz w:val="24"/>
                <w:szCs w:val="24"/>
              </w:rPr>
            </w:pPr>
            <w:r w:rsidRPr="0012760D">
              <w:rPr>
                <w:sz w:val="24"/>
                <w:szCs w:val="24"/>
              </w:rPr>
              <w:t>0</w:t>
            </w:r>
          </w:p>
        </w:tc>
        <w:tc>
          <w:tcPr>
            <w:tcW w:w="1031" w:type="pct"/>
            <w:shd w:val="clear" w:color="auto" w:fill="auto"/>
          </w:tcPr>
          <w:p w:rsidR="00A54719" w:rsidRPr="0012760D" w:rsidRDefault="00A54719" w:rsidP="00907E0B">
            <w:pPr>
              <w:jc w:val="right"/>
              <w:rPr>
                <w:sz w:val="24"/>
                <w:szCs w:val="24"/>
              </w:rPr>
            </w:pPr>
            <w:r w:rsidRPr="0012760D">
              <w:rPr>
                <w:sz w:val="24"/>
                <w:szCs w:val="24"/>
              </w:rPr>
              <w:t>0</w:t>
            </w:r>
          </w:p>
        </w:tc>
        <w:tc>
          <w:tcPr>
            <w:tcW w:w="913" w:type="pct"/>
            <w:shd w:val="clear" w:color="auto" w:fill="auto"/>
          </w:tcPr>
          <w:p w:rsidR="00A54719" w:rsidRPr="0012760D" w:rsidRDefault="00A54719" w:rsidP="00907E0B">
            <w:pPr>
              <w:jc w:val="right"/>
              <w:rPr>
                <w:sz w:val="24"/>
                <w:szCs w:val="24"/>
              </w:rPr>
            </w:pPr>
            <w:r w:rsidRPr="0012760D">
              <w:rPr>
                <w:sz w:val="24"/>
                <w:szCs w:val="24"/>
              </w:rPr>
              <w:t>1</w:t>
            </w:r>
          </w:p>
        </w:tc>
      </w:tr>
      <w:tr w:rsidR="00A54719" w:rsidRPr="0012760D" w:rsidTr="00907E0B">
        <w:tblPrEx>
          <w:tblCellMar>
            <w:top w:w="0" w:type="dxa"/>
            <w:bottom w:w="0" w:type="dxa"/>
          </w:tblCellMar>
        </w:tblPrEx>
        <w:trPr>
          <w:trHeight w:val="283"/>
        </w:trPr>
        <w:tc>
          <w:tcPr>
            <w:tcW w:w="955" w:type="pct"/>
            <w:shd w:val="clear" w:color="auto" w:fill="auto"/>
          </w:tcPr>
          <w:p w:rsidR="00A54719" w:rsidRPr="0012760D" w:rsidRDefault="00A54719" w:rsidP="00907E0B">
            <w:pPr>
              <w:rPr>
                <w:sz w:val="24"/>
                <w:szCs w:val="24"/>
              </w:rPr>
            </w:pPr>
            <w:r w:rsidRPr="0012760D">
              <w:rPr>
                <w:sz w:val="24"/>
                <w:szCs w:val="24"/>
              </w:rPr>
              <w:t>$130,000 to $139,999</w:t>
            </w:r>
          </w:p>
        </w:tc>
        <w:tc>
          <w:tcPr>
            <w:tcW w:w="1089" w:type="pct"/>
            <w:shd w:val="clear" w:color="auto" w:fill="auto"/>
          </w:tcPr>
          <w:p w:rsidR="00A54719" w:rsidRPr="0012760D" w:rsidRDefault="00A54719" w:rsidP="00907E0B">
            <w:pPr>
              <w:jc w:val="right"/>
              <w:rPr>
                <w:sz w:val="24"/>
                <w:szCs w:val="24"/>
              </w:rPr>
            </w:pPr>
            <w:r w:rsidRPr="0012760D">
              <w:rPr>
                <w:sz w:val="24"/>
                <w:szCs w:val="24"/>
              </w:rPr>
              <w:t>0</w:t>
            </w:r>
          </w:p>
        </w:tc>
        <w:tc>
          <w:tcPr>
            <w:tcW w:w="1012" w:type="pct"/>
            <w:shd w:val="clear" w:color="auto" w:fill="auto"/>
          </w:tcPr>
          <w:p w:rsidR="00A54719" w:rsidRPr="0012760D" w:rsidRDefault="00A54719" w:rsidP="00907E0B">
            <w:pPr>
              <w:jc w:val="right"/>
              <w:rPr>
                <w:sz w:val="24"/>
                <w:szCs w:val="24"/>
              </w:rPr>
            </w:pPr>
            <w:r w:rsidRPr="0012760D">
              <w:rPr>
                <w:sz w:val="24"/>
                <w:szCs w:val="24"/>
              </w:rPr>
              <w:t>0</w:t>
            </w:r>
          </w:p>
        </w:tc>
        <w:tc>
          <w:tcPr>
            <w:tcW w:w="1031" w:type="pct"/>
            <w:shd w:val="clear" w:color="auto" w:fill="auto"/>
          </w:tcPr>
          <w:p w:rsidR="00A54719" w:rsidRPr="0012760D" w:rsidRDefault="00A54719" w:rsidP="00907E0B">
            <w:pPr>
              <w:jc w:val="right"/>
              <w:rPr>
                <w:sz w:val="24"/>
                <w:szCs w:val="24"/>
              </w:rPr>
            </w:pPr>
            <w:r w:rsidRPr="0012760D">
              <w:rPr>
                <w:sz w:val="24"/>
                <w:szCs w:val="24"/>
              </w:rPr>
              <w:t>1</w:t>
            </w:r>
          </w:p>
        </w:tc>
        <w:tc>
          <w:tcPr>
            <w:tcW w:w="913" w:type="pct"/>
            <w:shd w:val="clear" w:color="auto" w:fill="auto"/>
          </w:tcPr>
          <w:p w:rsidR="00A54719" w:rsidRPr="0012760D" w:rsidRDefault="00A54719" w:rsidP="00907E0B">
            <w:pPr>
              <w:jc w:val="right"/>
              <w:rPr>
                <w:sz w:val="24"/>
                <w:szCs w:val="24"/>
              </w:rPr>
            </w:pPr>
            <w:r w:rsidRPr="0012760D">
              <w:rPr>
                <w:sz w:val="24"/>
                <w:szCs w:val="24"/>
              </w:rPr>
              <w:t>0</w:t>
            </w:r>
          </w:p>
        </w:tc>
      </w:tr>
      <w:tr w:rsidR="00A54719" w:rsidRPr="0012760D" w:rsidTr="00907E0B">
        <w:tblPrEx>
          <w:tblCellMar>
            <w:top w:w="0" w:type="dxa"/>
            <w:bottom w:w="0" w:type="dxa"/>
          </w:tblCellMar>
        </w:tblPrEx>
        <w:trPr>
          <w:trHeight w:val="283"/>
        </w:trPr>
        <w:tc>
          <w:tcPr>
            <w:tcW w:w="955" w:type="pct"/>
            <w:shd w:val="clear" w:color="auto" w:fill="auto"/>
          </w:tcPr>
          <w:p w:rsidR="00A54719" w:rsidRPr="0012760D" w:rsidRDefault="00A54719" w:rsidP="00907E0B">
            <w:pPr>
              <w:rPr>
                <w:sz w:val="24"/>
                <w:szCs w:val="24"/>
              </w:rPr>
            </w:pPr>
            <w:r w:rsidRPr="0012760D">
              <w:rPr>
                <w:sz w:val="24"/>
                <w:szCs w:val="24"/>
              </w:rPr>
              <w:t>$240,000 to $249,999</w:t>
            </w:r>
          </w:p>
        </w:tc>
        <w:tc>
          <w:tcPr>
            <w:tcW w:w="1089" w:type="pct"/>
            <w:shd w:val="clear" w:color="auto" w:fill="auto"/>
          </w:tcPr>
          <w:p w:rsidR="00A54719" w:rsidRPr="0012760D" w:rsidRDefault="00A54719" w:rsidP="00907E0B">
            <w:pPr>
              <w:jc w:val="right"/>
              <w:rPr>
                <w:sz w:val="24"/>
                <w:szCs w:val="24"/>
              </w:rPr>
            </w:pPr>
            <w:r w:rsidRPr="0012760D">
              <w:rPr>
                <w:sz w:val="24"/>
                <w:szCs w:val="24"/>
              </w:rPr>
              <w:t>0</w:t>
            </w:r>
          </w:p>
        </w:tc>
        <w:tc>
          <w:tcPr>
            <w:tcW w:w="1012" w:type="pct"/>
            <w:shd w:val="clear" w:color="auto" w:fill="auto"/>
          </w:tcPr>
          <w:p w:rsidR="00A54719" w:rsidRPr="0012760D" w:rsidRDefault="00A54719" w:rsidP="00907E0B">
            <w:pPr>
              <w:jc w:val="right"/>
              <w:rPr>
                <w:sz w:val="24"/>
                <w:szCs w:val="24"/>
              </w:rPr>
            </w:pPr>
            <w:r w:rsidRPr="0012760D">
              <w:rPr>
                <w:sz w:val="24"/>
                <w:szCs w:val="24"/>
              </w:rPr>
              <w:t>0</w:t>
            </w:r>
          </w:p>
        </w:tc>
        <w:tc>
          <w:tcPr>
            <w:tcW w:w="1031" w:type="pct"/>
            <w:shd w:val="clear" w:color="auto" w:fill="auto"/>
          </w:tcPr>
          <w:p w:rsidR="00A54719" w:rsidRPr="0012760D" w:rsidRDefault="00A54719" w:rsidP="00907E0B">
            <w:pPr>
              <w:jc w:val="right"/>
              <w:rPr>
                <w:sz w:val="24"/>
                <w:szCs w:val="24"/>
              </w:rPr>
            </w:pPr>
            <w:r w:rsidRPr="0012760D">
              <w:rPr>
                <w:sz w:val="24"/>
                <w:szCs w:val="24"/>
              </w:rPr>
              <w:t>0</w:t>
            </w:r>
          </w:p>
        </w:tc>
        <w:tc>
          <w:tcPr>
            <w:tcW w:w="913" w:type="pct"/>
            <w:shd w:val="clear" w:color="auto" w:fill="auto"/>
          </w:tcPr>
          <w:p w:rsidR="00A54719" w:rsidRPr="0012760D" w:rsidRDefault="00A54719" w:rsidP="00907E0B">
            <w:pPr>
              <w:jc w:val="right"/>
              <w:rPr>
                <w:sz w:val="24"/>
                <w:szCs w:val="24"/>
              </w:rPr>
            </w:pPr>
            <w:r w:rsidRPr="0012760D">
              <w:rPr>
                <w:sz w:val="24"/>
                <w:szCs w:val="24"/>
              </w:rPr>
              <w:t>1</w:t>
            </w:r>
          </w:p>
        </w:tc>
      </w:tr>
      <w:tr w:rsidR="00A54719" w:rsidRPr="0012760D" w:rsidTr="00907E0B">
        <w:tblPrEx>
          <w:tblCellMar>
            <w:top w:w="0" w:type="dxa"/>
            <w:bottom w:w="0" w:type="dxa"/>
          </w:tblCellMar>
        </w:tblPrEx>
        <w:trPr>
          <w:trHeight w:val="283"/>
        </w:trPr>
        <w:tc>
          <w:tcPr>
            <w:tcW w:w="955" w:type="pct"/>
            <w:shd w:val="clear" w:color="auto" w:fill="auto"/>
          </w:tcPr>
          <w:p w:rsidR="00A54719" w:rsidRPr="0012760D" w:rsidRDefault="00A54719" w:rsidP="00907E0B">
            <w:pPr>
              <w:rPr>
                <w:sz w:val="24"/>
                <w:szCs w:val="24"/>
              </w:rPr>
            </w:pPr>
            <w:r w:rsidRPr="0012760D">
              <w:rPr>
                <w:sz w:val="24"/>
                <w:szCs w:val="24"/>
              </w:rPr>
              <w:t>$250,000 to $259,999</w:t>
            </w:r>
          </w:p>
        </w:tc>
        <w:tc>
          <w:tcPr>
            <w:tcW w:w="1089" w:type="pct"/>
            <w:shd w:val="clear" w:color="auto" w:fill="auto"/>
          </w:tcPr>
          <w:p w:rsidR="00A54719" w:rsidRPr="0012760D" w:rsidRDefault="00A54719" w:rsidP="00907E0B">
            <w:pPr>
              <w:jc w:val="right"/>
              <w:rPr>
                <w:sz w:val="24"/>
                <w:szCs w:val="24"/>
              </w:rPr>
            </w:pPr>
            <w:r w:rsidRPr="0012760D">
              <w:rPr>
                <w:sz w:val="24"/>
                <w:szCs w:val="24"/>
              </w:rPr>
              <w:t>0</w:t>
            </w:r>
          </w:p>
        </w:tc>
        <w:tc>
          <w:tcPr>
            <w:tcW w:w="1012" w:type="pct"/>
            <w:shd w:val="clear" w:color="auto" w:fill="auto"/>
          </w:tcPr>
          <w:p w:rsidR="00A54719" w:rsidRPr="0012760D" w:rsidRDefault="00A54719" w:rsidP="00907E0B">
            <w:pPr>
              <w:jc w:val="right"/>
              <w:rPr>
                <w:sz w:val="24"/>
                <w:szCs w:val="24"/>
              </w:rPr>
            </w:pPr>
            <w:r w:rsidRPr="0012760D">
              <w:rPr>
                <w:sz w:val="24"/>
                <w:szCs w:val="24"/>
              </w:rPr>
              <w:t>0</w:t>
            </w:r>
          </w:p>
        </w:tc>
        <w:tc>
          <w:tcPr>
            <w:tcW w:w="1031" w:type="pct"/>
            <w:shd w:val="clear" w:color="auto" w:fill="auto"/>
          </w:tcPr>
          <w:p w:rsidR="00A54719" w:rsidRPr="0012760D" w:rsidRDefault="00A54719" w:rsidP="00907E0B">
            <w:pPr>
              <w:jc w:val="right"/>
              <w:rPr>
                <w:sz w:val="24"/>
                <w:szCs w:val="24"/>
              </w:rPr>
            </w:pPr>
            <w:r w:rsidRPr="0012760D">
              <w:rPr>
                <w:sz w:val="24"/>
                <w:szCs w:val="24"/>
              </w:rPr>
              <w:t>1</w:t>
            </w:r>
          </w:p>
        </w:tc>
        <w:tc>
          <w:tcPr>
            <w:tcW w:w="913" w:type="pct"/>
            <w:shd w:val="clear" w:color="auto" w:fill="auto"/>
          </w:tcPr>
          <w:p w:rsidR="00A54719" w:rsidRPr="0012760D" w:rsidRDefault="00A54719" w:rsidP="00907E0B">
            <w:pPr>
              <w:jc w:val="right"/>
              <w:rPr>
                <w:sz w:val="24"/>
                <w:szCs w:val="24"/>
              </w:rPr>
            </w:pPr>
            <w:r w:rsidRPr="0012760D">
              <w:rPr>
                <w:sz w:val="24"/>
                <w:szCs w:val="24"/>
              </w:rPr>
              <w:t>0</w:t>
            </w:r>
          </w:p>
        </w:tc>
      </w:tr>
      <w:tr w:rsidR="00A54719" w:rsidRPr="0012760D" w:rsidTr="00907E0B">
        <w:tblPrEx>
          <w:tblCellMar>
            <w:top w:w="0" w:type="dxa"/>
            <w:bottom w:w="0" w:type="dxa"/>
          </w:tblCellMar>
        </w:tblPrEx>
        <w:trPr>
          <w:trHeight w:val="283"/>
        </w:trPr>
        <w:tc>
          <w:tcPr>
            <w:tcW w:w="955" w:type="pct"/>
            <w:shd w:val="clear" w:color="auto" w:fill="auto"/>
          </w:tcPr>
          <w:p w:rsidR="00A54719" w:rsidRPr="0012760D" w:rsidRDefault="00A54719" w:rsidP="00907E0B">
            <w:pPr>
              <w:rPr>
                <w:sz w:val="24"/>
                <w:szCs w:val="24"/>
              </w:rPr>
            </w:pPr>
            <w:r w:rsidRPr="0012760D">
              <w:rPr>
                <w:sz w:val="24"/>
                <w:szCs w:val="24"/>
              </w:rPr>
              <w:t>$270,000 to $279,999</w:t>
            </w:r>
          </w:p>
        </w:tc>
        <w:tc>
          <w:tcPr>
            <w:tcW w:w="1089" w:type="pct"/>
            <w:shd w:val="clear" w:color="auto" w:fill="auto"/>
          </w:tcPr>
          <w:p w:rsidR="00A54719" w:rsidRPr="0012760D" w:rsidRDefault="00A54719" w:rsidP="00907E0B">
            <w:pPr>
              <w:jc w:val="right"/>
              <w:rPr>
                <w:sz w:val="24"/>
                <w:szCs w:val="24"/>
              </w:rPr>
            </w:pPr>
            <w:r w:rsidRPr="0012760D">
              <w:rPr>
                <w:sz w:val="24"/>
                <w:szCs w:val="24"/>
              </w:rPr>
              <w:t>0</w:t>
            </w:r>
          </w:p>
        </w:tc>
        <w:tc>
          <w:tcPr>
            <w:tcW w:w="1012" w:type="pct"/>
            <w:shd w:val="clear" w:color="auto" w:fill="auto"/>
          </w:tcPr>
          <w:p w:rsidR="00A54719" w:rsidRPr="0012760D" w:rsidRDefault="00A54719" w:rsidP="00907E0B">
            <w:pPr>
              <w:jc w:val="right"/>
              <w:rPr>
                <w:sz w:val="24"/>
                <w:szCs w:val="24"/>
              </w:rPr>
            </w:pPr>
            <w:r w:rsidRPr="0012760D">
              <w:rPr>
                <w:sz w:val="24"/>
                <w:szCs w:val="24"/>
              </w:rPr>
              <w:t>1</w:t>
            </w:r>
          </w:p>
        </w:tc>
        <w:tc>
          <w:tcPr>
            <w:tcW w:w="1031" w:type="pct"/>
            <w:shd w:val="clear" w:color="auto" w:fill="auto"/>
          </w:tcPr>
          <w:p w:rsidR="00A54719" w:rsidRPr="0012760D" w:rsidRDefault="00A54719" w:rsidP="00907E0B">
            <w:pPr>
              <w:jc w:val="right"/>
              <w:rPr>
                <w:sz w:val="24"/>
                <w:szCs w:val="24"/>
              </w:rPr>
            </w:pPr>
            <w:r w:rsidRPr="0012760D">
              <w:rPr>
                <w:sz w:val="24"/>
                <w:szCs w:val="24"/>
              </w:rPr>
              <w:t>0</w:t>
            </w:r>
          </w:p>
        </w:tc>
        <w:tc>
          <w:tcPr>
            <w:tcW w:w="913" w:type="pct"/>
            <w:shd w:val="clear" w:color="auto" w:fill="auto"/>
          </w:tcPr>
          <w:p w:rsidR="00A54719" w:rsidRPr="0012760D" w:rsidRDefault="00A54719" w:rsidP="00907E0B">
            <w:pPr>
              <w:jc w:val="right"/>
              <w:rPr>
                <w:sz w:val="24"/>
                <w:szCs w:val="24"/>
              </w:rPr>
            </w:pPr>
            <w:r w:rsidRPr="0012760D">
              <w:rPr>
                <w:sz w:val="24"/>
                <w:szCs w:val="24"/>
              </w:rPr>
              <w:t>0</w:t>
            </w:r>
          </w:p>
        </w:tc>
      </w:tr>
      <w:tr w:rsidR="00A54719" w:rsidRPr="0012760D" w:rsidTr="00907E0B">
        <w:tblPrEx>
          <w:tblCellMar>
            <w:top w:w="0" w:type="dxa"/>
            <w:bottom w:w="0" w:type="dxa"/>
          </w:tblCellMar>
        </w:tblPrEx>
        <w:trPr>
          <w:trHeight w:val="278"/>
        </w:trPr>
        <w:tc>
          <w:tcPr>
            <w:tcW w:w="955" w:type="pct"/>
            <w:shd w:val="clear" w:color="auto" w:fill="auto"/>
          </w:tcPr>
          <w:p w:rsidR="00A54719" w:rsidRPr="0012760D" w:rsidRDefault="00A54719" w:rsidP="00907E0B">
            <w:pPr>
              <w:rPr>
                <w:sz w:val="24"/>
                <w:szCs w:val="24"/>
              </w:rPr>
            </w:pPr>
            <w:r w:rsidRPr="0012760D">
              <w:rPr>
                <w:sz w:val="24"/>
                <w:szCs w:val="24"/>
              </w:rPr>
              <w:t>$290,000 to $299,999</w:t>
            </w:r>
          </w:p>
        </w:tc>
        <w:tc>
          <w:tcPr>
            <w:tcW w:w="1089" w:type="pct"/>
            <w:shd w:val="clear" w:color="auto" w:fill="auto"/>
          </w:tcPr>
          <w:p w:rsidR="00A54719" w:rsidRPr="0012760D" w:rsidRDefault="00A54719" w:rsidP="00907E0B">
            <w:pPr>
              <w:jc w:val="right"/>
              <w:rPr>
                <w:sz w:val="24"/>
                <w:szCs w:val="24"/>
              </w:rPr>
            </w:pPr>
            <w:r w:rsidRPr="0012760D">
              <w:rPr>
                <w:sz w:val="24"/>
                <w:szCs w:val="24"/>
              </w:rPr>
              <w:t>1</w:t>
            </w:r>
          </w:p>
        </w:tc>
        <w:tc>
          <w:tcPr>
            <w:tcW w:w="1012" w:type="pct"/>
            <w:shd w:val="clear" w:color="auto" w:fill="auto"/>
          </w:tcPr>
          <w:p w:rsidR="00A54719" w:rsidRPr="0012760D" w:rsidRDefault="00A54719" w:rsidP="00907E0B">
            <w:pPr>
              <w:jc w:val="right"/>
              <w:rPr>
                <w:sz w:val="24"/>
                <w:szCs w:val="24"/>
              </w:rPr>
            </w:pPr>
            <w:r w:rsidRPr="0012760D">
              <w:rPr>
                <w:sz w:val="24"/>
                <w:szCs w:val="24"/>
              </w:rPr>
              <w:t>0</w:t>
            </w:r>
          </w:p>
        </w:tc>
        <w:tc>
          <w:tcPr>
            <w:tcW w:w="1031" w:type="pct"/>
            <w:shd w:val="clear" w:color="auto" w:fill="auto"/>
          </w:tcPr>
          <w:p w:rsidR="00A54719" w:rsidRPr="0012760D" w:rsidRDefault="00A54719" w:rsidP="00907E0B">
            <w:pPr>
              <w:jc w:val="right"/>
              <w:rPr>
                <w:sz w:val="24"/>
                <w:szCs w:val="24"/>
              </w:rPr>
            </w:pPr>
            <w:r w:rsidRPr="0012760D">
              <w:rPr>
                <w:sz w:val="24"/>
                <w:szCs w:val="24"/>
              </w:rPr>
              <w:t>0</w:t>
            </w:r>
          </w:p>
        </w:tc>
        <w:tc>
          <w:tcPr>
            <w:tcW w:w="913" w:type="pct"/>
            <w:shd w:val="clear" w:color="auto" w:fill="auto"/>
          </w:tcPr>
          <w:p w:rsidR="00A54719" w:rsidRPr="0012760D" w:rsidRDefault="00A54719" w:rsidP="00907E0B">
            <w:pPr>
              <w:jc w:val="right"/>
              <w:rPr>
                <w:sz w:val="24"/>
                <w:szCs w:val="24"/>
              </w:rPr>
            </w:pPr>
            <w:r w:rsidRPr="0012760D">
              <w:rPr>
                <w:sz w:val="24"/>
                <w:szCs w:val="24"/>
              </w:rPr>
              <w:t>0</w:t>
            </w:r>
          </w:p>
        </w:tc>
      </w:tr>
      <w:tr w:rsidR="00A54719" w:rsidRPr="0012760D" w:rsidTr="00907E0B">
        <w:tblPrEx>
          <w:tblCellMar>
            <w:top w:w="0" w:type="dxa"/>
            <w:bottom w:w="0" w:type="dxa"/>
          </w:tblCellMar>
        </w:tblPrEx>
        <w:trPr>
          <w:trHeight w:val="264"/>
        </w:trPr>
        <w:tc>
          <w:tcPr>
            <w:tcW w:w="955" w:type="pct"/>
            <w:shd w:val="clear" w:color="auto" w:fill="auto"/>
          </w:tcPr>
          <w:p w:rsidR="00A54719" w:rsidRPr="0012760D" w:rsidRDefault="00A54719" w:rsidP="00907E0B">
            <w:pPr>
              <w:rPr>
                <w:sz w:val="24"/>
                <w:szCs w:val="24"/>
              </w:rPr>
            </w:pPr>
            <w:r w:rsidRPr="0012760D">
              <w:rPr>
                <w:bCs/>
                <w:sz w:val="24"/>
                <w:szCs w:val="24"/>
              </w:rPr>
              <w:t>Total numbers</w:t>
            </w:r>
          </w:p>
        </w:tc>
        <w:tc>
          <w:tcPr>
            <w:tcW w:w="1089" w:type="pct"/>
            <w:shd w:val="clear" w:color="auto" w:fill="auto"/>
          </w:tcPr>
          <w:p w:rsidR="00A54719" w:rsidRPr="0012760D" w:rsidRDefault="00A54719" w:rsidP="00907E0B">
            <w:pPr>
              <w:jc w:val="right"/>
              <w:rPr>
                <w:sz w:val="24"/>
                <w:szCs w:val="24"/>
              </w:rPr>
            </w:pPr>
            <w:r w:rsidRPr="0012760D">
              <w:rPr>
                <w:bCs/>
                <w:sz w:val="24"/>
                <w:szCs w:val="24"/>
              </w:rPr>
              <w:t>8</w:t>
            </w:r>
          </w:p>
        </w:tc>
        <w:tc>
          <w:tcPr>
            <w:tcW w:w="1012" w:type="pct"/>
            <w:shd w:val="clear" w:color="auto" w:fill="auto"/>
          </w:tcPr>
          <w:p w:rsidR="00A54719" w:rsidRPr="0012760D" w:rsidRDefault="00A54719" w:rsidP="00907E0B">
            <w:pPr>
              <w:jc w:val="right"/>
              <w:rPr>
                <w:sz w:val="24"/>
                <w:szCs w:val="24"/>
              </w:rPr>
            </w:pPr>
            <w:r w:rsidRPr="0012760D">
              <w:rPr>
                <w:bCs/>
                <w:sz w:val="24"/>
                <w:szCs w:val="24"/>
              </w:rPr>
              <w:t>8</w:t>
            </w:r>
          </w:p>
        </w:tc>
        <w:tc>
          <w:tcPr>
            <w:tcW w:w="1031" w:type="pct"/>
            <w:shd w:val="clear" w:color="auto" w:fill="auto"/>
          </w:tcPr>
          <w:p w:rsidR="00A54719" w:rsidRPr="0012760D" w:rsidRDefault="00A54719" w:rsidP="00907E0B">
            <w:pPr>
              <w:jc w:val="right"/>
              <w:rPr>
                <w:sz w:val="24"/>
                <w:szCs w:val="24"/>
              </w:rPr>
            </w:pPr>
            <w:r w:rsidRPr="0012760D">
              <w:rPr>
                <w:bCs/>
                <w:sz w:val="24"/>
                <w:szCs w:val="24"/>
              </w:rPr>
              <w:t>13</w:t>
            </w:r>
          </w:p>
        </w:tc>
        <w:tc>
          <w:tcPr>
            <w:tcW w:w="913" w:type="pct"/>
            <w:shd w:val="clear" w:color="auto" w:fill="auto"/>
          </w:tcPr>
          <w:p w:rsidR="00A54719" w:rsidRPr="0012760D" w:rsidRDefault="00A54719" w:rsidP="00907E0B">
            <w:pPr>
              <w:jc w:val="right"/>
              <w:rPr>
                <w:sz w:val="24"/>
                <w:szCs w:val="24"/>
              </w:rPr>
            </w:pPr>
            <w:r w:rsidRPr="0012760D">
              <w:rPr>
                <w:bCs/>
                <w:sz w:val="24"/>
                <w:szCs w:val="24"/>
              </w:rPr>
              <w:t>13</w:t>
            </w:r>
          </w:p>
        </w:tc>
      </w:tr>
      <w:tr w:rsidR="00A54719" w:rsidRPr="0012760D" w:rsidTr="00907E0B">
        <w:tblPrEx>
          <w:tblCellMar>
            <w:top w:w="0" w:type="dxa"/>
            <w:bottom w:w="0" w:type="dxa"/>
          </w:tblCellMar>
        </w:tblPrEx>
        <w:trPr>
          <w:trHeight w:val="288"/>
        </w:trPr>
        <w:tc>
          <w:tcPr>
            <w:tcW w:w="955" w:type="pct"/>
            <w:shd w:val="clear" w:color="auto" w:fill="auto"/>
          </w:tcPr>
          <w:p w:rsidR="00A54719" w:rsidRPr="0012760D" w:rsidRDefault="00A54719" w:rsidP="00907E0B">
            <w:pPr>
              <w:rPr>
                <w:sz w:val="24"/>
                <w:szCs w:val="24"/>
              </w:rPr>
            </w:pPr>
            <w:r w:rsidRPr="0012760D">
              <w:rPr>
                <w:bCs/>
                <w:sz w:val="24"/>
                <w:szCs w:val="24"/>
              </w:rPr>
              <w:t>Total amount</w:t>
            </w:r>
          </w:p>
        </w:tc>
        <w:tc>
          <w:tcPr>
            <w:tcW w:w="1089" w:type="pct"/>
            <w:shd w:val="clear" w:color="auto" w:fill="auto"/>
          </w:tcPr>
          <w:p w:rsidR="00A54719" w:rsidRPr="0012760D" w:rsidRDefault="00A54719" w:rsidP="00907E0B">
            <w:pPr>
              <w:jc w:val="right"/>
              <w:rPr>
                <w:sz w:val="24"/>
                <w:szCs w:val="24"/>
              </w:rPr>
            </w:pPr>
            <w:r w:rsidRPr="0012760D">
              <w:rPr>
                <w:bCs/>
                <w:sz w:val="24"/>
                <w:szCs w:val="24"/>
              </w:rPr>
              <w:t>$349,248</w:t>
            </w:r>
          </w:p>
        </w:tc>
        <w:tc>
          <w:tcPr>
            <w:tcW w:w="1012" w:type="pct"/>
            <w:shd w:val="clear" w:color="auto" w:fill="auto"/>
          </w:tcPr>
          <w:p w:rsidR="00A54719" w:rsidRPr="0012760D" w:rsidRDefault="00A54719" w:rsidP="00907E0B">
            <w:pPr>
              <w:jc w:val="right"/>
              <w:rPr>
                <w:sz w:val="24"/>
                <w:szCs w:val="24"/>
              </w:rPr>
            </w:pPr>
            <w:r w:rsidRPr="0012760D">
              <w:rPr>
                <w:bCs/>
                <w:sz w:val="24"/>
                <w:szCs w:val="24"/>
              </w:rPr>
              <w:t>$329,555</w:t>
            </w:r>
          </w:p>
        </w:tc>
        <w:tc>
          <w:tcPr>
            <w:tcW w:w="1031" w:type="pct"/>
            <w:shd w:val="clear" w:color="auto" w:fill="auto"/>
          </w:tcPr>
          <w:p w:rsidR="00A54719" w:rsidRPr="0012760D" w:rsidRDefault="00A54719" w:rsidP="00907E0B">
            <w:pPr>
              <w:jc w:val="right"/>
              <w:rPr>
                <w:sz w:val="24"/>
                <w:szCs w:val="24"/>
              </w:rPr>
            </w:pPr>
            <w:r w:rsidRPr="0012760D">
              <w:rPr>
                <w:bCs/>
                <w:sz w:val="24"/>
                <w:szCs w:val="24"/>
              </w:rPr>
              <w:t>$464,830</w:t>
            </w:r>
          </w:p>
        </w:tc>
        <w:tc>
          <w:tcPr>
            <w:tcW w:w="913" w:type="pct"/>
            <w:shd w:val="clear" w:color="auto" w:fill="auto"/>
          </w:tcPr>
          <w:p w:rsidR="00A54719" w:rsidRPr="0012760D" w:rsidRDefault="00A54719" w:rsidP="00907E0B">
            <w:pPr>
              <w:jc w:val="right"/>
              <w:rPr>
                <w:sz w:val="24"/>
                <w:szCs w:val="24"/>
              </w:rPr>
            </w:pPr>
            <w:r w:rsidRPr="0012760D">
              <w:rPr>
                <w:bCs/>
                <w:sz w:val="24"/>
                <w:szCs w:val="24"/>
              </w:rPr>
              <w:t>$355,338</w:t>
            </w:r>
          </w:p>
        </w:tc>
      </w:tr>
    </w:tbl>
    <w:p w:rsidR="0091105D" w:rsidRPr="0012760D" w:rsidRDefault="0091105D" w:rsidP="0091105D">
      <w:pPr>
        <w:rPr>
          <w:bCs/>
          <w:sz w:val="24"/>
          <w:szCs w:val="24"/>
        </w:rPr>
      </w:pPr>
      <w:r w:rsidRPr="0012760D">
        <w:rPr>
          <w:bCs/>
          <w:sz w:val="24"/>
          <w:szCs w:val="24"/>
        </w:rPr>
        <w:t>&lt;pp&gt; 47</w:t>
      </w:r>
    </w:p>
    <w:p w:rsidR="0091105D" w:rsidRDefault="0091105D" w:rsidP="0091105D">
      <w:pPr>
        <w:rPr>
          <w:sz w:val="24"/>
          <w:szCs w:val="24"/>
        </w:rPr>
      </w:pPr>
    </w:p>
    <w:p w:rsidR="00C16B42" w:rsidRPr="0012760D" w:rsidRDefault="00C16B42" w:rsidP="0091105D">
      <w:pPr>
        <w:rPr>
          <w:sz w:val="24"/>
          <w:szCs w:val="24"/>
        </w:rPr>
      </w:pPr>
    </w:p>
    <w:p w:rsidR="0091105D" w:rsidRDefault="0091105D" w:rsidP="00C16B42">
      <w:pPr>
        <w:pStyle w:val="Heading3"/>
      </w:pPr>
      <w:r w:rsidRPr="0012760D">
        <w:t>Remuneration of Executives</w:t>
      </w:r>
    </w:p>
    <w:p w:rsidR="00C16B42" w:rsidRPr="0012760D" w:rsidRDefault="00C16B42" w:rsidP="0091105D">
      <w:pPr>
        <w:rPr>
          <w:sz w:val="24"/>
          <w:szCs w:val="24"/>
        </w:rPr>
      </w:pPr>
    </w:p>
    <w:p w:rsidR="0091105D" w:rsidRDefault="0091105D" w:rsidP="0091105D">
      <w:pPr>
        <w:rPr>
          <w:sz w:val="24"/>
          <w:szCs w:val="24"/>
        </w:rPr>
      </w:pPr>
      <w:r w:rsidRPr="0012760D">
        <w:rPr>
          <w:sz w:val="24"/>
          <w:szCs w:val="24"/>
        </w:rPr>
        <w:t>The number of Executive Officers, other than Ministers, Responsible Officers and Accountable Officers and their total remuneration during the reporting period are shown in the table below. Base remuneration is exclusive of bonus payments, long service leave payments, redundancy payments and retirement benefits.</w:t>
      </w:r>
    </w:p>
    <w:p w:rsidR="00C16B42" w:rsidRPr="0012760D" w:rsidRDefault="00C16B42" w:rsidP="0091105D">
      <w:pPr>
        <w:rPr>
          <w:sz w:val="24"/>
          <w:szCs w:val="24"/>
        </w:rPr>
      </w:pPr>
    </w:p>
    <w:p w:rsidR="0091105D" w:rsidRDefault="0091105D" w:rsidP="0091105D">
      <w:pPr>
        <w:rPr>
          <w:sz w:val="24"/>
          <w:szCs w:val="24"/>
        </w:rPr>
      </w:pPr>
      <w:r w:rsidRPr="0012760D">
        <w:rPr>
          <w:sz w:val="24"/>
          <w:szCs w:val="24"/>
        </w:rPr>
        <w:t>Sustainability Victoria engaged one contractor as Acting Director Corporate Services during the reporting period with significant management responsibilities, with details included in the table below. Although the contractors responsibility included planning, directing or controlling, directly or indirectly, the entity</w:t>
      </w:r>
      <w:r w:rsidR="00907E0B" w:rsidRPr="0012760D">
        <w:rPr>
          <w:sz w:val="24"/>
          <w:szCs w:val="24"/>
        </w:rPr>
        <w:t>'</w:t>
      </w:r>
      <w:r w:rsidRPr="0012760D">
        <w:rPr>
          <w:sz w:val="24"/>
          <w:szCs w:val="24"/>
        </w:rPr>
        <w:t>s activities, they did not hold a financial delegation.</w:t>
      </w:r>
    </w:p>
    <w:p w:rsidR="00C16B42" w:rsidRPr="0012760D" w:rsidRDefault="00C16B42" w:rsidP="0091105D">
      <w:pPr>
        <w:rPr>
          <w:sz w:val="24"/>
          <w:szCs w:val="24"/>
        </w:rPr>
      </w:pPr>
    </w:p>
    <w:p w:rsidR="0091105D" w:rsidRPr="0012760D" w:rsidRDefault="0091105D" w:rsidP="0091105D">
      <w:pPr>
        <w:rPr>
          <w:sz w:val="24"/>
          <w:szCs w:val="24"/>
        </w:rPr>
      </w:pPr>
      <w:r w:rsidRPr="0012760D">
        <w:rPr>
          <w:sz w:val="24"/>
          <w:szCs w:val="24"/>
        </w:rPr>
        <w:t>Several factors have affected total remuneration payable to executives over the year, including payments for long service leave entitlements and performance bonuses received in accordance with the terms of individual employment contracts.</w:t>
      </w:r>
    </w:p>
    <w:p w:rsidR="0091105D" w:rsidRPr="0012760D" w:rsidRDefault="0091105D" w:rsidP="0091105D">
      <w:pPr>
        <w:rPr>
          <w:sz w:val="24"/>
          <w:szCs w:val="24"/>
        </w:rPr>
      </w:pPr>
    </w:p>
    <w:tbl>
      <w:tblPr>
        <w:tblW w:w="5024"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2450"/>
        <w:gridCol w:w="1703"/>
        <w:gridCol w:w="1656"/>
        <w:gridCol w:w="1671"/>
        <w:gridCol w:w="1673"/>
      </w:tblGrid>
      <w:tr w:rsidR="0091105D" w:rsidRPr="0012760D" w:rsidTr="00907E0B">
        <w:tblPrEx>
          <w:tblCellMar>
            <w:top w:w="0" w:type="dxa"/>
            <w:bottom w:w="0" w:type="dxa"/>
          </w:tblCellMar>
        </w:tblPrEx>
        <w:trPr>
          <w:trHeight w:val="710"/>
        </w:trPr>
        <w:tc>
          <w:tcPr>
            <w:tcW w:w="1338" w:type="pct"/>
            <w:shd w:val="clear" w:color="auto" w:fill="auto"/>
          </w:tcPr>
          <w:p w:rsidR="0091105D" w:rsidRPr="0012760D" w:rsidRDefault="0091105D" w:rsidP="00907E0B">
            <w:pPr>
              <w:rPr>
                <w:sz w:val="24"/>
                <w:szCs w:val="24"/>
              </w:rPr>
            </w:pPr>
            <w:r w:rsidRPr="0012760D">
              <w:rPr>
                <w:bCs/>
                <w:sz w:val="24"/>
                <w:szCs w:val="24"/>
              </w:rPr>
              <w:t>Income band</w:t>
            </w:r>
          </w:p>
        </w:tc>
        <w:tc>
          <w:tcPr>
            <w:tcW w:w="930" w:type="pct"/>
            <w:shd w:val="clear" w:color="auto" w:fill="auto"/>
          </w:tcPr>
          <w:p w:rsidR="0091105D" w:rsidRPr="0012760D" w:rsidRDefault="0091105D" w:rsidP="00907E0B">
            <w:pPr>
              <w:rPr>
                <w:sz w:val="24"/>
                <w:szCs w:val="24"/>
              </w:rPr>
            </w:pPr>
            <w:r w:rsidRPr="0012760D">
              <w:rPr>
                <w:bCs/>
                <w:sz w:val="24"/>
                <w:szCs w:val="24"/>
              </w:rPr>
              <w:t>Total Remuneration</w:t>
            </w:r>
          </w:p>
          <w:p w:rsidR="0091105D" w:rsidRPr="0012760D" w:rsidRDefault="0091105D" w:rsidP="00907E0B">
            <w:pPr>
              <w:rPr>
                <w:sz w:val="24"/>
                <w:szCs w:val="24"/>
              </w:rPr>
            </w:pPr>
            <w:r w:rsidRPr="0012760D">
              <w:rPr>
                <w:bCs/>
                <w:sz w:val="24"/>
                <w:szCs w:val="24"/>
              </w:rPr>
              <w:t>2013</w:t>
            </w:r>
          </w:p>
          <w:p w:rsidR="0091105D" w:rsidRPr="0012760D" w:rsidRDefault="0091105D" w:rsidP="00907E0B">
            <w:pPr>
              <w:rPr>
                <w:sz w:val="24"/>
                <w:szCs w:val="24"/>
              </w:rPr>
            </w:pPr>
            <w:r w:rsidRPr="0012760D">
              <w:rPr>
                <w:bCs/>
                <w:sz w:val="24"/>
                <w:szCs w:val="24"/>
              </w:rPr>
              <w:t>Number</w:t>
            </w:r>
          </w:p>
        </w:tc>
        <w:tc>
          <w:tcPr>
            <w:tcW w:w="904" w:type="pct"/>
            <w:shd w:val="clear" w:color="auto" w:fill="auto"/>
          </w:tcPr>
          <w:p w:rsidR="0091105D" w:rsidRPr="0012760D" w:rsidRDefault="0091105D" w:rsidP="00907E0B">
            <w:pPr>
              <w:rPr>
                <w:sz w:val="24"/>
                <w:szCs w:val="24"/>
              </w:rPr>
            </w:pPr>
            <w:r w:rsidRPr="0012760D">
              <w:rPr>
                <w:bCs/>
                <w:sz w:val="24"/>
                <w:szCs w:val="24"/>
              </w:rPr>
              <w:t>Base Remuneration</w:t>
            </w:r>
          </w:p>
          <w:p w:rsidR="0091105D" w:rsidRPr="0012760D" w:rsidRDefault="0091105D" w:rsidP="00907E0B">
            <w:pPr>
              <w:rPr>
                <w:sz w:val="24"/>
                <w:szCs w:val="24"/>
              </w:rPr>
            </w:pPr>
            <w:r w:rsidRPr="0012760D">
              <w:rPr>
                <w:bCs/>
                <w:sz w:val="24"/>
                <w:szCs w:val="24"/>
              </w:rPr>
              <w:t>2013</w:t>
            </w:r>
          </w:p>
          <w:p w:rsidR="0091105D" w:rsidRPr="0012760D" w:rsidRDefault="0091105D" w:rsidP="00907E0B">
            <w:pPr>
              <w:rPr>
                <w:sz w:val="24"/>
                <w:szCs w:val="24"/>
              </w:rPr>
            </w:pPr>
            <w:r w:rsidRPr="0012760D">
              <w:rPr>
                <w:bCs/>
                <w:sz w:val="24"/>
                <w:szCs w:val="24"/>
              </w:rPr>
              <w:t>Number</w:t>
            </w:r>
          </w:p>
        </w:tc>
        <w:tc>
          <w:tcPr>
            <w:tcW w:w="913" w:type="pct"/>
            <w:shd w:val="clear" w:color="auto" w:fill="auto"/>
          </w:tcPr>
          <w:p w:rsidR="0091105D" w:rsidRPr="0012760D" w:rsidRDefault="0091105D" w:rsidP="00907E0B">
            <w:pPr>
              <w:rPr>
                <w:sz w:val="24"/>
                <w:szCs w:val="24"/>
              </w:rPr>
            </w:pPr>
            <w:r w:rsidRPr="0012760D">
              <w:rPr>
                <w:bCs/>
                <w:sz w:val="24"/>
                <w:szCs w:val="24"/>
              </w:rPr>
              <w:t>Total Remuneration</w:t>
            </w:r>
          </w:p>
          <w:p w:rsidR="0091105D" w:rsidRPr="0012760D" w:rsidRDefault="0091105D" w:rsidP="00907E0B">
            <w:pPr>
              <w:rPr>
                <w:sz w:val="24"/>
                <w:szCs w:val="24"/>
              </w:rPr>
            </w:pPr>
            <w:r w:rsidRPr="0012760D">
              <w:rPr>
                <w:bCs/>
                <w:sz w:val="24"/>
                <w:szCs w:val="24"/>
              </w:rPr>
              <w:t>2012</w:t>
            </w:r>
          </w:p>
          <w:p w:rsidR="0091105D" w:rsidRPr="0012760D" w:rsidRDefault="0091105D" w:rsidP="00907E0B">
            <w:pPr>
              <w:rPr>
                <w:sz w:val="24"/>
                <w:szCs w:val="24"/>
              </w:rPr>
            </w:pPr>
            <w:r w:rsidRPr="0012760D">
              <w:rPr>
                <w:bCs/>
                <w:sz w:val="24"/>
                <w:szCs w:val="24"/>
              </w:rPr>
              <w:t>Number</w:t>
            </w:r>
          </w:p>
        </w:tc>
        <w:tc>
          <w:tcPr>
            <w:tcW w:w="914" w:type="pct"/>
            <w:shd w:val="clear" w:color="auto" w:fill="auto"/>
          </w:tcPr>
          <w:p w:rsidR="0091105D" w:rsidRPr="0012760D" w:rsidRDefault="0091105D" w:rsidP="00907E0B">
            <w:pPr>
              <w:rPr>
                <w:sz w:val="24"/>
                <w:szCs w:val="24"/>
              </w:rPr>
            </w:pPr>
            <w:r w:rsidRPr="0012760D">
              <w:rPr>
                <w:bCs/>
                <w:sz w:val="24"/>
                <w:szCs w:val="24"/>
              </w:rPr>
              <w:t>Base Remuneration</w:t>
            </w:r>
          </w:p>
          <w:p w:rsidR="0091105D" w:rsidRPr="0012760D" w:rsidRDefault="0091105D" w:rsidP="00907E0B">
            <w:pPr>
              <w:rPr>
                <w:sz w:val="24"/>
                <w:szCs w:val="24"/>
              </w:rPr>
            </w:pPr>
            <w:r w:rsidRPr="0012760D">
              <w:rPr>
                <w:bCs/>
                <w:sz w:val="24"/>
                <w:szCs w:val="24"/>
              </w:rPr>
              <w:t>2012</w:t>
            </w:r>
          </w:p>
          <w:p w:rsidR="0091105D" w:rsidRPr="0012760D" w:rsidRDefault="0091105D" w:rsidP="00907E0B">
            <w:pPr>
              <w:rPr>
                <w:sz w:val="24"/>
                <w:szCs w:val="24"/>
              </w:rPr>
            </w:pPr>
            <w:r w:rsidRPr="0012760D">
              <w:rPr>
                <w:bCs/>
                <w:sz w:val="24"/>
                <w:szCs w:val="24"/>
              </w:rPr>
              <w:t>Number</w:t>
            </w:r>
          </w:p>
        </w:tc>
      </w:tr>
      <w:tr w:rsidR="0091105D" w:rsidRPr="0012760D" w:rsidTr="00907E0B">
        <w:tblPrEx>
          <w:tblCellMar>
            <w:top w:w="0" w:type="dxa"/>
            <w:bottom w:w="0" w:type="dxa"/>
          </w:tblCellMar>
        </w:tblPrEx>
        <w:trPr>
          <w:trHeight w:val="302"/>
        </w:trPr>
        <w:tc>
          <w:tcPr>
            <w:tcW w:w="1338" w:type="pct"/>
            <w:shd w:val="clear" w:color="auto" w:fill="auto"/>
          </w:tcPr>
          <w:p w:rsidR="0091105D" w:rsidRPr="0012760D" w:rsidRDefault="0091105D" w:rsidP="00907E0B">
            <w:pPr>
              <w:rPr>
                <w:sz w:val="24"/>
                <w:szCs w:val="24"/>
              </w:rPr>
            </w:pPr>
            <w:r w:rsidRPr="0012760D">
              <w:rPr>
                <w:sz w:val="24"/>
                <w:szCs w:val="24"/>
              </w:rPr>
              <w:t>$100,000 to $109,999</w:t>
            </w:r>
          </w:p>
        </w:tc>
        <w:tc>
          <w:tcPr>
            <w:tcW w:w="930" w:type="pct"/>
            <w:shd w:val="clear" w:color="auto" w:fill="auto"/>
          </w:tcPr>
          <w:p w:rsidR="0091105D" w:rsidRPr="0012760D" w:rsidRDefault="0091105D" w:rsidP="00907E0B">
            <w:pPr>
              <w:jc w:val="right"/>
              <w:rPr>
                <w:sz w:val="24"/>
                <w:szCs w:val="24"/>
              </w:rPr>
            </w:pPr>
            <w:r w:rsidRPr="0012760D">
              <w:rPr>
                <w:sz w:val="24"/>
                <w:szCs w:val="24"/>
              </w:rPr>
              <w:t>0</w:t>
            </w:r>
          </w:p>
        </w:tc>
        <w:tc>
          <w:tcPr>
            <w:tcW w:w="904" w:type="pct"/>
            <w:shd w:val="clear" w:color="auto" w:fill="auto"/>
          </w:tcPr>
          <w:p w:rsidR="0091105D" w:rsidRPr="0012760D" w:rsidRDefault="0091105D" w:rsidP="00907E0B">
            <w:pPr>
              <w:jc w:val="right"/>
              <w:rPr>
                <w:sz w:val="24"/>
                <w:szCs w:val="24"/>
              </w:rPr>
            </w:pPr>
            <w:r w:rsidRPr="0012760D">
              <w:rPr>
                <w:sz w:val="24"/>
                <w:szCs w:val="24"/>
              </w:rPr>
              <w:t>0</w:t>
            </w:r>
          </w:p>
        </w:tc>
        <w:tc>
          <w:tcPr>
            <w:tcW w:w="913" w:type="pct"/>
            <w:shd w:val="clear" w:color="auto" w:fill="auto"/>
          </w:tcPr>
          <w:p w:rsidR="0091105D" w:rsidRPr="0012760D" w:rsidRDefault="0091105D" w:rsidP="00907E0B">
            <w:pPr>
              <w:jc w:val="right"/>
              <w:rPr>
                <w:sz w:val="24"/>
                <w:szCs w:val="24"/>
              </w:rPr>
            </w:pPr>
            <w:r w:rsidRPr="0012760D">
              <w:rPr>
                <w:sz w:val="24"/>
                <w:szCs w:val="24"/>
              </w:rPr>
              <w:t>1</w:t>
            </w:r>
          </w:p>
        </w:tc>
        <w:tc>
          <w:tcPr>
            <w:tcW w:w="914" w:type="pct"/>
            <w:shd w:val="clear" w:color="auto" w:fill="auto"/>
          </w:tcPr>
          <w:p w:rsidR="0091105D" w:rsidRPr="0012760D" w:rsidRDefault="0091105D" w:rsidP="00907E0B">
            <w:pPr>
              <w:jc w:val="right"/>
              <w:rPr>
                <w:sz w:val="24"/>
                <w:szCs w:val="24"/>
              </w:rPr>
            </w:pPr>
            <w:r w:rsidRPr="0012760D">
              <w:rPr>
                <w:sz w:val="24"/>
                <w:szCs w:val="24"/>
              </w:rPr>
              <w:t>1</w:t>
            </w:r>
          </w:p>
        </w:tc>
      </w:tr>
      <w:tr w:rsidR="0091105D" w:rsidRPr="0012760D" w:rsidTr="00907E0B">
        <w:tblPrEx>
          <w:tblCellMar>
            <w:top w:w="0" w:type="dxa"/>
            <w:bottom w:w="0" w:type="dxa"/>
          </w:tblCellMar>
        </w:tblPrEx>
        <w:trPr>
          <w:trHeight w:val="283"/>
        </w:trPr>
        <w:tc>
          <w:tcPr>
            <w:tcW w:w="1338" w:type="pct"/>
            <w:shd w:val="clear" w:color="auto" w:fill="auto"/>
          </w:tcPr>
          <w:p w:rsidR="0091105D" w:rsidRPr="0012760D" w:rsidRDefault="0091105D" w:rsidP="00907E0B">
            <w:pPr>
              <w:rPr>
                <w:sz w:val="24"/>
                <w:szCs w:val="24"/>
              </w:rPr>
            </w:pPr>
            <w:r w:rsidRPr="0012760D">
              <w:rPr>
                <w:sz w:val="24"/>
                <w:szCs w:val="24"/>
              </w:rPr>
              <w:t>$110,000 to $119,999</w:t>
            </w:r>
          </w:p>
        </w:tc>
        <w:tc>
          <w:tcPr>
            <w:tcW w:w="930" w:type="pct"/>
            <w:shd w:val="clear" w:color="auto" w:fill="auto"/>
          </w:tcPr>
          <w:p w:rsidR="0091105D" w:rsidRPr="0012760D" w:rsidRDefault="0091105D" w:rsidP="00907E0B">
            <w:pPr>
              <w:jc w:val="right"/>
              <w:rPr>
                <w:sz w:val="24"/>
                <w:szCs w:val="24"/>
              </w:rPr>
            </w:pPr>
            <w:r w:rsidRPr="0012760D">
              <w:rPr>
                <w:sz w:val="24"/>
                <w:szCs w:val="24"/>
              </w:rPr>
              <w:t>0</w:t>
            </w:r>
          </w:p>
        </w:tc>
        <w:tc>
          <w:tcPr>
            <w:tcW w:w="904" w:type="pct"/>
            <w:shd w:val="clear" w:color="auto" w:fill="auto"/>
          </w:tcPr>
          <w:p w:rsidR="0091105D" w:rsidRPr="0012760D" w:rsidRDefault="0091105D" w:rsidP="00907E0B">
            <w:pPr>
              <w:jc w:val="right"/>
              <w:rPr>
                <w:sz w:val="24"/>
                <w:szCs w:val="24"/>
              </w:rPr>
            </w:pPr>
            <w:r w:rsidRPr="0012760D">
              <w:rPr>
                <w:sz w:val="24"/>
                <w:szCs w:val="24"/>
              </w:rPr>
              <w:t>1</w:t>
            </w:r>
          </w:p>
        </w:tc>
        <w:tc>
          <w:tcPr>
            <w:tcW w:w="913" w:type="pct"/>
            <w:shd w:val="clear" w:color="auto" w:fill="auto"/>
          </w:tcPr>
          <w:p w:rsidR="0091105D" w:rsidRPr="0012760D" w:rsidRDefault="0091105D" w:rsidP="00907E0B">
            <w:pPr>
              <w:jc w:val="right"/>
              <w:rPr>
                <w:sz w:val="24"/>
                <w:szCs w:val="24"/>
              </w:rPr>
            </w:pPr>
            <w:r w:rsidRPr="0012760D">
              <w:rPr>
                <w:sz w:val="24"/>
                <w:szCs w:val="24"/>
              </w:rPr>
              <w:t>2</w:t>
            </w:r>
          </w:p>
        </w:tc>
        <w:tc>
          <w:tcPr>
            <w:tcW w:w="914" w:type="pct"/>
            <w:shd w:val="clear" w:color="auto" w:fill="auto"/>
          </w:tcPr>
          <w:p w:rsidR="0091105D" w:rsidRPr="0012760D" w:rsidRDefault="0091105D" w:rsidP="00907E0B">
            <w:pPr>
              <w:jc w:val="right"/>
              <w:rPr>
                <w:sz w:val="24"/>
                <w:szCs w:val="24"/>
              </w:rPr>
            </w:pPr>
            <w:r w:rsidRPr="0012760D">
              <w:rPr>
                <w:sz w:val="24"/>
                <w:szCs w:val="24"/>
              </w:rPr>
              <w:t>2</w:t>
            </w:r>
          </w:p>
        </w:tc>
      </w:tr>
      <w:tr w:rsidR="0091105D" w:rsidRPr="0012760D" w:rsidTr="00907E0B">
        <w:tblPrEx>
          <w:tblCellMar>
            <w:top w:w="0" w:type="dxa"/>
            <w:bottom w:w="0" w:type="dxa"/>
          </w:tblCellMar>
        </w:tblPrEx>
        <w:trPr>
          <w:trHeight w:val="283"/>
        </w:trPr>
        <w:tc>
          <w:tcPr>
            <w:tcW w:w="1338" w:type="pct"/>
            <w:shd w:val="clear" w:color="auto" w:fill="auto"/>
          </w:tcPr>
          <w:p w:rsidR="0091105D" w:rsidRPr="0012760D" w:rsidRDefault="0091105D" w:rsidP="00907E0B">
            <w:pPr>
              <w:rPr>
                <w:sz w:val="24"/>
                <w:szCs w:val="24"/>
              </w:rPr>
            </w:pPr>
            <w:r w:rsidRPr="0012760D">
              <w:rPr>
                <w:sz w:val="24"/>
                <w:szCs w:val="24"/>
              </w:rPr>
              <w:t>$120,000 to $129,999</w:t>
            </w:r>
          </w:p>
        </w:tc>
        <w:tc>
          <w:tcPr>
            <w:tcW w:w="930" w:type="pct"/>
            <w:shd w:val="clear" w:color="auto" w:fill="auto"/>
          </w:tcPr>
          <w:p w:rsidR="0091105D" w:rsidRPr="0012760D" w:rsidRDefault="0091105D" w:rsidP="00907E0B">
            <w:pPr>
              <w:jc w:val="right"/>
              <w:rPr>
                <w:sz w:val="24"/>
                <w:szCs w:val="24"/>
              </w:rPr>
            </w:pPr>
            <w:r w:rsidRPr="0012760D">
              <w:rPr>
                <w:sz w:val="24"/>
                <w:szCs w:val="24"/>
              </w:rPr>
              <w:t>1</w:t>
            </w:r>
          </w:p>
        </w:tc>
        <w:tc>
          <w:tcPr>
            <w:tcW w:w="904" w:type="pct"/>
            <w:shd w:val="clear" w:color="auto" w:fill="auto"/>
          </w:tcPr>
          <w:p w:rsidR="0091105D" w:rsidRPr="0012760D" w:rsidRDefault="0091105D" w:rsidP="00907E0B">
            <w:pPr>
              <w:jc w:val="right"/>
              <w:rPr>
                <w:sz w:val="24"/>
                <w:szCs w:val="24"/>
              </w:rPr>
            </w:pPr>
            <w:r w:rsidRPr="0012760D">
              <w:rPr>
                <w:sz w:val="24"/>
                <w:szCs w:val="24"/>
              </w:rPr>
              <w:t>0</w:t>
            </w:r>
          </w:p>
        </w:tc>
        <w:tc>
          <w:tcPr>
            <w:tcW w:w="913" w:type="pct"/>
            <w:shd w:val="clear" w:color="auto" w:fill="auto"/>
          </w:tcPr>
          <w:p w:rsidR="0091105D" w:rsidRPr="0012760D" w:rsidRDefault="0091105D" w:rsidP="00907E0B">
            <w:pPr>
              <w:jc w:val="right"/>
              <w:rPr>
                <w:sz w:val="24"/>
                <w:szCs w:val="24"/>
              </w:rPr>
            </w:pPr>
            <w:r w:rsidRPr="0012760D">
              <w:rPr>
                <w:sz w:val="24"/>
                <w:szCs w:val="24"/>
              </w:rPr>
              <w:t>0</w:t>
            </w:r>
          </w:p>
        </w:tc>
        <w:tc>
          <w:tcPr>
            <w:tcW w:w="914" w:type="pct"/>
            <w:shd w:val="clear" w:color="auto" w:fill="auto"/>
          </w:tcPr>
          <w:p w:rsidR="0091105D" w:rsidRPr="0012760D" w:rsidRDefault="0091105D" w:rsidP="00907E0B">
            <w:pPr>
              <w:jc w:val="right"/>
              <w:rPr>
                <w:sz w:val="24"/>
                <w:szCs w:val="24"/>
              </w:rPr>
            </w:pPr>
            <w:r w:rsidRPr="0012760D">
              <w:rPr>
                <w:sz w:val="24"/>
                <w:szCs w:val="24"/>
              </w:rPr>
              <w:t>0</w:t>
            </w:r>
          </w:p>
        </w:tc>
      </w:tr>
      <w:tr w:rsidR="0091105D" w:rsidRPr="0012760D" w:rsidTr="00907E0B">
        <w:tblPrEx>
          <w:tblCellMar>
            <w:top w:w="0" w:type="dxa"/>
            <w:bottom w:w="0" w:type="dxa"/>
          </w:tblCellMar>
        </w:tblPrEx>
        <w:trPr>
          <w:trHeight w:val="283"/>
        </w:trPr>
        <w:tc>
          <w:tcPr>
            <w:tcW w:w="1338" w:type="pct"/>
            <w:shd w:val="clear" w:color="auto" w:fill="auto"/>
          </w:tcPr>
          <w:p w:rsidR="0091105D" w:rsidRPr="0012760D" w:rsidRDefault="0091105D" w:rsidP="00907E0B">
            <w:pPr>
              <w:rPr>
                <w:sz w:val="24"/>
                <w:szCs w:val="24"/>
              </w:rPr>
            </w:pPr>
            <w:r w:rsidRPr="0012760D">
              <w:rPr>
                <w:sz w:val="24"/>
                <w:szCs w:val="24"/>
              </w:rPr>
              <w:t>$140,000 to $149,999</w:t>
            </w:r>
          </w:p>
        </w:tc>
        <w:tc>
          <w:tcPr>
            <w:tcW w:w="930" w:type="pct"/>
            <w:shd w:val="clear" w:color="auto" w:fill="auto"/>
          </w:tcPr>
          <w:p w:rsidR="0091105D" w:rsidRPr="0012760D" w:rsidRDefault="0091105D" w:rsidP="00907E0B">
            <w:pPr>
              <w:jc w:val="right"/>
              <w:rPr>
                <w:sz w:val="24"/>
                <w:szCs w:val="24"/>
              </w:rPr>
            </w:pPr>
            <w:r w:rsidRPr="0012760D">
              <w:rPr>
                <w:sz w:val="24"/>
                <w:szCs w:val="24"/>
              </w:rPr>
              <w:t>1</w:t>
            </w:r>
          </w:p>
        </w:tc>
        <w:tc>
          <w:tcPr>
            <w:tcW w:w="904" w:type="pct"/>
            <w:shd w:val="clear" w:color="auto" w:fill="auto"/>
          </w:tcPr>
          <w:p w:rsidR="0091105D" w:rsidRPr="0012760D" w:rsidRDefault="0091105D" w:rsidP="00907E0B">
            <w:pPr>
              <w:jc w:val="right"/>
              <w:rPr>
                <w:sz w:val="24"/>
                <w:szCs w:val="24"/>
              </w:rPr>
            </w:pPr>
            <w:r w:rsidRPr="0012760D">
              <w:rPr>
                <w:sz w:val="24"/>
                <w:szCs w:val="24"/>
              </w:rPr>
              <w:t>1</w:t>
            </w:r>
          </w:p>
        </w:tc>
        <w:tc>
          <w:tcPr>
            <w:tcW w:w="913" w:type="pct"/>
            <w:shd w:val="clear" w:color="auto" w:fill="auto"/>
          </w:tcPr>
          <w:p w:rsidR="0091105D" w:rsidRPr="0012760D" w:rsidRDefault="0091105D" w:rsidP="00907E0B">
            <w:pPr>
              <w:jc w:val="right"/>
              <w:rPr>
                <w:sz w:val="24"/>
                <w:szCs w:val="24"/>
              </w:rPr>
            </w:pPr>
            <w:r w:rsidRPr="0012760D">
              <w:rPr>
                <w:sz w:val="24"/>
                <w:szCs w:val="24"/>
              </w:rPr>
              <w:t>0</w:t>
            </w:r>
          </w:p>
        </w:tc>
        <w:tc>
          <w:tcPr>
            <w:tcW w:w="914" w:type="pct"/>
            <w:shd w:val="clear" w:color="auto" w:fill="auto"/>
          </w:tcPr>
          <w:p w:rsidR="0091105D" w:rsidRPr="0012760D" w:rsidRDefault="0091105D" w:rsidP="00907E0B">
            <w:pPr>
              <w:jc w:val="right"/>
              <w:rPr>
                <w:sz w:val="24"/>
                <w:szCs w:val="24"/>
              </w:rPr>
            </w:pPr>
            <w:r w:rsidRPr="0012760D">
              <w:rPr>
                <w:sz w:val="24"/>
                <w:szCs w:val="24"/>
              </w:rPr>
              <w:t>0</w:t>
            </w:r>
          </w:p>
        </w:tc>
      </w:tr>
      <w:tr w:rsidR="0091105D" w:rsidRPr="0012760D" w:rsidTr="00907E0B">
        <w:tblPrEx>
          <w:tblCellMar>
            <w:top w:w="0" w:type="dxa"/>
            <w:bottom w:w="0" w:type="dxa"/>
          </w:tblCellMar>
        </w:tblPrEx>
        <w:trPr>
          <w:trHeight w:val="283"/>
        </w:trPr>
        <w:tc>
          <w:tcPr>
            <w:tcW w:w="1338" w:type="pct"/>
            <w:shd w:val="clear" w:color="auto" w:fill="auto"/>
          </w:tcPr>
          <w:p w:rsidR="0091105D" w:rsidRPr="0012760D" w:rsidRDefault="0091105D" w:rsidP="00907E0B">
            <w:pPr>
              <w:rPr>
                <w:sz w:val="24"/>
                <w:szCs w:val="24"/>
              </w:rPr>
            </w:pPr>
            <w:r w:rsidRPr="0012760D">
              <w:rPr>
                <w:sz w:val="24"/>
                <w:szCs w:val="24"/>
              </w:rPr>
              <w:t>$150,000 to $159,999</w:t>
            </w:r>
          </w:p>
        </w:tc>
        <w:tc>
          <w:tcPr>
            <w:tcW w:w="930" w:type="pct"/>
            <w:shd w:val="clear" w:color="auto" w:fill="auto"/>
          </w:tcPr>
          <w:p w:rsidR="0091105D" w:rsidRPr="0012760D" w:rsidRDefault="0091105D" w:rsidP="00907E0B">
            <w:pPr>
              <w:jc w:val="right"/>
              <w:rPr>
                <w:sz w:val="24"/>
                <w:szCs w:val="24"/>
              </w:rPr>
            </w:pPr>
            <w:r w:rsidRPr="0012760D">
              <w:rPr>
                <w:sz w:val="24"/>
                <w:szCs w:val="24"/>
              </w:rPr>
              <w:t>1</w:t>
            </w:r>
          </w:p>
        </w:tc>
        <w:tc>
          <w:tcPr>
            <w:tcW w:w="904" w:type="pct"/>
            <w:shd w:val="clear" w:color="auto" w:fill="auto"/>
          </w:tcPr>
          <w:p w:rsidR="0091105D" w:rsidRPr="0012760D" w:rsidRDefault="0091105D" w:rsidP="00907E0B">
            <w:pPr>
              <w:jc w:val="right"/>
              <w:rPr>
                <w:sz w:val="24"/>
                <w:szCs w:val="24"/>
              </w:rPr>
            </w:pPr>
            <w:r w:rsidRPr="0012760D">
              <w:rPr>
                <w:sz w:val="24"/>
                <w:szCs w:val="24"/>
              </w:rPr>
              <w:t>1</w:t>
            </w:r>
          </w:p>
        </w:tc>
        <w:tc>
          <w:tcPr>
            <w:tcW w:w="913" w:type="pct"/>
            <w:shd w:val="clear" w:color="auto" w:fill="auto"/>
          </w:tcPr>
          <w:p w:rsidR="0091105D" w:rsidRPr="0012760D" w:rsidRDefault="0091105D" w:rsidP="00907E0B">
            <w:pPr>
              <w:jc w:val="right"/>
              <w:rPr>
                <w:sz w:val="24"/>
                <w:szCs w:val="24"/>
              </w:rPr>
            </w:pPr>
            <w:r w:rsidRPr="0012760D">
              <w:rPr>
                <w:sz w:val="24"/>
                <w:szCs w:val="24"/>
              </w:rPr>
              <w:t>0</w:t>
            </w:r>
          </w:p>
        </w:tc>
        <w:tc>
          <w:tcPr>
            <w:tcW w:w="914" w:type="pct"/>
            <w:shd w:val="clear" w:color="auto" w:fill="auto"/>
          </w:tcPr>
          <w:p w:rsidR="0091105D" w:rsidRPr="0012760D" w:rsidRDefault="0091105D" w:rsidP="00907E0B">
            <w:pPr>
              <w:jc w:val="right"/>
              <w:rPr>
                <w:sz w:val="24"/>
                <w:szCs w:val="24"/>
              </w:rPr>
            </w:pPr>
            <w:r w:rsidRPr="0012760D">
              <w:rPr>
                <w:sz w:val="24"/>
                <w:szCs w:val="24"/>
              </w:rPr>
              <w:t>0</w:t>
            </w:r>
          </w:p>
        </w:tc>
      </w:tr>
      <w:tr w:rsidR="0091105D" w:rsidRPr="0012760D" w:rsidTr="00907E0B">
        <w:tblPrEx>
          <w:tblCellMar>
            <w:top w:w="0" w:type="dxa"/>
            <w:bottom w:w="0" w:type="dxa"/>
          </w:tblCellMar>
        </w:tblPrEx>
        <w:trPr>
          <w:trHeight w:val="288"/>
        </w:trPr>
        <w:tc>
          <w:tcPr>
            <w:tcW w:w="1338" w:type="pct"/>
            <w:shd w:val="clear" w:color="auto" w:fill="auto"/>
          </w:tcPr>
          <w:p w:rsidR="0091105D" w:rsidRPr="0012760D" w:rsidRDefault="0091105D" w:rsidP="00907E0B">
            <w:pPr>
              <w:rPr>
                <w:sz w:val="24"/>
                <w:szCs w:val="24"/>
              </w:rPr>
            </w:pPr>
            <w:r w:rsidRPr="0012760D">
              <w:rPr>
                <w:sz w:val="24"/>
                <w:szCs w:val="24"/>
              </w:rPr>
              <w:t>$190,000 to $199,999</w:t>
            </w:r>
          </w:p>
        </w:tc>
        <w:tc>
          <w:tcPr>
            <w:tcW w:w="930" w:type="pct"/>
            <w:shd w:val="clear" w:color="auto" w:fill="auto"/>
          </w:tcPr>
          <w:p w:rsidR="0091105D" w:rsidRPr="0012760D" w:rsidRDefault="0091105D" w:rsidP="00907E0B">
            <w:pPr>
              <w:jc w:val="right"/>
              <w:rPr>
                <w:sz w:val="24"/>
                <w:szCs w:val="24"/>
              </w:rPr>
            </w:pPr>
            <w:r w:rsidRPr="0012760D">
              <w:rPr>
                <w:sz w:val="24"/>
                <w:szCs w:val="24"/>
              </w:rPr>
              <w:t>0</w:t>
            </w:r>
          </w:p>
        </w:tc>
        <w:tc>
          <w:tcPr>
            <w:tcW w:w="904" w:type="pct"/>
            <w:shd w:val="clear" w:color="auto" w:fill="auto"/>
          </w:tcPr>
          <w:p w:rsidR="0091105D" w:rsidRPr="0012760D" w:rsidRDefault="0091105D" w:rsidP="00907E0B">
            <w:pPr>
              <w:jc w:val="right"/>
              <w:rPr>
                <w:sz w:val="24"/>
                <w:szCs w:val="24"/>
              </w:rPr>
            </w:pPr>
            <w:r w:rsidRPr="0012760D">
              <w:rPr>
                <w:sz w:val="24"/>
                <w:szCs w:val="24"/>
              </w:rPr>
              <w:t>1</w:t>
            </w:r>
          </w:p>
        </w:tc>
        <w:tc>
          <w:tcPr>
            <w:tcW w:w="913" w:type="pct"/>
            <w:shd w:val="clear" w:color="auto" w:fill="auto"/>
          </w:tcPr>
          <w:p w:rsidR="0091105D" w:rsidRPr="0012760D" w:rsidRDefault="0091105D" w:rsidP="00907E0B">
            <w:pPr>
              <w:jc w:val="right"/>
              <w:rPr>
                <w:sz w:val="24"/>
                <w:szCs w:val="24"/>
              </w:rPr>
            </w:pPr>
            <w:r w:rsidRPr="0012760D">
              <w:rPr>
                <w:sz w:val="24"/>
                <w:szCs w:val="24"/>
              </w:rPr>
              <w:t>0</w:t>
            </w:r>
          </w:p>
        </w:tc>
        <w:tc>
          <w:tcPr>
            <w:tcW w:w="914" w:type="pct"/>
            <w:shd w:val="clear" w:color="auto" w:fill="auto"/>
          </w:tcPr>
          <w:p w:rsidR="0091105D" w:rsidRPr="0012760D" w:rsidRDefault="0091105D" w:rsidP="00907E0B">
            <w:pPr>
              <w:jc w:val="right"/>
              <w:rPr>
                <w:sz w:val="24"/>
                <w:szCs w:val="24"/>
              </w:rPr>
            </w:pPr>
            <w:r w:rsidRPr="0012760D">
              <w:rPr>
                <w:sz w:val="24"/>
                <w:szCs w:val="24"/>
              </w:rPr>
              <w:t>0</w:t>
            </w:r>
          </w:p>
        </w:tc>
      </w:tr>
      <w:tr w:rsidR="0091105D" w:rsidRPr="0012760D" w:rsidTr="00907E0B">
        <w:tblPrEx>
          <w:tblCellMar>
            <w:top w:w="0" w:type="dxa"/>
            <w:bottom w:w="0" w:type="dxa"/>
          </w:tblCellMar>
        </w:tblPrEx>
        <w:trPr>
          <w:trHeight w:val="283"/>
        </w:trPr>
        <w:tc>
          <w:tcPr>
            <w:tcW w:w="1338" w:type="pct"/>
            <w:shd w:val="clear" w:color="auto" w:fill="auto"/>
          </w:tcPr>
          <w:p w:rsidR="0091105D" w:rsidRPr="0012760D" w:rsidRDefault="0091105D" w:rsidP="00907E0B">
            <w:pPr>
              <w:rPr>
                <w:sz w:val="24"/>
                <w:szCs w:val="24"/>
              </w:rPr>
            </w:pPr>
            <w:r w:rsidRPr="0012760D">
              <w:rPr>
                <w:sz w:val="24"/>
                <w:szCs w:val="24"/>
              </w:rPr>
              <w:t>$200,000 to $209,999</w:t>
            </w:r>
          </w:p>
        </w:tc>
        <w:tc>
          <w:tcPr>
            <w:tcW w:w="930" w:type="pct"/>
            <w:shd w:val="clear" w:color="auto" w:fill="auto"/>
          </w:tcPr>
          <w:p w:rsidR="0091105D" w:rsidRPr="0012760D" w:rsidRDefault="0091105D" w:rsidP="00907E0B">
            <w:pPr>
              <w:jc w:val="right"/>
              <w:rPr>
                <w:sz w:val="24"/>
                <w:szCs w:val="24"/>
              </w:rPr>
            </w:pPr>
            <w:r w:rsidRPr="0012760D">
              <w:rPr>
                <w:sz w:val="24"/>
                <w:szCs w:val="24"/>
              </w:rPr>
              <w:t>1</w:t>
            </w:r>
          </w:p>
        </w:tc>
        <w:tc>
          <w:tcPr>
            <w:tcW w:w="904" w:type="pct"/>
            <w:shd w:val="clear" w:color="auto" w:fill="auto"/>
          </w:tcPr>
          <w:p w:rsidR="0091105D" w:rsidRPr="0012760D" w:rsidRDefault="0091105D" w:rsidP="00907E0B">
            <w:pPr>
              <w:jc w:val="right"/>
              <w:rPr>
                <w:sz w:val="24"/>
                <w:szCs w:val="24"/>
              </w:rPr>
            </w:pPr>
            <w:r w:rsidRPr="0012760D">
              <w:rPr>
                <w:sz w:val="24"/>
                <w:szCs w:val="24"/>
              </w:rPr>
              <w:t>0</w:t>
            </w:r>
          </w:p>
        </w:tc>
        <w:tc>
          <w:tcPr>
            <w:tcW w:w="913" w:type="pct"/>
            <w:shd w:val="clear" w:color="auto" w:fill="auto"/>
          </w:tcPr>
          <w:p w:rsidR="0091105D" w:rsidRPr="0012760D" w:rsidRDefault="0091105D" w:rsidP="00907E0B">
            <w:pPr>
              <w:jc w:val="right"/>
              <w:rPr>
                <w:sz w:val="24"/>
                <w:szCs w:val="24"/>
              </w:rPr>
            </w:pPr>
            <w:r w:rsidRPr="0012760D">
              <w:rPr>
                <w:sz w:val="24"/>
                <w:szCs w:val="24"/>
              </w:rPr>
              <w:t>0</w:t>
            </w:r>
          </w:p>
        </w:tc>
        <w:tc>
          <w:tcPr>
            <w:tcW w:w="914" w:type="pct"/>
            <w:shd w:val="clear" w:color="auto" w:fill="auto"/>
          </w:tcPr>
          <w:p w:rsidR="0091105D" w:rsidRPr="0012760D" w:rsidRDefault="0091105D" w:rsidP="00907E0B">
            <w:pPr>
              <w:jc w:val="right"/>
              <w:rPr>
                <w:sz w:val="24"/>
                <w:szCs w:val="24"/>
              </w:rPr>
            </w:pPr>
            <w:r w:rsidRPr="0012760D">
              <w:rPr>
                <w:sz w:val="24"/>
                <w:szCs w:val="24"/>
              </w:rPr>
              <w:t>1</w:t>
            </w:r>
          </w:p>
        </w:tc>
      </w:tr>
      <w:tr w:rsidR="0091105D" w:rsidRPr="0012760D" w:rsidTr="00907E0B">
        <w:tblPrEx>
          <w:tblCellMar>
            <w:top w:w="0" w:type="dxa"/>
            <w:bottom w:w="0" w:type="dxa"/>
          </w:tblCellMar>
        </w:tblPrEx>
        <w:trPr>
          <w:trHeight w:val="278"/>
        </w:trPr>
        <w:tc>
          <w:tcPr>
            <w:tcW w:w="1338" w:type="pct"/>
            <w:shd w:val="clear" w:color="auto" w:fill="auto"/>
          </w:tcPr>
          <w:p w:rsidR="0091105D" w:rsidRPr="0012760D" w:rsidRDefault="0091105D" w:rsidP="00907E0B">
            <w:pPr>
              <w:rPr>
                <w:sz w:val="24"/>
                <w:szCs w:val="24"/>
              </w:rPr>
            </w:pPr>
            <w:r w:rsidRPr="0012760D">
              <w:rPr>
                <w:sz w:val="24"/>
                <w:szCs w:val="24"/>
              </w:rPr>
              <w:lastRenderedPageBreak/>
              <w:t>$210,000 to $219,999</w:t>
            </w:r>
          </w:p>
        </w:tc>
        <w:tc>
          <w:tcPr>
            <w:tcW w:w="930" w:type="pct"/>
            <w:shd w:val="clear" w:color="auto" w:fill="auto"/>
          </w:tcPr>
          <w:p w:rsidR="0091105D" w:rsidRPr="0012760D" w:rsidRDefault="0091105D" w:rsidP="00907E0B">
            <w:pPr>
              <w:jc w:val="right"/>
              <w:rPr>
                <w:sz w:val="24"/>
                <w:szCs w:val="24"/>
              </w:rPr>
            </w:pPr>
            <w:r w:rsidRPr="0012760D">
              <w:rPr>
                <w:sz w:val="24"/>
                <w:szCs w:val="24"/>
              </w:rPr>
              <w:t>0</w:t>
            </w:r>
          </w:p>
        </w:tc>
        <w:tc>
          <w:tcPr>
            <w:tcW w:w="904" w:type="pct"/>
            <w:shd w:val="clear" w:color="auto" w:fill="auto"/>
          </w:tcPr>
          <w:p w:rsidR="0091105D" w:rsidRPr="0012760D" w:rsidRDefault="0091105D" w:rsidP="00907E0B">
            <w:pPr>
              <w:jc w:val="right"/>
              <w:rPr>
                <w:sz w:val="24"/>
                <w:szCs w:val="24"/>
              </w:rPr>
            </w:pPr>
            <w:r w:rsidRPr="0012760D">
              <w:rPr>
                <w:sz w:val="24"/>
                <w:szCs w:val="24"/>
              </w:rPr>
              <w:t>0</w:t>
            </w:r>
          </w:p>
        </w:tc>
        <w:tc>
          <w:tcPr>
            <w:tcW w:w="913" w:type="pct"/>
            <w:shd w:val="clear" w:color="auto" w:fill="auto"/>
          </w:tcPr>
          <w:p w:rsidR="0091105D" w:rsidRPr="0012760D" w:rsidRDefault="0091105D" w:rsidP="00907E0B">
            <w:pPr>
              <w:jc w:val="right"/>
              <w:rPr>
                <w:sz w:val="24"/>
                <w:szCs w:val="24"/>
              </w:rPr>
            </w:pPr>
            <w:r w:rsidRPr="0012760D">
              <w:rPr>
                <w:sz w:val="24"/>
                <w:szCs w:val="24"/>
              </w:rPr>
              <w:t>1</w:t>
            </w:r>
          </w:p>
        </w:tc>
        <w:tc>
          <w:tcPr>
            <w:tcW w:w="914" w:type="pct"/>
            <w:shd w:val="clear" w:color="auto" w:fill="auto"/>
          </w:tcPr>
          <w:p w:rsidR="0091105D" w:rsidRPr="0012760D" w:rsidRDefault="0091105D" w:rsidP="00907E0B">
            <w:pPr>
              <w:jc w:val="right"/>
              <w:rPr>
                <w:sz w:val="24"/>
                <w:szCs w:val="24"/>
              </w:rPr>
            </w:pPr>
            <w:r w:rsidRPr="0012760D">
              <w:rPr>
                <w:sz w:val="24"/>
                <w:szCs w:val="24"/>
              </w:rPr>
              <w:t>0</w:t>
            </w:r>
          </w:p>
        </w:tc>
      </w:tr>
      <w:tr w:rsidR="0091105D" w:rsidRPr="0012760D" w:rsidTr="00907E0B">
        <w:tblPrEx>
          <w:tblCellMar>
            <w:top w:w="0" w:type="dxa"/>
            <w:bottom w:w="0" w:type="dxa"/>
          </w:tblCellMar>
        </w:tblPrEx>
        <w:trPr>
          <w:trHeight w:val="274"/>
        </w:trPr>
        <w:tc>
          <w:tcPr>
            <w:tcW w:w="1338" w:type="pct"/>
            <w:shd w:val="clear" w:color="auto" w:fill="auto"/>
          </w:tcPr>
          <w:p w:rsidR="0091105D" w:rsidRPr="0012760D" w:rsidRDefault="0091105D" w:rsidP="00907E0B">
            <w:pPr>
              <w:rPr>
                <w:sz w:val="24"/>
                <w:szCs w:val="24"/>
              </w:rPr>
            </w:pPr>
            <w:r w:rsidRPr="0012760D">
              <w:rPr>
                <w:bCs/>
                <w:sz w:val="24"/>
                <w:szCs w:val="24"/>
              </w:rPr>
              <w:t>Total numbers</w:t>
            </w:r>
          </w:p>
        </w:tc>
        <w:tc>
          <w:tcPr>
            <w:tcW w:w="930" w:type="pct"/>
            <w:shd w:val="clear" w:color="auto" w:fill="auto"/>
          </w:tcPr>
          <w:p w:rsidR="0091105D" w:rsidRPr="0012760D" w:rsidRDefault="0091105D" w:rsidP="00907E0B">
            <w:pPr>
              <w:jc w:val="right"/>
              <w:rPr>
                <w:sz w:val="24"/>
                <w:szCs w:val="24"/>
              </w:rPr>
            </w:pPr>
            <w:r w:rsidRPr="0012760D">
              <w:rPr>
                <w:bCs/>
                <w:sz w:val="24"/>
                <w:szCs w:val="24"/>
              </w:rPr>
              <w:t>4</w:t>
            </w:r>
          </w:p>
        </w:tc>
        <w:tc>
          <w:tcPr>
            <w:tcW w:w="904" w:type="pct"/>
            <w:shd w:val="clear" w:color="auto" w:fill="auto"/>
          </w:tcPr>
          <w:p w:rsidR="0091105D" w:rsidRPr="0012760D" w:rsidRDefault="0091105D" w:rsidP="00907E0B">
            <w:pPr>
              <w:jc w:val="right"/>
              <w:rPr>
                <w:sz w:val="24"/>
                <w:szCs w:val="24"/>
              </w:rPr>
            </w:pPr>
            <w:r w:rsidRPr="0012760D">
              <w:rPr>
                <w:bCs/>
                <w:sz w:val="24"/>
                <w:szCs w:val="24"/>
              </w:rPr>
              <w:t>4</w:t>
            </w:r>
          </w:p>
        </w:tc>
        <w:tc>
          <w:tcPr>
            <w:tcW w:w="913" w:type="pct"/>
            <w:shd w:val="clear" w:color="auto" w:fill="auto"/>
          </w:tcPr>
          <w:p w:rsidR="0091105D" w:rsidRPr="0012760D" w:rsidRDefault="0091105D" w:rsidP="00907E0B">
            <w:pPr>
              <w:jc w:val="right"/>
              <w:rPr>
                <w:sz w:val="24"/>
                <w:szCs w:val="24"/>
              </w:rPr>
            </w:pPr>
            <w:r w:rsidRPr="0012760D">
              <w:rPr>
                <w:bCs/>
                <w:sz w:val="24"/>
                <w:szCs w:val="24"/>
              </w:rPr>
              <w:t>4</w:t>
            </w:r>
          </w:p>
        </w:tc>
        <w:tc>
          <w:tcPr>
            <w:tcW w:w="914" w:type="pct"/>
            <w:shd w:val="clear" w:color="auto" w:fill="auto"/>
          </w:tcPr>
          <w:p w:rsidR="0091105D" w:rsidRPr="0012760D" w:rsidRDefault="0091105D" w:rsidP="00907E0B">
            <w:pPr>
              <w:jc w:val="right"/>
              <w:rPr>
                <w:sz w:val="24"/>
                <w:szCs w:val="24"/>
              </w:rPr>
            </w:pPr>
            <w:r w:rsidRPr="0012760D">
              <w:rPr>
                <w:bCs/>
                <w:sz w:val="24"/>
                <w:szCs w:val="24"/>
              </w:rPr>
              <w:t>4</w:t>
            </w:r>
          </w:p>
        </w:tc>
      </w:tr>
      <w:tr w:rsidR="0091105D" w:rsidRPr="0012760D" w:rsidTr="00907E0B">
        <w:tblPrEx>
          <w:tblCellMar>
            <w:top w:w="0" w:type="dxa"/>
            <w:bottom w:w="0" w:type="dxa"/>
          </w:tblCellMar>
        </w:tblPrEx>
        <w:trPr>
          <w:trHeight w:val="446"/>
        </w:trPr>
        <w:tc>
          <w:tcPr>
            <w:tcW w:w="1338" w:type="pct"/>
            <w:shd w:val="clear" w:color="auto" w:fill="auto"/>
          </w:tcPr>
          <w:p w:rsidR="0091105D" w:rsidRPr="0012760D" w:rsidRDefault="0091105D" w:rsidP="00907E0B">
            <w:pPr>
              <w:rPr>
                <w:sz w:val="24"/>
                <w:szCs w:val="24"/>
              </w:rPr>
            </w:pPr>
            <w:r w:rsidRPr="0012760D">
              <w:rPr>
                <w:sz w:val="24"/>
                <w:szCs w:val="24"/>
              </w:rPr>
              <w:t>Total annualised employee equivalents (AEE)</w:t>
            </w:r>
          </w:p>
        </w:tc>
        <w:tc>
          <w:tcPr>
            <w:tcW w:w="930" w:type="pct"/>
            <w:shd w:val="clear" w:color="auto" w:fill="auto"/>
          </w:tcPr>
          <w:p w:rsidR="0091105D" w:rsidRPr="0012760D" w:rsidRDefault="0091105D" w:rsidP="00907E0B">
            <w:pPr>
              <w:jc w:val="right"/>
              <w:rPr>
                <w:sz w:val="24"/>
                <w:szCs w:val="24"/>
              </w:rPr>
            </w:pPr>
            <w:r w:rsidRPr="0012760D">
              <w:rPr>
                <w:sz w:val="24"/>
                <w:szCs w:val="24"/>
              </w:rPr>
              <w:t>4.0</w:t>
            </w:r>
          </w:p>
        </w:tc>
        <w:tc>
          <w:tcPr>
            <w:tcW w:w="904" w:type="pct"/>
            <w:shd w:val="clear" w:color="auto" w:fill="auto"/>
          </w:tcPr>
          <w:p w:rsidR="0091105D" w:rsidRPr="0012760D" w:rsidRDefault="0091105D" w:rsidP="00907E0B">
            <w:pPr>
              <w:jc w:val="right"/>
              <w:rPr>
                <w:sz w:val="24"/>
                <w:szCs w:val="24"/>
              </w:rPr>
            </w:pPr>
            <w:r w:rsidRPr="0012760D">
              <w:rPr>
                <w:sz w:val="24"/>
                <w:szCs w:val="24"/>
              </w:rPr>
              <w:t>4.0</w:t>
            </w:r>
          </w:p>
        </w:tc>
        <w:tc>
          <w:tcPr>
            <w:tcW w:w="913" w:type="pct"/>
            <w:shd w:val="clear" w:color="auto" w:fill="auto"/>
          </w:tcPr>
          <w:p w:rsidR="0091105D" w:rsidRPr="0012760D" w:rsidRDefault="0091105D" w:rsidP="00907E0B">
            <w:pPr>
              <w:jc w:val="right"/>
              <w:rPr>
                <w:sz w:val="24"/>
                <w:szCs w:val="24"/>
              </w:rPr>
            </w:pPr>
            <w:r w:rsidRPr="0012760D">
              <w:rPr>
                <w:sz w:val="24"/>
                <w:szCs w:val="24"/>
              </w:rPr>
              <w:t>3.1</w:t>
            </w:r>
          </w:p>
        </w:tc>
        <w:tc>
          <w:tcPr>
            <w:tcW w:w="914" w:type="pct"/>
            <w:shd w:val="clear" w:color="auto" w:fill="auto"/>
          </w:tcPr>
          <w:p w:rsidR="0091105D" w:rsidRPr="0012760D" w:rsidRDefault="0091105D" w:rsidP="00907E0B">
            <w:pPr>
              <w:jc w:val="right"/>
              <w:rPr>
                <w:sz w:val="24"/>
                <w:szCs w:val="24"/>
              </w:rPr>
            </w:pPr>
            <w:r w:rsidRPr="0012760D">
              <w:rPr>
                <w:sz w:val="24"/>
                <w:szCs w:val="24"/>
              </w:rPr>
              <w:t>3.1</w:t>
            </w:r>
          </w:p>
        </w:tc>
      </w:tr>
      <w:tr w:rsidR="0091105D" w:rsidRPr="0012760D" w:rsidTr="00907E0B">
        <w:tblPrEx>
          <w:tblCellMar>
            <w:top w:w="0" w:type="dxa"/>
            <w:bottom w:w="0" w:type="dxa"/>
          </w:tblCellMar>
        </w:tblPrEx>
        <w:trPr>
          <w:trHeight w:val="288"/>
        </w:trPr>
        <w:tc>
          <w:tcPr>
            <w:tcW w:w="1338" w:type="pct"/>
            <w:shd w:val="clear" w:color="auto" w:fill="auto"/>
          </w:tcPr>
          <w:p w:rsidR="0091105D" w:rsidRPr="0012760D" w:rsidRDefault="0091105D" w:rsidP="00907E0B">
            <w:pPr>
              <w:rPr>
                <w:sz w:val="24"/>
                <w:szCs w:val="24"/>
              </w:rPr>
            </w:pPr>
            <w:r w:rsidRPr="0012760D">
              <w:rPr>
                <w:bCs/>
                <w:sz w:val="24"/>
                <w:szCs w:val="24"/>
              </w:rPr>
              <w:t>Total amount</w:t>
            </w:r>
          </w:p>
        </w:tc>
        <w:tc>
          <w:tcPr>
            <w:tcW w:w="930" w:type="pct"/>
            <w:shd w:val="clear" w:color="auto" w:fill="auto"/>
          </w:tcPr>
          <w:p w:rsidR="0091105D" w:rsidRPr="0012760D" w:rsidRDefault="0091105D" w:rsidP="00907E0B">
            <w:pPr>
              <w:jc w:val="right"/>
              <w:rPr>
                <w:sz w:val="24"/>
                <w:szCs w:val="24"/>
              </w:rPr>
            </w:pPr>
            <w:r w:rsidRPr="0012760D">
              <w:rPr>
                <w:bCs/>
                <w:sz w:val="24"/>
                <w:szCs w:val="24"/>
              </w:rPr>
              <w:t>$630,432</w:t>
            </w:r>
          </w:p>
        </w:tc>
        <w:tc>
          <w:tcPr>
            <w:tcW w:w="904" w:type="pct"/>
            <w:shd w:val="clear" w:color="auto" w:fill="auto"/>
          </w:tcPr>
          <w:p w:rsidR="0091105D" w:rsidRPr="0012760D" w:rsidRDefault="0091105D" w:rsidP="00907E0B">
            <w:pPr>
              <w:jc w:val="right"/>
              <w:rPr>
                <w:sz w:val="24"/>
                <w:szCs w:val="24"/>
              </w:rPr>
            </w:pPr>
            <w:r w:rsidRPr="0012760D">
              <w:rPr>
                <w:bCs/>
                <w:sz w:val="24"/>
                <w:szCs w:val="24"/>
              </w:rPr>
              <w:t>$613,122</w:t>
            </w:r>
          </w:p>
        </w:tc>
        <w:tc>
          <w:tcPr>
            <w:tcW w:w="913" w:type="pct"/>
            <w:shd w:val="clear" w:color="auto" w:fill="auto"/>
          </w:tcPr>
          <w:p w:rsidR="0091105D" w:rsidRPr="0012760D" w:rsidRDefault="0091105D" w:rsidP="00907E0B">
            <w:pPr>
              <w:jc w:val="right"/>
              <w:rPr>
                <w:sz w:val="24"/>
                <w:szCs w:val="24"/>
              </w:rPr>
            </w:pPr>
            <w:r w:rsidRPr="0012760D">
              <w:rPr>
                <w:bCs/>
                <w:sz w:val="24"/>
                <w:szCs w:val="24"/>
              </w:rPr>
              <w:t>$558,867</w:t>
            </w:r>
          </w:p>
        </w:tc>
        <w:tc>
          <w:tcPr>
            <w:tcW w:w="914" w:type="pct"/>
            <w:shd w:val="clear" w:color="auto" w:fill="auto"/>
          </w:tcPr>
          <w:p w:rsidR="0091105D" w:rsidRPr="0012760D" w:rsidRDefault="0091105D" w:rsidP="00907E0B">
            <w:pPr>
              <w:jc w:val="right"/>
              <w:rPr>
                <w:sz w:val="24"/>
                <w:szCs w:val="24"/>
              </w:rPr>
            </w:pPr>
            <w:r w:rsidRPr="0012760D">
              <w:rPr>
                <w:bCs/>
                <w:sz w:val="24"/>
                <w:szCs w:val="24"/>
              </w:rPr>
              <w:t>$539,939</w:t>
            </w:r>
          </w:p>
        </w:tc>
      </w:tr>
    </w:tbl>
    <w:p w:rsidR="0091105D" w:rsidRDefault="0091105D" w:rsidP="0091105D">
      <w:pPr>
        <w:rPr>
          <w:bCs/>
          <w:sz w:val="24"/>
          <w:szCs w:val="24"/>
        </w:rPr>
      </w:pPr>
    </w:p>
    <w:p w:rsidR="00C16B42" w:rsidRPr="0012760D" w:rsidRDefault="00C16B42" w:rsidP="0091105D">
      <w:pPr>
        <w:rPr>
          <w:bCs/>
          <w:sz w:val="24"/>
          <w:szCs w:val="24"/>
        </w:rPr>
      </w:pPr>
    </w:p>
    <w:p w:rsidR="0091105D" w:rsidRDefault="0091105D" w:rsidP="00C16B42">
      <w:pPr>
        <w:pStyle w:val="Heading2"/>
      </w:pPr>
      <w:r w:rsidRPr="0012760D">
        <w:t>22. Auditor</w:t>
      </w:r>
      <w:r w:rsidR="00907E0B" w:rsidRPr="0012760D">
        <w:t>'</w:t>
      </w:r>
      <w:r w:rsidRPr="0012760D">
        <w:t>s Remuneration</w:t>
      </w:r>
    </w:p>
    <w:p w:rsidR="00C16B42" w:rsidRPr="0012760D" w:rsidRDefault="00C16B42" w:rsidP="0091105D">
      <w:pPr>
        <w:rPr>
          <w:sz w:val="24"/>
          <w:szCs w:val="24"/>
        </w:rPr>
      </w:pPr>
    </w:p>
    <w:p w:rsidR="0091105D" w:rsidRPr="0012760D" w:rsidRDefault="0091105D" w:rsidP="0091105D">
      <w:pPr>
        <w:rPr>
          <w:sz w:val="24"/>
          <w:szCs w:val="24"/>
        </w:rPr>
      </w:pPr>
      <w:r w:rsidRPr="0012760D">
        <w:rPr>
          <w:sz w:val="24"/>
          <w:szCs w:val="24"/>
        </w:rPr>
        <w:t>Amounts paid or payable to the Victorian Auditor-General</w:t>
      </w:r>
      <w:r w:rsidR="00907E0B" w:rsidRPr="0012760D">
        <w:rPr>
          <w:sz w:val="24"/>
          <w:szCs w:val="24"/>
        </w:rPr>
        <w:t>'</w:t>
      </w:r>
      <w:r w:rsidRPr="0012760D">
        <w:rPr>
          <w:sz w:val="24"/>
          <w:szCs w:val="24"/>
        </w:rPr>
        <w:t>s Office for the financial audit of the accounts:</w:t>
      </w:r>
    </w:p>
    <w:p w:rsidR="0091105D" w:rsidRPr="0012760D" w:rsidRDefault="0091105D" w:rsidP="0091105D">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5183"/>
        <w:gridCol w:w="1893"/>
        <w:gridCol w:w="2033"/>
      </w:tblGrid>
      <w:tr w:rsidR="0091105D" w:rsidRPr="0012760D" w:rsidTr="00907E0B">
        <w:tblPrEx>
          <w:tblCellMar>
            <w:top w:w="0" w:type="dxa"/>
            <w:bottom w:w="0" w:type="dxa"/>
          </w:tblCellMar>
        </w:tblPrEx>
        <w:trPr>
          <w:trHeight w:val="259"/>
        </w:trPr>
        <w:tc>
          <w:tcPr>
            <w:tcW w:w="2845" w:type="pct"/>
            <w:shd w:val="clear" w:color="auto" w:fill="auto"/>
          </w:tcPr>
          <w:p w:rsidR="0091105D" w:rsidRPr="0012760D" w:rsidRDefault="0091105D" w:rsidP="00907E0B">
            <w:pPr>
              <w:rPr>
                <w:sz w:val="24"/>
                <w:szCs w:val="24"/>
              </w:rPr>
            </w:pPr>
          </w:p>
        </w:tc>
        <w:tc>
          <w:tcPr>
            <w:tcW w:w="1039" w:type="pct"/>
            <w:shd w:val="clear" w:color="auto" w:fill="auto"/>
          </w:tcPr>
          <w:p w:rsidR="0091105D" w:rsidRPr="0012760D" w:rsidRDefault="0091105D" w:rsidP="00907E0B">
            <w:pPr>
              <w:jc w:val="right"/>
              <w:rPr>
                <w:sz w:val="24"/>
                <w:szCs w:val="24"/>
              </w:rPr>
            </w:pPr>
            <w:r w:rsidRPr="0012760D">
              <w:rPr>
                <w:bCs/>
                <w:sz w:val="24"/>
                <w:szCs w:val="24"/>
              </w:rPr>
              <w:t>2013 $</w:t>
            </w:r>
          </w:p>
        </w:tc>
        <w:tc>
          <w:tcPr>
            <w:tcW w:w="1116" w:type="pct"/>
            <w:shd w:val="clear" w:color="auto" w:fill="auto"/>
          </w:tcPr>
          <w:p w:rsidR="0091105D" w:rsidRPr="0012760D" w:rsidRDefault="0091105D" w:rsidP="00907E0B">
            <w:pPr>
              <w:jc w:val="right"/>
              <w:rPr>
                <w:sz w:val="24"/>
                <w:szCs w:val="24"/>
              </w:rPr>
            </w:pPr>
            <w:r w:rsidRPr="0012760D">
              <w:rPr>
                <w:bCs/>
                <w:sz w:val="24"/>
                <w:szCs w:val="24"/>
              </w:rPr>
              <w:t>2012 $</w:t>
            </w:r>
          </w:p>
        </w:tc>
      </w:tr>
      <w:tr w:rsidR="0091105D" w:rsidRPr="0012760D" w:rsidTr="00907E0B">
        <w:tblPrEx>
          <w:tblCellMar>
            <w:top w:w="0" w:type="dxa"/>
            <w:bottom w:w="0" w:type="dxa"/>
          </w:tblCellMar>
        </w:tblPrEx>
        <w:trPr>
          <w:trHeight w:val="288"/>
        </w:trPr>
        <w:tc>
          <w:tcPr>
            <w:tcW w:w="2845" w:type="pct"/>
            <w:shd w:val="clear" w:color="auto" w:fill="auto"/>
          </w:tcPr>
          <w:p w:rsidR="0091105D" w:rsidRPr="0012760D" w:rsidRDefault="0091105D" w:rsidP="00907E0B">
            <w:pPr>
              <w:rPr>
                <w:sz w:val="24"/>
                <w:szCs w:val="24"/>
              </w:rPr>
            </w:pPr>
            <w:r w:rsidRPr="0012760D">
              <w:rPr>
                <w:bCs/>
                <w:sz w:val="24"/>
                <w:szCs w:val="24"/>
              </w:rPr>
              <w:t>Audit fee</w:t>
            </w:r>
          </w:p>
        </w:tc>
        <w:tc>
          <w:tcPr>
            <w:tcW w:w="1039" w:type="pct"/>
            <w:shd w:val="clear" w:color="auto" w:fill="auto"/>
          </w:tcPr>
          <w:p w:rsidR="0091105D" w:rsidRPr="0012760D" w:rsidRDefault="0091105D" w:rsidP="00907E0B">
            <w:pPr>
              <w:jc w:val="right"/>
              <w:rPr>
                <w:sz w:val="24"/>
                <w:szCs w:val="24"/>
              </w:rPr>
            </w:pPr>
            <w:r w:rsidRPr="0012760D">
              <w:rPr>
                <w:bCs/>
                <w:sz w:val="24"/>
                <w:szCs w:val="24"/>
              </w:rPr>
              <w:t>25,575</w:t>
            </w:r>
          </w:p>
        </w:tc>
        <w:tc>
          <w:tcPr>
            <w:tcW w:w="1116" w:type="pct"/>
            <w:shd w:val="clear" w:color="auto" w:fill="auto"/>
          </w:tcPr>
          <w:p w:rsidR="0091105D" w:rsidRPr="0012760D" w:rsidRDefault="0091105D" w:rsidP="00907E0B">
            <w:pPr>
              <w:jc w:val="right"/>
              <w:rPr>
                <w:sz w:val="24"/>
                <w:szCs w:val="24"/>
              </w:rPr>
            </w:pPr>
            <w:r w:rsidRPr="0012760D">
              <w:rPr>
                <w:bCs/>
                <w:sz w:val="24"/>
                <w:szCs w:val="24"/>
              </w:rPr>
              <w:t>24,850</w:t>
            </w:r>
          </w:p>
        </w:tc>
      </w:tr>
    </w:tbl>
    <w:p w:rsidR="00304A9D" w:rsidRPr="0012760D" w:rsidRDefault="00304A9D" w:rsidP="0078679E">
      <w:pPr>
        <w:rPr>
          <w:sz w:val="24"/>
          <w:szCs w:val="24"/>
        </w:rPr>
        <w:sectPr w:rsidR="00304A9D" w:rsidRPr="0012760D" w:rsidSect="00B42166">
          <w:pgSz w:w="11909" w:h="16834"/>
          <w:pgMar w:top="1440" w:right="1440" w:bottom="1440" w:left="1440" w:header="720" w:footer="720" w:gutter="0"/>
          <w:cols w:space="720"/>
          <w:noEndnote/>
        </w:sectPr>
      </w:pPr>
    </w:p>
    <w:p w:rsidR="00304A9D" w:rsidRDefault="00304A9D" w:rsidP="00304A9D">
      <w:pPr>
        <w:rPr>
          <w:bCs/>
          <w:sz w:val="24"/>
          <w:szCs w:val="24"/>
        </w:rPr>
      </w:pPr>
      <w:r w:rsidRPr="0012760D">
        <w:rPr>
          <w:bCs/>
          <w:sz w:val="24"/>
          <w:szCs w:val="24"/>
        </w:rPr>
        <w:lastRenderedPageBreak/>
        <w:t>&lt;pp&gt; 48</w:t>
      </w:r>
    </w:p>
    <w:p w:rsidR="00C16B42" w:rsidRDefault="00C16B42" w:rsidP="00304A9D">
      <w:pPr>
        <w:rPr>
          <w:bCs/>
          <w:sz w:val="24"/>
          <w:szCs w:val="24"/>
        </w:rPr>
      </w:pPr>
    </w:p>
    <w:p w:rsidR="00C16B42" w:rsidRPr="0012760D" w:rsidRDefault="00C16B42" w:rsidP="00304A9D">
      <w:pPr>
        <w:rPr>
          <w:sz w:val="24"/>
          <w:szCs w:val="24"/>
        </w:rPr>
      </w:pPr>
    </w:p>
    <w:p w:rsidR="00304A9D" w:rsidRDefault="00304A9D" w:rsidP="00C16B42">
      <w:pPr>
        <w:pStyle w:val="Heading2"/>
      </w:pPr>
      <w:r w:rsidRPr="0012760D">
        <w:t>23. Financial Instruments</w:t>
      </w:r>
    </w:p>
    <w:p w:rsidR="00C16B42" w:rsidRPr="0012760D" w:rsidRDefault="00C16B42" w:rsidP="00304A9D">
      <w:pPr>
        <w:rPr>
          <w:sz w:val="24"/>
          <w:szCs w:val="24"/>
        </w:rPr>
      </w:pPr>
    </w:p>
    <w:p w:rsidR="00304A9D" w:rsidRDefault="00304A9D" w:rsidP="00C16B42">
      <w:pPr>
        <w:pStyle w:val="Heading3"/>
      </w:pPr>
      <w:r w:rsidRPr="0012760D">
        <w:t>(a) Terms, Conditions and Accounting Policies</w:t>
      </w:r>
    </w:p>
    <w:p w:rsidR="00C16B42" w:rsidRPr="0012760D" w:rsidRDefault="00C16B42" w:rsidP="00304A9D">
      <w:pPr>
        <w:rPr>
          <w:sz w:val="24"/>
          <w:szCs w:val="24"/>
        </w:rPr>
      </w:pPr>
    </w:p>
    <w:p w:rsidR="00304A9D" w:rsidRPr="0012760D" w:rsidRDefault="00304A9D" w:rsidP="00304A9D">
      <w:pPr>
        <w:rPr>
          <w:sz w:val="24"/>
          <w:szCs w:val="24"/>
        </w:rPr>
      </w:pPr>
      <w:r w:rsidRPr="0012760D">
        <w:rPr>
          <w:sz w:val="24"/>
          <w:szCs w:val="24"/>
        </w:rPr>
        <w:t>Sustainability Victoria's accounting policies, including the terms and conditions of each class of financial asset and financial liability, recognised at balance date, are as follows:</w:t>
      </w:r>
    </w:p>
    <w:p w:rsidR="00304A9D" w:rsidRPr="0012760D" w:rsidRDefault="00304A9D" w:rsidP="00304A9D">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2902"/>
        <w:gridCol w:w="6007"/>
        <w:gridCol w:w="5125"/>
      </w:tblGrid>
      <w:tr w:rsidR="00304A9D" w:rsidRPr="0012760D" w:rsidTr="00907E0B">
        <w:tblPrEx>
          <w:tblCellMar>
            <w:top w:w="0" w:type="dxa"/>
            <w:bottom w:w="0" w:type="dxa"/>
          </w:tblCellMar>
        </w:tblPrEx>
        <w:tc>
          <w:tcPr>
            <w:tcW w:w="1034" w:type="pct"/>
            <w:shd w:val="clear" w:color="auto" w:fill="auto"/>
          </w:tcPr>
          <w:p w:rsidR="00304A9D" w:rsidRPr="0012760D" w:rsidRDefault="00304A9D" w:rsidP="00907E0B">
            <w:pPr>
              <w:rPr>
                <w:sz w:val="24"/>
                <w:szCs w:val="24"/>
              </w:rPr>
            </w:pPr>
            <w:r w:rsidRPr="0012760D">
              <w:rPr>
                <w:bCs/>
                <w:sz w:val="24"/>
                <w:szCs w:val="24"/>
              </w:rPr>
              <w:t>Recognised financial instruments</w:t>
            </w:r>
          </w:p>
        </w:tc>
        <w:tc>
          <w:tcPr>
            <w:tcW w:w="2140" w:type="pct"/>
            <w:shd w:val="clear" w:color="auto" w:fill="auto"/>
          </w:tcPr>
          <w:p w:rsidR="00304A9D" w:rsidRPr="0012760D" w:rsidRDefault="00304A9D" w:rsidP="00907E0B">
            <w:pPr>
              <w:rPr>
                <w:sz w:val="24"/>
                <w:szCs w:val="24"/>
              </w:rPr>
            </w:pPr>
            <w:r w:rsidRPr="0012760D">
              <w:rPr>
                <w:bCs/>
                <w:sz w:val="24"/>
                <w:szCs w:val="24"/>
              </w:rPr>
              <w:t>Accounting policies</w:t>
            </w:r>
          </w:p>
        </w:tc>
        <w:tc>
          <w:tcPr>
            <w:tcW w:w="1826" w:type="pct"/>
            <w:shd w:val="clear" w:color="auto" w:fill="auto"/>
          </w:tcPr>
          <w:p w:rsidR="00304A9D" w:rsidRPr="0012760D" w:rsidRDefault="00304A9D" w:rsidP="00907E0B">
            <w:pPr>
              <w:rPr>
                <w:sz w:val="24"/>
                <w:szCs w:val="24"/>
              </w:rPr>
            </w:pPr>
            <w:r w:rsidRPr="0012760D">
              <w:rPr>
                <w:bCs/>
                <w:sz w:val="24"/>
                <w:szCs w:val="24"/>
              </w:rPr>
              <w:t>Terms and conditions</w:t>
            </w:r>
          </w:p>
        </w:tc>
      </w:tr>
      <w:tr w:rsidR="00304A9D" w:rsidRPr="0012760D" w:rsidTr="00907E0B">
        <w:tblPrEx>
          <w:tblCellMar>
            <w:top w:w="0" w:type="dxa"/>
            <w:bottom w:w="0" w:type="dxa"/>
          </w:tblCellMar>
        </w:tblPrEx>
        <w:tc>
          <w:tcPr>
            <w:tcW w:w="5000" w:type="pct"/>
            <w:gridSpan w:val="3"/>
            <w:shd w:val="clear" w:color="auto" w:fill="auto"/>
          </w:tcPr>
          <w:p w:rsidR="00304A9D" w:rsidRPr="0012760D" w:rsidRDefault="00304A9D" w:rsidP="00907E0B">
            <w:pPr>
              <w:rPr>
                <w:sz w:val="24"/>
                <w:szCs w:val="24"/>
              </w:rPr>
            </w:pPr>
            <w:r w:rsidRPr="0012760D">
              <w:rPr>
                <w:bCs/>
                <w:sz w:val="24"/>
                <w:szCs w:val="24"/>
              </w:rPr>
              <w:t>Financial assets</w:t>
            </w:r>
          </w:p>
        </w:tc>
      </w:tr>
      <w:tr w:rsidR="00304A9D" w:rsidRPr="0012760D" w:rsidTr="00907E0B">
        <w:tblPrEx>
          <w:tblCellMar>
            <w:top w:w="0" w:type="dxa"/>
            <w:bottom w:w="0" w:type="dxa"/>
          </w:tblCellMar>
        </w:tblPrEx>
        <w:tc>
          <w:tcPr>
            <w:tcW w:w="1034" w:type="pct"/>
            <w:shd w:val="clear" w:color="auto" w:fill="auto"/>
          </w:tcPr>
          <w:p w:rsidR="00304A9D" w:rsidRPr="0012760D" w:rsidRDefault="00304A9D" w:rsidP="00907E0B">
            <w:pPr>
              <w:rPr>
                <w:sz w:val="24"/>
                <w:szCs w:val="24"/>
              </w:rPr>
            </w:pPr>
            <w:r w:rsidRPr="0012760D">
              <w:rPr>
                <w:sz w:val="24"/>
                <w:szCs w:val="24"/>
              </w:rPr>
              <w:t>Cash Assets</w:t>
            </w:r>
          </w:p>
        </w:tc>
        <w:tc>
          <w:tcPr>
            <w:tcW w:w="2140" w:type="pct"/>
            <w:shd w:val="clear" w:color="auto" w:fill="auto"/>
          </w:tcPr>
          <w:p w:rsidR="00304A9D" w:rsidRPr="0012760D" w:rsidRDefault="00304A9D" w:rsidP="00907E0B">
            <w:pPr>
              <w:rPr>
                <w:sz w:val="24"/>
                <w:szCs w:val="24"/>
              </w:rPr>
            </w:pPr>
            <w:r w:rsidRPr="0012760D">
              <w:rPr>
                <w:sz w:val="24"/>
                <w:szCs w:val="24"/>
              </w:rPr>
              <w:t>Cash assets include cash on hand, cash at bank, deposits at call and short-term fixed deposits which are readily convertible to cash and are subject to insignificant risk of changes to money values. surplus funds that are not required to meet the day to day obligations of Sustainability Victoria are placed with Treasury Corporation of Victoria. Interest on the funds is brought to account and reported when earned.</w:t>
            </w:r>
          </w:p>
        </w:tc>
        <w:tc>
          <w:tcPr>
            <w:tcW w:w="1826" w:type="pct"/>
            <w:shd w:val="clear" w:color="auto" w:fill="auto"/>
          </w:tcPr>
          <w:p w:rsidR="00304A9D" w:rsidRPr="0012760D" w:rsidRDefault="00304A9D" w:rsidP="00907E0B">
            <w:pPr>
              <w:rPr>
                <w:sz w:val="24"/>
                <w:szCs w:val="24"/>
              </w:rPr>
            </w:pPr>
            <w:r w:rsidRPr="0012760D">
              <w:rPr>
                <w:sz w:val="24"/>
                <w:szCs w:val="24"/>
              </w:rPr>
              <w:t>Cash on hand, cash at bank and funds at call are used to meet the day to day obligations of Sustainability Victoria as required.</w:t>
            </w:r>
          </w:p>
        </w:tc>
      </w:tr>
      <w:tr w:rsidR="00304A9D" w:rsidRPr="0012760D" w:rsidTr="00907E0B">
        <w:tblPrEx>
          <w:tblCellMar>
            <w:top w:w="0" w:type="dxa"/>
            <w:bottom w:w="0" w:type="dxa"/>
          </w:tblCellMar>
        </w:tblPrEx>
        <w:tc>
          <w:tcPr>
            <w:tcW w:w="1034" w:type="pct"/>
            <w:shd w:val="clear" w:color="auto" w:fill="auto"/>
          </w:tcPr>
          <w:p w:rsidR="00304A9D" w:rsidRPr="0012760D" w:rsidRDefault="00304A9D" w:rsidP="00907E0B">
            <w:pPr>
              <w:rPr>
                <w:sz w:val="24"/>
                <w:szCs w:val="24"/>
              </w:rPr>
            </w:pPr>
            <w:r w:rsidRPr="0012760D">
              <w:rPr>
                <w:sz w:val="24"/>
                <w:szCs w:val="24"/>
              </w:rPr>
              <w:t>Receivables</w:t>
            </w:r>
          </w:p>
        </w:tc>
        <w:tc>
          <w:tcPr>
            <w:tcW w:w="2140" w:type="pct"/>
            <w:shd w:val="clear" w:color="auto" w:fill="auto"/>
          </w:tcPr>
          <w:p w:rsidR="00304A9D" w:rsidRPr="0012760D" w:rsidRDefault="00304A9D" w:rsidP="00907E0B">
            <w:pPr>
              <w:rPr>
                <w:sz w:val="24"/>
                <w:szCs w:val="24"/>
              </w:rPr>
            </w:pPr>
            <w:r w:rsidRPr="0012760D">
              <w:rPr>
                <w:sz w:val="24"/>
                <w:szCs w:val="24"/>
              </w:rPr>
              <w:t>Trade receivables are carried at normal amounts due. A provision is recognised when collection of the full amount is no longer probable.</w:t>
            </w:r>
          </w:p>
        </w:tc>
        <w:tc>
          <w:tcPr>
            <w:tcW w:w="1826" w:type="pct"/>
            <w:shd w:val="clear" w:color="auto" w:fill="auto"/>
          </w:tcPr>
          <w:p w:rsidR="00304A9D" w:rsidRPr="0012760D" w:rsidRDefault="00304A9D" w:rsidP="00907E0B">
            <w:pPr>
              <w:rPr>
                <w:sz w:val="24"/>
                <w:szCs w:val="24"/>
              </w:rPr>
            </w:pPr>
            <w:r w:rsidRPr="0012760D">
              <w:rPr>
                <w:sz w:val="24"/>
                <w:szCs w:val="24"/>
              </w:rPr>
              <w:t>Credit sales are 30 days terms.</w:t>
            </w:r>
          </w:p>
        </w:tc>
      </w:tr>
      <w:tr w:rsidR="00304A9D" w:rsidRPr="0012760D" w:rsidTr="00907E0B">
        <w:tblPrEx>
          <w:tblCellMar>
            <w:top w:w="0" w:type="dxa"/>
            <w:bottom w:w="0" w:type="dxa"/>
          </w:tblCellMar>
        </w:tblPrEx>
        <w:tc>
          <w:tcPr>
            <w:tcW w:w="5000" w:type="pct"/>
            <w:gridSpan w:val="3"/>
            <w:shd w:val="clear" w:color="auto" w:fill="auto"/>
          </w:tcPr>
          <w:p w:rsidR="00304A9D" w:rsidRPr="0012760D" w:rsidRDefault="00304A9D" w:rsidP="00907E0B">
            <w:pPr>
              <w:rPr>
                <w:sz w:val="24"/>
                <w:szCs w:val="24"/>
              </w:rPr>
            </w:pPr>
            <w:r w:rsidRPr="0012760D">
              <w:rPr>
                <w:bCs/>
                <w:sz w:val="24"/>
                <w:szCs w:val="24"/>
              </w:rPr>
              <w:t>Financial Liabilities</w:t>
            </w:r>
          </w:p>
        </w:tc>
      </w:tr>
      <w:tr w:rsidR="00304A9D" w:rsidRPr="0012760D" w:rsidTr="00907E0B">
        <w:tblPrEx>
          <w:tblCellMar>
            <w:top w:w="0" w:type="dxa"/>
            <w:bottom w:w="0" w:type="dxa"/>
          </w:tblCellMar>
        </w:tblPrEx>
        <w:tc>
          <w:tcPr>
            <w:tcW w:w="1034" w:type="pct"/>
            <w:shd w:val="clear" w:color="auto" w:fill="auto"/>
          </w:tcPr>
          <w:p w:rsidR="00304A9D" w:rsidRPr="0012760D" w:rsidRDefault="00304A9D" w:rsidP="00907E0B">
            <w:pPr>
              <w:rPr>
                <w:sz w:val="24"/>
                <w:szCs w:val="24"/>
              </w:rPr>
            </w:pPr>
            <w:r w:rsidRPr="0012760D">
              <w:rPr>
                <w:sz w:val="24"/>
                <w:szCs w:val="24"/>
              </w:rPr>
              <w:t>Payables</w:t>
            </w:r>
          </w:p>
        </w:tc>
        <w:tc>
          <w:tcPr>
            <w:tcW w:w="2140" w:type="pct"/>
            <w:shd w:val="clear" w:color="auto" w:fill="auto"/>
          </w:tcPr>
          <w:p w:rsidR="00304A9D" w:rsidRPr="0012760D" w:rsidRDefault="00304A9D" w:rsidP="00907E0B">
            <w:pPr>
              <w:rPr>
                <w:sz w:val="24"/>
                <w:szCs w:val="24"/>
              </w:rPr>
            </w:pPr>
            <w:r w:rsidRPr="0012760D">
              <w:rPr>
                <w:sz w:val="24"/>
                <w:szCs w:val="24"/>
              </w:rPr>
              <w:t>Liabilities are recognised for amounts to be paid in the future for goods and services received, whether or not billed to Sustainability Victoria.</w:t>
            </w:r>
          </w:p>
        </w:tc>
        <w:tc>
          <w:tcPr>
            <w:tcW w:w="1826" w:type="pct"/>
            <w:shd w:val="clear" w:color="auto" w:fill="auto"/>
          </w:tcPr>
          <w:p w:rsidR="00304A9D" w:rsidRPr="0012760D" w:rsidRDefault="00304A9D" w:rsidP="00907E0B">
            <w:pPr>
              <w:rPr>
                <w:sz w:val="24"/>
                <w:szCs w:val="24"/>
              </w:rPr>
            </w:pPr>
            <w:r w:rsidRPr="0012760D">
              <w:rPr>
                <w:sz w:val="24"/>
                <w:szCs w:val="24"/>
              </w:rPr>
              <w:t>Trade liabilities are settled on Government 30 day terms.</w:t>
            </w:r>
          </w:p>
        </w:tc>
      </w:tr>
      <w:tr w:rsidR="00304A9D" w:rsidRPr="0012760D" w:rsidTr="00907E0B">
        <w:tblPrEx>
          <w:tblCellMar>
            <w:top w:w="0" w:type="dxa"/>
            <w:bottom w:w="0" w:type="dxa"/>
          </w:tblCellMar>
        </w:tblPrEx>
        <w:tc>
          <w:tcPr>
            <w:tcW w:w="1034" w:type="pct"/>
            <w:shd w:val="clear" w:color="auto" w:fill="auto"/>
          </w:tcPr>
          <w:p w:rsidR="00304A9D" w:rsidRPr="0012760D" w:rsidRDefault="00304A9D" w:rsidP="00907E0B">
            <w:pPr>
              <w:rPr>
                <w:sz w:val="24"/>
                <w:szCs w:val="24"/>
              </w:rPr>
            </w:pPr>
            <w:r w:rsidRPr="0012760D">
              <w:rPr>
                <w:sz w:val="24"/>
                <w:szCs w:val="24"/>
              </w:rPr>
              <w:t>Finance Leases</w:t>
            </w:r>
          </w:p>
        </w:tc>
        <w:tc>
          <w:tcPr>
            <w:tcW w:w="2140" w:type="pct"/>
            <w:shd w:val="clear" w:color="auto" w:fill="auto"/>
          </w:tcPr>
          <w:p w:rsidR="00304A9D" w:rsidRPr="0012760D" w:rsidRDefault="00304A9D" w:rsidP="00907E0B">
            <w:pPr>
              <w:rPr>
                <w:sz w:val="24"/>
                <w:szCs w:val="24"/>
              </w:rPr>
            </w:pPr>
            <w:r w:rsidRPr="0012760D">
              <w:rPr>
                <w:sz w:val="24"/>
                <w:szCs w:val="24"/>
              </w:rPr>
              <w:t>Finance lease liabilities are recognised for amounts to be paid in the future for motor vehicle lease contracts.</w:t>
            </w:r>
          </w:p>
        </w:tc>
        <w:tc>
          <w:tcPr>
            <w:tcW w:w="1826" w:type="pct"/>
            <w:shd w:val="clear" w:color="auto" w:fill="auto"/>
          </w:tcPr>
          <w:p w:rsidR="00304A9D" w:rsidRPr="0012760D" w:rsidRDefault="00304A9D" w:rsidP="00907E0B">
            <w:pPr>
              <w:rPr>
                <w:sz w:val="24"/>
                <w:szCs w:val="24"/>
              </w:rPr>
            </w:pPr>
            <w:r w:rsidRPr="0012760D">
              <w:rPr>
                <w:sz w:val="24"/>
                <w:szCs w:val="24"/>
              </w:rPr>
              <w:t>Finance leases are settled by monthly direct bank debit over the period of the lease.</w:t>
            </w:r>
          </w:p>
        </w:tc>
      </w:tr>
    </w:tbl>
    <w:p w:rsidR="00304A9D" w:rsidRDefault="00304A9D" w:rsidP="00304A9D">
      <w:pPr>
        <w:rPr>
          <w:bCs/>
          <w:sz w:val="24"/>
          <w:szCs w:val="24"/>
        </w:rPr>
      </w:pPr>
    </w:p>
    <w:p w:rsidR="00C16B42" w:rsidRPr="0012760D" w:rsidRDefault="00C16B42" w:rsidP="00304A9D">
      <w:pPr>
        <w:rPr>
          <w:bCs/>
          <w:sz w:val="24"/>
          <w:szCs w:val="24"/>
        </w:rPr>
      </w:pPr>
    </w:p>
    <w:p w:rsidR="00304A9D" w:rsidRDefault="00304A9D" w:rsidP="00C16B42">
      <w:pPr>
        <w:pStyle w:val="Heading3"/>
      </w:pPr>
      <w:r w:rsidRPr="0012760D">
        <w:t>(b) Interest Rate Risk Including Exposure</w:t>
      </w:r>
    </w:p>
    <w:p w:rsidR="00C16B42" w:rsidRPr="0012760D" w:rsidRDefault="00C16B42" w:rsidP="00304A9D">
      <w:pPr>
        <w:rPr>
          <w:sz w:val="24"/>
          <w:szCs w:val="24"/>
        </w:rPr>
      </w:pPr>
    </w:p>
    <w:p w:rsidR="00304A9D" w:rsidRDefault="00304A9D" w:rsidP="00304A9D">
      <w:pPr>
        <w:rPr>
          <w:sz w:val="24"/>
          <w:szCs w:val="24"/>
        </w:rPr>
      </w:pPr>
      <w:r w:rsidRPr="0012760D">
        <w:rPr>
          <w:sz w:val="24"/>
          <w:szCs w:val="24"/>
        </w:rPr>
        <w:t>Sustainability Victoria's exposure to interest rate risk and ageing analysis of financial assets and financial liabilities, recognised at balance date, are as follows:</w:t>
      </w:r>
    </w:p>
    <w:p w:rsidR="00C16B42" w:rsidRDefault="00C16B42" w:rsidP="00304A9D">
      <w:pPr>
        <w:rPr>
          <w:sz w:val="24"/>
          <w:szCs w:val="24"/>
        </w:rPr>
      </w:pPr>
    </w:p>
    <w:p w:rsidR="00C16B42" w:rsidRPr="0012760D" w:rsidRDefault="00C16B42" w:rsidP="00304A9D">
      <w:pPr>
        <w:rPr>
          <w:sz w:val="24"/>
          <w:szCs w:val="24"/>
        </w:rPr>
      </w:pPr>
    </w:p>
    <w:p w:rsidR="00304A9D" w:rsidRPr="0012760D" w:rsidRDefault="00304A9D" w:rsidP="00C16B42">
      <w:pPr>
        <w:pStyle w:val="Heading4"/>
      </w:pPr>
      <w:r w:rsidRPr="0012760D">
        <w:t>As at 30 June 2013</w:t>
      </w:r>
    </w:p>
    <w:p w:rsidR="00304A9D" w:rsidRPr="0012760D" w:rsidRDefault="00304A9D" w:rsidP="00304A9D">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40" w:type="dxa"/>
          <w:right w:w="40" w:type="dxa"/>
        </w:tblCellMar>
        <w:tblLook w:val="0000" w:firstRow="0" w:lastRow="0" w:firstColumn="0" w:lastColumn="0" w:noHBand="0" w:noVBand="0"/>
      </w:tblPr>
      <w:tblGrid>
        <w:gridCol w:w="2903"/>
        <w:gridCol w:w="1712"/>
        <w:gridCol w:w="1723"/>
        <w:gridCol w:w="1813"/>
        <w:gridCol w:w="2220"/>
        <w:gridCol w:w="1878"/>
        <w:gridCol w:w="1785"/>
      </w:tblGrid>
      <w:tr w:rsidR="00304A9D" w:rsidRPr="0012760D" w:rsidTr="00907E0B">
        <w:tblPrEx>
          <w:tblCellMar>
            <w:top w:w="0" w:type="dxa"/>
            <w:bottom w:w="0" w:type="dxa"/>
          </w:tblCellMar>
        </w:tblPrEx>
        <w:trPr>
          <w:trHeight w:val="835"/>
        </w:trPr>
        <w:tc>
          <w:tcPr>
            <w:tcW w:w="1034" w:type="pct"/>
            <w:vMerge w:val="restart"/>
            <w:shd w:val="clear" w:color="auto" w:fill="auto"/>
          </w:tcPr>
          <w:p w:rsidR="00304A9D" w:rsidRPr="0012760D" w:rsidRDefault="00304A9D" w:rsidP="00907E0B">
            <w:pPr>
              <w:rPr>
                <w:sz w:val="24"/>
                <w:szCs w:val="24"/>
              </w:rPr>
            </w:pPr>
          </w:p>
        </w:tc>
        <w:tc>
          <w:tcPr>
            <w:tcW w:w="610" w:type="pct"/>
            <w:shd w:val="clear" w:color="auto" w:fill="auto"/>
          </w:tcPr>
          <w:p w:rsidR="00304A9D" w:rsidRPr="0012760D" w:rsidRDefault="00304A9D" w:rsidP="00907E0B">
            <w:pPr>
              <w:rPr>
                <w:sz w:val="24"/>
                <w:szCs w:val="24"/>
              </w:rPr>
            </w:pPr>
            <w:r w:rsidRPr="0012760D">
              <w:rPr>
                <w:bCs/>
                <w:sz w:val="24"/>
                <w:szCs w:val="24"/>
              </w:rPr>
              <w:t xml:space="preserve">Floating interest rate </w:t>
            </w:r>
          </w:p>
        </w:tc>
        <w:tc>
          <w:tcPr>
            <w:tcW w:w="614" w:type="pct"/>
            <w:shd w:val="clear" w:color="auto" w:fill="auto"/>
          </w:tcPr>
          <w:p w:rsidR="00304A9D" w:rsidRPr="0012760D" w:rsidRDefault="00304A9D" w:rsidP="00907E0B">
            <w:pPr>
              <w:rPr>
                <w:sz w:val="24"/>
                <w:szCs w:val="24"/>
              </w:rPr>
            </w:pPr>
            <w:r w:rsidRPr="0012760D">
              <w:rPr>
                <w:bCs/>
                <w:sz w:val="24"/>
                <w:szCs w:val="24"/>
              </w:rPr>
              <w:t>Fixed interest rate maturing less than 1 year</w:t>
            </w:r>
          </w:p>
        </w:tc>
        <w:tc>
          <w:tcPr>
            <w:tcW w:w="646" w:type="pct"/>
            <w:shd w:val="clear" w:color="auto" w:fill="auto"/>
          </w:tcPr>
          <w:p w:rsidR="00304A9D" w:rsidRPr="0012760D" w:rsidRDefault="00304A9D" w:rsidP="00907E0B">
            <w:pPr>
              <w:rPr>
                <w:sz w:val="24"/>
                <w:szCs w:val="24"/>
              </w:rPr>
            </w:pPr>
            <w:r w:rsidRPr="0012760D">
              <w:rPr>
                <w:bCs/>
                <w:sz w:val="24"/>
                <w:szCs w:val="24"/>
              </w:rPr>
              <w:t>Fixed interest rate maturing 1 to 5 years</w:t>
            </w:r>
          </w:p>
        </w:tc>
        <w:tc>
          <w:tcPr>
            <w:tcW w:w="791" w:type="pct"/>
            <w:shd w:val="clear" w:color="auto" w:fill="auto"/>
          </w:tcPr>
          <w:p w:rsidR="00304A9D" w:rsidRPr="0012760D" w:rsidRDefault="00304A9D" w:rsidP="00907E0B">
            <w:pPr>
              <w:rPr>
                <w:sz w:val="24"/>
                <w:szCs w:val="24"/>
              </w:rPr>
            </w:pPr>
            <w:r w:rsidRPr="0012760D">
              <w:rPr>
                <w:bCs/>
                <w:sz w:val="24"/>
                <w:szCs w:val="24"/>
              </w:rPr>
              <w:t>Non-interest bearing</w:t>
            </w:r>
          </w:p>
        </w:tc>
        <w:tc>
          <w:tcPr>
            <w:tcW w:w="669" w:type="pct"/>
            <w:shd w:val="clear" w:color="auto" w:fill="auto"/>
          </w:tcPr>
          <w:p w:rsidR="00304A9D" w:rsidRPr="0012760D" w:rsidRDefault="00304A9D" w:rsidP="00907E0B">
            <w:pPr>
              <w:rPr>
                <w:sz w:val="24"/>
                <w:szCs w:val="24"/>
              </w:rPr>
            </w:pPr>
            <w:r w:rsidRPr="0012760D">
              <w:rPr>
                <w:bCs/>
                <w:sz w:val="24"/>
                <w:szCs w:val="24"/>
              </w:rPr>
              <w:t>Total carrying amount as per Balance Sheet</w:t>
            </w:r>
          </w:p>
        </w:tc>
        <w:tc>
          <w:tcPr>
            <w:tcW w:w="636" w:type="pct"/>
            <w:shd w:val="clear" w:color="auto" w:fill="auto"/>
          </w:tcPr>
          <w:p w:rsidR="00304A9D" w:rsidRPr="0012760D" w:rsidRDefault="00304A9D" w:rsidP="00907E0B">
            <w:pPr>
              <w:rPr>
                <w:sz w:val="24"/>
                <w:szCs w:val="24"/>
              </w:rPr>
            </w:pPr>
            <w:r w:rsidRPr="0012760D">
              <w:rPr>
                <w:bCs/>
                <w:sz w:val="24"/>
                <w:szCs w:val="24"/>
              </w:rPr>
              <w:t>Weighted average effective interest rate</w:t>
            </w:r>
          </w:p>
        </w:tc>
      </w:tr>
      <w:tr w:rsidR="00304A9D" w:rsidRPr="0012760D" w:rsidTr="00907E0B">
        <w:tblPrEx>
          <w:tblCellMar>
            <w:top w:w="0" w:type="dxa"/>
            <w:bottom w:w="0" w:type="dxa"/>
          </w:tblCellMar>
        </w:tblPrEx>
        <w:trPr>
          <w:trHeight w:val="317"/>
        </w:trPr>
        <w:tc>
          <w:tcPr>
            <w:tcW w:w="1034" w:type="pct"/>
            <w:vMerge/>
            <w:shd w:val="clear" w:color="auto" w:fill="auto"/>
          </w:tcPr>
          <w:p w:rsidR="00304A9D" w:rsidRPr="0012760D" w:rsidRDefault="00304A9D" w:rsidP="00907E0B">
            <w:pPr>
              <w:rPr>
                <w:sz w:val="24"/>
                <w:szCs w:val="24"/>
              </w:rPr>
            </w:pPr>
          </w:p>
        </w:tc>
        <w:tc>
          <w:tcPr>
            <w:tcW w:w="610" w:type="pct"/>
            <w:shd w:val="clear" w:color="auto" w:fill="auto"/>
          </w:tcPr>
          <w:p w:rsidR="00304A9D" w:rsidRPr="0012760D" w:rsidRDefault="00304A9D" w:rsidP="00907E0B">
            <w:pPr>
              <w:jc w:val="right"/>
              <w:rPr>
                <w:sz w:val="24"/>
                <w:szCs w:val="24"/>
              </w:rPr>
            </w:pPr>
            <w:r w:rsidRPr="0012760D">
              <w:rPr>
                <w:bCs/>
                <w:sz w:val="24"/>
                <w:szCs w:val="24"/>
              </w:rPr>
              <w:t>$</w:t>
            </w:r>
          </w:p>
        </w:tc>
        <w:tc>
          <w:tcPr>
            <w:tcW w:w="614" w:type="pct"/>
            <w:shd w:val="clear" w:color="auto" w:fill="auto"/>
          </w:tcPr>
          <w:p w:rsidR="00304A9D" w:rsidRPr="0012760D" w:rsidRDefault="00304A9D" w:rsidP="00907E0B">
            <w:pPr>
              <w:jc w:val="right"/>
              <w:rPr>
                <w:sz w:val="24"/>
                <w:szCs w:val="24"/>
              </w:rPr>
            </w:pPr>
            <w:r w:rsidRPr="0012760D">
              <w:rPr>
                <w:sz w:val="24"/>
                <w:szCs w:val="24"/>
              </w:rPr>
              <w:t>$</w:t>
            </w:r>
          </w:p>
        </w:tc>
        <w:tc>
          <w:tcPr>
            <w:tcW w:w="646" w:type="pct"/>
            <w:shd w:val="clear" w:color="auto" w:fill="auto"/>
          </w:tcPr>
          <w:p w:rsidR="00304A9D" w:rsidRPr="0012760D" w:rsidRDefault="00304A9D" w:rsidP="00907E0B">
            <w:pPr>
              <w:jc w:val="right"/>
              <w:rPr>
                <w:sz w:val="24"/>
                <w:szCs w:val="24"/>
              </w:rPr>
            </w:pPr>
            <w:r w:rsidRPr="0012760D">
              <w:rPr>
                <w:sz w:val="24"/>
                <w:szCs w:val="24"/>
              </w:rPr>
              <w:t>$</w:t>
            </w:r>
          </w:p>
        </w:tc>
        <w:tc>
          <w:tcPr>
            <w:tcW w:w="791" w:type="pct"/>
            <w:shd w:val="clear" w:color="auto" w:fill="auto"/>
          </w:tcPr>
          <w:p w:rsidR="00304A9D" w:rsidRPr="0012760D" w:rsidRDefault="00304A9D" w:rsidP="00907E0B">
            <w:pPr>
              <w:jc w:val="right"/>
              <w:rPr>
                <w:sz w:val="24"/>
                <w:szCs w:val="24"/>
              </w:rPr>
            </w:pPr>
            <w:r w:rsidRPr="0012760D">
              <w:rPr>
                <w:sz w:val="24"/>
                <w:szCs w:val="24"/>
              </w:rPr>
              <w:t>$</w:t>
            </w:r>
          </w:p>
        </w:tc>
        <w:tc>
          <w:tcPr>
            <w:tcW w:w="669" w:type="pct"/>
            <w:shd w:val="clear" w:color="auto" w:fill="auto"/>
          </w:tcPr>
          <w:p w:rsidR="00304A9D" w:rsidRPr="0012760D" w:rsidRDefault="00304A9D" w:rsidP="00907E0B">
            <w:pPr>
              <w:jc w:val="right"/>
              <w:rPr>
                <w:sz w:val="24"/>
                <w:szCs w:val="24"/>
              </w:rPr>
            </w:pPr>
            <w:r w:rsidRPr="0012760D">
              <w:rPr>
                <w:sz w:val="24"/>
                <w:szCs w:val="24"/>
              </w:rPr>
              <w:t>$</w:t>
            </w:r>
          </w:p>
        </w:tc>
        <w:tc>
          <w:tcPr>
            <w:tcW w:w="636" w:type="pct"/>
            <w:shd w:val="clear" w:color="auto" w:fill="auto"/>
          </w:tcPr>
          <w:p w:rsidR="00304A9D" w:rsidRPr="0012760D" w:rsidRDefault="00304A9D" w:rsidP="00907E0B">
            <w:pPr>
              <w:jc w:val="right"/>
              <w:rPr>
                <w:sz w:val="24"/>
                <w:szCs w:val="24"/>
              </w:rPr>
            </w:pPr>
            <w:r w:rsidRPr="0012760D">
              <w:rPr>
                <w:bCs/>
                <w:sz w:val="24"/>
                <w:szCs w:val="24"/>
              </w:rPr>
              <w:t>%</w:t>
            </w:r>
          </w:p>
        </w:tc>
      </w:tr>
      <w:tr w:rsidR="00304A9D" w:rsidRPr="0012760D" w:rsidTr="00907E0B">
        <w:tblPrEx>
          <w:tblCellMar>
            <w:top w:w="0" w:type="dxa"/>
            <w:bottom w:w="0" w:type="dxa"/>
          </w:tblCellMar>
        </w:tblPrEx>
        <w:trPr>
          <w:trHeight w:val="274"/>
        </w:trPr>
        <w:tc>
          <w:tcPr>
            <w:tcW w:w="5000" w:type="pct"/>
            <w:gridSpan w:val="7"/>
            <w:shd w:val="clear" w:color="auto" w:fill="auto"/>
          </w:tcPr>
          <w:p w:rsidR="00304A9D" w:rsidRPr="0012760D" w:rsidRDefault="00304A9D" w:rsidP="00907E0B">
            <w:pPr>
              <w:rPr>
                <w:sz w:val="24"/>
                <w:szCs w:val="24"/>
              </w:rPr>
            </w:pPr>
            <w:r w:rsidRPr="0012760D">
              <w:rPr>
                <w:bCs/>
                <w:sz w:val="24"/>
                <w:szCs w:val="24"/>
              </w:rPr>
              <w:t>Financial Assets</w:t>
            </w:r>
          </w:p>
        </w:tc>
      </w:tr>
      <w:tr w:rsidR="00304A9D" w:rsidRPr="0012760D" w:rsidTr="00907E0B">
        <w:tblPrEx>
          <w:tblCellMar>
            <w:top w:w="0" w:type="dxa"/>
            <w:bottom w:w="0" w:type="dxa"/>
          </w:tblCellMar>
        </w:tblPrEx>
        <w:trPr>
          <w:trHeight w:val="288"/>
        </w:trPr>
        <w:tc>
          <w:tcPr>
            <w:tcW w:w="1034" w:type="pct"/>
            <w:shd w:val="clear" w:color="auto" w:fill="auto"/>
          </w:tcPr>
          <w:p w:rsidR="00304A9D" w:rsidRPr="0012760D" w:rsidRDefault="00304A9D" w:rsidP="00907E0B">
            <w:pPr>
              <w:rPr>
                <w:sz w:val="24"/>
                <w:szCs w:val="24"/>
              </w:rPr>
            </w:pPr>
            <w:r w:rsidRPr="0012760D">
              <w:rPr>
                <w:sz w:val="24"/>
                <w:szCs w:val="24"/>
              </w:rPr>
              <w:t>Cash Assets</w:t>
            </w:r>
          </w:p>
        </w:tc>
        <w:tc>
          <w:tcPr>
            <w:tcW w:w="610" w:type="pct"/>
            <w:shd w:val="clear" w:color="auto" w:fill="auto"/>
          </w:tcPr>
          <w:p w:rsidR="00304A9D" w:rsidRPr="0012760D" w:rsidRDefault="00304A9D" w:rsidP="00907E0B">
            <w:pPr>
              <w:jc w:val="right"/>
              <w:rPr>
                <w:sz w:val="24"/>
                <w:szCs w:val="24"/>
              </w:rPr>
            </w:pPr>
            <w:r w:rsidRPr="0012760D">
              <w:rPr>
                <w:sz w:val="24"/>
                <w:szCs w:val="24"/>
              </w:rPr>
              <w:t>631,467</w:t>
            </w:r>
          </w:p>
        </w:tc>
        <w:tc>
          <w:tcPr>
            <w:tcW w:w="614" w:type="pct"/>
            <w:shd w:val="clear" w:color="auto" w:fill="auto"/>
          </w:tcPr>
          <w:p w:rsidR="00304A9D" w:rsidRPr="0012760D" w:rsidRDefault="00304A9D" w:rsidP="00907E0B">
            <w:pPr>
              <w:jc w:val="right"/>
              <w:rPr>
                <w:sz w:val="24"/>
                <w:szCs w:val="24"/>
              </w:rPr>
            </w:pPr>
            <w:r w:rsidRPr="0012760D">
              <w:rPr>
                <w:sz w:val="24"/>
                <w:szCs w:val="24"/>
              </w:rPr>
              <w:t>36,000,000</w:t>
            </w:r>
          </w:p>
        </w:tc>
        <w:tc>
          <w:tcPr>
            <w:tcW w:w="646" w:type="pct"/>
            <w:shd w:val="clear" w:color="auto" w:fill="auto"/>
          </w:tcPr>
          <w:p w:rsidR="00304A9D" w:rsidRPr="0012760D" w:rsidRDefault="00304A9D" w:rsidP="00907E0B">
            <w:pPr>
              <w:jc w:val="right"/>
              <w:rPr>
                <w:sz w:val="24"/>
                <w:szCs w:val="24"/>
              </w:rPr>
            </w:pPr>
            <w:r w:rsidRPr="0012760D">
              <w:rPr>
                <w:sz w:val="24"/>
                <w:szCs w:val="24"/>
              </w:rPr>
              <w:t>-</w:t>
            </w:r>
          </w:p>
        </w:tc>
        <w:tc>
          <w:tcPr>
            <w:tcW w:w="791" w:type="pct"/>
            <w:shd w:val="clear" w:color="auto" w:fill="auto"/>
          </w:tcPr>
          <w:p w:rsidR="00304A9D" w:rsidRPr="0012760D" w:rsidRDefault="00304A9D" w:rsidP="00907E0B">
            <w:pPr>
              <w:jc w:val="right"/>
              <w:rPr>
                <w:sz w:val="24"/>
                <w:szCs w:val="24"/>
              </w:rPr>
            </w:pPr>
            <w:r w:rsidRPr="0012760D">
              <w:rPr>
                <w:sz w:val="24"/>
                <w:szCs w:val="24"/>
              </w:rPr>
              <w:t>1,700</w:t>
            </w:r>
          </w:p>
        </w:tc>
        <w:tc>
          <w:tcPr>
            <w:tcW w:w="669" w:type="pct"/>
            <w:shd w:val="clear" w:color="auto" w:fill="auto"/>
          </w:tcPr>
          <w:p w:rsidR="00304A9D" w:rsidRPr="0012760D" w:rsidRDefault="00304A9D" w:rsidP="00907E0B">
            <w:pPr>
              <w:jc w:val="right"/>
              <w:rPr>
                <w:sz w:val="24"/>
                <w:szCs w:val="24"/>
              </w:rPr>
            </w:pPr>
            <w:r w:rsidRPr="0012760D">
              <w:rPr>
                <w:sz w:val="24"/>
                <w:szCs w:val="24"/>
              </w:rPr>
              <w:t>36,633,167</w:t>
            </w:r>
          </w:p>
        </w:tc>
        <w:tc>
          <w:tcPr>
            <w:tcW w:w="636" w:type="pct"/>
            <w:shd w:val="clear" w:color="auto" w:fill="auto"/>
          </w:tcPr>
          <w:p w:rsidR="00304A9D" w:rsidRPr="0012760D" w:rsidRDefault="00304A9D" w:rsidP="00907E0B">
            <w:pPr>
              <w:jc w:val="right"/>
              <w:rPr>
                <w:sz w:val="24"/>
                <w:szCs w:val="24"/>
              </w:rPr>
            </w:pPr>
            <w:r w:rsidRPr="0012760D">
              <w:rPr>
                <w:sz w:val="24"/>
                <w:szCs w:val="24"/>
              </w:rPr>
              <w:t>2.80</w:t>
            </w:r>
          </w:p>
        </w:tc>
      </w:tr>
      <w:tr w:rsidR="00304A9D" w:rsidRPr="0012760D" w:rsidTr="00907E0B">
        <w:tblPrEx>
          <w:tblCellMar>
            <w:top w:w="0" w:type="dxa"/>
            <w:bottom w:w="0" w:type="dxa"/>
          </w:tblCellMar>
        </w:tblPrEx>
        <w:trPr>
          <w:trHeight w:val="288"/>
        </w:trPr>
        <w:tc>
          <w:tcPr>
            <w:tcW w:w="1034" w:type="pct"/>
            <w:shd w:val="clear" w:color="auto" w:fill="auto"/>
          </w:tcPr>
          <w:p w:rsidR="00304A9D" w:rsidRPr="0012760D" w:rsidRDefault="00304A9D" w:rsidP="00907E0B">
            <w:pPr>
              <w:rPr>
                <w:sz w:val="24"/>
                <w:szCs w:val="24"/>
              </w:rPr>
            </w:pPr>
            <w:r w:rsidRPr="0012760D">
              <w:rPr>
                <w:sz w:val="24"/>
                <w:szCs w:val="24"/>
              </w:rPr>
              <w:t>Receivables</w:t>
            </w:r>
          </w:p>
        </w:tc>
        <w:tc>
          <w:tcPr>
            <w:tcW w:w="610" w:type="pct"/>
            <w:shd w:val="clear" w:color="auto" w:fill="auto"/>
          </w:tcPr>
          <w:p w:rsidR="00304A9D" w:rsidRPr="0012760D" w:rsidRDefault="00304A9D" w:rsidP="00907E0B">
            <w:pPr>
              <w:jc w:val="right"/>
              <w:rPr>
                <w:sz w:val="24"/>
                <w:szCs w:val="24"/>
              </w:rPr>
            </w:pPr>
            <w:r w:rsidRPr="0012760D">
              <w:rPr>
                <w:sz w:val="24"/>
                <w:szCs w:val="24"/>
              </w:rPr>
              <w:t>-</w:t>
            </w:r>
          </w:p>
        </w:tc>
        <w:tc>
          <w:tcPr>
            <w:tcW w:w="614" w:type="pct"/>
            <w:shd w:val="clear" w:color="auto" w:fill="auto"/>
          </w:tcPr>
          <w:p w:rsidR="00304A9D" w:rsidRPr="0012760D" w:rsidRDefault="00304A9D" w:rsidP="00907E0B">
            <w:pPr>
              <w:jc w:val="right"/>
              <w:rPr>
                <w:sz w:val="24"/>
                <w:szCs w:val="24"/>
              </w:rPr>
            </w:pPr>
            <w:r w:rsidRPr="0012760D">
              <w:rPr>
                <w:sz w:val="24"/>
                <w:szCs w:val="24"/>
              </w:rPr>
              <w:t>-</w:t>
            </w:r>
          </w:p>
        </w:tc>
        <w:tc>
          <w:tcPr>
            <w:tcW w:w="646" w:type="pct"/>
            <w:shd w:val="clear" w:color="auto" w:fill="auto"/>
          </w:tcPr>
          <w:p w:rsidR="00304A9D" w:rsidRPr="0012760D" w:rsidRDefault="00304A9D" w:rsidP="00907E0B">
            <w:pPr>
              <w:jc w:val="right"/>
              <w:rPr>
                <w:sz w:val="24"/>
                <w:szCs w:val="24"/>
              </w:rPr>
            </w:pPr>
            <w:r w:rsidRPr="0012760D">
              <w:rPr>
                <w:sz w:val="24"/>
                <w:szCs w:val="24"/>
              </w:rPr>
              <w:t>-</w:t>
            </w:r>
          </w:p>
        </w:tc>
        <w:tc>
          <w:tcPr>
            <w:tcW w:w="791" w:type="pct"/>
            <w:shd w:val="clear" w:color="auto" w:fill="auto"/>
          </w:tcPr>
          <w:p w:rsidR="00304A9D" w:rsidRPr="0012760D" w:rsidRDefault="00304A9D" w:rsidP="00907E0B">
            <w:pPr>
              <w:jc w:val="right"/>
              <w:rPr>
                <w:sz w:val="24"/>
                <w:szCs w:val="24"/>
              </w:rPr>
            </w:pPr>
            <w:r w:rsidRPr="0012760D">
              <w:rPr>
                <w:sz w:val="24"/>
                <w:szCs w:val="24"/>
              </w:rPr>
              <w:t>182,721</w:t>
            </w:r>
          </w:p>
        </w:tc>
        <w:tc>
          <w:tcPr>
            <w:tcW w:w="669" w:type="pct"/>
            <w:shd w:val="clear" w:color="auto" w:fill="auto"/>
          </w:tcPr>
          <w:p w:rsidR="00304A9D" w:rsidRPr="0012760D" w:rsidRDefault="00304A9D" w:rsidP="00907E0B">
            <w:pPr>
              <w:jc w:val="right"/>
              <w:rPr>
                <w:sz w:val="24"/>
                <w:szCs w:val="24"/>
              </w:rPr>
            </w:pPr>
            <w:r w:rsidRPr="0012760D">
              <w:rPr>
                <w:sz w:val="24"/>
                <w:szCs w:val="24"/>
              </w:rPr>
              <w:t>182,721</w:t>
            </w:r>
          </w:p>
        </w:tc>
        <w:tc>
          <w:tcPr>
            <w:tcW w:w="636" w:type="pct"/>
            <w:shd w:val="clear" w:color="auto" w:fill="auto"/>
          </w:tcPr>
          <w:p w:rsidR="00304A9D" w:rsidRPr="0012760D" w:rsidRDefault="00304A9D" w:rsidP="00907E0B">
            <w:pPr>
              <w:jc w:val="right"/>
              <w:rPr>
                <w:sz w:val="24"/>
                <w:szCs w:val="24"/>
              </w:rPr>
            </w:pPr>
          </w:p>
        </w:tc>
      </w:tr>
      <w:tr w:rsidR="00304A9D" w:rsidRPr="0012760D" w:rsidTr="00907E0B">
        <w:tblPrEx>
          <w:tblCellMar>
            <w:top w:w="0" w:type="dxa"/>
            <w:bottom w:w="0" w:type="dxa"/>
          </w:tblCellMar>
        </w:tblPrEx>
        <w:trPr>
          <w:trHeight w:val="274"/>
        </w:trPr>
        <w:tc>
          <w:tcPr>
            <w:tcW w:w="1034" w:type="pct"/>
            <w:shd w:val="clear" w:color="auto" w:fill="auto"/>
          </w:tcPr>
          <w:p w:rsidR="00304A9D" w:rsidRPr="0012760D" w:rsidRDefault="00304A9D" w:rsidP="00907E0B">
            <w:pPr>
              <w:rPr>
                <w:sz w:val="24"/>
                <w:szCs w:val="24"/>
              </w:rPr>
            </w:pPr>
            <w:r w:rsidRPr="0012760D">
              <w:rPr>
                <w:bCs/>
                <w:sz w:val="24"/>
                <w:szCs w:val="24"/>
              </w:rPr>
              <w:t>Total Financial Assets</w:t>
            </w:r>
          </w:p>
        </w:tc>
        <w:tc>
          <w:tcPr>
            <w:tcW w:w="610" w:type="pct"/>
            <w:shd w:val="clear" w:color="auto" w:fill="auto"/>
          </w:tcPr>
          <w:p w:rsidR="00304A9D" w:rsidRPr="0012760D" w:rsidRDefault="00304A9D" w:rsidP="00907E0B">
            <w:pPr>
              <w:jc w:val="right"/>
              <w:rPr>
                <w:sz w:val="24"/>
                <w:szCs w:val="24"/>
              </w:rPr>
            </w:pPr>
            <w:r w:rsidRPr="0012760D">
              <w:rPr>
                <w:bCs/>
                <w:sz w:val="24"/>
                <w:szCs w:val="24"/>
              </w:rPr>
              <w:t>631,467</w:t>
            </w:r>
          </w:p>
        </w:tc>
        <w:tc>
          <w:tcPr>
            <w:tcW w:w="614" w:type="pct"/>
            <w:shd w:val="clear" w:color="auto" w:fill="auto"/>
          </w:tcPr>
          <w:p w:rsidR="00304A9D" w:rsidRPr="0012760D" w:rsidRDefault="00304A9D" w:rsidP="00907E0B">
            <w:pPr>
              <w:jc w:val="right"/>
              <w:rPr>
                <w:sz w:val="24"/>
                <w:szCs w:val="24"/>
              </w:rPr>
            </w:pPr>
            <w:r w:rsidRPr="0012760D">
              <w:rPr>
                <w:bCs/>
                <w:sz w:val="24"/>
                <w:szCs w:val="24"/>
              </w:rPr>
              <w:t>36,000,000</w:t>
            </w:r>
          </w:p>
        </w:tc>
        <w:tc>
          <w:tcPr>
            <w:tcW w:w="646" w:type="pct"/>
            <w:shd w:val="clear" w:color="auto" w:fill="auto"/>
          </w:tcPr>
          <w:p w:rsidR="00304A9D" w:rsidRPr="0012760D" w:rsidRDefault="00304A9D" w:rsidP="00907E0B">
            <w:pPr>
              <w:jc w:val="right"/>
              <w:rPr>
                <w:sz w:val="24"/>
                <w:szCs w:val="24"/>
              </w:rPr>
            </w:pPr>
            <w:r w:rsidRPr="0012760D">
              <w:rPr>
                <w:bCs/>
                <w:sz w:val="24"/>
                <w:szCs w:val="24"/>
              </w:rPr>
              <w:t>-</w:t>
            </w:r>
          </w:p>
        </w:tc>
        <w:tc>
          <w:tcPr>
            <w:tcW w:w="791" w:type="pct"/>
            <w:shd w:val="clear" w:color="auto" w:fill="auto"/>
          </w:tcPr>
          <w:p w:rsidR="00304A9D" w:rsidRPr="0012760D" w:rsidRDefault="00304A9D" w:rsidP="00907E0B">
            <w:pPr>
              <w:jc w:val="right"/>
              <w:rPr>
                <w:sz w:val="24"/>
                <w:szCs w:val="24"/>
              </w:rPr>
            </w:pPr>
            <w:r w:rsidRPr="0012760D">
              <w:rPr>
                <w:bCs/>
                <w:sz w:val="24"/>
                <w:szCs w:val="24"/>
              </w:rPr>
              <w:t>184,421</w:t>
            </w:r>
          </w:p>
        </w:tc>
        <w:tc>
          <w:tcPr>
            <w:tcW w:w="669" w:type="pct"/>
            <w:shd w:val="clear" w:color="auto" w:fill="auto"/>
          </w:tcPr>
          <w:p w:rsidR="00304A9D" w:rsidRPr="0012760D" w:rsidRDefault="00304A9D" w:rsidP="00907E0B">
            <w:pPr>
              <w:jc w:val="right"/>
              <w:rPr>
                <w:sz w:val="24"/>
                <w:szCs w:val="24"/>
              </w:rPr>
            </w:pPr>
            <w:r w:rsidRPr="0012760D">
              <w:rPr>
                <w:bCs/>
                <w:sz w:val="24"/>
                <w:szCs w:val="24"/>
              </w:rPr>
              <w:t>36,815,888</w:t>
            </w:r>
          </w:p>
        </w:tc>
        <w:tc>
          <w:tcPr>
            <w:tcW w:w="636" w:type="pct"/>
            <w:shd w:val="clear" w:color="auto" w:fill="auto"/>
          </w:tcPr>
          <w:p w:rsidR="00304A9D" w:rsidRPr="0012760D" w:rsidRDefault="00304A9D" w:rsidP="00907E0B">
            <w:pPr>
              <w:jc w:val="right"/>
              <w:rPr>
                <w:sz w:val="24"/>
                <w:szCs w:val="24"/>
              </w:rPr>
            </w:pPr>
          </w:p>
        </w:tc>
      </w:tr>
      <w:tr w:rsidR="00304A9D" w:rsidRPr="0012760D" w:rsidTr="00907E0B">
        <w:tblPrEx>
          <w:tblCellMar>
            <w:top w:w="0" w:type="dxa"/>
            <w:bottom w:w="0" w:type="dxa"/>
          </w:tblCellMar>
        </w:tblPrEx>
        <w:trPr>
          <w:trHeight w:val="283"/>
        </w:trPr>
        <w:tc>
          <w:tcPr>
            <w:tcW w:w="5000" w:type="pct"/>
            <w:gridSpan w:val="7"/>
            <w:shd w:val="clear" w:color="auto" w:fill="auto"/>
          </w:tcPr>
          <w:p w:rsidR="00304A9D" w:rsidRPr="0012760D" w:rsidRDefault="00304A9D" w:rsidP="00907E0B">
            <w:pPr>
              <w:rPr>
                <w:sz w:val="24"/>
                <w:szCs w:val="24"/>
              </w:rPr>
            </w:pPr>
            <w:r w:rsidRPr="0012760D">
              <w:rPr>
                <w:bCs/>
                <w:sz w:val="24"/>
                <w:szCs w:val="24"/>
              </w:rPr>
              <w:t>Financial Liabilities</w:t>
            </w:r>
          </w:p>
        </w:tc>
      </w:tr>
      <w:tr w:rsidR="00304A9D" w:rsidRPr="0012760D" w:rsidTr="00907E0B">
        <w:tblPrEx>
          <w:tblCellMar>
            <w:top w:w="0" w:type="dxa"/>
            <w:bottom w:w="0" w:type="dxa"/>
          </w:tblCellMar>
        </w:tblPrEx>
        <w:trPr>
          <w:trHeight w:val="298"/>
        </w:trPr>
        <w:tc>
          <w:tcPr>
            <w:tcW w:w="1034" w:type="pct"/>
            <w:shd w:val="clear" w:color="auto" w:fill="auto"/>
          </w:tcPr>
          <w:p w:rsidR="00304A9D" w:rsidRPr="0012760D" w:rsidRDefault="00304A9D" w:rsidP="00907E0B">
            <w:pPr>
              <w:rPr>
                <w:sz w:val="24"/>
                <w:szCs w:val="24"/>
              </w:rPr>
            </w:pPr>
            <w:r w:rsidRPr="0012760D">
              <w:rPr>
                <w:sz w:val="24"/>
                <w:szCs w:val="24"/>
              </w:rPr>
              <w:t>Payables</w:t>
            </w:r>
          </w:p>
        </w:tc>
        <w:tc>
          <w:tcPr>
            <w:tcW w:w="610" w:type="pct"/>
            <w:shd w:val="clear" w:color="auto" w:fill="auto"/>
          </w:tcPr>
          <w:p w:rsidR="00304A9D" w:rsidRPr="0012760D" w:rsidRDefault="00304A9D" w:rsidP="00907E0B">
            <w:pPr>
              <w:jc w:val="right"/>
              <w:rPr>
                <w:sz w:val="24"/>
                <w:szCs w:val="24"/>
              </w:rPr>
            </w:pPr>
            <w:r w:rsidRPr="0012760D">
              <w:rPr>
                <w:sz w:val="24"/>
                <w:szCs w:val="24"/>
              </w:rPr>
              <w:t>-</w:t>
            </w:r>
          </w:p>
        </w:tc>
        <w:tc>
          <w:tcPr>
            <w:tcW w:w="614" w:type="pct"/>
            <w:shd w:val="clear" w:color="auto" w:fill="auto"/>
          </w:tcPr>
          <w:p w:rsidR="00304A9D" w:rsidRPr="0012760D" w:rsidRDefault="00304A9D" w:rsidP="00907E0B">
            <w:pPr>
              <w:jc w:val="right"/>
              <w:rPr>
                <w:sz w:val="24"/>
                <w:szCs w:val="24"/>
              </w:rPr>
            </w:pPr>
            <w:r w:rsidRPr="0012760D">
              <w:rPr>
                <w:sz w:val="24"/>
                <w:szCs w:val="24"/>
              </w:rPr>
              <w:t>-</w:t>
            </w:r>
          </w:p>
        </w:tc>
        <w:tc>
          <w:tcPr>
            <w:tcW w:w="646" w:type="pct"/>
            <w:shd w:val="clear" w:color="auto" w:fill="auto"/>
          </w:tcPr>
          <w:p w:rsidR="00304A9D" w:rsidRPr="0012760D" w:rsidRDefault="00304A9D" w:rsidP="00907E0B">
            <w:pPr>
              <w:jc w:val="right"/>
              <w:rPr>
                <w:sz w:val="24"/>
                <w:szCs w:val="24"/>
              </w:rPr>
            </w:pPr>
            <w:r w:rsidRPr="0012760D">
              <w:rPr>
                <w:sz w:val="24"/>
                <w:szCs w:val="24"/>
              </w:rPr>
              <w:t>-</w:t>
            </w:r>
          </w:p>
        </w:tc>
        <w:tc>
          <w:tcPr>
            <w:tcW w:w="791" w:type="pct"/>
            <w:shd w:val="clear" w:color="auto" w:fill="auto"/>
          </w:tcPr>
          <w:p w:rsidR="00304A9D" w:rsidRPr="0012760D" w:rsidRDefault="00304A9D" w:rsidP="00907E0B">
            <w:pPr>
              <w:jc w:val="right"/>
              <w:rPr>
                <w:sz w:val="24"/>
                <w:szCs w:val="24"/>
              </w:rPr>
            </w:pPr>
            <w:r w:rsidRPr="0012760D">
              <w:rPr>
                <w:sz w:val="24"/>
                <w:szCs w:val="24"/>
              </w:rPr>
              <w:t>1,540,692</w:t>
            </w:r>
          </w:p>
        </w:tc>
        <w:tc>
          <w:tcPr>
            <w:tcW w:w="669" w:type="pct"/>
            <w:shd w:val="clear" w:color="auto" w:fill="auto"/>
          </w:tcPr>
          <w:p w:rsidR="00304A9D" w:rsidRPr="0012760D" w:rsidRDefault="00304A9D" w:rsidP="00907E0B">
            <w:pPr>
              <w:jc w:val="right"/>
              <w:rPr>
                <w:sz w:val="24"/>
                <w:szCs w:val="24"/>
              </w:rPr>
            </w:pPr>
            <w:r w:rsidRPr="0012760D">
              <w:rPr>
                <w:sz w:val="24"/>
                <w:szCs w:val="24"/>
              </w:rPr>
              <w:t>1,540,692</w:t>
            </w:r>
          </w:p>
        </w:tc>
        <w:tc>
          <w:tcPr>
            <w:tcW w:w="636" w:type="pct"/>
            <w:shd w:val="clear" w:color="auto" w:fill="auto"/>
          </w:tcPr>
          <w:p w:rsidR="00304A9D" w:rsidRPr="0012760D" w:rsidRDefault="00304A9D" w:rsidP="00907E0B">
            <w:pPr>
              <w:jc w:val="right"/>
              <w:rPr>
                <w:sz w:val="24"/>
                <w:szCs w:val="24"/>
              </w:rPr>
            </w:pPr>
          </w:p>
        </w:tc>
      </w:tr>
      <w:tr w:rsidR="00304A9D" w:rsidRPr="0012760D" w:rsidTr="00907E0B">
        <w:tblPrEx>
          <w:tblCellMar>
            <w:top w:w="0" w:type="dxa"/>
            <w:bottom w:w="0" w:type="dxa"/>
          </w:tblCellMar>
        </w:tblPrEx>
        <w:trPr>
          <w:trHeight w:val="278"/>
        </w:trPr>
        <w:tc>
          <w:tcPr>
            <w:tcW w:w="1034" w:type="pct"/>
            <w:shd w:val="clear" w:color="auto" w:fill="auto"/>
          </w:tcPr>
          <w:p w:rsidR="00304A9D" w:rsidRPr="0012760D" w:rsidRDefault="00304A9D" w:rsidP="00907E0B">
            <w:pPr>
              <w:rPr>
                <w:sz w:val="24"/>
                <w:szCs w:val="24"/>
              </w:rPr>
            </w:pPr>
            <w:r w:rsidRPr="0012760D">
              <w:rPr>
                <w:sz w:val="24"/>
                <w:szCs w:val="24"/>
              </w:rPr>
              <w:t>Finance leases</w:t>
            </w:r>
          </w:p>
        </w:tc>
        <w:tc>
          <w:tcPr>
            <w:tcW w:w="610" w:type="pct"/>
            <w:shd w:val="clear" w:color="auto" w:fill="auto"/>
          </w:tcPr>
          <w:p w:rsidR="00304A9D" w:rsidRPr="0012760D" w:rsidRDefault="00304A9D" w:rsidP="00907E0B">
            <w:pPr>
              <w:jc w:val="right"/>
              <w:rPr>
                <w:sz w:val="24"/>
                <w:szCs w:val="24"/>
              </w:rPr>
            </w:pPr>
            <w:r w:rsidRPr="0012760D">
              <w:rPr>
                <w:sz w:val="24"/>
                <w:szCs w:val="24"/>
              </w:rPr>
              <w:t>-</w:t>
            </w:r>
          </w:p>
        </w:tc>
        <w:tc>
          <w:tcPr>
            <w:tcW w:w="614" w:type="pct"/>
            <w:shd w:val="clear" w:color="auto" w:fill="auto"/>
          </w:tcPr>
          <w:p w:rsidR="00304A9D" w:rsidRPr="0012760D" w:rsidRDefault="00304A9D" w:rsidP="00907E0B">
            <w:pPr>
              <w:jc w:val="right"/>
              <w:rPr>
                <w:sz w:val="24"/>
                <w:szCs w:val="24"/>
              </w:rPr>
            </w:pPr>
            <w:r w:rsidRPr="0012760D">
              <w:rPr>
                <w:sz w:val="24"/>
                <w:szCs w:val="24"/>
              </w:rPr>
              <w:t>133,655</w:t>
            </w:r>
          </w:p>
        </w:tc>
        <w:tc>
          <w:tcPr>
            <w:tcW w:w="646" w:type="pct"/>
            <w:shd w:val="clear" w:color="auto" w:fill="auto"/>
          </w:tcPr>
          <w:p w:rsidR="00304A9D" w:rsidRPr="0012760D" w:rsidRDefault="00304A9D" w:rsidP="00907E0B">
            <w:pPr>
              <w:jc w:val="right"/>
              <w:rPr>
                <w:sz w:val="24"/>
                <w:szCs w:val="24"/>
              </w:rPr>
            </w:pPr>
            <w:r w:rsidRPr="0012760D">
              <w:rPr>
                <w:sz w:val="24"/>
                <w:szCs w:val="24"/>
              </w:rPr>
              <w:t>45,857</w:t>
            </w:r>
          </w:p>
        </w:tc>
        <w:tc>
          <w:tcPr>
            <w:tcW w:w="791" w:type="pct"/>
            <w:shd w:val="clear" w:color="auto" w:fill="auto"/>
          </w:tcPr>
          <w:p w:rsidR="00304A9D" w:rsidRPr="0012760D" w:rsidRDefault="00304A9D" w:rsidP="00907E0B">
            <w:pPr>
              <w:jc w:val="right"/>
              <w:rPr>
                <w:sz w:val="24"/>
                <w:szCs w:val="24"/>
              </w:rPr>
            </w:pPr>
            <w:r w:rsidRPr="0012760D">
              <w:rPr>
                <w:sz w:val="24"/>
                <w:szCs w:val="24"/>
              </w:rPr>
              <w:t>-</w:t>
            </w:r>
          </w:p>
        </w:tc>
        <w:tc>
          <w:tcPr>
            <w:tcW w:w="669" w:type="pct"/>
            <w:shd w:val="clear" w:color="auto" w:fill="auto"/>
          </w:tcPr>
          <w:p w:rsidR="00304A9D" w:rsidRPr="0012760D" w:rsidRDefault="00304A9D" w:rsidP="00907E0B">
            <w:pPr>
              <w:jc w:val="right"/>
              <w:rPr>
                <w:sz w:val="24"/>
                <w:szCs w:val="24"/>
              </w:rPr>
            </w:pPr>
            <w:r w:rsidRPr="0012760D">
              <w:rPr>
                <w:sz w:val="24"/>
                <w:szCs w:val="24"/>
              </w:rPr>
              <w:t>179,512</w:t>
            </w:r>
          </w:p>
        </w:tc>
        <w:tc>
          <w:tcPr>
            <w:tcW w:w="636" w:type="pct"/>
            <w:shd w:val="clear" w:color="auto" w:fill="auto"/>
          </w:tcPr>
          <w:p w:rsidR="00304A9D" w:rsidRPr="0012760D" w:rsidRDefault="00304A9D" w:rsidP="00907E0B">
            <w:pPr>
              <w:jc w:val="right"/>
              <w:rPr>
                <w:sz w:val="24"/>
                <w:szCs w:val="24"/>
              </w:rPr>
            </w:pPr>
            <w:r w:rsidRPr="0012760D">
              <w:rPr>
                <w:sz w:val="24"/>
                <w:szCs w:val="24"/>
              </w:rPr>
              <w:t>6.62</w:t>
            </w:r>
          </w:p>
        </w:tc>
      </w:tr>
      <w:tr w:rsidR="00304A9D" w:rsidRPr="0012760D" w:rsidTr="00907E0B">
        <w:tblPrEx>
          <w:tblCellMar>
            <w:top w:w="0" w:type="dxa"/>
            <w:bottom w:w="0" w:type="dxa"/>
          </w:tblCellMar>
        </w:tblPrEx>
        <w:trPr>
          <w:trHeight w:val="283"/>
        </w:trPr>
        <w:tc>
          <w:tcPr>
            <w:tcW w:w="1034" w:type="pct"/>
            <w:shd w:val="clear" w:color="auto" w:fill="auto"/>
          </w:tcPr>
          <w:p w:rsidR="00304A9D" w:rsidRPr="0012760D" w:rsidRDefault="00304A9D" w:rsidP="00907E0B">
            <w:pPr>
              <w:rPr>
                <w:sz w:val="24"/>
                <w:szCs w:val="24"/>
              </w:rPr>
            </w:pPr>
            <w:r w:rsidRPr="0012760D">
              <w:rPr>
                <w:bCs/>
                <w:sz w:val="24"/>
                <w:szCs w:val="24"/>
              </w:rPr>
              <w:t>Total financial liabilities</w:t>
            </w:r>
          </w:p>
        </w:tc>
        <w:tc>
          <w:tcPr>
            <w:tcW w:w="610" w:type="pct"/>
            <w:shd w:val="clear" w:color="auto" w:fill="auto"/>
          </w:tcPr>
          <w:p w:rsidR="00304A9D" w:rsidRPr="0012760D" w:rsidRDefault="00304A9D" w:rsidP="00907E0B">
            <w:pPr>
              <w:jc w:val="right"/>
              <w:rPr>
                <w:sz w:val="24"/>
                <w:szCs w:val="24"/>
              </w:rPr>
            </w:pPr>
            <w:r w:rsidRPr="0012760D">
              <w:rPr>
                <w:bCs/>
                <w:sz w:val="24"/>
                <w:szCs w:val="24"/>
              </w:rPr>
              <w:t>-</w:t>
            </w:r>
          </w:p>
        </w:tc>
        <w:tc>
          <w:tcPr>
            <w:tcW w:w="614" w:type="pct"/>
            <w:shd w:val="clear" w:color="auto" w:fill="auto"/>
          </w:tcPr>
          <w:p w:rsidR="00304A9D" w:rsidRPr="0012760D" w:rsidRDefault="00304A9D" w:rsidP="00907E0B">
            <w:pPr>
              <w:jc w:val="right"/>
              <w:rPr>
                <w:sz w:val="24"/>
                <w:szCs w:val="24"/>
              </w:rPr>
            </w:pPr>
            <w:r w:rsidRPr="0012760D">
              <w:rPr>
                <w:bCs/>
                <w:sz w:val="24"/>
                <w:szCs w:val="24"/>
              </w:rPr>
              <w:t>133,655</w:t>
            </w:r>
          </w:p>
        </w:tc>
        <w:tc>
          <w:tcPr>
            <w:tcW w:w="646" w:type="pct"/>
            <w:shd w:val="clear" w:color="auto" w:fill="auto"/>
          </w:tcPr>
          <w:p w:rsidR="00304A9D" w:rsidRPr="0012760D" w:rsidRDefault="00304A9D" w:rsidP="00907E0B">
            <w:pPr>
              <w:jc w:val="right"/>
              <w:rPr>
                <w:sz w:val="24"/>
                <w:szCs w:val="24"/>
              </w:rPr>
            </w:pPr>
            <w:r w:rsidRPr="0012760D">
              <w:rPr>
                <w:bCs/>
                <w:sz w:val="24"/>
                <w:szCs w:val="24"/>
              </w:rPr>
              <w:t>45,857</w:t>
            </w:r>
          </w:p>
        </w:tc>
        <w:tc>
          <w:tcPr>
            <w:tcW w:w="791" w:type="pct"/>
            <w:shd w:val="clear" w:color="auto" w:fill="auto"/>
          </w:tcPr>
          <w:p w:rsidR="00304A9D" w:rsidRPr="0012760D" w:rsidRDefault="00304A9D" w:rsidP="00907E0B">
            <w:pPr>
              <w:jc w:val="right"/>
              <w:rPr>
                <w:sz w:val="24"/>
                <w:szCs w:val="24"/>
              </w:rPr>
            </w:pPr>
            <w:r w:rsidRPr="0012760D">
              <w:rPr>
                <w:bCs/>
                <w:sz w:val="24"/>
                <w:szCs w:val="24"/>
              </w:rPr>
              <w:t>1,540,692</w:t>
            </w:r>
          </w:p>
        </w:tc>
        <w:tc>
          <w:tcPr>
            <w:tcW w:w="669" w:type="pct"/>
            <w:shd w:val="clear" w:color="auto" w:fill="auto"/>
          </w:tcPr>
          <w:p w:rsidR="00304A9D" w:rsidRPr="0012760D" w:rsidRDefault="00304A9D" w:rsidP="00907E0B">
            <w:pPr>
              <w:jc w:val="right"/>
              <w:rPr>
                <w:sz w:val="24"/>
                <w:szCs w:val="24"/>
              </w:rPr>
            </w:pPr>
            <w:r w:rsidRPr="0012760D">
              <w:rPr>
                <w:bCs/>
                <w:sz w:val="24"/>
                <w:szCs w:val="24"/>
              </w:rPr>
              <w:t>1,720,204</w:t>
            </w:r>
          </w:p>
        </w:tc>
        <w:tc>
          <w:tcPr>
            <w:tcW w:w="636" w:type="pct"/>
            <w:shd w:val="clear" w:color="auto" w:fill="auto"/>
          </w:tcPr>
          <w:p w:rsidR="00304A9D" w:rsidRPr="0012760D" w:rsidRDefault="00304A9D" w:rsidP="00907E0B">
            <w:pPr>
              <w:jc w:val="right"/>
              <w:rPr>
                <w:sz w:val="24"/>
                <w:szCs w:val="24"/>
              </w:rPr>
            </w:pPr>
          </w:p>
        </w:tc>
      </w:tr>
    </w:tbl>
    <w:p w:rsidR="00826760" w:rsidRPr="0012760D" w:rsidRDefault="00826760" w:rsidP="00826760">
      <w:pPr>
        <w:rPr>
          <w:bCs/>
          <w:sz w:val="24"/>
          <w:szCs w:val="24"/>
        </w:rPr>
      </w:pPr>
      <w:r w:rsidRPr="0012760D">
        <w:rPr>
          <w:bCs/>
          <w:sz w:val="24"/>
          <w:szCs w:val="24"/>
        </w:rPr>
        <w:t>&lt;pp&gt; 49</w:t>
      </w:r>
    </w:p>
    <w:p w:rsidR="00826760" w:rsidRDefault="00826760" w:rsidP="00826760">
      <w:pPr>
        <w:rPr>
          <w:sz w:val="24"/>
          <w:szCs w:val="24"/>
        </w:rPr>
      </w:pPr>
    </w:p>
    <w:p w:rsidR="00C16B42" w:rsidRPr="0012760D" w:rsidRDefault="00C16B42" w:rsidP="00826760">
      <w:pPr>
        <w:rPr>
          <w:sz w:val="24"/>
          <w:szCs w:val="24"/>
        </w:rPr>
      </w:pPr>
    </w:p>
    <w:p w:rsidR="00826760" w:rsidRPr="0012760D" w:rsidRDefault="00826760" w:rsidP="00C16B42">
      <w:pPr>
        <w:pStyle w:val="Heading4"/>
      </w:pPr>
      <w:r w:rsidRPr="0012760D">
        <w:t>As at 30 June 2012</w:t>
      </w:r>
    </w:p>
    <w:p w:rsidR="00826760" w:rsidRPr="0012760D" w:rsidRDefault="00826760" w:rsidP="00826760">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3540"/>
        <w:gridCol w:w="2257"/>
        <w:gridCol w:w="1645"/>
        <w:gridCol w:w="1698"/>
        <w:gridCol w:w="1563"/>
        <w:gridCol w:w="1751"/>
        <w:gridCol w:w="1580"/>
      </w:tblGrid>
      <w:tr w:rsidR="00826760" w:rsidRPr="0012760D" w:rsidTr="00CA07BB">
        <w:tblPrEx>
          <w:tblCellMar>
            <w:top w:w="0" w:type="dxa"/>
            <w:bottom w:w="0" w:type="dxa"/>
          </w:tblCellMar>
        </w:tblPrEx>
        <w:tc>
          <w:tcPr>
            <w:tcW w:w="1261" w:type="pct"/>
            <w:vMerge w:val="restart"/>
            <w:shd w:val="clear" w:color="auto" w:fill="auto"/>
          </w:tcPr>
          <w:p w:rsidR="00826760" w:rsidRPr="0012760D" w:rsidRDefault="00826760" w:rsidP="00CA07BB">
            <w:pPr>
              <w:rPr>
                <w:sz w:val="24"/>
                <w:szCs w:val="24"/>
              </w:rPr>
            </w:pPr>
          </w:p>
        </w:tc>
        <w:tc>
          <w:tcPr>
            <w:tcW w:w="804" w:type="pct"/>
            <w:shd w:val="clear" w:color="auto" w:fill="auto"/>
          </w:tcPr>
          <w:p w:rsidR="00826760" w:rsidRPr="0012760D" w:rsidRDefault="00826760" w:rsidP="00CA07BB">
            <w:pPr>
              <w:rPr>
                <w:sz w:val="24"/>
                <w:szCs w:val="24"/>
              </w:rPr>
            </w:pPr>
            <w:r w:rsidRPr="0012760D">
              <w:rPr>
                <w:bCs/>
                <w:sz w:val="24"/>
                <w:szCs w:val="24"/>
              </w:rPr>
              <w:t>Floating interest rate</w:t>
            </w:r>
          </w:p>
        </w:tc>
        <w:tc>
          <w:tcPr>
            <w:tcW w:w="586" w:type="pct"/>
            <w:shd w:val="clear" w:color="auto" w:fill="auto"/>
          </w:tcPr>
          <w:p w:rsidR="00826760" w:rsidRPr="0012760D" w:rsidRDefault="00826760" w:rsidP="00CA07BB">
            <w:pPr>
              <w:rPr>
                <w:sz w:val="24"/>
                <w:szCs w:val="24"/>
              </w:rPr>
            </w:pPr>
            <w:r w:rsidRPr="0012760D">
              <w:rPr>
                <w:bCs/>
                <w:sz w:val="24"/>
                <w:szCs w:val="24"/>
              </w:rPr>
              <w:t xml:space="preserve">Fixed interest rate maturing less than 1 </w:t>
            </w:r>
            <w:r w:rsidRPr="0012760D">
              <w:rPr>
                <w:bCs/>
                <w:sz w:val="24"/>
                <w:szCs w:val="24"/>
              </w:rPr>
              <w:lastRenderedPageBreak/>
              <w:t>year</w:t>
            </w:r>
          </w:p>
        </w:tc>
        <w:tc>
          <w:tcPr>
            <w:tcW w:w="605" w:type="pct"/>
            <w:shd w:val="clear" w:color="auto" w:fill="auto"/>
          </w:tcPr>
          <w:p w:rsidR="00826760" w:rsidRPr="0012760D" w:rsidRDefault="00826760" w:rsidP="00CA07BB">
            <w:pPr>
              <w:rPr>
                <w:sz w:val="24"/>
                <w:szCs w:val="24"/>
              </w:rPr>
            </w:pPr>
            <w:r w:rsidRPr="0012760D">
              <w:rPr>
                <w:bCs/>
                <w:sz w:val="24"/>
                <w:szCs w:val="24"/>
              </w:rPr>
              <w:lastRenderedPageBreak/>
              <w:t>Fixed interest rate maturing 1 to 5 years</w:t>
            </w:r>
          </w:p>
        </w:tc>
        <w:tc>
          <w:tcPr>
            <w:tcW w:w="557" w:type="pct"/>
            <w:shd w:val="clear" w:color="auto" w:fill="auto"/>
          </w:tcPr>
          <w:p w:rsidR="00826760" w:rsidRPr="0012760D" w:rsidRDefault="00826760" w:rsidP="00CA07BB">
            <w:pPr>
              <w:rPr>
                <w:sz w:val="24"/>
                <w:szCs w:val="24"/>
              </w:rPr>
            </w:pPr>
            <w:r w:rsidRPr="0012760D">
              <w:rPr>
                <w:bCs/>
                <w:sz w:val="24"/>
                <w:szCs w:val="24"/>
              </w:rPr>
              <w:t>Non-interest bearing</w:t>
            </w:r>
          </w:p>
        </w:tc>
        <w:tc>
          <w:tcPr>
            <w:tcW w:w="624" w:type="pct"/>
            <w:shd w:val="clear" w:color="auto" w:fill="auto"/>
          </w:tcPr>
          <w:p w:rsidR="00826760" w:rsidRPr="0012760D" w:rsidRDefault="00826760" w:rsidP="00CA07BB">
            <w:pPr>
              <w:rPr>
                <w:sz w:val="24"/>
                <w:szCs w:val="24"/>
              </w:rPr>
            </w:pPr>
            <w:r w:rsidRPr="0012760D">
              <w:rPr>
                <w:bCs/>
                <w:sz w:val="24"/>
                <w:szCs w:val="24"/>
              </w:rPr>
              <w:t>Total carrying amount as per Balance Sheet</w:t>
            </w:r>
          </w:p>
        </w:tc>
        <w:tc>
          <w:tcPr>
            <w:tcW w:w="563" w:type="pct"/>
            <w:shd w:val="clear" w:color="auto" w:fill="auto"/>
          </w:tcPr>
          <w:p w:rsidR="00826760" w:rsidRPr="0012760D" w:rsidRDefault="00826760" w:rsidP="00CA07BB">
            <w:pPr>
              <w:rPr>
                <w:sz w:val="24"/>
                <w:szCs w:val="24"/>
              </w:rPr>
            </w:pPr>
            <w:r w:rsidRPr="0012760D">
              <w:rPr>
                <w:bCs/>
                <w:sz w:val="24"/>
                <w:szCs w:val="24"/>
              </w:rPr>
              <w:t xml:space="preserve">Weighted average effective </w:t>
            </w:r>
            <w:r w:rsidRPr="0012760D">
              <w:rPr>
                <w:bCs/>
                <w:sz w:val="24"/>
                <w:szCs w:val="24"/>
              </w:rPr>
              <w:lastRenderedPageBreak/>
              <w:t>interest rate</w:t>
            </w:r>
          </w:p>
        </w:tc>
      </w:tr>
      <w:tr w:rsidR="00826760" w:rsidRPr="0012760D" w:rsidTr="00CA07BB">
        <w:tblPrEx>
          <w:tblCellMar>
            <w:top w:w="0" w:type="dxa"/>
            <w:bottom w:w="0" w:type="dxa"/>
          </w:tblCellMar>
        </w:tblPrEx>
        <w:tc>
          <w:tcPr>
            <w:tcW w:w="1261" w:type="pct"/>
            <w:vMerge/>
            <w:shd w:val="clear" w:color="auto" w:fill="auto"/>
          </w:tcPr>
          <w:p w:rsidR="00826760" w:rsidRPr="0012760D" w:rsidRDefault="00826760" w:rsidP="00CA07BB">
            <w:pPr>
              <w:rPr>
                <w:sz w:val="24"/>
                <w:szCs w:val="24"/>
              </w:rPr>
            </w:pPr>
          </w:p>
        </w:tc>
        <w:tc>
          <w:tcPr>
            <w:tcW w:w="804" w:type="pct"/>
            <w:shd w:val="clear" w:color="auto" w:fill="auto"/>
          </w:tcPr>
          <w:p w:rsidR="00826760" w:rsidRPr="0012760D" w:rsidRDefault="00826760" w:rsidP="00CA07BB">
            <w:pPr>
              <w:jc w:val="right"/>
              <w:rPr>
                <w:sz w:val="24"/>
                <w:szCs w:val="24"/>
              </w:rPr>
            </w:pPr>
            <w:r w:rsidRPr="0012760D">
              <w:rPr>
                <w:bCs/>
                <w:sz w:val="24"/>
                <w:szCs w:val="24"/>
              </w:rPr>
              <w:t>$</w:t>
            </w:r>
          </w:p>
        </w:tc>
        <w:tc>
          <w:tcPr>
            <w:tcW w:w="586" w:type="pct"/>
            <w:shd w:val="clear" w:color="auto" w:fill="auto"/>
          </w:tcPr>
          <w:p w:rsidR="00826760" w:rsidRPr="0012760D" w:rsidRDefault="00826760" w:rsidP="00CA07BB">
            <w:pPr>
              <w:jc w:val="right"/>
              <w:rPr>
                <w:sz w:val="24"/>
                <w:szCs w:val="24"/>
              </w:rPr>
            </w:pPr>
            <w:r w:rsidRPr="0012760D">
              <w:rPr>
                <w:sz w:val="24"/>
                <w:szCs w:val="24"/>
              </w:rPr>
              <w:t>$</w:t>
            </w:r>
          </w:p>
        </w:tc>
        <w:tc>
          <w:tcPr>
            <w:tcW w:w="605" w:type="pct"/>
            <w:shd w:val="clear" w:color="auto" w:fill="auto"/>
          </w:tcPr>
          <w:p w:rsidR="00826760" w:rsidRPr="0012760D" w:rsidRDefault="00826760" w:rsidP="00CA07BB">
            <w:pPr>
              <w:jc w:val="right"/>
              <w:rPr>
                <w:sz w:val="24"/>
                <w:szCs w:val="24"/>
              </w:rPr>
            </w:pPr>
            <w:r w:rsidRPr="0012760D">
              <w:rPr>
                <w:sz w:val="24"/>
                <w:szCs w:val="24"/>
              </w:rPr>
              <w:t>$</w:t>
            </w:r>
          </w:p>
        </w:tc>
        <w:tc>
          <w:tcPr>
            <w:tcW w:w="557" w:type="pct"/>
            <w:shd w:val="clear" w:color="auto" w:fill="auto"/>
          </w:tcPr>
          <w:p w:rsidR="00826760" w:rsidRPr="0012760D" w:rsidRDefault="00826760" w:rsidP="00CA07BB">
            <w:pPr>
              <w:jc w:val="right"/>
              <w:rPr>
                <w:sz w:val="24"/>
                <w:szCs w:val="24"/>
              </w:rPr>
            </w:pPr>
            <w:r w:rsidRPr="0012760D">
              <w:rPr>
                <w:sz w:val="24"/>
                <w:szCs w:val="24"/>
              </w:rPr>
              <w:t>$</w:t>
            </w:r>
          </w:p>
        </w:tc>
        <w:tc>
          <w:tcPr>
            <w:tcW w:w="624" w:type="pct"/>
            <w:shd w:val="clear" w:color="auto" w:fill="auto"/>
          </w:tcPr>
          <w:p w:rsidR="00826760" w:rsidRPr="0012760D" w:rsidRDefault="00826760" w:rsidP="00CA07BB">
            <w:pPr>
              <w:jc w:val="right"/>
              <w:rPr>
                <w:sz w:val="24"/>
                <w:szCs w:val="24"/>
              </w:rPr>
            </w:pPr>
            <w:r w:rsidRPr="0012760D">
              <w:rPr>
                <w:sz w:val="24"/>
                <w:szCs w:val="24"/>
              </w:rPr>
              <w:t>$</w:t>
            </w:r>
          </w:p>
        </w:tc>
        <w:tc>
          <w:tcPr>
            <w:tcW w:w="563" w:type="pct"/>
            <w:shd w:val="clear" w:color="auto" w:fill="auto"/>
          </w:tcPr>
          <w:p w:rsidR="00826760" w:rsidRPr="0012760D" w:rsidRDefault="00826760" w:rsidP="00CA07BB">
            <w:pPr>
              <w:jc w:val="right"/>
              <w:rPr>
                <w:sz w:val="24"/>
                <w:szCs w:val="24"/>
              </w:rPr>
            </w:pPr>
            <w:r w:rsidRPr="0012760D">
              <w:rPr>
                <w:bCs/>
                <w:sz w:val="24"/>
                <w:szCs w:val="24"/>
              </w:rPr>
              <w:t>%</w:t>
            </w:r>
          </w:p>
        </w:tc>
      </w:tr>
      <w:tr w:rsidR="00826760" w:rsidRPr="0012760D" w:rsidTr="00CA07BB">
        <w:tblPrEx>
          <w:tblCellMar>
            <w:top w:w="0" w:type="dxa"/>
            <w:bottom w:w="0" w:type="dxa"/>
          </w:tblCellMar>
        </w:tblPrEx>
        <w:tc>
          <w:tcPr>
            <w:tcW w:w="5000" w:type="pct"/>
            <w:gridSpan w:val="7"/>
            <w:shd w:val="clear" w:color="auto" w:fill="auto"/>
          </w:tcPr>
          <w:p w:rsidR="00826760" w:rsidRPr="0012760D" w:rsidRDefault="00826760" w:rsidP="00CA07BB">
            <w:pPr>
              <w:rPr>
                <w:sz w:val="24"/>
                <w:szCs w:val="24"/>
              </w:rPr>
            </w:pPr>
            <w:r w:rsidRPr="0012760D">
              <w:rPr>
                <w:bCs/>
                <w:sz w:val="24"/>
                <w:szCs w:val="24"/>
              </w:rPr>
              <w:t>Financial Assets</w:t>
            </w:r>
          </w:p>
        </w:tc>
      </w:tr>
      <w:tr w:rsidR="00826760" w:rsidRPr="0012760D" w:rsidTr="00CA07BB">
        <w:tblPrEx>
          <w:tblCellMar>
            <w:top w:w="0" w:type="dxa"/>
            <w:bottom w:w="0" w:type="dxa"/>
          </w:tblCellMar>
        </w:tblPrEx>
        <w:tc>
          <w:tcPr>
            <w:tcW w:w="1261" w:type="pct"/>
            <w:shd w:val="clear" w:color="auto" w:fill="auto"/>
          </w:tcPr>
          <w:p w:rsidR="00826760" w:rsidRPr="0012760D" w:rsidRDefault="00826760" w:rsidP="00CA07BB">
            <w:pPr>
              <w:rPr>
                <w:sz w:val="24"/>
                <w:szCs w:val="24"/>
              </w:rPr>
            </w:pPr>
            <w:r w:rsidRPr="0012760D">
              <w:rPr>
                <w:sz w:val="24"/>
                <w:szCs w:val="24"/>
              </w:rPr>
              <w:t>Cash Assets</w:t>
            </w:r>
          </w:p>
        </w:tc>
        <w:tc>
          <w:tcPr>
            <w:tcW w:w="804" w:type="pct"/>
            <w:shd w:val="clear" w:color="auto" w:fill="auto"/>
          </w:tcPr>
          <w:p w:rsidR="00826760" w:rsidRPr="0012760D" w:rsidRDefault="00826760" w:rsidP="00CA07BB">
            <w:pPr>
              <w:jc w:val="right"/>
              <w:rPr>
                <w:sz w:val="24"/>
                <w:szCs w:val="24"/>
              </w:rPr>
            </w:pPr>
            <w:r w:rsidRPr="0012760D">
              <w:rPr>
                <w:sz w:val="24"/>
                <w:szCs w:val="24"/>
              </w:rPr>
              <w:t>420,500</w:t>
            </w:r>
          </w:p>
        </w:tc>
        <w:tc>
          <w:tcPr>
            <w:tcW w:w="586" w:type="pct"/>
            <w:shd w:val="clear" w:color="auto" w:fill="auto"/>
          </w:tcPr>
          <w:p w:rsidR="00826760" w:rsidRPr="0012760D" w:rsidRDefault="00826760" w:rsidP="00CA07BB">
            <w:pPr>
              <w:jc w:val="right"/>
              <w:rPr>
                <w:sz w:val="24"/>
                <w:szCs w:val="24"/>
              </w:rPr>
            </w:pPr>
            <w:r w:rsidRPr="0012760D">
              <w:rPr>
                <w:sz w:val="24"/>
                <w:szCs w:val="24"/>
              </w:rPr>
              <w:t>23,000,000</w:t>
            </w:r>
          </w:p>
        </w:tc>
        <w:tc>
          <w:tcPr>
            <w:tcW w:w="605" w:type="pct"/>
            <w:shd w:val="clear" w:color="auto" w:fill="auto"/>
          </w:tcPr>
          <w:p w:rsidR="00826760" w:rsidRPr="0012760D" w:rsidRDefault="00826760" w:rsidP="00CA07BB">
            <w:pPr>
              <w:jc w:val="right"/>
              <w:rPr>
                <w:sz w:val="24"/>
                <w:szCs w:val="24"/>
              </w:rPr>
            </w:pPr>
            <w:r w:rsidRPr="0012760D">
              <w:rPr>
                <w:sz w:val="24"/>
                <w:szCs w:val="24"/>
              </w:rPr>
              <w:t>-</w:t>
            </w:r>
          </w:p>
        </w:tc>
        <w:tc>
          <w:tcPr>
            <w:tcW w:w="557" w:type="pct"/>
            <w:shd w:val="clear" w:color="auto" w:fill="auto"/>
          </w:tcPr>
          <w:p w:rsidR="00826760" w:rsidRPr="0012760D" w:rsidRDefault="00826760" w:rsidP="00CA07BB">
            <w:pPr>
              <w:jc w:val="right"/>
              <w:rPr>
                <w:sz w:val="24"/>
                <w:szCs w:val="24"/>
              </w:rPr>
            </w:pPr>
            <w:r w:rsidRPr="0012760D">
              <w:rPr>
                <w:sz w:val="24"/>
                <w:szCs w:val="24"/>
              </w:rPr>
              <w:t>1,700</w:t>
            </w:r>
          </w:p>
        </w:tc>
        <w:tc>
          <w:tcPr>
            <w:tcW w:w="624" w:type="pct"/>
            <w:shd w:val="clear" w:color="auto" w:fill="auto"/>
          </w:tcPr>
          <w:p w:rsidR="00826760" w:rsidRPr="0012760D" w:rsidRDefault="00826760" w:rsidP="00CA07BB">
            <w:pPr>
              <w:jc w:val="right"/>
              <w:rPr>
                <w:sz w:val="24"/>
                <w:szCs w:val="24"/>
              </w:rPr>
            </w:pPr>
            <w:r w:rsidRPr="0012760D">
              <w:rPr>
                <w:sz w:val="24"/>
                <w:szCs w:val="24"/>
              </w:rPr>
              <w:t>23,422,200</w:t>
            </w:r>
          </w:p>
        </w:tc>
        <w:tc>
          <w:tcPr>
            <w:tcW w:w="563" w:type="pct"/>
            <w:shd w:val="clear" w:color="auto" w:fill="auto"/>
          </w:tcPr>
          <w:p w:rsidR="00826760" w:rsidRPr="0012760D" w:rsidRDefault="00826760" w:rsidP="00CA07BB">
            <w:pPr>
              <w:jc w:val="right"/>
              <w:rPr>
                <w:sz w:val="24"/>
                <w:szCs w:val="24"/>
              </w:rPr>
            </w:pPr>
            <w:r w:rsidRPr="0012760D">
              <w:rPr>
                <w:sz w:val="24"/>
                <w:szCs w:val="24"/>
              </w:rPr>
              <w:t>3.54</w:t>
            </w:r>
          </w:p>
        </w:tc>
      </w:tr>
      <w:tr w:rsidR="00826760" w:rsidRPr="0012760D" w:rsidTr="00CA07BB">
        <w:tblPrEx>
          <w:tblCellMar>
            <w:top w:w="0" w:type="dxa"/>
            <w:bottom w:w="0" w:type="dxa"/>
          </w:tblCellMar>
        </w:tblPrEx>
        <w:tc>
          <w:tcPr>
            <w:tcW w:w="1261" w:type="pct"/>
            <w:shd w:val="clear" w:color="auto" w:fill="auto"/>
          </w:tcPr>
          <w:p w:rsidR="00826760" w:rsidRPr="0012760D" w:rsidRDefault="00826760" w:rsidP="00CA07BB">
            <w:pPr>
              <w:rPr>
                <w:sz w:val="24"/>
                <w:szCs w:val="24"/>
              </w:rPr>
            </w:pPr>
            <w:r w:rsidRPr="0012760D">
              <w:rPr>
                <w:sz w:val="24"/>
                <w:szCs w:val="24"/>
              </w:rPr>
              <w:t>Receivables</w:t>
            </w:r>
          </w:p>
        </w:tc>
        <w:tc>
          <w:tcPr>
            <w:tcW w:w="804" w:type="pct"/>
            <w:shd w:val="clear" w:color="auto" w:fill="auto"/>
          </w:tcPr>
          <w:p w:rsidR="00826760" w:rsidRPr="0012760D" w:rsidRDefault="00826760" w:rsidP="00CA07BB">
            <w:pPr>
              <w:jc w:val="right"/>
              <w:rPr>
                <w:sz w:val="24"/>
                <w:szCs w:val="24"/>
              </w:rPr>
            </w:pPr>
            <w:r w:rsidRPr="0012760D">
              <w:rPr>
                <w:sz w:val="24"/>
                <w:szCs w:val="24"/>
              </w:rPr>
              <w:t>-</w:t>
            </w:r>
          </w:p>
        </w:tc>
        <w:tc>
          <w:tcPr>
            <w:tcW w:w="586" w:type="pct"/>
            <w:shd w:val="clear" w:color="auto" w:fill="auto"/>
          </w:tcPr>
          <w:p w:rsidR="00826760" w:rsidRPr="0012760D" w:rsidRDefault="00826760" w:rsidP="00CA07BB">
            <w:pPr>
              <w:jc w:val="right"/>
              <w:rPr>
                <w:sz w:val="24"/>
                <w:szCs w:val="24"/>
              </w:rPr>
            </w:pPr>
            <w:r w:rsidRPr="0012760D">
              <w:rPr>
                <w:sz w:val="24"/>
                <w:szCs w:val="24"/>
              </w:rPr>
              <w:t>-</w:t>
            </w:r>
          </w:p>
        </w:tc>
        <w:tc>
          <w:tcPr>
            <w:tcW w:w="605" w:type="pct"/>
            <w:shd w:val="clear" w:color="auto" w:fill="auto"/>
          </w:tcPr>
          <w:p w:rsidR="00826760" w:rsidRPr="0012760D" w:rsidRDefault="00826760" w:rsidP="00CA07BB">
            <w:pPr>
              <w:jc w:val="right"/>
              <w:rPr>
                <w:sz w:val="24"/>
                <w:szCs w:val="24"/>
              </w:rPr>
            </w:pPr>
            <w:r w:rsidRPr="0012760D">
              <w:rPr>
                <w:sz w:val="24"/>
                <w:szCs w:val="24"/>
              </w:rPr>
              <w:t>-</w:t>
            </w:r>
          </w:p>
        </w:tc>
        <w:tc>
          <w:tcPr>
            <w:tcW w:w="557" w:type="pct"/>
            <w:shd w:val="clear" w:color="auto" w:fill="auto"/>
          </w:tcPr>
          <w:p w:rsidR="00826760" w:rsidRPr="0012760D" w:rsidRDefault="00826760" w:rsidP="00CA07BB">
            <w:pPr>
              <w:jc w:val="right"/>
              <w:rPr>
                <w:sz w:val="24"/>
                <w:szCs w:val="24"/>
              </w:rPr>
            </w:pPr>
            <w:r w:rsidRPr="0012760D">
              <w:rPr>
                <w:sz w:val="24"/>
                <w:szCs w:val="24"/>
              </w:rPr>
              <w:t>62,764</w:t>
            </w:r>
          </w:p>
        </w:tc>
        <w:tc>
          <w:tcPr>
            <w:tcW w:w="624" w:type="pct"/>
            <w:shd w:val="clear" w:color="auto" w:fill="auto"/>
          </w:tcPr>
          <w:p w:rsidR="00826760" w:rsidRPr="0012760D" w:rsidRDefault="00826760" w:rsidP="00CA07BB">
            <w:pPr>
              <w:jc w:val="right"/>
              <w:rPr>
                <w:sz w:val="24"/>
                <w:szCs w:val="24"/>
              </w:rPr>
            </w:pPr>
            <w:r w:rsidRPr="0012760D">
              <w:rPr>
                <w:sz w:val="24"/>
                <w:szCs w:val="24"/>
              </w:rPr>
              <w:t>62,764</w:t>
            </w:r>
          </w:p>
        </w:tc>
        <w:tc>
          <w:tcPr>
            <w:tcW w:w="563" w:type="pct"/>
            <w:shd w:val="clear" w:color="auto" w:fill="auto"/>
          </w:tcPr>
          <w:p w:rsidR="00826760" w:rsidRPr="0012760D" w:rsidRDefault="00826760" w:rsidP="00CA07BB">
            <w:pPr>
              <w:jc w:val="right"/>
              <w:rPr>
                <w:sz w:val="24"/>
                <w:szCs w:val="24"/>
              </w:rPr>
            </w:pPr>
          </w:p>
        </w:tc>
      </w:tr>
      <w:tr w:rsidR="00826760" w:rsidRPr="0012760D" w:rsidTr="00CA07BB">
        <w:tblPrEx>
          <w:tblCellMar>
            <w:top w:w="0" w:type="dxa"/>
            <w:bottom w:w="0" w:type="dxa"/>
          </w:tblCellMar>
        </w:tblPrEx>
        <w:tc>
          <w:tcPr>
            <w:tcW w:w="1261" w:type="pct"/>
            <w:shd w:val="clear" w:color="auto" w:fill="auto"/>
          </w:tcPr>
          <w:p w:rsidR="00826760" w:rsidRPr="0012760D" w:rsidRDefault="00826760" w:rsidP="00CA07BB">
            <w:pPr>
              <w:rPr>
                <w:sz w:val="24"/>
                <w:szCs w:val="24"/>
              </w:rPr>
            </w:pPr>
            <w:r w:rsidRPr="0012760D">
              <w:rPr>
                <w:bCs/>
                <w:sz w:val="24"/>
                <w:szCs w:val="24"/>
              </w:rPr>
              <w:t>Total Financial Assets</w:t>
            </w:r>
          </w:p>
        </w:tc>
        <w:tc>
          <w:tcPr>
            <w:tcW w:w="804" w:type="pct"/>
            <w:shd w:val="clear" w:color="auto" w:fill="auto"/>
          </w:tcPr>
          <w:p w:rsidR="00826760" w:rsidRPr="0012760D" w:rsidRDefault="00826760" w:rsidP="00CA07BB">
            <w:pPr>
              <w:jc w:val="right"/>
              <w:rPr>
                <w:sz w:val="24"/>
                <w:szCs w:val="24"/>
              </w:rPr>
            </w:pPr>
            <w:r w:rsidRPr="0012760D">
              <w:rPr>
                <w:bCs/>
                <w:sz w:val="24"/>
                <w:szCs w:val="24"/>
              </w:rPr>
              <w:t>420,500</w:t>
            </w:r>
          </w:p>
        </w:tc>
        <w:tc>
          <w:tcPr>
            <w:tcW w:w="586" w:type="pct"/>
            <w:shd w:val="clear" w:color="auto" w:fill="auto"/>
          </w:tcPr>
          <w:p w:rsidR="00826760" w:rsidRPr="0012760D" w:rsidRDefault="00826760" w:rsidP="00CA07BB">
            <w:pPr>
              <w:jc w:val="right"/>
              <w:rPr>
                <w:sz w:val="24"/>
                <w:szCs w:val="24"/>
              </w:rPr>
            </w:pPr>
            <w:r w:rsidRPr="0012760D">
              <w:rPr>
                <w:bCs/>
                <w:sz w:val="24"/>
                <w:szCs w:val="24"/>
              </w:rPr>
              <w:t>23,000,000</w:t>
            </w:r>
          </w:p>
        </w:tc>
        <w:tc>
          <w:tcPr>
            <w:tcW w:w="605" w:type="pct"/>
            <w:shd w:val="clear" w:color="auto" w:fill="auto"/>
          </w:tcPr>
          <w:p w:rsidR="00826760" w:rsidRPr="0012760D" w:rsidRDefault="00826760" w:rsidP="00CA07BB">
            <w:pPr>
              <w:jc w:val="right"/>
              <w:rPr>
                <w:sz w:val="24"/>
                <w:szCs w:val="24"/>
              </w:rPr>
            </w:pPr>
            <w:r w:rsidRPr="0012760D">
              <w:rPr>
                <w:bCs/>
                <w:sz w:val="24"/>
                <w:szCs w:val="24"/>
              </w:rPr>
              <w:t>-</w:t>
            </w:r>
          </w:p>
        </w:tc>
        <w:tc>
          <w:tcPr>
            <w:tcW w:w="557" w:type="pct"/>
            <w:shd w:val="clear" w:color="auto" w:fill="auto"/>
          </w:tcPr>
          <w:p w:rsidR="00826760" w:rsidRPr="0012760D" w:rsidRDefault="00826760" w:rsidP="00CA07BB">
            <w:pPr>
              <w:jc w:val="right"/>
              <w:rPr>
                <w:sz w:val="24"/>
                <w:szCs w:val="24"/>
              </w:rPr>
            </w:pPr>
            <w:r w:rsidRPr="0012760D">
              <w:rPr>
                <w:bCs/>
                <w:sz w:val="24"/>
                <w:szCs w:val="24"/>
              </w:rPr>
              <w:t>64,464</w:t>
            </w:r>
          </w:p>
        </w:tc>
        <w:tc>
          <w:tcPr>
            <w:tcW w:w="624" w:type="pct"/>
            <w:shd w:val="clear" w:color="auto" w:fill="auto"/>
          </w:tcPr>
          <w:p w:rsidR="00826760" w:rsidRPr="0012760D" w:rsidRDefault="00826760" w:rsidP="00CA07BB">
            <w:pPr>
              <w:jc w:val="right"/>
              <w:rPr>
                <w:sz w:val="24"/>
                <w:szCs w:val="24"/>
              </w:rPr>
            </w:pPr>
            <w:r w:rsidRPr="0012760D">
              <w:rPr>
                <w:bCs/>
                <w:sz w:val="24"/>
                <w:szCs w:val="24"/>
              </w:rPr>
              <w:t>23,484,964</w:t>
            </w:r>
          </w:p>
        </w:tc>
        <w:tc>
          <w:tcPr>
            <w:tcW w:w="563" w:type="pct"/>
            <w:shd w:val="clear" w:color="auto" w:fill="auto"/>
          </w:tcPr>
          <w:p w:rsidR="00826760" w:rsidRPr="0012760D" w:rsidRDefault="00826760" w:rsidP="00CA07BB">
            <w:pPr>
              <w:jc w:val="right"/>
              <w:rPr>
                <w:sz w:val="24"/>
                <w:szCs w:val="24"/>
              </w:rPr>
            </w:pPr>
          </w:p>
        </w:tc>
      </w:tr>
      <w:tr w:rsidR="00826760" w:rsidRPr="0012760D" w:rsidTr="00CA07BB">
        <w:tblPrEx>
          <w:tblCellMar>
            <w:top w:w="0" w:type="dxa"/>
            <w:bottom w:w="0" w:type="dxa"/>
          </w:tblCellMar>
        </w:tblPrEx>
        <w:tc>
          <w:tcPr>
            <w:tcW w:w="5000" w:type="pct"/>
            <w:gridSpan w:val="7"/>
            <w:shd w:val="clear" w:color="auto" w:fill="auto"/>
          </w:tcPr>
          <w:p w:rsidR="00826760" w:rsidRPr="0012760D" w:rsidRDefault="00826760" w:rsidP="00CA07BB">
            <w:pPr>
              <w:rPr>
                <w:sz w:val="24"/>
                <w:szCs w:val="24"/>
              </w:rPr>
            </w:pPr>
            <w:r w:rsidRPr="0012760D">
              <w:rPr>
                <w:bCs/>
                <w:sz w:val="24"/>
                <w:szCs w:val="24"/>
              </w:rPr>
              <w:t>Financial Liabilities</w:t>
            </w:r>
          </w:p>
        </w:tc>
      </w:tr>
      <w:tr w:rsidR="00826760" w:rsidRPr="0012760D" w:rsidTr="00CA07BB">
        <w:tblPrEx>
          <w:tblCellMar>
            <w:top w:w="0" w:type="dxa"/>
            <w:bottom w:w="0" w:type="dxa"/>
          </w:tblCellMar>
        </w:tblPrEx>
        <w:tc>
          <w:tcPr>
            <w:tcW w:w="1261" w:type="pct"/>
            <w:shd w:val="clear" w:color="auto" w:fill="auto"/>
          </w:tcPr>
          <w:p w:rsidR="00826760" w:rsidRPr="0012760D" w:rsidRDefault="00826760" w:rsidP="00CA07BB">
            <w:pPr>
              <w:rPr>
                <w:sz w:val="24"/>
                <w:szCs w:val="24"/>
              </w:rPr>
            </w:pPr>
            <w:r w:rsidRPr="0012760D">
              <w:rPr>
                <w:sz w:val="24"/>
                <w:szCs w:val="24"/>
              </w:rPr>
              <w:t>Payables</w:t>
            </w:r>
          </w:p>
        </w:tc>
        <w:tc>
          <w:tcPr>
            <w:tcW w:w="804" w:type="pct"/>
            <w:shd w:val="clear" w:color="auto" w:fill="auto"/>
          </w:tcPr>
          <w:p w:rsidR="00826760" w:rsidRPr="0012760D" w:rsidRDefault="00826760" w:rsidP="00CA07BB">
            <w:pPr>
              <w:jc w:val="right"/>
              <w:rPr>
                <w:sz w:val="24"/>
                <w:szCs w:val="24"/>
              </w:rPr>
            </w:pPr>
            <w:r w:rsidRPr="0012760D">
              <w:rPr>
                <w:sz w:val="24"/>
                <w:szCs w:val="24"/>
              </w:rPr>
              <w:t>-</w:t>
            </w:r>
          </w:p>
        </w:tc>
        <w:tc>
          <w:tcPr>
            <w:tcW w:w="586" w:type="pct"/>
            <w:shd w:val="clear" w:color="auto" w:fill="auto"/>
          </w:tcPr>
          <w:p w:rsidR="00826760" w:rsidRPr="0012760D" w:rsidRDefault="00826760" w:rsidP="00CA07BB">
            <w:pPr>
              <w:jc w:val="right"/>
              <w:rPr>
                <w:sz w:val="24"/>
                <w:szCs w:val="24"/>
              </w:rPr>
            </w:pPr>
            <w:r w:rsidRPr="0012760D">
              <w:rPr>
                <w:sz w:val="24"/>
                <w:szCs w:val="24"/>
              </w:rPr>
              <w:t>-</w:t>
            </w:r>
          </w:p>
        </w:tc>
        <w:tc>
          <w:tcPr>
            <w:tcW w:w="605" w:type="pct"/>
            <w:shd w:val="clear" w:color="auto" w:fill="auto"/>
          </w:tcPr>
          <w:p w:rsidR="00826760" w:rsidRPr="0012760D" w:rsidRDefault="00826760" w:rsidP="00CA07BB">
            <w:pPr>
              <w:jc w:val="right"/>
              <w:rPr>
                <w:sz w:val="24"/>
                <w:szCs w:val="24"/>
              </w:rPr>
            </w:pPr>
            <w:r w:rsidRPr="0012760D">
              <w:rPr>
                <w:sz w:val="24"/>
                <w:szCs w:val="24"/>
              </w:rPr>
              <w:t>-</w:t>
            </w:r>
          </w:p>
        </w:tc>
        <w:tc>
          <w:tcPr>
            <w:tcW w:w="557" w:type="pct"/>
            <w:shd w:val="clear" w:color="auto" w:fill="auto"/>
          </w:tcPr>
          <w:p w:rsidR="00826760" w:rsidRPr="0012760D" w:rsidRDefault="00826760" w:rsidP="00CA07BB">
            <w:pPr>
              <w:jc w:val="right"/>
              <w:rPr>
                <w:sz w:val="24"/>
                <w:szCs w:val="24"/>
              </w:rPr>
            </w:pPr>
            <w:r w:rsidRPr="0012760D">
              <w:rPr>
                <w:sz w:val="24"/>
                <w:szCs w:val="24"/>
              </w:rPr>
              <w:t>2,684,741</w:t>
            </w:r>
          </w:p>
        </w:tc>
        <w:tc>
          <w:tcPr>
            <w:tcW w:w="624" w:type="pct"/>
            <w:shd w:val="clear" w:color="auto" w:fill="auto"/>
          </w:tcPr>
          <w:p w:rsidR="00826760" w:rsidRPr="0012760D" w:rsidRDefault="00826760" w:rsidP="00CA07BB">
            <w:pPr>
              <w:jc w:val="right"/>
              <w:rPr>
                <w:sz w:val="24"/>
                <w:szCs w:val="24"/>
              </w:rPr>
            </w:pPr>
            <w:r w:rsidRPr="0012760D">
              <w:rPr>
                <w:sz w:val="24"/>
                <w:szCs w:val="24"/>
              </w:rPr>
              <w:t>2,684,741</w:t>
            </w:r>
          </w:p>
        </w:tc>
        <w:tc>
          <w:tcPr>
            <w:tcW w:w="563" w:type="pct"/>
            <w:shd w:val="clear" w:color="auto" w:fill="auto"/>
          </w:tcPr>
          <w:p w:rsidR="00826760" w:rsidRPr="0012760D" w:rsidRDefault="00826760" w:rsidP="00CA07BB">
            <w:pPr>
              <w:jc w:val="right"/>
              <w:rPr>
                <w:sz w:val="24"/>
                <w:szCs w:val="24"/>
              </w:rPr>
            </w:pPr>
          </w:p>
        </w:tc>
      </w:tr>
      <w:tr w:rsidR="00826760" w:rsidRPr="0012760D" w:rsidTr="00CA07BB">
        <w:tblPrEx>
          <w:tblCellMar>
            <w:top w:w="0" w:type="dxa"/>
            <w:bottom w:w="0" w:type="dxa"/>
          </w:tblCellMar>
        </w:tblPrEx>
        <w:tc>
          <w:tcPr>
            <w:tcW w:w="1261" w:type="pct"/>
            <w:shd w:val="clear" w:color="auto" w:fill="auto"/>
          </w:tcPr>
          <w:p w:rsidR="00826760" w:rsidRPr="0012760D" w:rsidRDefault="00826760" w:rsidP="00CA07BB">
            <w:pPr>
              <w:rPr>
                <w:sz w:val="24"/>
                <w:szCs w:val="24"/>
              </w:rPr>
            </w:pPr>
            <w:r w:rsidRPr="0012760D">
              <w:rPr>
                <w:sz w:val="24"/>
                <w:szCs w:val="24"/>
              </w:rPr>
              <w:t>Finance leases</w:t>
            </w:r>
          </w:p>
        </w:tc>
        <w:tc>
          <w:tcPr>
            <w:tcW w:w="804" w:type="pct"/>
            <w:shd w:val="clear" w:color="auto" w:fill="auto"/>
          </w:tcPr>
          <w:p w:rsidR="00826760" w:rsidRPr="0012760D" w:rsidRDefault="00826760" w:rsidP="00CA07BB">
            <w:pPr>
              <w:jc w:val="right"/>
              <w:rPr>
                <w:sz w:val="24"/>
                <w:szCs w:val="24"/>
              </w:rPr>
            </w:pPr>
            <w:r w:rsidRPr="0012760D">
              <w:rPr>
                <w:sz w:val="24"/>
                <w:szCs w:val="24"/>
              </w:rPr>
              <w:t>-</w:t>
            </w:r>
          </w:p>
        </w:tc>
        <w:tc>
          <w:tcPr>
            <w:tcW w:w="586" w:type="pct"/>
            <w:shd w:val="clear" w:color="auto" w:fill="auto"/>
          </w:tcPr>
          <w:p w:rsidR="00826760" w:rsidRPr="0012760D" w:rsidRDefault="00826760" w:rsidP="00CA07BB">
            <w:pPr>
              <w:jc w:val="right"/>
              <w:rPr>
                <w:sz w:val="24"/>
                <w:szCs w:val="24"/>
              </w:rPr>
            </w:pPr>
            <w:r w:rsidRPr="0012760D">
              <w:rPr>
                <w:sz w:val="24"/>
                <w:szCs w:val="24"/>
              </w:rPr>
              <w:t>153,017</w:t>
            </w:r>
          </w:p>
        </w:tc>
        <w:tc>
          <w:tcPr>
            <w:tcW w:w="605" w:type="pct"/>
            <w:shd w:val="clear" w:color="auto" w:fill="auto"/>
          </w:tcPr>
          <w:p w:rsidR="00826760" w:rsidRPr="0012760D" w:rsidRDefault="00826760" w:rsidP="00CA07BB">
            <w:pPr>
              <w:jc w:val="right"/>
              <w:rPr>
                <w:sz w:val="24"/>
                <w:szCs w:val="24"/>
              </w:rPr>
            </w:pPr>
            <w:r w:rsidRPr="0012760D">
              <w:rPr>
                <w:sz w:val="24"/>
                <w:szCs w:val="24"/>
              </w:rPr>
              <w:t>39,139</w:t>
            </w:r>
          </w:p>
        </w:tc>
        <w:tc>
          <w:tcPr>
            <w:tcW w:w="557" w:type="pct"/>
            <w:shd w:val="clear" w:color="auto" w:fill="auto"/>
          </w:tcPr>
          <w:p w:rsidR="00826760" w:rsidRPr="0012760D" w:rsidRDefault="00826760" w:rsidP="00CA07BB">
            <w:pPr>
              <w:jc w:val="right"/>
              <w:rPr>
                <w:sz w:val="24"/>
                <w:szCs w:val="24"/>
              </w:rPr>
            </w:pPr>
            <w:r w:rsidRPr="0012760D">
              <w:rPr>
                <w:sz w:val="24"/>
                <w:szCs w:val="24"/>
              </w:rPr>
              <w:t>-</w:t>
            </w:r>
          </w:p>
        </w:tc>
        <w:tc>
          <w:tcPr>
            <w:tcW w:w="624" w:type="pct"/>
            <w:shd w:val="clear" w:color="auto" w:fill="auto"/>
          </w:tcPr>
          <w:p w:rsidR="00826760" w:rsidRPr="0012760D" w:rsidRDefault="00826760" w:rsidP="00CA07BB">
            <w:pPr>
              <w:jc w:val="right"/>
              <w:rPr>
                <w:sz w:val="24"/>
                <w:szCs w:val="24"/>
              </w:rPr>
            </w:pPr>
            <w:r w:rsidRPr="0012760D">
              <w:rPr>
                <w:sz w:val="24"/>
                <w:szCs w:val="24"/>
              </w:rPr>
              <w:t>192,156</w:t>
            </w:r>
          </w:p>
        </w:tc>
        <w:tc>
          <w:tcPr>
            <w:tcW w:w="563" w:type="pct"/>
            <w:shd w:val="clear" w:color="auto" w:fill="auto"/>
          </w:tcPr>
          <w:p w:rsidR="00826760" w:rsidRPr="0012760D" w:rsidRDefault="00826760" w:rsidP="00CA07BB">
            <w:pPr>
              <w:jc w:val="right"/>
              <w:rPr>
                <w:sz w:val="24"/>
                <w:szCs w:val="24"/>
              </w:rPr>
            </w:pPr>
            <w:r w:rsidRPr="0012760D">
              <w:rPr>
                <w:sz w:val="24"/>
                <w:szCs w:val="24"/>
              </w:rPr>
              <w:t>6.47</w:t>
            </w:r>
          </w:p>
        </w:tc>
      </w:tr>
      <w:tr w:rsidR="00826760" w:rsidRPr="0012760D" w:rsidTr="00CA07BB">
        <w:tblPrEx>
          <w:tblCellMar>
            <w:top w:w="0" w:type="dxa"/>
            <w:bottom w:w="0" w:type="dxa"/>
          </w:tblCellMar>
        </w:tblPrEx>
        <w:tc>
          <w:tcPr>
            <w:tcW w:w="1261" w:type="pct"/>
            <w:shd w:val="clear" w:color="auto" w:fill="auto"/>
          </w:tcPr>
          <w:p w:rsidR="00826760" w:rsidRPr="0012760D" w:rsidRDefault="00826760" w:rsidP="00CA07BB">
            <w:pPr>
              <w:rPr>
                <w:sz w:val="24"/>
                <w:szCs w:val="24"/>
              </w:rPr>
            </w:pPr>
            <w:r w:rsidRPr="0012760D">
              <w:rPr>
                <w:bCs/>
                <w:sz w:val="24"/>
                <w:szCs w:val="24"/>
              </w:rPr>
              <w:t>Total financial liabilities</w:t>
            </w:r>
          </w:p>
        </w:tc>
        <w:tc>
          <w:tcPr>
            <w:tcW w:w="804" w:type="pct"/>
            <w:shd w:val="clear" w:color="auto" w:fill="auto"/>
          </w:tcPr>
          <w:p w:rsidR="00826760" w:rsidRPr="0012760D" w:rsidRDefault="00826760" w:rsidP="00CA07BB">
            <w:pPr>
              <w:jc w:val="right"/>
              <w:rPr>
                <w:sz w:val="24"/>
                <w:szCs w:val="24"/>
              </w:rPr>
            </w:pPr>
            <w:r w:rsidRPr="0012760D">
              <w:rPr>
                <w:bCs/>
                <w:sz w:val="24"/>
                <w:szCs w:val="24"/>
              </w:rPr>
              <w:t>-</w:t>
            </w:r>
          </w:p>
        </w:tc>
        <w:tc>
          <w:tcPr>
            <w:tcW w:w="586" w:type="pct"/>
            <w:shd w:val="clear" w:color="auto" w:fill="auto"/>
          </w:tcPr>
          <w:p w:rsidR="00826760" w:rsidRPr="0012760D" w:rsidRDefault="00826760" w:rsidP="00CA07BB">
            <w:pPr>
              <w:jc w:val="right"/>
              <w:rPr>
                <w:sz w:val="24"/>
                <w:szCs w:val="24"/>
              </w:rPr>
            </w:pPr>
            <w:r w:rsidRPr="0012760D">
              <w:rPr>
                <w:bCs/>
                <w:sz w:val="24"/>
                <w:szCs w:val="24"/>
              </w:rPr>
              <w:t>153,017</w:t>
            </w:r>
          </w:p>
        </w:tc>
        <w:tc>
          <w:tcPr>
            <w:tcW w:w="605" w:type="pct"/>
            <w:shd w:val="clear" w:color="auto" w:fill="auto"/>
          </w:tcPr>
          <w:p w:rsidR="00826760" w:rsidRPr="0012760D" w:rsidRDefault="00826760" w:rsidP="00CA07BB">
            <w:pPr>
              <w:jc w:val="right"/>
              <w:rPr>
                <w:sz w:val="24"/>
                <w:szCs w:val="24"/>
              </w:rPr>
            </w:pPr>
            <w:r w:rsidRPr="0012760D">
              <w:rPr>
                <w:bCs/>
                <w:sz w:val="24"/>
                <w:szCs w:val="24"/>
              </w:rPr>
              <w:t>39,139</w:t>
            </w:r>
          </w:p>
        </w:tc>
        <w:tc>
          <w:tcPr>
            <w:tcW w:w="557" w:type="pct"/>
            <w:shd w:val="clear" w:color="auto" w:fill="auto"/>
          </w:tcPr>
          <w:p w:rsidR="00826760" w:rsidRPr="0012760D" w:rsidRDefault="00826760" w:rsidP="00CA07BB">
            <w:pPr>
              <w:jc w:val="right"/>
              <w:rPr>
                <w:sz w:val="24"/>
                <w:szCs w:val="24"/>
              </w:rPr>
            </w:pPr>
            <w:r w:rsidRPr="0012760D">
              <w:rPr>
                <w:bCs/>
                <w:sz w:val="24"/>
                <w:szCs w:val="24"/>
              </w:rPr>
              <w:t>2,684,741</w:t>
            </w:r>
          </w:p>
        </w:tc>
        <w:tc>
          <w:tcPr>
            <w:tcW w:w="624" w:type="pct"/>
            <w:shd w:val="clear" w:color="auto" w:fill="auto"/>
          </w:tcPr>
          <w:p w:rsidR="00826760" w:rsidRPr="0012760D" w:rsidRDefault="00826760" w:rsidP="00CA07BB">
            <w:pPr>
              <w:jc w:val="right"/>
              <w:rPr>
                <w:sz w:val="24"/>
                <w:szCs w:val="24"/>
              </w:rPr>
            </w:pPr>
            <w:r w:rsidRPr="0012760D">
              <w:rPr>
                <w:bCs/>
                <w:sz w:val="24"/>
                <w:szCs w:val="24"/>
              </w:rPr>
              <w:t>2,876,897</w:t>
            </w:r>
          </w:p>
        </w:tc>
        <w:tc>
          <w:tcPr>
            <w:tcW w:w="563" w:type="pct"/>
            <w:shd w:val="clear" w:color="auto" w:fill="auto"/>
          </w:tcPr>
          <w:p w:rsidR="00826760" w:rsidRPr="0012760D" w:rsidRDefault="00826760" w:rsidP="00CA07BB">
            <w:pPr>
              <w:jc w:val="right"/>
              <w:rPr>
                <w:sz w:val="24"/>
                <w:szCs w:val="24"/>
              </w:rPr>
            </w:pPr>
          </w:p>
        </w:tc>
      </w:tr>
    </w:tbl>
    <w:p w:rsidR="00826760" w:rsidRPr="0012760D" w:rsidRDefault="00826760" w:rsidP="00826760">
      <w:pPr>
        <w:rPr>
          <w:bCs/>
          <w:sz w:val="24"/>
          <w:szCs w:val="24"/>
        </w:rPr>
      </w:pPr>
    </w:p>
    <w:p w:rsidR="00826760" w:rsidRPr="0012760D" w:rsidRDefault="00826760" w:rsidP="00826760">
      <w:pPr>
        <w:rPr>
          <w:bCs/>
          <w:sz w:val="24"/>
          <w:szCs w:val="24"/>
        </w:rPr>
      </w:pPr>
    </w:p>
    <w:p w:rsidR="00826760" w:rsidRPr="0012760D" w:rsidRDefault="00826760" w:rsidP="00C16B42">
      <w:pPr>
        <w:pStyle w:val="Heading3"/>
      </w:pPr>
      <w:r w:rsidRPr="0012760D">
        <w:t>(c) Ageing Analysis of Contractual Receivables</w:t>
      </w:r>
    </w:p>
    <w:p w:rsidR="00826760" w:rsidRPr="0012760D" w:rsidRDefault="00826760" w:rsidP="00826760">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4103"/>
        <w:gridCol w:w="2069"/>
        <w:gridCol w:w="1914"/>
        <w:gridCol w:w="2302"/>
        <w:gridCol w:w="1844"/>
        <w:gridCol w:w="1802"/>
      </w:tblGrid>
      <w:tr w:rsidR="00826760" w:rsidRPr="0012760D" w:rsidTr="00CA07BB">
        <w:tblPrEx>
          <w:tblCellMar>
            <w:top w:w="0" w:type="dxa"/>
            <w:bottom w:w="0" w:type="dxa"/>
          </w:tblCellMar>
        </w:tblPrEx>
        <w:tc>
          <w:tcPr>
            <w:tcW w:w="2881" w:type="pct"/>
            <w:gridSpan w:val="3"/>
            <w:shd w:val="clear" w:color="auto" w:fill="auto"/>
          </w:tcPr>
          <w:p w:rsidR="00826760" w:rsidRPr="0012760D" w:rsidRDefault="00826760" w:rsidP="00CA07BB">
            <w:pPr>
              <w:rPr>
                <w:sz w:val="24"/>
                <w:szCs w:val="24"/>
              </w:rPr>
            </w:pPr>
          </w:p>
        </w:tc>
        <w:tc>
          <w:tcPr>
            <w:tcW w:w="2119" w:type="pct"/>
            <w:gridSpan w:val="3"/>
            <w:shd w:val="clear" w:color="auto" w:fill="auto"/>
          </w:tcPr>
          <w:p w:rsidR="00826760" w:rsidRPr="0012760D" w:rsidRDefault="00826760" w:rsidP="00CA07BB">
            <w:pPr>
              <w:jc w:val="center"/>
              <w:rPr>
                <w:sz w:val="24"/>
                <w:szCs w:val="24"/>
              </w:rPr>
            </w:pPr>
            <w:r w:rsidRPr="0012760D">
              <w:rPr>
                <w:bCs/>
                <w:sz w:val="24"/>
                <w:szCs w:val="24"/>
              </w:rPr>
              <w:t>Past due but not impaired</w:t>
            </w:r>
          </w:p>
        </w:tc>
      </w:tr>
      <w:tr w:rsidR="00826760" w:rsidRPr="0012760D" w:rsidTr="00CA07BB">
        <w:tblPrEx>
          <w:tblCellMar>
            <w:top w:w="0" w:type="dxa"/>
            <w:bottom w:w="0" w:type="dxa"/>
          </w:tblCellMar>
        </w:tblPrEx>
        <w:tc>
          <w:tcPr>
            <w:tcW w:w="1462" w:type="pct"/>
            <w:shd w:val="clear" w:color="auto" w:fill="auto"/>
          </w:tcPr>
          <w:p w:rsidR="00826760" w:rsidRPr="0012760D" w:rsidRDefault="00826760" w:rsidP="00CA07BB">
            <w:pPr>
              <w:rPr>
                <w:sz w:val="24"/>
                <w:szCs w:val="24"/>
              </w:rPr>
            </w:pPr>
            <w:r w:rsidRPr="0012760D">
              <w:rPr>
                <w:bCs/>
                <w:sz w:val="24"/>
                <w:szCs w:val="24"/>
              </w:rPr>
              <w:t>2013</w:t>
            </w:r>
          </w:p>
        </w:tc>
        <w:tc>
          <w:tcPr>
            <w:tcW w:w="737" w:type="pct"/>
            <w:shd w:val="clear" w:color="auto" w:fill="auto"/>
          </w:tcPr>
          <w:p w:rsidR="00826760" w:rsidRPr="0012760D" w:rsidRDefault="00826760" w:rsidP="00CA07BB">
            <w:pPr>
              <w:rPr>
                <w:sz w:val="24"/>
                <w:szCs w:val="24"/>
              </w:rPr>
            </w:pPr>
            <w:r w:rsidRPr="0012760D">
              <w:rPr>
                <w:bCs/>
                <w:sz w:val="24"/>
                <w:szCs w:val="24"/>
              </w:rPr>
              <w:t>Carrying amount</w:t>
            </w:r>
          </w:p>
        </w:tc>
        <w:tc>
          <w:tcPr>
            <w:tcW w:w="682" w:type="pct"/>
            <w:shd w:val="clear" w:color="auto" w:fill="auto"/>
          </w:tcPr>
          <w:p w:rsidR="00826760" w:rsidRPr="0012760D" w:rsidRDefault="00826760" w:rsidP="00CA07BB">
            <w:pPr>
              <w:rPr>
                <w:sz w:val="24"/>
                <w:szCs w:val="24"/>
              </w:rPr>
            </w:pPr>
            <w:r w:rsidRPr="0012760D">
              <w:rPr>
                <w:bCs/>
                <w:sz w:val="24"/>
                <w:szCs w:val="24"/>
              </w:rPr>
              <w:t>Not past due and not impaired</w:t>
            </w:r>
          </w:p>
        </w:tc>
        <w:tc>
          <w:tcPr>
            <w:tcW w:w="820" w:type="pct"/>
            <w:shd w:val="clear" w:color="auto" w:fill="auto"/>
          </w:tcPr>
          <w:p w:rsidR="00826760" w:rsidRPr="0012760D" w:rsidRDefault="00826760" w:rsidP="00CA07BB">
            <w:pPr>
              <w:rPr>
                <w:sz w:val="24"/>
                <w:szCs w:val="24"/>
              </w:rPr>
            </w:pPr>
            <w:r w:rsidRPr="0012760D">
              <w:rPr>
                <w:bCs/>
                <w:sz w:val="24"/>
                <w:szCs w:val="24"/>
              </w:rPr>
              <w:t>Less than 1 month</w:t>
            </w:r>
          </w:p>
        </w:tc>
        <w:tc>
          <w:tcPr>
            <w:tcW w:w="657" w:type="pct"/>
            <w:shd w:val="clear" w:color="auto" w:fill="auto"/>
          </w:tcPr>
          <w:p w:rsidR="00826760" w:rsidRPr="0012760D" w:rsidRDefault="00826760" w:rsidP="00CA07BB">
            <w:pPr>
              <w:rPr>
                <w:sz w:val="24"/>
                <w:szCs w:val="24"/>
              </w:rPr>
            </w:pPr>
            <w:r w:rsidRPr="0012760D">
              <w:rPr>
                <w:bCs/>
                <w:sz w:val="24"/>
                <w:szCs w:val="24"/>
              </w:rPr>
              <w:t>1 to 3 months</w:t>
            </w:r>
          </w:p>
        </w:tc>
        <w:tc>
          <w:tcPr>
            <w:tcW w:w="642" w:type="pct"/>
            <w:shd w:val="clear" w:color="auto" w:fill="auto"/>
          </w:tcPr>
          <w:p w:rsidR="00826760" w:rsidRPr="0012760D" w:rsidRDefault="00826760" w:rsidP="00CA07BB">
            <w:pPr>
              <w:rPr>
                <w:sz w:val="24"/>
                <w:szCs w:val="24"/>
              </w:rPr>
            </w:pPr>
            <w:r w:rsidRPr="0012760D">
              <w:rPr>
                <w:bCs/>
                <w:sz w:val="24"/>
                <w:szCs w:val="24"/>
              </w:rPr>
              <w:t>3 months to 1 year</w:t>
            </w:r>
          </w:p>
        </w:tc>
      </w:tr>
      <w:tr w:rsidR="00826760" w:rsidRPr="0012760D" w:rsidTr="00CA07BB">
        <w:tblPrEx>
          <w:tblCellMar>
            <w:top w:w="0" w:type="dxa"/>
            <w:bottom w:w="0" w:type="dxa"/>
          </w:tblCellMar>
        </w:tblPrEx>
        <w:tc>
          <w:tcPr>
            <w:tcW w:w="5000" w:type="pct"/>
            <w:gridSpan w:val="6"/>
            <w:shd w:val="clear" w:color="auto" w:fill="auto"/>
          </w:tcPr>
          <w:p w:rsidR="00826760" w:rsidRPr="0012760D" w:rsidRDefault="00826760" w:rsidP="00CA07BB">
            <w:pPr>
              <w:rPr>
                <w:sz w:val="24"/>
                <w:szCs w:val="24"/>
              </w:rPr>
            </w:pPr>
            <w:r w:rsidRPr="0012760D">
              <w:rPr>
                <w:bCs/>
                <w:sz w:val="24"/>
                <w:szCs w:val="24"/>
              </w:rPr>
              <w:t>Receivables</w:t>
            </w:r>
          </w:p>
        </w:tc>
      </w:tr>
      <w:tr w:rsidR="00826760" w:rsidRPr="0012760D" w:rsidTr="00CA07BB">
        <w:tblPrEx>
          <w:tblCellMar>
            <w:top w:w="0" w:type="dxa"/>
            <w:bottom w:w="0" w:type="dxa"/>
          </w:tblCellMar>
        </w:tblPrEx>
        <w:tc>
          <w:tcPr>
            <w:tcW w:w="1462" w:type="pct"/>
            <w:shd w:val="clear" w:color="auto" w:fill="auto"/>
          </w:tcPr>
          <w:p w:rsidR="00826760" w:rsidRPr="0012760D" w:rsidRDefault="00826760" w:rsidP="00CA07BB">
            <w:pPr>
              <w:rPr>
                <w:sz w:val="24"/>
                <w:szCs w:val="24"/>
              </w:rPr>
            </w:pPr>
            <w:r w:rsidRPr="0012760D">
              <w:rPr>
                <w:sz w:val="24"/>
                <w:szCs w:val="24"/>
              </w:rPr>
              <w:t>Trade Debtors</w:t>
            </w:r>
          </w:p>
        </w:tc>
        <w:tc>
          <w:tcPr>
            <w:tcW w:w="737" w:type="pct"/>
            <w:shd w:val="clear" w:color="auto" w:fill="auto"/>
          </w:tcPr>
          <w:p w:rsidR="00826760" w:rsidRPr="0012760D" w:rsidRDefault="00826760" w:rsidP="00CA07BB">
            <w:pPr>
              <w:jc w:val="right"/>
              <w:rPr>
                <w:sz w:val="24"/>
                <w:szCs w:val="24"/>
              </w:rPr>
            </w:pPr>
            <w:r w:rsidRPr="0012760D">
              <w:rPr>
                <w:sz w:val="24"/>
                <w:szCs w:val="24"/>
              </w:rPr>
              <w:t>84,888</w:t>
            </w:r>
          </w:p>
        </w:tc>
        <w:tc>
          <w:tcPr>
            <w:tcW w:w="682" w:type="pct"/>
            <w:shd w:val="clear" w:color="auto" w:fill="auto"/>
          </w:tcPr>
          <w:p w:rsidR="00826760" w:rsidRPr="0012760D" w:rsidRDefault="00826760" w:rsidP="00CA07BB">
            <w:pPr>
              <w:jc w:val="right"/>
              <w:rPr>
                <w:sz w:val="24"/>
                <w:szCs w:val="24"/>
              </w:rPr>
            </w:pPr>
            <w:r w:rsidRPr="0012760D">
              <w:rPr>
                <w:sz w:val="24"/>
                <w:szCs w:val="24"/>
              </w:rPr>
              <w:t>68,388</w:t>
            </w:r>
          </w:p>
        </w:tc>
        <w:tc>
          <w:tcPr>
            <w:tcW w:w="820" w:type="pct"/>
            <w:shd w:val="clear" w:color="auto" w:fill="auto"/>
          </w:tcPr>
          <w:p w:rsidR="00826760" w:rsidRPr="0012760D" w:rsidRDefault="00826760" w:rsidP="00CA07BB">
            <w:pPr>
              <w:jc w:val="right"/>
              <w:rPr>
                <w:sz w:val="24"/>
                <w:szCs w:val="24"/>
              </w:rPr>
            </w:pPr>
            <w:r w:rsidRPr="0012760D">
              <w:rPr>
                <w:sz w:val="24"/>
                <w:szCs w:val="24"/>
              </w:rPr>
              <w:t>16,500</w:t>
            </w:r>
          </w:p>
        </w:tc>
        <w:tc>
          <w:tcPr>
            <w:tcW w:w="657" w:type="pct"/>
            <w:shd w:val="clear" w:color="auto" w:fill="auto"/>
          </w:tcPr>
          <w:p w:rsidR="00826760" w:rsidRPr="0012760D" w:rsidRDefault="00826760" w:rsidP="00CA07BB">
            <w:pPr>
              <w:jc w:val="right"/>
              <w:rPr>
                <w:sz w:val="24"/>
                <w:szCs w:val="24"/>
              </w:rPr>
            </w:pPr>
            <w:r w:rsidRPr="0012760D">
              <w:rPr>
                <w:sz w:val="24"/>
                <w:szCs w:val="24"/>
              </w:rPr>
              <w:t>-</w:t>
            </w:r>
          </w:p>
        </w:tc>
        <w:tc>
          <w:tcPr>
            <w:tcW w:w="642" w:type="pct"/>
            <w:shd w:val="clear" w:color="auto" w:fill="auto"/>
          </w:tcPr>
          <w:p w:rsidR="00826760" w:rsidRPr="0012760D" w:rsidRDefault="00826760" w:rsidP="00CA07BB">
            <w:pPr>
              <w:jc w:val="right"/>
              <w:rPr>
                <w:sz w:val="24"/>
                <w:szCs w:val="24"/>
              </w:rPr>
            </w:pPr>
            <w:r w:rsidRPr="0012760D">
              <w:rPr>
                <w:sz w:val="24"/>
                <w:szCs w:val="24"/>
              </w:rPr>
              <w:t>-</w:t>
            </w:r>
          </w:p>
        </w:tc>
      </w:tr>
      <w:tr w:rsidR="00826760" w:rsidRPr="0012760D" w:rsidTr="00CA07BB">
        <w:tblPrEx>
          <w:tblCellMar>
            <w:top w:w="0" w:type="dxa"/>
            <w:bottom w:w="0" w:type="dxa"/>
          </w:tblCellMar>
        </w:tblPrEx>
        <w:tc>
          <w:tcPr>
            <w:tcW w:w="1462" w:type="pct"/>
            <w:shd w:val="clear" w:color="auto" w:fill="auto"/>
          </w:tcPr>
          <w:p w:rsidR="00826760" w:rsidRPr="0012760D" w:rsidRDefault="00826760" w:rsidP="00CA07BB">
            <w:pPr>
              <w:rPr>
                <w:sz w:val="24"/>
                <w:szCs w:val="24"/>
              </w:rPr>
            </w:pPr>
            <w:r w:rsidRPr="0012760D">
              <w:rPr>
                <w:sz w:val="24"/>
                <w:szCs w:val="24"/>
              </w:rPr>
              <w:t>Other Debtors</w:t>
            </w:r>
          </w:p>
        </w:tc>
        <w:tc>
          <w:tcPr>
            <w:tcW w:w="737" w:type="pct"/>
            <w:shd w:val="clear" w:color="auto" w:fill="auto"/>
          </w:tcPr>
          <w:p w:rsidR="00826760" w:rsidRPr="0012760D" w:rsidRDefault="00826760" w:rsidP="00CA07BB">
            <w:pPr>
              <w:jc w:val="right"/>
              <w:rPr>
                <w:sz w:val="24"/>
                <w:szCs w:val="24"/>
              </w:rPr>
            </w:pPr>
            <w:r w:rsidRPr="0012760D">
              <w:rPr>
                <w:sz w:val="24"/>
                <w:szCs w:val="24"/>
              </w:rPr>
              <w:t>17,914</w:t>
            </w:r>
          </w:p>
        </w:tc>
        <w:tc>
          <w:tcPr>
            <w:tcW w:w="682" w:type="pct"/>
            <w:shd w:val="clear" w:color="auto" w:fill="auto"/>
          </w:tcPr>
          <w:p w:rsidR="00826760" w:rsidRPr="0012760D" w:rsidRDefault="00826760" w:rsidP="00CA07BB">
            <w:pPr>
              <w:jc w:val="right"/>
              <w:rPr>
                <w:sz w:val="24"/>
                <w:szCs w:val="24"/>
              </w:rPr>
            </w:pPr>
            <w:r w:rsidRPr="0012760D">
              <w:rPr>
                <w:sz w:val="24"/>
                <w:szCs w:val="24"/>
              </w:rPr>
              <w:t>-</w:t>
            </w:r>
          </w:p>
        </w:tc>
        <w:tc>
          <w:tcPr>
            <w:tcW w:w="820" w:type="pct"/>
            <w:shd w:val="clear" w:color="auto" w:fill="auto"/>
          </w:tcPr>
          <w:p w:rsidR="00826760" w:rsidRPr="0012760D" w:rsidRDefault="00826760" w:rsidP="00CA07BB">
            <w:pPr>
              <w:jc w:val="right"/>
              <w:rPr>
                <w:sz w:val="24"/>
                <w:szCs w:val="24"/>
              </w:rPr>
            </w:pPr>
            <w:r w:rsidRPr="0012760D">
              <w:rPr>
                <w:sz w:val="24"/>
                <w:szCs w:val="24"/>
              </w:rPr>
              <w:t>3,289</w:t>
            </w:r>
          </w:p>
        </w:tc>
        <w:tc>
          <w:tcPr>
            <w:tcW w:w="657" w:type="pct"/>
            <w:shd w:val="clear" w:color="auto" w:fill="auto"/>
          </w:tcPr>
          <w:p w:rsidR="00826760" w:rsidRPr="0012760D" w:rsidRDefault="00826760" w:rsidP="00CA07BB">
            <w:pPr>
              <w:jc w:val="right"/>
              <w:rPr>
                <w:sz w:val="24"/>
                <w:szCs w:val="24"/>
              </w:rPr>
            </w:pPr>
            <w:r w:rsidRPr="0012760D">
              <w:rPr>
                <w:sz w:val="24"/>
                <w:szCs w:val="24"/>
              </w:rPr>
              <w:t>5,295</w:t>
            </w:r>
          </w:p>
        </w:tc>
        <w:tc>
          <w:tcPr>
            <w:tcW w:w="642" w:type="pct"/>
            <w:shd w:val="clear" w:color="auto" w:fill="auto"/>
          </w:tcPr>
          <w:p w:rsidR="00826760" w:rsidRPr="0012760D" w:rsidRDefault="00826760" w:rsidP="00CA07BB">
            <w:pPr>
              <w:jc w:val="right"/>
              <w:rPr>
                <w:sz w:val="24"/>
                <w:szCs w:val="24"/>
              </w:rPr>
            </w:pPr>
            <w:r w:rsidRPr="0012760D">
              <w:rPr>
                <w:sz w:val="24"/>
                <w:szCs w:val="24"/>
              </w:rPr>
              <w:t>9,330</w:t>
            </w:r>
          </w:p>
        </w:tc>
      </w:tr>
      <w:tr w:rsidR="00826760" w:rsidRPr="0012760D" w:rsidTr="00CA07BB">
        <w:tblPrEx>
          <w:tblCellMar>
            <w:top w:w="0" w:type="dxa"/>
            <w:bottom w:w="0" w:type="dxa"/>
          </w:tblCellMar>
        </w:tblPrEx>
        <w:tc>
          <w:tcPr>
            <w:tcW w:w="5000" w:type="pct"/>
            <w:gridSpan w:val="6"/>
            <w:shd w:val="clear" w:color="auto" w:fill="auto"/>
          </w:tcPr>
          <w:p w:rsidR="00826760" w:rsidRPr="0012760D" w:rsidRDefault="00826760" w:rsidP="00CA07BB">
            <w:pPr>
              <w:rPr>
                <w:sz w:val="24"/>
                <w:szCs w:val="24"/>
              </w:rPr>
            </w:pPr>
            <w:r w:rsidRPr="0012760D">
              <w:rPr>
                <w:bCs/>
                <w:sz w:val="24"/>
                <w:szCs w:val="24"/>
              </w:rPr>
              <w:t>Investment and other contractual financial assets:</w:t>
            </w:r>
          </w:p>
        </w:tc>
      </w:tr>
      <w:tr w:rsidR="00826760" w:rsidRPr="0012760D" w:rsidTr="00CA07BB">
        <w:tblPrEx>
          <w:tblCellMar>
            <w:top w:w="0" w:type="dxa"/>
            <w:bottom w:w="0" w:type="dxa"/>
          </w:tblCellMar>
        </w:tblPrEx>
        <w:tc>
          <w:tcPr>
            <w:tcW w:w="1462" w:type="pct"/>
            <w:shd w:val="clear" w:color="auto" w:fill="auto"/>
          </w:tcPr>
          <w:p w:rsidR="00826760" w:rsidRPr="0012760D" w:rsidRDefault="00826760" w:rsidP="00CA07BB">
            <w:pPr>
              <w:rPr>
                <w:sz w:val="24"/>
                <w:szCs w:val="24"/>
              </w:rPr>
            </w:pPr>
            <w:r w:rsidRPr="0012760D">
              <w:rPr>
                <w:sz w:val="24"/>
                <w:szCs w:val="24"/>
              </w:rPr>
              <w:t>Accrued Interest Income</w:t>
            </w:r>
          </w:p>
        </w:tc>
        <w:tc>
          <w:tcPr>
            <w:tcW w:w="737" w:type="pct"/>
            <w:shd w:val="clear" w:color="auto" w:fill="auto"/>
          </w:tcPr>
          <w:p w:rsidR="00826760" w:rsidRPr="0012760D" w:rsidRDefault="00826760" w:rsidP="00CA07BB">
            <w:pPr>
              <w:jc w:val="right"/>
              <w:rPr>
                <w:sz w:val="24"/>
                <w:szCs w:val="24"/>
              </w:rPr>
            </w:pPr>
            <w:r w:rsidRPr="0012760D">
              <w:rPr>
                <w:sz w:val="24"/>
                <w:szCs w:val="24"/>
              </w:rPr>
              <w:t>79,919</w:t>
            </w:r>
          </w:p>
        </w:tc>
        <w:tc>
          <w:tcPr>
            <w:tcW w:w="682" w:type="pct"/>
            <w:shd w:val="clear" w:color="auto" w:fill="auto"/>
          </w:tcPr>
          <w:p w:rsidR="00826760" w:rsidRPr="0012760D" w:rsidRDefault="00826760" w:rsidP="00CA07BB">
            <w:pPr>
              <w:jc w:val="right"/>
              <w:rPr>
                <w:sz w:val="24"/>
                <w:szCs w:val="24"/>
              </w:rPr>
            </w:pPr>
            <w:r w:rsidRPr="0012760D">
              <w:rPr>
                <w:sz w:val="24"/>
                <w:szCs w:val="24"/>
              </w:rPr>
              <w:t>79,919</w:t>
            </w:r>
          </w:p>
        </w:tc>
        <w:tc>
          <w:tcPr>
            <w:tcW w:w="820" w:type="pct"/>
            <w:shd w:val="clear" w:color="auto" w:fill="auto"/>
          </w:tcPr>
          <w:p w:rsidR="00826760" w:rsidRPr="0012760D" w:rsidRDefault="00826760" w:rsidP="00CA07BB">
            <w:pPr>
              <w:jc w:val="right"/>
              <w:rPr>
                <w:sz w:val="24"/>
                <w:szCs w:val="24"/>
              </w:rPr>
            </w:pPr>
            <w:r w:rsidRPr="0012760D">
              <w:rPr>
                <w:sz w:val="24"/>
                <w:szCs w:val="24"/>
              </w:rPr>
              <w:t>-</w:t>
            </w:r>
          </w:p>
        </w:tc>
        <w:tc>
          <w:tcPr>
            <w:tcW w:w="657" w:type="pct"/>
            <w:shd w:val="clear" w:color="auto" w:fill="auto"/>
          </w:tcPr>
          <w:p w:rsidR="00826760" w:rsidRPr="0012760D" w:rsidRDefault="00826760" w:rsidP="00CA07BB">
            <w:pPr>
              <w:jc w:val="right"/>
              <w:rPr>
                <w:sz w:val="24"/>
                <w:szCs w:val="24"/>
              </w:rPr>
            </w:pPr>
            <w:r w:rsidRPr="0012760D">
              <w:rPr>
                <w:sz w:val="24"/>
                <w:szCs w:val="24"/>
              </w:rPr>
              <w:t>-</w:t>
            </w:r>
          </w:p>
        </w:tc>
        <w:tc>
          <w:tcPr>
            <w:tcW w:w="642" w:type="pct"/>
            <w:shd w:val="clear" w:color="auto" w:fill="auto"/>
          </w:tcPr>
          <w:p w:rsidR="00826760" w:rsidRPr="0012760D" w:rsidRDefault="00826760" w:rsidP="00CA07BB">
            <w:pPr>
              <w:jc w:val="right"/>
              <w:rPr>
                <w:sz w:val="24"/>
                <w:szCs w:val="24"/>
              </w:rPr>
            </w:pPr>
            <w:r w:rsidRPr="0012760D">
              <w:rPr>
                <w:sz w:val="24"/>
                <w:szCs w:val="24"/>
              </w:rPr>
              <w:t>-</w:t>
            </w:r>
          </w:p>
        </w:tc>
      </w:tr>
      <w:tr w:rsidR="00826760" w:rsidRPr="0012760D" w:rsidTr="00CA07BB">
        <w:tblPrEx>
          <w:tblCellMar>
            <w:top w:w="0" w:type="dxa"/>
            <w:bottom w:w="0" w:type="dxa"/>
          </w:tblCellMar>
        </w:tblPrEx>
        <w:tc>
          <w:tcPr>
            <w:tcW w:w="1462" w:type="pct"/>
            <w:shd w:val="clear" w:color="auto" w:fill="auto"/>
          </w:tcPr>
          <w:p w:rsidR="00826760" w:rsidRPr="0012760D" w:rsidRDefault="00826760" w:rsidP="00CA07BB">
            <w:pPr>
              <w:rPr>
                <w:sz w:val="24"/>
                <w:szCs w:val="24"/>
              </w:rPr>
            </w:pPr>
            <w:r w:rsidRPr="0012760D">
              <w:rPr>
                <w:bCs/>
                <w:sz w:val="24"/>
                <w:szCs w:val="24"/>
              </w:rPr>
              <w:t>Total</w:t>
            </w:r>
          </w:p>
        </w:tc>
        <w:tc>
          <w:tcPr>
            <w:tcW w:w="737" w:type="pct"/>
            <w:shd w:val="clear" w:color="auto" w:fill="auto"/>
          </w:tcPr>
          <w:p w:rsidR="00826760" w:rsidRPr="0012760D" w:rsidRDefault="00826760" w:rsidP="00CA07BB">
            <w:pPr>
              <w:jc w:val="right"/>
              <w:rPr>
                <w:sz w:val="24"/>
                <w:szCs w:val="24"/>
              </w:rPr>
            </w:pPr>
            <w:r w:rsidRPr="0012760D">
              <w:rPr>
                <w:bCs/>
                <w:sz w:val="24"/>
                <w:szCs w:val="24"/>
              </w:rPr>
              <w:t>182,721</w:t>
            </w:r>
          </w:p>
        </w:tc>
        <w:tc>
          <w:tcPr>
            <w:tcW w:w="682" w:type="pct"/>
            <w:shd w:val="clear" w:color="auto" w:fill="auto"/>
          </w:tcPr>
          <w:p w:rsidR="00826760" w:rsidRPr="0012760D" w:rsidRDefault="00826760" w:rsidP="00CA07BB">
            <w:pPr>
              <w:jc w:val="right"/>
              <w:rPr>
                <w:sz w:val="24"/>
                <w:szCs w:val="24"/>
              </w:rPr>
            </w:pPr>
            <w:r w:rsidRPr="0012760D">
              <w:rPr>
                <w:bCs/>
                <w:sz w:val="24"/>
                <w:szCs w:val="24"/>
              </w:rPr>
              <w:t>148,307</w:t>
            </w:r>
          </w:p>
        </w:tc>
        <w:tc>
          <w:tcPr>
            <w:tcW w:w="820" w:type="pct"/>
            <w:shd w:val="clear" w:color="auto" w:fill="auto"/>
          </w:tcPr>
          <w:p w:rsidR="00826760" w:rsidRPr="0012760D" w:rsidRDefault="00826760" w:rsidP="00CA07BB">
            <w:pPr>
              <w:jc w:val="right"/>
              <w:rPr>
                <w:sz w:val="24"/>
                <w:szCs w:val="24"/>
              </w:rPr>
            </w:pPr>
            <w:r w:rsidRPr="0012760D">
              <w:rPr>
                <w:bCs/>
                <w:sz w:val="24"/>
                <w:szCs w:val="24"/>
              </w:rPr>
              <w:t>19,789</w:t>
            </w:r>
          </w:p>
        </w:tc>
        <w:tc>
          <w:tcPr>
            <w:tcW w:w="657" w:type="pct"/>
            <w:shd w:val="clear" w:color="auto" w:fill="auto"/>
          </w:tcPr>
          <w:p w:rsidR="00826760" w:rsidRPr="0012760D" w:rsidRDefault="00826760" w:rsidP="00CA07BB">
            <w:pPr>
              <w:jc w:val="right"/>
              <w:rPr>
                <w:sz w:val="24"/>
                <w:szCs w:val="24"/>
              </w:rPr>
            </w:pPr>
            <w:r w:rsidRPr="0012760D">
              <w:rPr>
                <w:bCs/>
                <w:sz w:val="24"/>
                <w:szCs w:val="24"/>
              </w:rPr>
              <w:t>5,295</w:t>
            </w:r>
          </w:p>
        </w:tc>
        <w:tc>
          <w:tcPr>
            <w:tcW w:w="642" w:type="pct"/>
            <w:shd w:val="clear" w:color="auto" w:fill="auto"/>
          </w:tcPr>
          <w:p w:rsidR="00826760" w:rsidRPr="0012760D" w:rsidRDefault="00826760" w:rsidP="00CA07BB">
            <w:pPr>
              <w:jc w:val="right"/>
              <w:rPr>
                <w:sz w:val="24"/>
                <w:szCs w:val="24"/>
              </w:rPr>
            </w:pPr>
            <w:r w:rsidRPr="0012760D">
              <w:rPr>
                <w:bCs/>
                <w:sz w:val="24"/>
                <w:szCs w:val="24"/>
              </w:rPr>
              <w:t>9,330</w:t>
            </w:r>
          </w:p>
        </w:tc>
      </w:tr>
      <w:tr w:rsidR="00826760" w:rsidRPr="0012760D" w:rsidTr="00CA07BB">
        <w:tblPrEx>
          <w:tblCellMar>
            <w:top w:w="0" w:type="dxa"/>
            <w:bottom w:w="0" w:type="dxa"/>
          </w:tblCellMar>
        </w:tblPrEx>
        <w:tc>
          <w:tcPr>
            <w:tcW w:w="5000" w:type="pct"/>
            <w:gridSpan w:val="6"/>
            <w:shd w:val="clear" w:color="auto" w:fill="auto"/>
          </w:tcPr>
          <w:p w:rsidR="00826760" w:rsidRPr="0012760D" w:rsidRDefault="00826760" w:rsidP="00CA07BB">
            <w:pPr>
              <w:rPr>
                <w:sz w:val="24"/>
                <w:szCs w:val="24"/>
              </w:rPr>
            </w:pPr>
            <w:r w:rsidRPr="0012760D">
              <w:rPr>
                <w:bCs/>
                <w:sz w:val="24"/>
                <w:szCs w:val="24"/>
              </w:rPr>
              <w:t>2012</w:t>
            </w:r>
          </w:p>
        </w:tc>
      </w:tr>
      <w:tr w:rsidR="00826760" w:rsidRPr="0012760D" w:rsidTr="00CA07BB">
        <w:tblPrEx>
          <w:tblCellMar>
            <w:top w:w="0" w:type="dxa"/>
            <w:bottom w:w="0" w:type="dxa"/>
          </w:tblCellMar>
        </w:tblPrEx>
        <w:tc>
          <w:tcPr>
            <w:tcW w:w="5000" w:type="pct"/>
            <w:gridSpan w:val="6"/>
            <w:shd w:val="clear" w:color="auto" w:fill="auto"/>
          </w:tcPr>
          <w:p w:rsidR="00826760" w:rsidRPr="0012760D" w:rsidRDefault="00826760" w:rsidP="00CA07BB">
            <w:pPr>
              <w:rPr>
                <w:sz w:val="24"/>
                <w:szCs w:val="24"/>
              </w:rPr>
            </w:pPr>
            <w:r w:rsidRPr="0012760D">
              <w:rPr>
                <w:bCs/>
                <w:sz w:val="24"/>
                <w:szCs w:val="24"/>
              </w:rPr>
              <w:t>Receivables</w:t>
            </w:r>
          </w:p>
        </w:tc>
      </w:tr>
      <w:tr w:rsidR="00826760" w:rsidRPr="0012760D" w:rsidTr="00CA07BB">
        <w:tblPrEx>
          <w:tblCellMar>
            <w:top w:w="0" w:type="dxa"/>
            <w:bottom w:w="0" w:type="dxa"/>
          </w:tblCellMar>
        </w:tblPrEx>
        <w:tc>
          <w:tcPr>
            <w:tcW w:w="1462" w:type="pct"/>
            <w:shd w:val="clear" w:color="auto" w:fill="auto"/>
          </w:tcPr>
          <w:p w:rsidR="00826760" w:rsidRPr="0012760D" w:rsidRDefault="00826760" w:rsidP="00CA07BB">
            <w:pPr>
              <w:rPr>
                <w:sz w:val="24"/>
                <w:szCs w:val="24"/>
              </w:rPr>
            </w:pPr>
            <w:r w:rsidRPr="0012760D">
              <w:rPr>
                <w:sz w:val="24"/>
                <w:szCs w:val="24"/>
              </w:rPr>
              <w:t>Trade Debtors</w:t>
            </w:r>
          </w:p>
        </w:tc>
        <w:tc>
          <w:tcPr>
            <w:tcW w:w="737" w:type="pct"/>
            <w:shd w:val="clear" w:color="auto" w:fill="auto"/>
          </w:tcPr>
          <w:p w:rsidR="00826760" w:rsidRPr="0012760D" w:rsidRDefault="00826760" w:rsidP="00CA07BB">
            <w:pPr>
              <w:jc w:val="right"/>
              <w:rPr>
                <w:sz w:val="24"/>
                <w:szCs w:val="24"/>
              </w:rPr>
            </w:pPr>
            <w:r w:rsidRPr="0012760D">
              <w:rPr>
                <w:sz w:val="24"/>
                <w:szCs w:val="24"/>
              </w:rPr>
              <w:t>8,800</w:t>
            </w:r>
          </w:p>
        </w:tc>
        <w:tc>
          <w:tcPr>
            <w:tcW w:w="682" w:type="pct"/>
            <w:shd w:val="clear" w:color="auto" w:fill="auto"/>
          </w:tcPr>
          <w:p w:rsidR="00826760" w:rsidRPr="0012760D" w:rsidRDefault="00826760" w:rsidP="00CA07BB">
            <w:pPr>
              <w:jc w:val="right"/>
              <w:rPr>
                <w:sz w:val="24"/>
                <w:szCs w:val="24"/>
              </w:rPr>
            </w:pPr>
            <w:r w:rsidRPr="0012760D">
              <w:rPr>
                <w:sz w:val="24"/>
                <w:szCs w:val="24"/>
              </w:rPr>
              <w:t>8,800</w:t>
            </w:r>
          </w:p>
        </w:tc>
        <w:tc>
          <w:tcPr>
            <w:tcW w:w="820" w:type="pct"/>
            <w:shd w:val="clear" w:color="auto" w:fill="auto"/>
          </w:tcPr>
          <w:p w:rsidR="00826760" w:rsidRPr="0012760D" w:rsidRDefault="00826760" w:rsidP="00CA07BB">
            <w:pPr>
              <w:jc w:val="right"/>
              <w:rPr>
                <w:sz w:val="24"/>
                <w:szCs w:val="24"/>
              </w:rPr>
            </w:pPr>
            <w:r w:rsidRPr="0012760D">
              <w:rPr>
                <w:sz w:val="24"/>
                <w:szCs w:val="24"/>
              </w:rPr>
              <w:t>-</w:t>
            </w:r>
          </w:p>
        </w:tc>
        <w:tc>
          <w:tcPr>
            <w:tcW w:w="657" w:type="pct"/>
            <w:shd w:val="clear" w:color="auto" w:fill="auto"/>
          </w:tcPr>
          <w:p w:rsidR="00826760" w:rsidRPr="0012760D" w:rsidRDefault="00826760" w:rsidP="00CA07BB">
            <w:pPr>
              <w:jc w:val="right"/>
              <w:rPr>
                <w:sz w:val="24"/>
                <w:szCs w:val="24"/>
              </w:rPr>
            </w:pPr>
            <w:r w:rsidRPr="0012760D">
              <w:rPr>
                <w:sz w:val="24"/>
                <w:szCs w:val="24"/>
              </w:rPr>
              <w:t>-</w:t>
            </w:r>
          </w:p>
        </w:tc>
        <w:tc>
          <w:tcPr>
            <w:tcW w:w="642" w:type="pct"/>
            <w:shd w:val="clear" w:color="auto" w:fill="auto"/>
          </w:tcPr>
          <w:p w:rsidR="00826760" w:rsidRPr="0012760D" w:rsidRDefault="00826760" w:rsidP="00CA07BB">
            <w:pPr>
              <w:jc w:val="right"/>
              <w:rPr>
                <w:sz w:val="24"/>
                <w:szCs w:val="24"/>
              </w:rPr>
            </w:pPr>
            <w:r w:rsidRPr="0012760D">
              <w:rPr>
                <w:sz w:val="24"/>
                <w:szCs w:val="24"/>
              </w:rPr>
              <w:t>-</w:t>
            </w:r>
          </w:p>
        </w:tc>
      </w:tr>
      <w:tr w:rsidR="00826760" w:rsidRPr="0012760D" w:rsidTr="00CA07BB">
        <w:tblPrEx>
          <w:tblCellMar>
            <w:top w:w="0" w:type="dxa"/>
            <w:bottom w:w="0" w:type="dxa"/>
          </w:tblCellMar>
        </w:tblPrEx>
        <w:tc>
          <w:tcPr>
            <w:tcW w:w="1462" w:type="pct"/>
            <w:shd w:val="clear" w:color="auto" w:fill="auto"/>
          </w:tcPr>
          <w:p w:rsidR="00826760" w:rsidRPr="0012760D" w:rsidRDefault="00826760" w:rsidP="00CA07BB">
            <w:pPr>
              <w:rPr>
                <w:sz w:val="24"/>
                <w:szCs w:val="24"/>
              </w:rPr>
            </w:pPr>
            <w:r w:rsidRPr="0012760D">
              <w:rPr>
                <w:sz w:val="24"/>
                <w:szCs w:val="24"/>
              </w:rPr>
              <w:t>Other Debtors</w:t>
            </w:r>
          </w:p>
        </w:tc>
        <w:tc>
          <w:tcPr>
            <w:tcW w:w="737" w:type="pct"/>
            <w:shd w:val="clear" w:color="auto" w:fill="auto"/>
          </w:tcPr>
          <w:p w:rsidR="00826760" w:rsidRPr="0012760D" w:rsidRDefault="00826760" w:rsidP="00CA07BB">
            <w:pPr>
              <w:jc w:val="right"/>
              <w:rPr>
                <w:sz w:val="24"/>
                <w:szCs w:val="24"/>
              </w:rPr>
            </w:pPr>
            <w:r w:rsidRPr="0012760D">
              <w:rPr>
                <w:sz w:val="24"/>
                <w:szCs w:val="24"/>
              </w:rPr>
              <w:t>19,875</w:t>
            </w:r>
          </w:p>
        </w:tc>
        <w:tc>
          <w:tcPr>
            <w:tcW w:w="682" w:type="pct"/>
            <w:shd w:val="clear" w:color="auto" w:fill="auto"/>
          </w:tcPr>
          <w:p w:rsidR="00826760" w:rsidRPr="0012760D" w:rsidRDefault="00826760" w:rsidP="00CA07BB">
            <w:pPr>
              <w:jc w:val="right"/>
              <w:rPr>
                <w:sz w:val="24"/>
                <w:szCs w:val="24"/>
              </w:rPr>
            </w:pPr>
            <w:r w:rsidRPr="0012760D">
              <w:rPr>
                <w:sz w:val="24"/>
                <w:szCs w:val="24"/>
              </w:rPr>
              <w:t>-</w:t>
            </w:r>
          </w:p>
        </w:tc>
        <w:tc>
          <w:tcPr>
            <w:tcW w:w="820" w:type="pct"/>
            <w:shd w:val="clear" w:color="auto" w:fill="auto"/>
          </w:tcPr>
          <w:p w:rsidR="00826760" w:rsidRPr="0012760D" w:rsidRDefault="00826760" w:rsidP="00CA07BB">
            <w:pPr>
              <w:jc w:val="right"/>
              <w:rPr>
                <w:sz w:val="24"/>
                <w:szCs w:val="24"/>
              </w:rPr>
            </w:pPr>
            <w:r w:rsidRPr="0012760D">
              <w:rPr>
                <w:sz w:val="24"/>
                <w:szCs w:val="24"/>
              </w:rPr>
              <w:t>3,585</w:t>
            </w:r>
          </w:p>
        </w:tc>
        <w:tc>
          <w:tcPr>
            <w:tcW w:w="657" w:type="pct"/>
            <w:shd w:val="clear" w:color="auto" w:fill="auto"/>
          </w:tcPr>
          <w:p w:rsidR="00826760" w:rsidRPr="0012760D" w:rsidRDefault="00826760" w:rsidP="00CA07BB">
            <w:pPr>
              <w:jc w:val="right"/>
              <w:rPr>
                <w:sz w:val="24"/>
                <w:szCs w:val="24"/>
              </w:rPr>
            </w:pPr>
            <w:r w:rsidRPr="0012760D">
              <w:rPr>
                <w:sz w:val="24"/>
                <w:szCs w:val="24"/>
              </w:rPr>
              <w:t>8,334</w:t>
            </w:r>
          </w:p>
        </w:tc>
        <w:tc>
          <w:tcPr>
            <w:tcW w:w="642" w:type="pct"/>
            <w:shd w:val="clear" w:color="auto" w:fill="auto"/>
          </w:tcPr>
          <w:p w:rsidR="00826760" w:rsidRPr="0012760D" w:rsidRDefault="00826760" w:rsidP="00CA07BB">
            <w:pPr>
              <w:jc w:val="right"/>
              <w:rPr>
                <w:sz w:val="24"/>
                <w:szCs w:val="24"/>
              </w:rPr>
            </w:pPr>
            <w:r w:rsidRPr="0012760D">
              <w:rPr>
                <w:sz w:val="24"/>
                <w:szCs w:val="24"/>
              </w:rPr>
              <w:t>7,956</w:t>
            </w:r>
          </w:p>
        </w:tc>
      </w:tr>
      <w:tr w:rsidR="00826760" w:rsidRPr="0012760D" w:rsidTr="00CA07BB">
        <w:tblPrEx>
          <w:tblCellMar>
            <w:top w:w="0" w:type="dxa"/>
            <w:bottom w:w="0" w:type="dxa"/>
          </w:tblCellMar>
        </w:tblPrEx>
        <w:tc>
          <w:tcPr>
            <w:tcW w:w="5000" w:type="pct"/>
            <w:gridSpan w:val="6"/>
            <w:shd w:val="clear" w:color="auto" w:fill="auto"/>
          </w:tcPr>
          <w:p w:rsidR="00826760" w:rsidRPr="0012760D" w:rsidRDefault="00826760" w:rsidP="00CA07BB">
            <w:pPr>
              <w:rPr>
                <w:sz w:val="24"/>
                <w:szCs w:val="24"/>
              </w:rPr>
            </w:pPr>
            <w:r w:rsidRPr="0012760D">
              <w:rPr>
                <w:bCs/>
                <w:sz w:val="24"/>
                <w:szCs w:val="24"/>
              </w:rPr>
              <w:t>Investment and other contractual financial assets:</w:t>
            </w:r>
          </w:p>
        </w:tc>
      </w:tr>
      <w:tr w:rsidR="00826760" w:rsidRPr="0012760D" w:rsidTr="00CA07BB">
        <w:tblPrEx>
          <w:tblCellMar>
            <w:top w:w="0" w:type="dxa"/>
            <w:bottom w:w="0" w:type="dxa"/>
          </w:tblCellMar>
        </w:tblPrEx>
        <w:tc>
          <w:tcPr>
            <w:tcW w:w="1462" w:type="pct"/>
            <w:shd w:val="clear" w:color="auto" w:fill="auto"/>
          </w:tcPr>
          <w:p w:rsidR="00826760" w:rsidRPr="0012760D" w:rsidRDefault="00826760" w:rsidP="00CA07BB">
            <w:pPr>
              <w:rPr>
                <w:sz w:val="24"/>
                <w:szCs w:val="24"/>
              </w:rPr>
            </w:pPr>
            <w:r w:rsidRPr="0012760D">
              <w:rPr>
                <w:sz w:val="24"/>
                <w:szCs w:val="24"/>
              </w:rPr>
              <w:lastRenderedPageBreak/>
              <w:t>Accrued Interest Income</w:t>
            </w:r>
          </w:p>
        </w:tc>
        <w:tc>
          <w:tcPr>
            <w:tcW w:w="737" w:type="pct"/>
            <w:shd w:val="clear" w:color="auto" w:fill="auto"/>
          </w:tcPr>
          <w:p w:rsidR="00826760" w:rsidRPr="0012760D" w:rsidRDefault="00826760" w:rsidP="00CA07BB">
            <w:pPr>
              <w:jc w:val="right"/>
              <w:rPr>
                <w:sz w:val="24"/>
                <w:szCs w:val="24"/>
              </w:rPr>
            </w:pPr>
            <w:r w:rsidRPr="0012760D">
              <w:rPr>
                <w:sz w:val="24"/>
                <w:szCs w:val="24"/>
              </w:rPr>
              <w:t>34,089</w:t>
            </w:r>
          </w:p>
        </w:tc>
        <w:tc>
          <w:tcPr>
            <w:tcW w:w="682" w:type="pct"/>
            <w:shd w:val="clear" w:color="auto" w:fill="auto"/>
          </w:tcPr>
          <w:p w:rsidR="00826760" w:rsidRPr="0012760D" w:rsidRDefault="00826760" w:rsidP="00CA07BB">
            <w:pPr>
              <w:jc w:val="right"/>
              <w:rPr>
                <w:sz w:val="24"/>
                <w:szCs w:val="24"/>
              </w:rPr>
            </w:pPr>
            <w:r w:rsidRPr="0012760D">
              <w:rPr>
                <w:sz w:val="24"/>
                <w:szCs w:val="24"/>
              </w:rPr>
              <w:t>34,089</w:t>
            </w:r>
          </w:p>
        </w:tc>
        <w:tc>
          <w:tcPr>
            <w:tcW w:w="820" w:type="pct"/>
            <w:shd w:val="clear" w:color="auto" w:fill="auto"/>
          </w:tcPr>
          <w:p w:rsidR="00826760" w:rsidRPr="0012760D" w:rsidRDefault="00826760" w:rsidP="00CA07BB">
            <w:pPr>
              <w:jc w:val="right"/>
              <w:rPr>
                <w:sz w:val="24"/>
                <w:szCs w:val="24"/>
              </w:rPr>
            </w:pPr>
            <w:r w:rsidRPr="0012760D">
              <w:rPr>
                <w:sz w:val="24"/>
                <w:szCs w:val="24"/>
              </w:rPr>
              <w:t>-</w:t>
            </w:r>
          </w:p>
        </w:tc>
        <w:tc>
          <w:tcPr>
            <w:tcW w:w="657" w:type="pct"/>
            <w:shd w:val="clear" w:color="auto" w:fill="auto"/>
          </w:tcPr>
          <w:p w:rsidR="00826760" w:rsidRPr="0012760D" w:rsidRDefault="00826760" w:rsidP="00CA07BB">
            <w:pPr>
              <w:jc w:val="right"/>
              <w:rPr>
                <w:sz w:val="24"/>
                <w:szCs w:val="24"/>
              </w:rPr>
            </w:pPr>
            <w:r w:rsidRPr="0012760D">
              <w:rPr>
                <w:sz w:val="24"/>
                <w:szCs w:val="24"/>
              </w:rPr>
              <w:t>-</w:t>
            </w:r>
          </w:p>
        </w:tc>
        <w:tc>
          <w:tcPr>
            <w:tcW w:w="642" w:type="pct"/>
            <w:shd w:val="clear" w:color="auto" w:fill="auto"/>
          </w:tcPr>
          <w:p w:rsidR="00826760" w:rsidRPr="0012760D" w:rsidRDefault="00826760" w:rsidP="00CA07BB">
            <w:pPr>
              <w:jc w:val="right"/>
              <w:rPr>
                <w:sz w:val="24"/>
                <w:szCs w:val="24"/>
              </w:rPr>
            </w:pPr>
            <w:r w:rsidRPr="0012760D">
              <w:rPr>
                <w:sz w:val="24"/>
                <w:szCs w:val="24"/>
              </w:rPr>
              <w:t>-</w:t>
            </w:r>
          </w:p>
        </w:tc>
      </w:tr>
      <w:tr w:rsidR="00826760" w:rsidRPr="0012760D" w:rsidTr="00CA07BB">
        <w:tblPrEx>
          <w:tblCellMar>
            <w:top w:w="0" w:type="dxa"/>
            <w:bottom w:w="0" w:type="dxa"/>
          </w:tblCellMar>
        </w:tblPrEx>
        <w:tc>
          <w:tcPr>
            <w:tcW w:w="1462" w:type="pct"/>
            <w:shd w:val="clear" w:color="auto" w:fill="auto"/>
          </w:tcPr>
          <w:p w:rsidR="00826760" w:rsidRPr="0012760D" w:rsidRDefault="00826760" w:rsidP="00CA07BB">
            <w:pPr>
              <w:rPr>
                <w:sz w:val="24"/>
                <w:szCs w:val="24"/>
              </w:rPr>
            </w:pPr>
            <w:r w:rsidRPr="0012760D">
              <w:rPr>
                <w:bCs/>
                <w:sz w:val="24"/>
                <w:szCs w:val="24"/>
              </w:rPr>
              <w:t>Total</w:t>
            </w:r>
          </w:p>
        </w:tc>
        <w:tc>
          <w:tcPr>
            <w:tcW w:w="737" w:type="pct"/>
            <w:shd w:val="clear" w:color="auto" w:fill="auto"/>
          </w:tcPr>
          <w:p w:rsidR="00826760" w:rsidRPr="0012760D" w:rsidRDefault="00826760" w:rsidP="00CA07BB">
            <w:pPr>
              <w:jc w:val="right"/>
              <w:rPr>
                <w:sz w:val="24"/>
                <w:szCs w:val="24"/>
              </w:rPr>
            </w:pPr>
            <w:r w:rsidRPr="0012760D">
              <w:rPr>
                <w:bCs/>
                <w:sz w:val="24"/>
                <w:szCs w:val="24"/>
              </w:rPr>
              <w:t>62,764</w:t>
            </w:r>
          </w:p>
        </w:tc>
        <w:tc>
          <w:tcPr>
            <w:tcW w:w="682" w:type="pct"/>
            <w:shd w:val="clear" w:color="auto" w:fill="auto"/>
          </w:tcPr>
          <w:p w:rsidR="00826760" w:rsidRPr="0012760D" w:rsidRDefault="00826760" w:rsidP="00CA07BB">
            <w:pPr>
              <w:jc w:val="right"/>
              <w:rPr>
                <w:sz w:val="24"/>
                <w:szCs w:val="24"/>
              </w:rPr>
            </w:pPr>
            <w:r w:rsidRPr="0012760D">
              <w:rPr>
                <w:bCs/>
                <w:sz w:val="24"/>
                <w:szCs w:val="24"/>
              </w:rPr>
              <w:t>42,889</w:t>
            </w:r>
          </w:p>
        </w:tc>
        <w:tc>
          <w:tcPr>
            <w:tcW w:w="820" w:type="pct"/>
            <w:shd w:val="clear" w:color="auto" w:fill="auto"/>
          </w:tcPr>
          <w:p w:rsidR="00826760" w:rsidRPr="0012760D" w:rsidRDefault="00826760" w:rsidP="00CA07BB">
            <w:pPr>
              <w:jc w:val="right"/>
              <w:rPr>
                <w:sz w:val="24"/>
                <w:szCs w:val="24"/>
              </w:rPr>
            </w:pPr>
            <w:r w:rsidRPr="0012760D">
              <w:rPr>
                <w:bCs/>
                <w:sz w:val="24"/>
                <w:szCs w:val="24"/>
              </w:rPr>
              <w:t>3,585</w:t>
            </w:r>
          </w:p>
        </w:tc>
        <w:tc>
          <w:tcPr>
            <w:tcW w:w="657" w:type="pct"/>
            <w:shd w:val="clear" w:color="auto" w:fill="auto"/>
          </w:tcPr>
          <w:p w:rsidR="00826760" w:rsidRPr="0012760D" w:rsidRDefault="00826760" w:rsidP="00CA07BB">
            <w:pPr>
              <w:jc w:val="right"/>
              <w:rPr>
                <w:sz w:val="24"/>
                <w:szCs w:val="24"/>
              </w:rPr>
            </w:pPr>
            <w:r w:rsidRPr="0012760D">
              <w:rPr>
                <w:bCs/>
                <w:sz w:val="24"/>
                <w:szCs w:val="24"/>
              </w:rPr>
              <w:t>8,334</w:t>
            </w:r>
          </w:p>
        </w:tc>
        <w:tc>
          <w:tcPr>
            <w:tcW w:w="642" w:type="pct"/>
            <w:shd w:val="clear" w:color="auto" w:fill="auto"/>
          </w:tcPr>
          <w:p w:rsidR="00826760" w:rsidRPr="0012760D" w:rsidRDefault="00826760" w:rsidP="00CA07BB">
            <w:pPr>
              <w:jc w:val="right"/>
              <w:rPr>
                <w:sz w:val="24"/>
                <w:szCs w:val="24"/>
              </w:rPr>
            </w:pPr>
            <w:r w:rsidRPr="0012760D">
              <w:rPr>
                <w:bCs/>
                <w:sz w:val="24"/>
                <w:szCs w:val="24"/>
              </w:rPr>
              <w:t>7,956</w:t>
            </w:r>
          </w:p>
        </w:tc>
      </w:tr>
    </w:tbl>
    <w:p w:rsidR="000602AB" w:rsidRPr="0012760D" w:rsidRDefault="000602AB" w:rsidP="000602AB">
      <w:pPr>
        <w:rPr>
          <w:bCs/>
          <w:sz w:val="24"/>
          <w:szCs w:val="24"/>
        </w:rPr>
      </w:pPr>
      <w:r w:rsidRPr="0012760D">
        <w:rPr>
          <w:bCs/>
          <w:sz w:val="24"/>
          <w:szCs w:val="24"/>
        </w:rPr>
        <w:t>&lt;pp&gt; 50</w:t>
      </w:r>
    </w:p>
    <w:p w:rsidR="000602AB" w:rsidRDefault="000602AB" w:rsidP="000602AB">
      <w:pPr>
        <w:rPr>
          <w:sz w:val="24"/>
          <w:szCs w:val="24"/>
        </w:rPr>
      </w:pPr>
    </w:p>
    <w:p w:rsidR="00C16B42" w:rsidRPr="0012760D" w:rsidRDefault="00C16B42" w:rsidP="000602AB">
      <w:pPr>
        <w:rPr>
          <w:sz w:val="24"/>
          <w:szCs w:val="24"/>
        </w:rPr>
      </w:pPr>
    </w:p>
    <w:p w:rsidR="000602AB" w:rsidRPr="0012760D" w:rsidRDefault="000602AB" w:rsidP="00C16B42">
      <w:pPr>
        <w:pStyle w:val="Heading3"/>
      </w:pPr>
      <w:r w:rsidRPr="0012760D">
        <w:t>(d) Maturity Analysis of Contractual Financial Liabilities</w:t>
      </w:r>
    </w:p>
    <w:p w:rsidR="000602AB" w:rsidRPr="0012760D" w:rsidRDefault="000602AB" w:rsidP="000602AB">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3724"/>
        <w:gridCol w:w="2128"/>
        <w:gridCol w:w="1984"/>
        <w:gridCol w:w="2254"/>
        <w:gridCol w:w="1715"/>
        <w:gridCol w:w="2229"/>
      </w:tblGrid>
      <w:tr w:rsidR="000602AB" w:rsidRPr="0012760D" w:rsidTr="00CA07BB">
        <w:tblPrEx>
          <w:tblCellMar>
            <w:top w:w="0" w:type="dxa"/>
            <w:bottom w:w="0" w:type="dxa"/>
          </w:tblCellMar>
        </w:tblPrEx>
        <w:tc>
          <w:tcPr>
            <w:tcW w:w="2792" w:type="pct"/>
            <w:gridSpan w:val="3"/>
            <w:shd w:val="clear" w:color="auto" w:fill="auto"/>
          </w:tcPr>
          <w:p w:rsidR="000602AB" w:rsidRPr="0012760D" w:rsidRDefault="000602AB" w:rsidP="00CA07BB">
            <w:pPr>
              <w:rPr>
                <w:sz w:val="24"/>
                <w:szCs w:val="24"/>
              </w:rPr>
            </w:pPr>
          </w:p>
        </w:tc>
        <w:tc>
          <w:tcPr>
            <w:tcW w:w="2208" w:type="pct"/>
            <w:gridSpan w:val="3"/>
            <w:shd w:val="clear" w:color="auto" w:fill="auto"/>
          </w:tcPr>
          <w:p w:rsidR="000602AB" w:rsidRPr="0012760D" w:rsidRDefault="000602AB" w:rsidP="00CA07BB">
            <w:pPr>
              <w:jc w:val="center"/>
              <w:rPr>
                <w:sz w:val="24"/>
                <w:szCs w:val="24"/>
              </w:rPr>
            </w:pPr>
            <w:r w:rsidRPr="0012760D">
              <w:rPr>
                <w:bCs/>
                <w:sz w:val="24"/>
                <w:szCs w:val="24"/>
              </w:rPr>
              <w:t>Maturity dates</w:t>
            </w:r>
          </w:p>
        </w:tc>
      </w:tr>
      <w:tr w:rsidR="000602AB" w:rsidRPr="0012760D" w:rsidTr="00CA07BB">
        <w:tblPrEx>
          <w:tblCellMar>
            <w:top w:w="0" w:type="dxa"/>
            <w:bottom w:w="0" w:type="dxa"/>
          </w:tblCellMar>
        </w:tblPrEx>
        <w:tc>
          <w:tcPr>
            <w:tcW w:w="1327" w:type="pct"/>
            <w:shd w:val="clear" w:color="auto" w:fill="auto"/>
          </w:tcPr>
          <w:p w:rsidR="000602AB" w:rsidRPr="0012760D" w:rsidRDefault="000602AB" w:rsidP="00CA07BB">
            <w:pPr>
              <w:rPr>
                <w:sz w:val="24"/>
                <w:szCs w:val="24"/>
              </w:rPr>
            </w:pPr>
            <w:r w:rsidRPr="0012760D">
              <w:rPr>
                <w:bCs/>
                <w:sz w:val="24"/>
                <w:szCs w:val="24"/>
              </w:rPr>
              <w:t>2013</w:t>
            </w:r>
          </w:p>
        </w:tc>
        <w:tc>
          <w:tcPr>
            <w:tcW w:w="758" w:type="pct"/>
            <w:shd w:val="clear" w:color="auto" w:fill="auto"/>
          </w:tcPr>
          <w:p w:rsidR="000602AB" w:rsidRPr="0012760D" w:rsidRDefault="000602AB" w:rsidP="00CA07BB">
            <w:pPr>
              <w:rPr>
                <w:sz w:val="24"/>
                <w:szCs w:val="24"/>
              </w:rPr>
            </w:pPr>
            <w:r w:rsidRPr="0012760D">
              <w:rPr>
                <w:bCs/>
                <w:sz w:val="24"/>
                <w:szCs w:val="24"/>
              </w:rPr>
              <w:t>Carrying amount</w:t>
            </w:r>
          </w:p>
        </w:tc>
        <w:tc>
          <w:tcPr>
            <w:tcW w:w="707" w:type="pct"/>
            <w:shd w:val="clear" w:color="auto" w:fill="auto"/>
          </w:tcPr>
          <w:p w:rsidR="000602AB" w:rsidRPr="0012760D" w:rsidRDefault="000602AB" w:rsidP="00CA07BB">
            <w:pPr>
              <w:rPr>
                <w:sz w:val="24"/>
                <w:szCs w:val="24"/>
              </w:rPr>
            </w:pPr>
            <w:r w:rsidRPr="0012760D">
              <w:rPr>
                <w:bCs/>
                <w:sz w:val="24"/>
                <w:szCs w:val="24"/>
              </w:rPr>
              <w:t>Nominal Amount</w:t>
            </w:r>
          </w:p>
        </w:tc>
        <w:tc>
          <w:tcPr>
            <w:tcW w:w="803" w:type="pct"/>
            <w:shd w:val="clear" w:color="auto" w:fill="auto"/>
          </w:tcPr>
          <w:p w:rsidR="000602AB" w:rsidRPr="0012760D" w:rsidRDefault="000602AB" w:rsidP="00CA07BB">
            <w:pPr>
              <w:rPr>
                <w:sz w:val="24"/>
                <w:szCs w:val="24"/>
              </w:rPr>
            </w:pPr>
            <w:r w:rsidRPr="0012760D">
              <w:rPr>
                <w:bCs/>
                <w:sz w:val="24"/>
                <w:szCs w:val="24"/>
              </w:rPr>
              <w:t>Less than 1 month</w:t>
            </w:r>
          </w:p>
        </w:tc>
        <w:tc>
          <w:tcPr>
            <w:tcW w:w="611" w:type="pct"/>
            <w:shd w:val="clear" w:color="auto" w:fill="auto"/>
          </w:tcPr>
          <w:p w:rsidR="000602AB" w:rsidRPr="0012760D" w:rsidRDefault="000602AB" w:rsidP="00CA07BB">
            <w:pPr>
              <w:rPr>
                <w:sz w:val="24"/>
                <w:szCs w:val="24"/>
              </w:rPr>
            </w:pPr>
            <w:r w:rsidRPr="0012760D">
              <w:rPr>
                <w:bCs/>
                <w:sz w:val="24"/>
                <w:szCs w:val="24"/>
              </w:rPr>
              <w:t>1 to 3 months</w:t>
            </w:r>
          </w:p>
        </w:tc>
        <w:tc>
          <w:tcPr>
            <w:tcW w:w="794" w:type="pct"/>
            <w:shd w:val="clear" w:color="auto" w:fill="auto"/>
          </w:tcPr>
          <w:p w:rsidR="000602AB" w:rsidRPr="0012760D" w:rsidRDefault="000602AB" w:rsidP="00CA07BB">
            <w:pPr>
              <w:rPr>
                <w:sz w:val="24"/>
                <w:szCs w:val="24"/>
              </w:rPr>
            </w:pPr>
            <w:r w:rsidRPr="0012760D">
              <w:rPr>
                <w:bCs/>
                <w:sz w:val="24"/>
                <w:szCs w:val="24"/>
              </w:rPr>
              <w:t>3 months to 1 year</w:t>
            </w:r>
          </w:p>
        </w:tc>
      </w:tr>
      <w:tr w:rsidR="000602AB" w:rsidRPr="0012760D" w:rsidTr="00CA07BB">
        <w:tblPrEx>
          <w:tblCellMar>
            <w:top w:w="0" w:type="dxa"/>
            <w:bottom w:w="0" w:type="dxa"/>
          </w:tblCellMar>
        </w:tblPrEx>
        <w:tc>
          <w:tcPr>
            <w:tcW w:w="5000" w:type="pct"/>
            <w:gridSpan w:val="6"/>
            <w:shd w:val="clear" w:color="auto" w:fill="auto"/>
          </w:tcPr>
          <w:p w:rsidR="000602AB" w:rsidRPr="0012760D" w:rsidRDefault="000602AB" w:rsidP="00CA07BB">
            <w:pPr>
              <w:rPr>
                <w:sz w:val="24"/>
                <w:szCs w:val="24"/>
              </w:rPr>
            </w:pPr>
            <w:r w:rsidRPr="0012760D">
              <w:rPr>
                <w:bCs/>
                <w:sz w:val="24"/>
                <w:szCs w:val="24"/>
              </w:rPr>
              <w:t>Payables:</w:t>
            </w:r>
          </w:p>
        </w:tc>
      </w:tr>
      <w:tr w:rsidR="000602AB" w:rsidRPr="0012760D" w:rsidTr="00CA07BB">
        <w:tblPrEx>
          <w:tblCellMar>
            <w:top w:w="0" w:type="dxa"/>
            <w:bottom w:w="0" w:type="dxa"/>
          </w:tblCellMar>
        </w:tblPrEx>
        <w:tc>
          <w:tcPr>
            <w:tcW w:w="1327" w:type="pct"/>
            <w:shd w:val="clear" w:color="auto" w:fill="auto"/>
          </w:tcPr>
          <w:p w:rsidR="000602AB" w:rsidRPr="0012760D" w:rsidRDefault="000602AB" w:rsidP="00CA07BB">
            <w:pPr>
              <w:rPr>
                <w:sz w:val="24"/>
                <w:szCs w:val="24"/>
              </w:rPr>
            </w:pPr>
            <w:r w:rsidRPr="0012760D">
              <w:rPr>
                <w:sz w:val="24"/>
                <w:szCs w:val="24"/>
              </w:rPr>
              <w:t>Trade Creditors</w:t>
            </w:r>
          </w:p>
        </w:tc>
        <w:tc>
          <w:tcPr>
            <w:tcW w:w="758" w:type="pct"/>
            <w:shd w:val="clear" w:color="auto" w:fill="auto"/>
          </w:tcPr>
          <w:p w:rsidR="000602AB" w:rsidRPr="0012760D" w:rsidRDefault="000602AB" w:rsidP="00CA07BB">
            <w:pPr>
              <w:jc w:val="right"/>
              <w:rPr>
                <w:sz w:val="24"/>
                <w:szCs w:val="24"/>
              </w:rPr>
            </w:pPr>
            <w:r w:rsidRPr="0012760D">
              <w:rPr>
                <w:sz w:val="24"/>
                <w:szCs w:val="24"/>
              </w:rPr>
              <w:t>258,980</w:t>
            </w:r>
          </w:p>
        </w:tc>
        <w:tc>
          <w:tcPr>
            <w:tcW w:w="707" w:type="pct"/>
            <w:shd w:val="clear" w:color="auto" w:fill="auto"/>
          </w:tcPr>
          <w:p w:rsidR="000602AB" w:rsidRPr="0012760D" w:rsidRDefault="000602AB" w:rsidP="00CA07BB">
            <w:pPr>
              <w:jc w:val="right"/>
              <w:rPr>
                <w:sz w:val="24"/>
                <w:szCs w:val="24"/>
              </w:rPr>
            </w:pPr>
            <w:r w:rsidRPr="0012760D">
              <w:rPr>
                <w:sz w:val="24"/>
                <w:szCs w:val="24"/>
              </w:rPr>
              <w:t>258,980</w:t>
            </w:r>
          </w:p>
        </w:tc>
        <w:tc>
          <w:tcPr>
            <w:tcW w:w="803" w:type="pct"/>
            <w:shd w:val="clear" w:color="auto" w:fill="auto"/>
          </w:tcPr>
          <w:p w:rsidR="000602AB" w:rsidRPr="0012760D" w:rsidRDefault="000602AB" w:rsidP="00CA07BB">
            <w:pPr>
              <w:jc w:val="right"/>
              <w:rPr>
                <w:sz w:val="24"/>
                <w:szCs w:val="24"/>
              </w:rPr>
            </w:pPr>
            <w:r w:rsidRPr="0012760D">
              <w:rPr>
                <w:sz w:val="24"/>
                <w:szCs w:val="24"/>
              </w:rPr>
              <w:t>258,980</w:t>
            </w:r>
          </w:p>
        </w:tc>
        <w:tc>
          <w:tcPr>
            <w:tcW w:w="611" w:type="pct"/>
            <w:shd w:val="clear" w:color="auto" w:fill="auto"/>
          </w:tcPr>
          <w:p w:rsidR="000602AB" w:rsidRPr="0012760D" w:rsidRDefault="000602AB" w:rsidP="00CA07BB">
            <w:pPr>
              <w:jc w:val="right"/>
              <w:rPr>
                <w:sz w:val="24"/>
                <w:szCs w:val="24"/>
              </w:rPr>
            </w:pPr>
            <w:r w:rsidRPr="0012760D">
              <w:rPr>
                <w:sz w:val="24"/>
                <w:szCs w:val="24"/>
              </w:rPr>
              <w:t>-</w:t>
            </w:r>
          </w:p>
        </w:tc>
        <w:tc>
          <w:tcPr>
            <w:tcW w:w="794" w:type="pct"/>
            <w:shd w:val="clear" w:color="auto" w:fill="auto"/>
          </w:tcPr>
          <w:p w:rsidR="000602AB" w:rsidRPr="0012760D" w:rsidRDefault="000602AB" w:rsidP="00CA07BB">
            <w:pPr>
              <w:jc w:val="right"/>
              <w:rPr>
                <w:sz w:val="24"/>
                <w:szCs w:val="24"/>
              </w:rPr>
            </w:pPr>
          </w:p>
        </w:tc>
      </w:tr>
      <w:tr w:rsidR="000602AB" w:rsidRPr="0012760D" w:rsidTr="00CA07BB">
        <w:tblPrEx>
          <w:tblCellMar>
            <w:top w:w="0" w:type="dxa"/>
            <w:bottom w:w="0" w:type="dxa"/>
          </w:tblCellMar>
        </w:tblPrEx>
        <w:tc>
          <w:tcPr>
            <w:tcW w:w="1327" w:type="pct"/>
            <w:shd w:val="clear" w:color="auto" w:fill="auto"/>
          </w:tcPr>
          <w:p w:rsidR="000602AB" w:rsidRPr="0012760D" w:rsidRDefault="000602AB" w:rsidP="00CA07BB">
            <w:pPr>
              <w:rPr>
                <w:sz w:val="24"/>
                <w:szCs w:val="24"/>
              </w:rPr>
            </w:pPr>
            <w:r w:rsidRPr="0012760D">
              <w:rPr>
                <w:sz w:val="24"/>
                <w:szCs w:val="24"/>
              </w:rPr>
              <w:t>Termination Payments Payable</w:t>
            </w:r>
          </w:p>
        </w:tc>
        <w:tc>
          <w:tcPr>
            <w:tcW w:w="758" w:type="pct"/>
            <w:shd w:val="clear" w:color="auto" w:fill="auto"/>
          </w:tcPr>
          <w:p w:rsidR="000602AB" w:rsidRPr="0012760D" w:rsidRDefault="000602AB" w:rsidP="00CA07BB">
            <w:pPr>
              <w:jc w:val="right"/>
              <w:rPr>
                <w:sz w:val="24"/>
                <w:szCs w:val="24"/>
              </w:rPr>
            </w:pPr>
            <w:r w:rsidRPr="0012760D">
              <w:rPr>
                <w:sz w:val="24"/>
                <w:szCs w:val="24"/>
              </w:rPr>
              <w:t>53,509</w:t>
            </w:r>
          </w:p>
        </w:tc>
        <w:tc>
          <w:tcPr>
            <w:tcW w:w="707" w:type="pct"/>
            <w:shd w:val="clear" w:color="auto" w:fill="auto"/>
          </w:tcPr>
          <w:p w:rsidR="000602AB" w:rsidRPr="0012760D" w:rsidRDefault="000602AB" w:rsidP="00CA07BB">
            <w:pPr>
              <w:jc w:val="right"/>
              <w:rPr>
                <w:sz w:val="24"/>
                <w:szCs w:val="24"/>
              </w:rPr>
            </w:pPr>
            <w:r w:rsidRPr="0012760D">
              <w:rPr>
                <w:sz w:val="24"/>
                <w:szCs w:val="24"/>
              </w:rPr>
              <w:t>53,509</w:t>
            </w:r>
          </w:p>
        </w:tc>
        <w:tc>
          <w:tcPr>
            <w:tcW w:w="803" w:type="pct"/>
            <w:shd w:val="clear" w:color="auto" w:fill="auto"/>
          </w:tcPr>
          <w:p w:rsidR="000602AB" w:rsidRPr="0012760D" w:rsidRDefault="000602AB" w:rsidP="00CA07BB">
            <w:pPr>
              <w:jc w:val="right"/>
              <w:rPr>
                <w:sz w:val="24"/>
                <w:szCs w:val="24"/>
              </w:rPr>
            </w:pPr>
            <w:r w:rsidRPr="0012760D">
              <w:rPr>
                <w:sz w:val="24"/>
                <w:szCs w:val="24"/>
              </w:rPr>
              <w:t>53,509</w:t>
            </w:r>
          </w:p>
        </w:tc>
        <w:tc>
          <w:tcPr>
            <w:tcW w:w="611" w:type="pct"/>
            <w:shd w:val="clear" w:color="auto" w:fill="auto"/>
          </w:tcPr>
          <w:p w:rsidR="000602AB" w:rsidRPr="0012760D" w:rsidRDefault="000602AB" w:rsidP="00CA07BB">
            <w:pPr>
              <w:jc w:val="right"/>
              <w:rPr>
                <w:sz w:val="24"/>
                <w:szCs w:val="24"/>
              </w:rPr>
            </w:pPr>
            <w:r w:rsidRPr="0012760D">
              <w:rPr>
                <w:sz w:val="24"/>
                <w:szCs w:val="24"/>
              </w:rPr>
              <w:t>-</w:t>
            </w:r>
          </w:p>
        </w:tc>
        <w:tc>
          <w:tcPr>
            <w:tcW w:w="794" w:type="pct"/>
            <w:shd w:val="clear" w:color="auto" w:fill="auto"/>
          </w:tcPr>
          <w:p w:rsidR="000602AB" w:rsidRPr="0012760D" w:rsidRDefault="000602AB" w:rsidP="00CA07BB">
            <w:pPr>
              <w:jc w:val="right"/>
              <w:rPr>
                <w:sz w:val="24"/>
                <w:szCs w:val="24"/>
              </w:rPr>
            </w:pPr>
          </w:p>
        </w:tc>
      </w:tr>
      <w:tr w:rsidR="000602AB" w:rsidRPr="0012760D" w:rsidTr="00CA07BB">
        <w:tblPrEx>
          <w:tblCellMar>
            <w:top w:w="0" w:type="dxa"/>
            <w:bottom w:w="0" w:type="dxa"/>
          </w:tblCellMar>
        </w:tblPrEx>
        <w:tc>
          <w:tcPr>
            <w:tcW w:w="1327" w:type="pct"/>
            <w:shd w:val="clear" w:color="auto" w:fill="auto"/>
          </w:tcPr>
          <w:p w:rsidR="000602AB" w:rsidRPr="0012760D" w:rsidRDefault="000602AB" w:rsidP="00CA07BB">
            <w:pPr>
              <w:rPr>
                <w:sz w:val="24"/>
                <w:szCs w:val="24"/>
              </w:rPr>
            </w:pPr>
            <w:r w:rsidRPr="0012760D">
              <w:rPr>
                <w:sz w:val="24"/>
                <w:szCs w:val="24"/>
              </w:rPr>
              <w:t>Accrued Project Grants</w:t>
            </w:r>
          </w:p>
        </w:tc>
        <w:tc>
          <w:tcPr>
            <w:tcW w:w="758" w:type="pct"/>
            <w:shd w:val="clear" w:color="auto" w:fill="auto"/>
          </w:tcPr>
          <w:p w:rsidR="000602AB" w:rsidRPr="0012760D" w:rsidRDefault="000602AB" w:rsidP="00CA07BB">
            <w:pPr>
              <w:jc w:val="right"/>
              <w:rPr>
                <w:sz w:val="24"/>
                <w:szCs w:val="24"/>
              </w:rPr>
            </w:pPr>
            <w:r w:rsidRPr="0012760D">
              <w:rPr>
                <w:sz w:val="24"/>
                <w:szCs w:val="24"/>
              </w:rPr>
              <w:t>899,681</w:t>
            </w:r>
          </w:p>
        </w:tc>
        <w:tc>
          <w:tcPr>
            <w:tcW w:w="707" w:type="pct"/>
            <w:shd w:val="clear" w:color="auto" w:fill="auto"/>
          </w:tcPr>
          <w:p w:rsidR="000602AB" w:rsidRPr="0012760D" w:rsidRDefault="000602AB" w:rsidP="00CA07BB">
            <w:pPr>
              <w:jc w:val="right"/>
              <w:rPr>
                <w:sz w:val="24"/>
                <w:szCs w:val="24"/>
              </w:rPr>
            </w:pPr>
            <w:r w:rsidRPr="0012760D">
              <w:rPr>
                <w:sz w:val="24"/>
                <w:szCs w:val="24"/>
              </w:rPr>
              <w:t>899,681</w:t>
            </w:r>
          </w:p>
        </w:tc>
        <w:tc>
          <w:tcPr>
            <w:tcW w:w="803" w:type="pct"/>
            <w:shd w:val="clear" w:color="auto" w:fill="auto"/>
          </w:tcPr>
          <w:p w:rsidR="000602AB" w:rsidRPr="0012760D" w:rsidRDefault="000602AB" w:rsidP="00CA07BB">
            <w:pPr>
              <w:jc w:val="right"/>
              <w:rPr>
                <w:sz w:val="24"/>
                <w:szCs w:val="24"/>
              </w:rPr>
            </w:pPr>
            <w:r w:rsidRPr="0012760D">
              <w:rPr>
                <w:sz w:val="24"/>
                <w:szCs w:val="24"/>
              </w:rPr>
              <w:t>899,681</w:t>
            </w:r>
          </w:p>
        </w:tc>
        <w:tc>
          <w:tcPr>
            <w:tcW w:w="611" w:type="pct"/>
            <w:shd w:val="clear" w:color="auto" w:fill="auto"/>
          </w:tcPr>
          <w:p w:rsidR="000602AB" w:rsidRPr="0012760D" w:rsidRDefault="000602AB" w:rsidP="00CA07BB">
            <w:pPr>
              <w:jc w:val="right"/>
              <w:rPr>
                <w:sz w:val="24"/>
                <w:szCs w:val="24"/>
              </w:rPr>
            </w:pPr>
            <w:r w:rsidRPr="0012760D">
              <w:rPr>
                <w:sz w:val="24"/>
                <w:szCs w:val="24"/>
              </w:rPr>
              <w:t>-</w:t>
            </w:r>
          </w:p>
        </w:tc>
        <w:tc>
          <w:tcPr>
            <w:tcW w:w="794" w:type="pct"/>
            <w:shd w:val="clear" w:color="auto" w:fill="auto"/>
          </w:tcPr>
          <w:p w:rsidR="000602AB" w:rsidRPr="0012760D" w:rsidRDefault="000602AB" w:rsidP="00CA07BB">
            <w:pPr>
              <w:jc w:val="right"/>
              <w:rPr>
                <w:sz w:val="24"/>
                <w:szCs w:val="24"/>
              </w:rPr>
            </w:pPr>
          </w:p>
        </w:tc>
      </w:tr>
      <w:tr w:rsidR="000602AB" w:rsidRPr="0012760D" w:rsidTr="00CA07BB">
        <w:tblPrEx>
          <w:tblCellMar>
            <w:top w:w="0" w:type="dxa"/>
            <w:bottom w:w="0" w:type="dxa"/>
          </w:tblCellMar>
        </w:tblPrEx>
        <w:tc>
          <w:tcPr>
            <w:tcW w:w="1327" w:type="pct"/>
            <w:shd w:val="clear" w:color="auto" w:fill="auto"/>
          </w:tcPr>
          <w:p w:rsidR="000602AB" w:rsidRPr="0012760D" w:rsidRDefault="000602AB" w:rsidP="00CA07BB">
            <w:pPr>
              <w:rPr>
                <w:sz w:val="24"/>
                <w:szCs w:val="24"/>
              </w:rPr>
            </w:pPr>
            <w:r w:rsidRPr="0012760D">
              <w:rPr>
                <w:sz w:val="24"/>
                <w:szCs w:val="24"/>
              </w:rPr>
              <w:t>Accrued Expenses</w:t>
            </w:r>
          </w:p>
        </w:tc>
        <w:tc>
          <w:tcPr>
            <w:tcW w:w="758" w:type="pct"/>
            <w:shd w:val="clear" w:color="auto" w:fill="auto"/>
          </w:tcPr>
          <w:p w:rsidR="000602AB" w:rsidRPr="0012760D" w:rsidRDefault="000602AB" w:rsidP="00CA07BB">
            <w:pPr>
              <w:jc w:val="right"/>
              <w:rPr>
                <w:sz w:val="24"/>
                <w:szCs w:val="24"/>
              </w:rPr>
            </w:pPr>
            <w:r w:rsidRPr="0012760D">
              <w:rPr>
                <w:sz w:val="24"/>
                <w:szCs w:val="24"/>
              </w:rPr>
              <w:t>328,522</w:t>
            </w:r>
          </w:p>
        </w:tc>
        <w:tc>
          <w:tcPr>
            <w:tcW w:w="707" w:type="pct"/>
            <w:shd w:val="clear" w:color="auto" w:fill="auto"/>
          </w:tcPr>
          <w:p w:rsidR="000602AB" w:rsidRPr="0012760D" w:rsidRDefault="000602AB" w:rsidP="00CA07BB">
            <w:pPr>
              <w:jc w:val="right"/>
              <w:rPr>
                <w:sz w:val="24"/>
                <w:szCs w:val="24"/>
              </w:rPr>
            </w:pPr>
            <w:r w:rsidRPr="0012760D">
              <w:rPr>
                <w:sz w:val="24"/>
                <w:szCs w:val="24"/>
              </w:rPr>
              <w:t>328,522</w:t>
            </w:r>
          </w:p>
        </w:tc>
        <w:tc>
          <w:tcPr>
            <w:tcW w:w="803" w:type="pct"/>
            <w:shd w:val="clear" w:color="auto" w:fill="auto"/>
          </w:tcPr>
          <w:p w:rsidR="000602AB" w:rsidRPr="0012760D" w:rsidRDefault="000602AB" w:rsidP="00CA07BB">
            <w:pPr>
              <w:jc w:val="right"/>
              <w:rPr>
                <w:sz w:val="24"/>
                <w:szCs w:val="24"/>
              </w:rPr>
            </w:pPr>
            <w:r w:rsidRPr="0012760D">
              <w:rPr>
                <w:sz w:val="24"/>
                <w:szCs w:val="24"/>
              </w:rPr>
              <w:t>328,522</w:t>
            </w:r>
          </w:p>
        </w:tc>
        <w:tc>
          <w:tcPr>
            <w:tcW w:w="611" w:type="pct"/>
            <w:shd w:val="clear" w:color="auto" w:fill="auto"/>
          </w:tcPr>
          <w:p w:rsidR="000602AB" w:rsidRPr="0012760D" w:rsidRDefault="000602AB" w:rsidP="00CA07BB">
            <w:pPr>
              <w:jc w:val="right"/>
              <w:rPr>
                <w:sz w:val="24"/>
                <w:szCs w:val="24"/>
              </w:rPr>
            </w:pPr>
            <w:r w:rsidRPr="0012760D">
              <w:rPr>
                <w:sz w:val="24"/>
                <w:szCs w:val="24"/>
              </w:rPr>
              <w:t>-</w:t>
            </w:r>
          </w:p>
        </w:tc>
        <w:tc>
          <w:tcPr>
            <w:tcW w:w="794" w:type="pct"/>
            <w:shd w:val="clear" w:color="auto" w:fill="auto"/>
          </w:tcPr>
          <w:p w:rsidR="000602AB" w:rsidRPr="0012760D" w:rsidRDefault="000602AB" w:rsidP="00CA07BB">
            <w:pPr>
              <w:jc w:val="right"/>
              <w:rPr>
                <w:sz w:val="24"/>
                <w:szCs w:val="24"/>
              </w:rPr>
            </w:pPr>
          </w:p>
        </w:tc>
      </w:tr>
      <w:tr w:rsidR="000602AB" w:rsidRPr="0012760D" w:rsidTr="00CA07BB">
        <w:tblPrEx>
          <w:tblCellMar>
            <w:top w:w="0" w:type="dxa"/>
            <w:bottom w:w="0" w:type="dxa"/>
          </w:tblCellMar>
        </w:tblPrEx>
        <w:tc>
          <w:tcPr>
            <w:tcW w:w="1327" w:type="pct"/>
            <w:shd w:val="clear" w:color="auto" w:fill="auto"/>
          </w:tcPr>
          <w:p w:rsidR="000602AB" w:rsidRPr="0012760D" w:rsidRDefault="000602AB" w:rsidP="00CA07BB">
            <w:pPr>
              <w:rPr>
                <w:sz w:val="24"/>
                <w:szCs w:val="24"/>
              </w:rPr>
            </w:pPr>
            <w:r w:rsidRPr="0012760D">
              <w:rPr>
                <w:bCs/>
                <w:sz w:val="24"/>
                <w:szCs w:val="24"/>
              </w:rPr>
              <w:t>Total</w:t>
            </w:r>
          </w:p>
        </w:tc>
        <w:tc>
          <w:tcPr>
            <w:tcW w:w="758" w:type="pct"/>
            <w:shd w:val="clear" w:color="auto" w:fill="auto"/>
          </w:tcPr>
          <w:p w:rsidR="000602AB" w:rsidRPr="0012760D" w:rsidRDefault="000602AB" w:rsidP="00CA07BB">
            <w:pPr>
              <w:jc w:val="right"/>
              <w:rPr>
                <w:sz w:val="24"/>
                <w:szCs w:val="24"/>
              </w:rPr>
            </w:pPr>
            <w:r w:rsidRPr="0012760D">
              <w:rPr>
                <w:bCs/>
                <w:sz w:val="24"/>
                <w:szCs w:val="24"/>
              </w:rPr>
              <w:t>1,540,692</w:t>
            </w:r>
          </w:p>
        </w:tc>
        <w:tc>
          <w:tcPr>
            <w:tcW w:w="707" w:type="pct"/>
            <w:shd w:val="clear" w:color="auto" w:fill="auto"/>
          </w:tcPr>
          <w:p w:rsidR="000602AB" w:rsidRPr="0012760D" w:rsidRDefault="000602AB" w:rsidP="00CA07BB">
            <w:pPr>
              <w:jc w:val="right"/>
              <w:rPr>
                <w:sz w:val="24"/>
                <w:szCs w:val="24"/>
              </w:rPr>
            </w:pPr>
            <w:r w:rsidRPr="0012760D">
              <w:rPr>
                <w:bCs/>
                <w:sz w:val="24"/>
                <w:szCs w:val="24"/>
              </w:rPr>
              <w:t>1,540,692</w:t>
            </w:r>
          </w:p>
        </w:tc>
        <w:tc>
          <w:tcPr>
            <w:tcW w:w="803" w:type="pct"/>
            <w:shd w:val="clear" w:color="auto" w:fill="auto"/>
          </w:tcPr>
          <w:p w:rsidR="000602AB" w:rsidRPr="0012760D" w:rsidRDefault="000602AB" w:rsidP="00CA07BB">
            <w:pPr>
              <w:jc w:val="right"/>
              <w:rPr>
                <w:sz w:val="24"/>
                <w:szCs w:val="24"/>
              </w:rPr>
            </w:pPr>
            <w:r w:rsidRPr="0012760D">
              <w:rPr>
                <w:bCs/>
                <w:sz w:val="24"/>
                <w:szCs w:val="24"/>
              </w:rPr>
              <w:t>1,540,692</w:t>
            </w:r>
          </w:p>
        </w:tc>
        <w:tc>
          <w:tcPr>
            <w:tcW w:w="611" w:type="pct"/>
            <w:shd w:val="clear" w:color="auto" w:fill="auto"/>
          </w:tcPr>
          <w:p w:rsidR="000602AB" w:rsidRPr="0012760D" w:rsidRDefault="000602AB" w:rsidP="00CA07BB">
            <w:pPr>
              <w:jc w:val="right"/>
              <w:rPr>
                <w:sz w:val="24"/>
                <w:szCs w:val="24"/>
              </w:rPr>
            </w:pPr>
            <w:r w:rsidRPr="0012760D">
              <w:rPr>
                <w:bCs/>
                <w:sz w:val="24"/>
                <w:szCs w:val="24"/>
              </w:rPr>
              <w:t>-</w:t>
            </w:r>
          </w:p>
        </w:tc>
        <w:tc>
          <w:tcPr>
            <w:tcW w:w="794" w:type="pct"/>
            <w:shd w:val="clear" w:color="auto" w:fill="auto"/>
          </w:tcPr>
          <w:p w:rsidR="000602AB" w:rsidRPr="0012760D" w:rsidRDefault="000602AB" w:rsidP="00CA07BB">
            <w:pPr>
              <w:jc w:val="right"/>
              <w:rPr>
                <w:sz w:val="24"/>
                <w:szCs w:val="24"/>
              </w:rPr>
            </w:pPr>
          </w:p>
        </w:tc>
      </w:tr>
      <w:tr w:rsidR="000602AB" w:rsidRPr="0012760D" w:rsidTr="00CA07BB">
        <w:tblPrEx>
          <w:tblCellMar>
            <w:top w:w="0" w:type="dxa"/>
            <w:bottom w:w="0" w:type="dxa"/>
          </w:tblCellMar>
        </w:tblPrEx>
        <w:tc>
          <w:tcPr>
            <w:tcW w:w="5000" w:type="pct"/>
            <w:gridSpan w:val="6"/>
            <w:shd w:val="clear" w:color="auto" w:fill="auto"/>
          </w:tcPr>
          <w:p w:rsidR="000602AB" w:rsidRPr="0012760D" w:rsidRDefault="000602AB" w:rsidP="00CA07BB">
            <w:pPr>
              <w:rPr>
                <w:sz w:val="24"/>
                <w:szCs w:val="24"/>
              </w:rPr>
            </w:pPr>
            <w:r w:rsidRPr="0012760D">
              <w:rPr>
                <w:bCs/>
                <w:sz w:val="24"/>
                <w:szCs w:val="24"/>
              </w:rPr>
              <w:t>2012</w:t>
            </w:r>
          </w:p>
        </w:tc>
      </w:tr>
      <w:tr w:rsidR="000602AB" w:rsidRPr="0012760D" w:rsidTr="00CA07BB">
        <w:tblPrEx>
          <w:tblCellMar>
            <w:top w:w="0" w:type="dxa"/>
            <w:bottom w:w="0" w:type="dxa"/>
          </w:tblCellMar>
        </w:tblPrEx>
        <w:tc>
          <w:tcPr>
            <w:tcW w:w="1327" w:type="pct"/>
            <w:shd w:val="clear" w:color="auto" w:fill="auto"/>
          </w:tcPr>
          <w:p w:rsidR="000602AB" w:rsidRPr="0012760D" w:rsidRDefault="000602AB" w:rsidP="00CA07BB">
            <w:pPr>
              <w:rPr>
                <w:sz w:val="24"/>
                <w:szCs w:val="24"/>
              </w:rPr>
            </w:pPr>
            <w:r w:rsidRPr="0012760D">
              <w:rPr>
                <w:bCs/>
                <w:sz w:val="24"/>
                <w:szCs w:val="24"/>
              </w:rPr>
              <w:t>Payables:</w:t>
            </w:r>
          </w:p>
        </w:tc>
        <w:tc>
          <w:tcPr>
            <w:tcW w:w="3673" w:type="pct"/>
            <w:gridSpan w:val="5"/>
            <w:shd w:val="clear" w:color="auto" w:fill="auto"/>
          </w:tcPr>
          <w:p w:rsidR="000602AB" w:rsidRPr="0012760D" w:rsidRDefault="000602AB" w:rsidP="00CA07BB">
            <w:pPr>
              <w:rPr>
                <w:sz w:val="24"/>
                <w:szCs w:val="24"/>
              </w:rPr>
            </w:pPr>
          </w:p>
        </w:tc>
      </w:tr>
      <w:tr w:rsidR="000602AB" w:rsidRPr="0012760D" w:rsidTr="00CA07BB">
        <w:tblPrEx>
          <w:tblCellMar>
            <w:top w:w="0" w:type="dxa"/>
            <w:bottom w:w="0" w:type="dxa"/>
          </w:tblCellMar>
        </w:tblPrEx>
        <w:tc>
          <w:tcPr>
            <w:tcW w:w="1327" w:type="pct"/>
            <w:shd w:val="clear" w:color="auto" w:fill="auto"/>
          </w:tcPr>
          <w:p w:rsidR="000602AB" w:rsidRPr="0012760D" w:rsidRDefault="000602AB" w:rsidP="00CA07BB">
            <w:pPr>
              <w:rPr>
                <w:sz w:val="24"/>
                <w:szCs w:val="24"/>
              </w:rPr>
            </w:pPr>
            <w:r w:rsidRPr="0012760D">
              <w:rPr>
                <w:sz w:val="24"/>
                <w:szCs w:val="24"/>
              </w:rPr>
              <w:t>Trade Creditors</w:t>
            </w:r>
          </w:p>
        </w:tc>
        <w:tc>
          <w:tcPr>
            <w:tcW w:w="758" w:type="pct"/>
            <w:shd w:val="clear" w:color="auto" w:fill="auto"/>
          </w:tcPr>
          <w:p w:rsidR="000602AB" w:rsidRPr="0012760D" w:rsidRDefault="000602AB" w:rsidP="00CA07BB">
            <w:pPr>
              <w:jc w:val="right"/>
              <w:rPr>
                <w:sz w:val="24"/>
                <w:szCs w:val="24"/>
              </w:rPr>
            </w:pPr>
            <w:r w:rsidRPr="0012760D">
              <w:rPr>
                <w:sz w:val="24"/>
                <w:szCs w:val="24"/>
              </w:rPr>
              <w:t>307,093</w:t>
            </w:r>
          </w:p>
        </w:tc>
        <w:tc>
          <w:tcPr>
            <w:tcW w:w="707" w:type="pct"/>
            <w:shd w:val="clear" w:color="auto" w:fill="auto"/>
          </w:tcPr>
          <w:p w:rsidR="000602AB" w:rsidRPr="0012760D" w:rsidRDefault="000602AB" w:rsidP="00CA07BB">
            <w:pPr>
              <w:jc w:val="right"/>
              <w:rPr>
                <w:sz w:val="24"/>
                <w:szCs w:val="24"/>
              </w:rPr>
            </w:pPr>
            <w:r w:rsidRPr="0012760D">
              <w:rPr>
                <w:sz w:val="24"/>
                <w:szCs w:val="24"/>
              </w:rPr>
              <w:t>307,093</w:t>
            </w:r>
          </w:p>
        </w:tc>
        <w:tc>
          <w:tcPr>
            <w:tcW w:w="803" w:type="pct"/>
            <w:shd w:val="clear" w:color="auto" w:fill="auto"/>
          </w:tcPr>
          <w:p w:rsidR="000602AB" w:rsidRPr="0012760D" w:rsidRDefault="000602AB" w:rsidP="00CA07BB">
            <w:pPr>
              <w:jc w:val="right"/>
              <w:rPr>
                <w:sz w:val="24"/>
                <w:szCs w:val="24"/>
              </w:rPr>
            </w:pPr>
            <w:r w:rsidRPr="0012760D">
              <w:rPr>
                <w:sz w:val="24"/>
                <w:szCs w:val="24"/>
              </w:rPr>
              <w:t>307,093</w:t>
            </w:r>
          </w:p>
        </w:tc>
        <w:tc>
          <w:tcPr>
            <w:tcW w:w="611" w:type="pct"/>
            <w:shd w:val="clear" w:color="auto" w:fill="auto"/>
          </w:tcPr>
          <w:p w:rsidR="000602AB" w:rsidRPr="0012760D" w:rsidRDefault="000602AB" w:rsidP="00CA07BB">
            <w:pPr>
              <w:jc w:val="right"/>
              <w:rPr>
                <w:sz w:val="24"/>
                <w:szCs w:val="24"/>
              </w:rPr>
            </w:pPr>
            <w:r w:rsidRPr="0012760D">
              <w:rPr>
                <w:sz w:val="24"/>
                <w:szCs w:val="24"/>
              </w:rPr>
              <w:t>-</w:t>
            </w:r>
          </w:p>
        </w:tc>
        <w:tc>
          <w:tcPr>
            <w:tcW w:w="794" w:type="pct"/>
            <w:shd w:val="clear" w:color="auto" w:fill="auto"/>
          </w:tcPr>
          <w:p w:rsidR="000602AB" w:rsidRPr="0012760D" w:rsidRDefault="000602AB" w:rsidP="00CA07BB">
            <w:pPr>
              <w:jc w:val="right"/>
              <w:rPr>
                <w:sz w:val="24"/>
                <w:szCs w:val="24"/>
              </w:rPr>
            </w:pPr>
          </w:p>
        </w:tc>
      </w:tr>
      <w:tr w:rsidR="000602AB" w:rsidRPr="0012760D" w:rsidTr="00CA07BB">
        <w:tblPrEx>
          <w:tblCellMar>
            <w:top w:w="0" w:type="dxa"/>
            <w:bottom w:w="0" w:type="dxa"/>
          </w:tblCellMar>
        </w:tblPrEx>
        <w:tc>
          <w:tcPr>
            <w:tcW w:w="1327" w:type="pct"/>
            <w:shd w:val="clear" w:color="auto" w:fill="auto"/>
          </w:tcPr>
          <w:p w:rsidR="000602AB" w:rsidRPr="0012760D" w:rsidRDefault="000602AB" w:rsidP="00CA07BB">
            <w:pPr>
              <w:rPr>
                <w:sz w:val="24"/>
                <w:szCs w:val="24"/>
              </w:rPr>
            </w:pPr>
            <w:r w:rsidRPr="0012760D">
              <w:rPr>
                <w:sz w:val="24"/>
                <w:szCs w:val="24"/>
              </w:rPr>
              <w:t>Termination Payments Payable</w:t>
            </w:r>
          </w:p>
        </w:tc>
        <w:tc>
          <w:tcPr>
            <w:tcW w:w="758" w:type="pct"/>
            <w:shd w:val="clear" w:color="auto" w:fill="auto"/>
          </w:tcPr>
          <w:p w:rsidR="000602AB" w:rsidRPr="0012760D" w:rsidRDefault="000602AB" w:rsidP="00CA07BB">
            <w:pPr>
              <w:jc w:val="right"/>
              <w:rPr>
                <w:sz w:val="24"/>
                <w:szCs w:val="24"/>
              </w:rPr>
            </w:pPr>
            <w:r w:rsidRPr="0012760D">
              <w:rPr>
                <w:sz w:val="24"/>
                <w:szCs w:val="24"/>
              </w:rPr>
              <w:t>318,878</w:t>
            </w:r>
          </w:p>
        </w:tc>
        <w:tc>
          <w:tcPr>
            <w:tcW w:w="707" w:type="pct"/>
            <w:shd w:val="clear" w:color="auto" w:fill="auto"/>
          </w:tcPr>
          <w:p w:rsidR="000602AB" w:rsidRPr="0012760D" w:rsidRDefault="000602AB" w:rsidP="00CA07BB">
            <w:pPr>
              <w:jc w:val="right"/>
              <w:rPr>
                <w:sz w:val="24"/>
                <w:szCs w:val="24"/>
              </w:rPr>
            </w:pPr>
            <w:r w:rsidRPr="0012760D">
              <w:rPr>
                <w:sz w:val="24"/>
                <w:szCs w:val="24"/>
              </w:rPr>
              <w:t>318,878</w:t>
            </w:r>
          </w:p>
        </w:tc>
        <w:tc>
          <w:tcPr>
            <w:tcW w:w="803" w:type="pct"/>
            <w:shd w:val="clear" w:color="auto" w:fill="auto"/>
          </w:tcPr>
          <w:p w:rsidR="000602AB" w:rsidRPr="0012760D" w:rsidRDefault="000602AB" w:rsidP="00CA07BB">
            <w:pPr>
              <w:jc w:val="right"/>
              <w:rPr>
                <w:sz w:val="24"/>
                <w:szCs w:val="24"/>
              </w:rPr>
            </w:pPr>
            <w:r w:rsidRPr="0012760D">
              <w:rPr>
                <w:sz w:val="24"/>
                <w:szCs w:val="24"/>
              </w:rPr>
              <w:t>318,878</w:t>
            </w:r>
          </w:p>
        </w:tc>
        <w:tc>
          <w:tcPr>
            <w:tcW w:w="611" w:type="pct"/>
            <w:shd w:val="clear" w:color="auto" w:fill="auto"/>
          </w:tcPr>
          <w:p w:rsidR="000602AB" w:rsidRPr="0012760D" w:rsidRDefault="000602AB" w:rsidP="00CA07BB">
            <w:pPr>
              <w:jc w:val="right"/>
              <w:rPr>
                <w:sz w:val="24"/>
                <w:szCs w:val="24"/>
              </w:rPr>
            </w:pPr>
            <w:r w:rsidRPr="0012760D">
              <w:rPr>
                <w:sz w:val="24"/>
                <w:szCs w:val="24"/>
              </w:rPr>
              <w:t>-</w:t>
            </w:r>
          </w:p>
        </w:tc>
        <w:tc>
          <w:tcPr>
            <w:tcW w:w="794" w:type="pct"/>
            <w:shd w:val="clear" w:color="auto" w:fill="auto"/>
          </w:tcPr>
          <w:p w:rsidR="000602AB" w:rsidRPr="0012760D" w:rsidRDefault="000602AB" w:rsidP="00CA07BB">
            <w:pPr>
              <w:jc w:val="right"/>
              <w:rPr>
                <w:sz w:val="24"/>
                <w:szCs w:val="24"/>
              </w:rPr>
            </w:pPr>
          </w:p>
        </w:tc>
      </w:tr>
      <w:tr w:rsidR="000602AB" w:rsidRPr="0012760D" w:rsidTr="00CA07BB">
        <w:tblPrEx>
          <w:tblCellMar>
            <w:top w:w="0" w:type="dxa"/>
            <w:bottom w:w="0" w:type="dxa"/>
          </w:tblCellMar>
        </w:tblPrEx>
        <w:tc>
          <w:tcPr>
            <w:tcW w:w="1327" w:type="pct"/>
            <w:shd w:val="clear" w:color="auto" w:fill="auto"/>
          </w:tcPr>
          <w:p w:rsidR="000602AB" w:rsidRPr="0012760D" w:rsidRDefault="000602AB" w:rsidP="00CA07BB">
            <w:pPr>
              <w:rPr>
                <w:sz w:val="24"/>
                <w:szCs w:val="24"/>
              </w:rPr>
            </w:pPr>
            <w:r w:rsidRPr="0012760D">
              <w:rPr>
                <w:sz w:val="24"/>
                <w:szCs w:val="24"/>
              </w:rPr>
              <w:t>Accrued Project Grants</w:t>
            </w:r>
          </w:p>
        </w:tc>
        <w:tc>
          <w:tcPr>
            <w:tcW w:w="758" w:type="pct"/>
            <w:shd w:val="clear" w:color="auto" w:fill="auto"/>
          </w:tcPr>
          <w:p w:rsidR="000602AB" w:rsidRPr="0012760D" w:rsidRDefault="000602AB" w:rsidP="00CA07BB">
            <w:pPr>
              <w:jc w:val="right"/>
              <w:rPr>
                <w:sz w:val="24"/>
                <w:szCs w:val="24"/>
              </w:rPr>
            </w:pPr>
            <w:r w:rsidRPr="0012760D">
              <w:rPr>
                <w:sz w:val="24"/>
                <w:szCs w:val="24"/>
              </w:rPr>
              <w:t>1,640,220</w:t>
            </w:r>
          </w:p>
        </w:tc>
        <w:tc>
          <w:tcPr>
            <w:tcW w:w="707" w:type="pct"/>
            <w:shd w:val="clear" w:color="auto" w:fill="auto"/>
          </w:tcPr>
          <w:p w:rsidR="000602AB" w:rsidRPr="0012760D" w:rsidRDefault="000602AB" w:rsidP="00CA07BB">
            <w:pPr>
              <w:jc w:val="right"/>
              <w:rPr>
                <w:sz w:val="24"/>
                <w:szCs w:val="24"/>
              </w:rPr>
            </w:pPr>
            <w:r w:rsidRPr="0012760D">
              <w:rPr>
                <w:sz w:val="24"/>
                <w:szCs w:val="24"/>
              </w:rPr>
              <w:t>1,640,220</w:t>
            </w:r>
          </w:p>
        </w:tc>
        <w:tc>
          <w:tcPr>
            <w:tcW w:w="803" w:type="pct"/>
            <w:shd w:val="clear" w:color="auto" w:fill="auto"/>
          </w:tcPr>
          <w:p w:rsidR="000602AB" w:rsidRPr="0012760D" w:rsidRDefault="000602AB" w:rsidP="00CA07BB">
            <w:pPr>
              <w:jc w:val="right"/>
              <w:rPr>
                <w:sz w:val="24"/>
                <w:szCs w:val="24"/>
              </w:rPr>
            </w:pPr>
            <w:r w:rsidRPr="0012760D">
              <w:rPr>
                <w:sz w:val="24"/>
                <w:szCs w:val="24"/>
              </w:rPr>
              <w:t>1,640,220</w:t>
            </w:r>
          </w:p>
        </w:tc>
        <w:tc>
          <w:tcPr>
            <w:tcW w:w="611" w:type="pct"/>
            <w:shd w:val="clear" w:color="auto" w:fill="auto"/>
          </w:tcPr>
          <w:p w:rsidR="000602AB" w:rsidRPr="0012760D" w:rsidRDefault="000602AB" w:rsidP="00CA07BB">
            <w:pPr>
              <w:jc w:val="right"/>
              <w:rPr>
                <w:sz w:val="24"/>
                <w:szCs w:val="24"/>
              </w:rPr>
            </w:pPr>
            <w:r w:rsidRPr="0012760D">
              <w:rPr>
                <w:sz w:val="24"/>
                <w:szCs w:val="24"/>
              </w:rPr>
              <w:t>-</w:t>
            </w:r>
          </w:p>
        </w:tc>
        <w:tc>
          <w:tcPr>
            <w:tcW w:w="794" w:type="pct"/>
            <w:shd w:val="clear" w:color="auto" w:fill="auto"/>
          </w:tcPr>
          <w:p w:rsidR="000602AB" w:rsidRPr="0012760D" w:rsidRDefault="000602AB" w:rsidP="00CA07BB">
            <w:pPr>
              <w:jc w:val="right"/>
              <w:rPr>
                <w:sz w:val="24"/>
                <w:szCs w:val="24"/>
              </w:rPr>
            </w:pPr>
          </w:p>
        </w:tc>
      </w:tr>
      <w:tr w:rsidR="000602AB" w:rsidRPr="0012760D" w:rsidTr="00CA07BB">
        <w:tblPrEx>
          <w:tblCellMar>
            <w:top w:w="0" w:type="dxa"/>
            <w:bottom w:w="0" w:type="dxa"/>
          </w:tblCellMar>
        </w:tblPrEx>
        <w:tc>
          <w:tcPr>
            <w:tcW w:w="1327" w:type="pct"/>
            <w:shd w:val="clear" w:color="auto" w:fill="auto"/>
          </w:tcPr>
          <w:p w:rsidR="000602AB" w:rsidRPr="0012760D" w:rsidRDefault="000602AB" w:rsidP="00CA07BB">
            <w:pPr>
              <w:rPr>
                <w:sz w:val="24"/>
                <w:szCs w:val="24"/>
              </w:rPr>
            </w:pPr>
            <w:r w:rsidRPr="0012760D">
              <w:rPr>
                <w:sz w:val="24"/>
                <w:szCs w:val="24"/>
              </w:rPr>
              <w:t>Accrued Expenses</w:t>
            </w:r>
          </w:p>
        </w:tc>
        <w:tc>
          <w:tcPr>
            <w:tcW w:w="758" w:type="pct"/>
            <w:shd w:val="clear" w:color="auto" w:fill="auto"/>
          </w:tcPr>
          <w:p w:rsidR="000602AB" w:rsidRPr="0012760D" w:rsidRDefault="000602AB" w:rsidP="00CA07BB">
            <w:pPr>
              <w:jc w:val="right"/>
              <w:rPr>
                <w:sz w:val="24"/>
                <w:szCs w:val="24"/>
              </w:rPr>
            </w:pPr>
            <w:r w:rsidRPr="0012760D">
              <w:rPr>
                <w:sz w:val="24"/>
                <w:szCs w:val="24"/>
              </w:rPr>
              <w:t>418,550</w:t>
            </w:r>
          </w:p>
        </w:tc>
        <w:tc>
          <w:tcPr>
            <w:tcW w:w="707" w:type="pct"/>
            <w:shd w:val="clear" w:color="auto" w:fill="auto"/>
          </w:tcPr>
          <w:p w:rsidR="000602AB" w:rsidRPr="0012760D" w:rsidRDefault="000602AB" w:rsidP="00CA07BB">
            <w:pPr>
              <w:jc w:val="right"/>
              <w:rPr>
                <w:sz w:val="24"/>
                <w:szCs w:val="24"/>
              </w:rPr>
            </w:pPr>
            <w:r w:rsidRPr="0012760D">
              <w:rPr>
                <w:sz w:val="24"/>
                <w:szCs w:val="24"/>
              </w:rPr>
              <w:t>418,550</w:t>
            </w:r>
          </w:p>
        </w:tc>
        <w:tc>
          <w:tcPr>
            <w:tcW w:w="803" w:type="pct"/>
            <w:shd w:val="clear" w:color="auto" w:fill="auto"/>
          </w:tcPr>
          <w:p w:rsidR="000602AB" w:rsidRPr="0012760D" w:rsidRDefault="000602AB" w:rsidP="00CA07BB">
            <w:pPr>
              <w:jc w:val="right"/>
              <w:rPr>
                <w:sz w:val="24"/>
                <w:szCs w:val="24"/>
              </w:rPr>
            </w:pPr>
            <w:r w:rsidRPr="0012760D">
              <w:rPr>
                <w:sz w:val="24"/>
                <w:szCs w:val="24"/>
              </w:rPr>
              <w:t>418,550</w:t>
            </w:r>
          </w:p>
        </w:tc>
        <w:tc>
          <w:tcPr>
            <w:tcW w:w="611" w:type="pct"/>
            <w:shd w:val="clear" w:color="auto" w:fill="auto"/>
          </w:tcPr>
          <w:p w:rsidR="000602AB" w:rsidRPr="0012760D" w:rsidRDefault="000602AB" w:rsidP="00CA07BB">
            <w:pPr>
              <w:jc w:val="right"/>
              <w:rPr>
                <w:sz w:val="24"/>
                <w:szCs w:val="24"/>
              </w:rPr>
            </w:pPr>
            <w:r w:rsidRPr="0012760D">
              <w:rPr>
                <w:sz w:val="24"/>
                <w:szCs w:val="24"/>
              </w:rPr>
              <w:t>-</w:t>
            </w:r>
          </w:p>
        </w:tc>
        <w:tc>
          <w:tcPr>
            <w:tcW w:w="794" w:type="pct"/>
            <w:shd w:val="clear" w:color="auto" w:fill="auto"/>
          </w:tcPr>
          <w:p w:rsidR="000602AB" w:rsidRPr="0012760D" w:rsidRDefault="000602AB" w:rsidP="00CA07BB">
            <w:pPr>
              <w:jc w:val="right"/>
              <w:rPr>
                <w:sz w:val="24"/>
                <w:szCs w:val="24"/>
              </w:rPr>
            </w:pPr>
          </w:p>
        </w:tc>
      </w:tr>
      <w:tr w:rsidR="000602AB" w:rsidRPr="0012760D" w:rsidTr="00CA07BB">
        <w:tblPrEx>
          <w:tblCellMar>
            <w:top w:w="0" w:type="dxa"/>
            <w:bottom w:w="0" w:type="dxa"/>
          </w:tblCellMar>
        </w:tblPrEx>
        <w:tc>
          <w:tcPr>
            <w:tcW w:w="1327" w:type="pct"/>
            <w:shd w:val="clear" w:color="auto" w:fill="auto"/>
          </w:tcPr>
          <w:p w:rsidR="000602AB" w:rsidRPr="0012760D" w:rsidRDefault="000602AB" w:rsidP="00CA07BB">
            <w:pPr>
              <w:rPr>
                <w:sz w:val="24"/>
                <w:szCs w:val="24"/>
              </w:rPr>
            </w:pPr>
            <w:r w:rsidRPr="0012760D">
              <w:rPr>
                <w:bCs/>
                <w:sz w:val="24"/>
                <w:szCs w:val="24"/>
              </w:rPr>
              <w:t>Total</w:t>
            </w:r>
          </w:p>
        </w:tc>
        <w:tc>
          <w:tcPr>
            <w:tcW w:w="758" w:type="pct"/>
            <w:shd w:val="clear" w:color="auto" w:fill="auto"/>
          </w:tcPr>
          <w:p w:rsidR="000602AB" w:rsidRPr="0012760D" w:rsidRDefault="000602AB" w:rsidP="00CA07BB">
            <w:pPr>
              <w:jc w:val="right"/>
              <w:rPr>
                <w:sz w:val="24"/>
                <w:szCs w:val="24"/>
              </w:rPr>
            </w:pPr>
            <w:r w:rsidRPr="0012760D">
              <w:rPr>
                <w:bCs/>
                <w:sz w:val="24"/>
                <w:szCs w:val="24"/>
              </w:rPr>
              <w:t>2,684,741</w:t>
            </w:r>
          </w:p>
        </w:tc>
        <w:tc>
          <w:tcPr>
            <w:tcW w:w="707" w:type="pct"/>
            <w:shd w:val="clear" w:color="auto" w:fill="auto"/>
          </w:tcPr>
          <w:p w:rsidR="000602AB" w:rsidRPr="0012760D" w:rsidRDefault="000602AB" w:rsidP="00CA07BB">
            <w:pPr>
              <w:jc w:val="right"/>
              <w:rPr>
                <w:sz w:val="24"/>
                <w:szCs w:val="24"/>
              </w:rPr>
            </w:pPr>
            <w:r w:rsidRPr="0012760D">
              <w:rPr>
                <w:bCs/>
                <w:sz w:val="24"/>
                <w:szCs w:val="24"/>
              </w:rPr>
              <w:t>2,684,741</w:t>
            </w:r>
          </w:p>
        </w:tc>
        <w:tc>
          <w:tcPr>
            <w:tcW w:w="803" w:type="pct"/>
            <w:shd w:val="clear" w:color="auto" w:fill="auto"/>
          </w:tcPr>
          <w:p w:rsidR="000602AB" w:rsidRPr="0012760D" w:rsidRDefault="000602AB" w:rsidP="00CA07BB">
            <w:pPr>
              <w:jc w:val="right"/>
              <w:rPr>
                <w:sz w:val="24"/>
                <w:szCs w:val="24"/>
              </w:rPr>
            </w:pPr>
            <w:r w:rsidRPr="0012760D">
              <w:rPr>
                <w:bCs/>
                <w:sz w:val="24"/>
                <w:szCs w:val="24"/>
              </w:rPr>
              <w:t>2,684,741</w:t>
            </w:r>
          </w:p>
        </w:tc>
        <w:tc>
          <w:tcPr>
            <w:tcW w:w="611" w:type="pct"/>
            <w:shd w:val="clear" w:color="auto" w:fill="auto"/>
          </w:tcPr>
          <w:p w:rsidR="000602AB" w:rsidRPr="0012760D" w:rsidRDefault="000602AB" w:rsidP="00CA07BB">
            <w:pPr>
              <w:jc w:val="right"/>
              <w:rPr>
                <w:sz w:val="24"/>
                <w:szCs w:val="24"/>
              </w:rPr>
            </w:pPr>
            <w:r w:rsidRPr="0012760D">
              <w:rPr>
                <w:bCs/>
                <w:sz w:val="24"/>
                <w:szCs w:val="24"/>
              </w:rPr>
              <w:t>-</w:t>
            </w:r>
          </w:p>
        </w:tc>
        <w:tc>
          <w:tcPr>
            <w:tcW w:w="794" w:type="pct"/>
            <w:shd w:val="clear" w:color="auto" w:fill="auto"/>
          </w:tcPr>
          <w:p w:rsidR="000602AB" w:rsidRPr="0012760D" w:rsidRDefault="000602AB" w:rsidP="00CA07BB">
            <w:pPr>
              <w:jc w:val="right"/>
              <w:rPr>
                <w:sz w:val="24"/>
                <w:szCs w:val="24"/>
              </w:rPr>
            </w:pPr>
          </w:p>
        </w:tc>
      </w:tr>
    </w:tbl>
    <w:p w:rsidR="000602AB" w:rsidRPr="0012760D" w:rsidRDefault="000602AB" w:rsidP="000602AB">
      <w:pPr>
        <w:rPr>
          <w:bCs/>
          <w:sz w:val="24"/>
          <w:szCs w:val="24"/>
        </w:rPr>
      </w:pPr>
    </w:p>
    <w:p w:rsidR="000602AB" w:rsidRPr="0012760D" w:rsidRDefault="000602AB" w:rsidP="000602AB">
      <w:pPr>
        <w:rPr>
          <w:bCs/>
          <w:sz w:val="24"/>
          <w:szCs w:val="24"/>
        </w:rPr>
      </w:pPr>
    </w:p>
    <w:p w:rsidR="000602AB" w:rsidRDefault="000602AB" w:rsidP="00EF242F">
      <w:pPr>
        <w:pStyle w:val="Heading2"/>
      </w:pPr>
      <w:r w:rsidRPr="0012760D">
        <w:t>24. Contingent Assets/Liabilities</w:t>
      </w:r>
    </w:p>
    <w:p w:rsidR="00C16B42" w:rsidRPr="0012760D" w:rsidRDefault="00C16B42" w:rsidP="000602AB">
      <w:pPr>
        <w:rPr>
          <w:sz w:val="24"/>
          <w:szCs w:val="24"/>
        </w:rPr>
      </w:pPr>
    </w:p>
    <w:p w:rsidR="000602AB" w:rsidRPr="0012760D" w:rsidRDefault="000602AB" w:rsidP="000602AB">
      <w:pPr>
        <w:rPr>
          <w:sz w:val="24"/>
          <w:szCs w:val="24"/>
        </w:rPr>
      </w:pPr>
      <w:r w:rsidRPr="0012760D">
        <w:rPr>
          <w:sz w:val="24"/>
          <w:szCs w:val="24"/>
        </w:rPr>
        <w:t>Sustainability Victoria had no contingent assets or liabilities as at the reporting date.</w:t>
      </w:r>
    </w:p>
    <w:p w:rsidR="000602AB" w:rsidRPr="0012760D" w:rsidRDefault="000602AB" w:rsidP="000602AB">
      <w:pPr>
        <w:rPr>
          <w:sz w:val="24"/>
          <w:szCs w:val="24"/>
        </w:rPr>
      </w:pPr>
    </w:p>
    <w:p w:rsidR="000602AB" w:rsidRPr="0012760D" w:rsidRDefault="000602AB" w:rsidP="000602AB">
      <w:pPr>
        <w:rPr>
          <w:sz w:val="24"/>
          <w:szCs w:val="24"/>
        </w:rPr>
      </w:pPr>
    </w:p>
    <w:p w:rsidR="000602AB" w:rsidRPr="0012760D" w:rsidRDefault="000602AB" w:rsidP="00C16B42">
      <w:pPr>
        <w:pStyle w:val="Heading2"/>
      </w:pPr>
      <w:r w:rsidRPr="0012760D">
        <w:lastRenderedPageBreak/>
        <w:t>25. Events Occurring After Reporting Date</w:t>
      </w:r>
    </w:p>
    <w:p w:rsidR="000602AB" w:rsidRPr="0012760D" w:rsidRDefault="000602AB" w:rsidP="000602AB">
      <w:pPr>
        <w:rPr>
          <w:sz w:val="24"/>
          <w:szCs w:val="24"/>
        </w:rPr>
      </w:pPr>
    </w:p>
    <w:p w:rsidR="000602AB" w:rsidRPr="0012760D" w:rsidRDefault="000602AB" w:rsidP="000602AB">
      <w:pPr>
        <w:rPr>
          <w:sz w:val="24"/>
          <w:szCs w:val="24"/>
        </w:rPr>
      </w:pPr>
      <w:r w:rsidRPr="0012760D">
        <w:rPr>
          <w:sz w:val="24"/>
          <w:szCs w:val="24"/>
        </w:rPr>
        <w:t xml:space="preserve">On 31 July 2013, the Board of SV approved the sale of 88,100 Renewable Energy Certificates held by SV (refer to Notes 8 </w:t>
      </w:r>
      <w:r w:rsidR="00236A13">
        <w:rPr>
          <w:sz w:val="24"/>
          <w:szCs w:val="24"/>
        </w:rPr>
        <w:t>and</w:t>
      </w:r>
      <w:r w:rsidRPr="0012760D">
        <w:rPr>
          <w:sz w:val="24"/>
          <w:szCs w:val="24"/>
        </w:rPr>
        <w:t xml:space="preserve"> 9), with the proceeds to be forwarded to the Department of Environment and Primary Industries.</w:t>
      </w:r>
    </w:p>
    <w:p w:rsidR="000602AB" w:rsidRPr="0012760D" w:rsidRDefault="000602AB" w:rsidP="000602AB">
      <w:pPr>
        <w:rPr>
          <w:sz w:val="24"/>
          <w:szCs w:val="24"/>
        </w:rPr>
      </w:pPr>
      <w:r w:rsidRPr="0012760D">
        <w:rPr>
          <w:sz w:val="24"/>
          <w:szCs w:val="24"/>
        </w:rPr>
        <w:t>this sale occurred on 22 August 2013 and the impact has been built into SV's forward budgets.</w:t>
      </w:r>
    </w:p>
    <w:p w:rsidR="000602AB" w:rsidRDefault="000602AB" w:rsidP="000602AB">
      <w:pPr>
        <w:rPr>
          <w:sz w:val="24"/>
          <w:szCs w:val="24"/>
        </w:rPr>
      </w:pPr>
    </w:p>
    <w:p w:rsidR="00C16B42" w:rsidRPr="0012760D" w:rsidRDefault="00C16B42" w:rsidP="000602AB">
      <w:pPr>
        <w:rPr>
          <w:sz w:val="24"/>
          <w:szCs w:val="24"/>
        </w:rPr>
      </w:pPr>
    </w:p>
    <w:p w:rsidR="000602AB" w:rsidRDefault="000602AB" w:rsidP="00C16B42">
      <w:pPr>
        <w:pStyle w:val="Heading2"/>
      </w:pPr>
      <w:r w:rsidRPr="0012760D">
        <w:t>26. Glossary of Terms</w:t>
      </w:r>
    </w:p>
    <w:p w:rsidR="00C16B42" w:rsidRPr="0012760D" w:rsidRDefault="00C16B42" w:rsidP="000602AB">
      <w:pPr>
        <w:rPr>
          <w:sz w:val="24"/>
          <w:szCs w:val="24"/>
        </w:rPr>
      </w:pPr>
    </w:p>
    <w:p w:rsidR="000602AB" w:rsidRDefault="000602AB" w:rsidP="00C16B42">
      <w:pPr>
        <w:pStyle w:val="Heading3"/>
      </w:pPr>
      <w:r w:rsidRPr="0012760D">
        <w:t>Comprehensive result</w:t>
      </w:r>
    </w:p>
    <w:p w:rsidR="00C16B42" w:rsidRPr="0012760D" w:rsidRDefault="00C16B42" w:rsidP="000602AB">
      <w:pPr>
        <w:rPr>
          <w:sz w:val="24"/>
          <w:szCs w:val="24"/>
        </w:rPr>
      </w:pPr>
    </w:p>
    <w:p w:rsidR="000602AB" w:rsidRPr="0012760D" w:rsidRDefault="000602AB" w:rsidP="000602AB">
      <w:pPr>
        <w:rPr>
          <w:sz w:val="24"/>
          <w:szCs w:val="24"/>
        </w:rPr>
      </w:pPr>
      <w:r w:rsidRPr="0012760D">
        <w:rPr>
          <w:sz w:val="24"/>
          <w:szCs w:val="24"/>
        </w:rPr>
        <w:t>Total comprehensive result is the change in equity for the period other than changes arising from transactions with owners. It is the aggregate of net result and other non-owner changes in equity.</w:t>
      </w:r>
    </w:p>
    <w:p w:rsidR="000602AB" w:rsidRDefault="000602AB" w:rsidP="000602AB">
      <w:pPr>
        <w:rPr>
          <w:sz w:val="24"/>
          <w:szCs w:val="24"/>
        </w:rPr>
      </w:pPr>
    </w:p>
    <w:p w:rsidR="00C16B42" w:rsidRPr="0012760D" w:rsidRDefault="00C16B42" w:rsidP="000602AB">
      <w:pPr>
        <w:rPr>
          <w:sz w:val="24"/>
          <w:szCs w:val="24"/>
        </w:rPr>
      </w:pPr>
    </w:p>
    <w:p w:rsidR="000602AB" w:rsidRDefault="000602AB" w:rsidP="00C16B42">
      <w:pPr>
        <w:pStyle w:val="Heading3"/>
      </w:pPr>
      <w:r w:rsidRPr="0012760D">
        <w:t>Commitments</w:t>
      </w:r>
    </w:p>
    <w:p w:rsidR="00C16B42" w:rsidRPr="0012760D" w:rsidRDefault="00C16B42" w:rsidP="000602AB">
      <w:pPr>
        <w:rPr>
          <w:sz w:val="24"/>
          <w:szCs w:val="24"/>
        </w:rPr>
      </w:pPr>
    </w:p>
    <w:p w:rsidR="000602AB" w:rsidRPr="0012760D" w:rsidRDefault="000602AB" w:rsidP="000602AB">
      <w:pPr>
        <w:rPr>
          <w:sz w:val="24"/>
          <w:szCs w:val="24"/>
        </w:rPr>
      </w:pPr>
      <w:r w:rsidRPr="0012760D">
        <w:rPr>
          <w:sz w:val="24"/>
          <w:szCs w:val="24"/>
        </w:rPr>
        <w:t>Commitments relate to operating contracted commitments.</w:t>
      </w:r>
    </w:p>
    <w:p w:rsidR="003A6A05" w:rsidRPr="0012760D" w:rsidRDefault="003A6A05" w:rsidP="0078679E">
      <w:pPr>
        <w:rPr>
          <w:sz w:val="24"/>
          <w:szCs w:val="24"/>
        </w:rPr>
        <w:sectPr w:rsidR="003A6A05" w:rsidRPr="0012760D" w:rsidSect="00304A9D">
          <w:pgSz w:w="16834" w:h="11909" w:orient="landscape"/>
          <w:pgMar w:top="1440" w:right="1440" w:bottom="1440" w:left="1440" w:header="720" w:footer="720" w:gutter="0"/>
          <w:cols w:space="720"/>
          <w:noEndnote/>
          <w:docGrid w:linePitch="272"/>
        </w:sectPr>
      </w:pPr>
    </w:p>
    <w:p w:rsidR="003A6A05" w:rsidRDefault="003A6A05" w:rsidP="003A6A05">
      <w:pPr>
        <w:rPr>
          <w:bCs/>
          <w:sz w:val="24"/>
          <w:szCs w:val="24"/>
        </w:rPr>
      </w:pPr>
      <w:r w:rsidRPr="0012760D">
        <w:rPr>
          <w:bCs/>
          <w:sz w:val="24"/>
          <w:szCs w:val="24"/>
        </w:rPr>
        <w:lastRenderedPageBreak/>
        <w:t>&lt;pp&gt; 51</w:t>
      </w:r>
    </w:p>
    <w:p w:rsidR="00C16B42" w:rsidRDefault="00C16B42" w:rsidP="003A6A05">
      <w:pPr>
        <w:rPr>
          <w:bCs/>
          <w:sz w:val="24"/>
          <w:szCs w:val="24"/>
        </w:rPr>
      </w:pPr>
    </w:p>
    <w:p w:rsidR="00C16B42" w:rsidRPr="0012760D" w:rsidRDefault="00C16B42" w:rsidP="003A6A05">
      <w:pPr>
        <w:rPr>
          <w:sz w:val="24"/>
          <w:szCs w:val="24"/>
        </w:rPr>
      </w:pPr>
    </w:p>
    <w:p w:rsidR="003A6A05" w:rsidRDefault="003A6A05" w:rsidP="00C16B42">
      <w:pPr>
        <w:pStyle w:val="Heading3"/>
      </w:pPr>
      <w:r w:rsidRPr="0012760D">
        <w:t>Employee benefits expenses</w:t>
      </w:r>
    </w:p>
    <w:p w:rsidR="00C16B42" w:rsidRPr="0012760D" w:rsidRDefault="00C16B42" w:rsidP="003A6A05">
      <w:pPr>
        <w:rPr>
          <w:sz w:val="24"/>
          <w:szCs w:val="24"/>
        </w:rPr>
      </w:pPr>
    </w:p>
    <w:p w:rsidR="003A6A05" w:rsidRDefault="003A6A05" w:rsidP="003A6A05">
      <w:pPr>
        <w:rPr>
          <w:sz w:val="24"/>
          <w:szCs w:val="24"/>
        </w:rPr>
      </w:pPr>
      <w:r w:rsidRPr="0012760D">
        <w:rPr>
          <w:sz w:val="24"/>
          <w:szCs w:val="24"/>
        </w:rPr>
        <w:t>Employee benefits expenses include all costs related to employment, including wages and salaries, leave entitlements, redundancy payments and superannuation contributions.</w:t>
      </w:r>
    </w:p>
    <w:p w:rsidR="00C16B42" w:rsidRDefault="00C16B42" w:rsidP="003A6A05">
      <w:pPr>
        <w:rPr>
          <w:sz w:val="24"/>
          <w:szCs w:val="24"/>
        </w:rPr>
      </w:pPr>
    </w:p>
    <w:p w:rsidR="00C16B42" w:rsidRPr="0012760D" w:rsidRDefault="00C16B42" w:rsidP="003A6A05">
      <w:pPr>
        <w:rPr>
          <w:sz w:val="24"/>
          <w:szCs w:val="24"/>
        </w:rPr>
      </w:pPr>
    </w:p>
    <w:p w:rsidR="003A6A05" w:rsidRDefault="003A6A05" w:rsidP="00C16B42">
      <w:pPr>
        <w:pStyle w:val="Heading3"/>
      </w:pPr>
      <w:r w:rsidRPr="0012760D">
        <w:t>Financial asset</w:t>
      </w:r>
    </w:p>
    <w:p w:rsidR="00C16B42" w:rsidRPr="0012760D" w:rsidRDefault="00C16B42" w:rsidP="003A6A05">
      <w:pPr>
        <w:rPr>
          <w:sz w:val="24"/>
          <w:szCs w:val="24"/>
        </w:rPr>
      </w:pPr>
    </w:p>
    <w:p w:rsidR="003A6A05" w:rsidRPr="0012760D" w:rsidRDefault="003A6A05" w:rsidP="003A6A05">
      <w:pPr>
        <w:rPr>
          <w:sz w:val="24"/>
          <w:szCs w:val="24"/>
        </w:rPr>
      </w:pPr>
      <w:r w:rsidRPr="0012760D">
        <w:rPr>
          <w:sz w:val="24"/>
          <w:szCs w:val="24"/>
        </w:rPr>
        <w:t>A financial asset is any asset that is:</w:t>
      </w:r>
    </w:p>
    <w:p w:rsidR="003A6A05" w:rsidRPr="0012760D" w:rsidRDefault="003A6A05" w:rsidP="003A6A05">
      <w:pPr>
        <w:rPr>
          <w:sz w:val="24"/>
          <w:szCs w:val="24"/>
        </w:rPr>
      </w:pPr>
      <w:r w:rsidRPr="0012760D">
        <w:rPr>
          <w:sz w:val="24"/>
          <w:szCs w:val="24"/>
        </w:rPr>
        <w:t>(a) cash;</w:t>
      </w:r>
    </w:p>
    <w:p w:rsidR="003A6A05" w:rsidRPr="0012760D" w:rsidRDefault="003A6A05" w:rsidP="003A6A05">
      <w:pPr>
        <w:rPr>
          <w:sz w:val="24"/>
          <w:szCs w:val="24"/>
        </w:rPr>
      </w:pPr>
      <w:r w:rsidRPr="0012760D">
        <w:rPr>
          <w:sz w:val="24"/>
          <w:szCs w:val="24"/>
        </w:rPr>
        <w:t>(b) an equity instrument of another entity;</w:t>
      </w:r>
    </w:p>
    <w:p w:rsidR="003A6A05" w:rsidRPr="0012760D" w:rsidRDefault="003A6A05" w:rsidP="003A6A05">
      <w:pPr>
        <w:rPr>
          <w:sz w:val="24"/>
          <w:szCs w:val="24"/>
        </w:rPr>
      </w:pPr>
      <w:r w:rsidRPr="0012760D">
        <w:rPr>
          <w:sz w:val="24"/>
          <w:szCs w:val="24"/>
        </w:rPr>
        <w:t>(c) a contractual right:</w:t>
      </w:r>
    </w:p>
    <w:p w:rsidR="003A6A05" w:rsidRPr="0012760D" w:rsidRDefault="003A6A05" w:rsidP="003A6A05">
      <w:pPr>
        <w:rPr>
          <w:sz w:val="24"/>
          <w:szCs w:val="24"/>
        </w:rPr>
      </w:pPr>
      <w:r w:rsidRPr="0012760D">
        <w:rPr>
          <w:sz w:val="24"/>
          <w:szCs w:val="24"/>
        </w:rPr>
        <w:t>(i) to receive cash or another financial asset from</w:t>
      </w:r>
    </w:p>
    <w:p w:rsidR="003A6A05" w:rsidRPr="0012760D" w:rsidRDefault="003A6A05" w:rsidP="003A6A05">
      <w:pPr>
        <w:rPr>
          <w:sz w:val="24"/>
          <w:szCs w:val="24"/>
        </w:rPr>
      </w:pPr>
      <w:r w:rsidRPr="0012760D">
        <w:rPr>
          <w:sz w:val="24"/>
          <w:szCs w:val="24"/>
        </w:rPr>
        <w:t>another entity; or (ii) to exchange financial assets or financial liabilities</w:t>
      </w:r>
    </w:p>
    <w:p w:rsidR="003A6A05" w:rsidRPr="0012760D" w:rsidRDefault="003A6A05" w:rsidP="003A6A05">
      <w:pPr>
        <w:rPr>
          <w:sz w:val="24"/>
          <w:szCs w:val="24"/>
        </w:rPr>
      </w:pPr>
      <w:r w:rsidRPr="0012760D">
        <w:rPr>
          <w:sz w:val="24"/>
          <w:szCs w:val="24"/>
        </w:rPr>
        <w:t>with another entity under conditions that are</w:t>
      </w:r>
    </w:p>
    <w:p w:rsidR="003A6A05" w:rsidRPr="0012760D" w:rsidRDefault="003A6A05" w:rsidP="003A6A05">
      <w:pPr>
        <w:rPr>
          <w:sz w:val="24"/>
          <w:szCs w:val="24"/>
        </w:rPr>
      </w:pPr>
      <w:r w:rsidRPr="0012760D">
        <w:rPr>
          <w:sz w:val="24"/>
          <w:szCs w:val="24"/>
        </w:rPr>
        <w:t>potentially favourable to the entity; or</w:t>
      </w:r>
    </w:p>
    <w:p w:rsidR="003A6A05" w:rsidRPr="0012760D" w:rsidRDefault="003A6A05" w:rsidP="003A6A05">
      <w:pPr>
        <w:rPr>
          <w:sz w:val="24"/>
          <w:szCs w:val="24"/>
        </w:rPr>
      </w:pPr>
      <w:r w:rsidRPr="0012760D">
        <w:rPr>
          <w:sz w:val="24"/>
          <w:szCs w:val="24"/>
        </w:rPr>
        <w:t>(d) a contract that will or may be settled in the entity's own equity instruments and is:</w:t>
      </w:r>
    </w:p>
    <w:p w:rsidR="003A6A05" w:rsidRPr="0012760D" w:rsidRDefault="003A6A05" w:rsidP="003A6A05">
      <w:pPr>
        <w:rPr>
          <w:sz w:val="24"/>
          <w:szCs w:val="24"/>
        </w:rPr>
      </w:pPr>
      <w:r w:rsidRPr="0012760D">
        <w:rPr>
          <w:sz w:val="24"/>
          <w:szCs w:val="24"/>
        </w:rPr>
        <w:t>(i) a non derivative for which the entity is or may be obliged to receive a variable number of the entity's own equity instruments; or</w:t>
      </w:r>
    </w:p>
    <w:p w:rsidR="003A6A05" w:rsidRDefault="003A6A05" w:rsidP="003A6A05">
      <w:pPr>
        <w:rPr>
          <w:sz w:val="24"/>
          <w:szCs w:val="24"/>
        </w:rPr>
      </w:pPr>
      <w:r w:rsidRPr="0012760D">
        <w:rPr>
          <w:sz w:val="24"/>
          <w:szCs w:val="24"/>
        </w:rPr>
        <w:t>(i i) a derivative that will or may be settled other than by the exchange of a fixed amount of cash or another financial asset for a fixed number of the entity's own equity instruments.</w:t>
      </w:r>
    </w:p>
    <w:p w:rsidR="00C16B42" w:rsidRDefault="00C16B42" w:rsidP="003A6A05">
      <w:pPr>
        <w:rPr>
          <w:sz w:val="24"/>
          <w:szCs w:val="24"/>
        </w:rPr>
      </w:pPr>
    </w:p>
    <w:p w:rsidR="00C16B42" w:rsidRPr="0012760D" w:rsidRDefault="00C16B42" w:rsidP="003A6A05">
      <w:pPr>
        <w:rPr>
          <w:sz w:val="24"/>
          <w:szCs w:val="24"/>
        </w:rPr>
      </w:pPr>
    </w:p>
    <w:p w:rsidR="003A6A05" w:rsidRDefault="003A6A05" w:rsidP="00C16B42">
      <w:pPr>
        <w:pStyle w:val="Heading3"/>
      </w:pPr>
      <w:r w:rsidRPr="0012760D">
        <w:t>Financial statements</w:t>
      </w:r>
    </w:p>
    <w:p w:rsidR="00C16B42" w:rsidRPr="0012760D" w:rsidRDefault="00C16B42" w:rsidP="003A6A05">
      <w:pPr>
        <w:rPr>
          <w:sz w:val="24"/>
          <w:szCs w:val="24"/>
        </w:rPr>
      </w:pPr>
    </w:p>
    <w:p w:rsidR="003A6A05" w:rsidRDefault="003A6A05" w:rsidP="003A6A05">
      <w:pPr>
        <w:rPr>
          <w:sz w:val="24"/>
          <w:szCs w:val="24"/>
        </w:rPr>
      </w:pPr>
      <w:r w:rsidRPr="0012760D">
        <w:rPr>
          <w:sz w:val="24"/>
          <w:szCs w:val="24"/>
        </w:rPr>
        <w:t>Depending on the context of the sentence where the term "financial statements" is used, it may include only the main financial statements (i.e. comprehensive operating statement, balance sheet, cash flow statements, and statement of changes in equity); or it may also be used to replace the old term "financial report" under the revised AASB 101 (Sept 2007), which means it may include the main financial statements and the notes.</w:t>
      </w:r>
    </w:p>
    <w:p w:rsidR="00C16B42" w:rsidRDefault="00C16B42" w:rsidP="003A6A05">
      <w:pPr>
        <w:rPr>
          <w:sz w:val="24"/>
          <w:szCs w:val="24"/>
        </w:rPr>
      </w:pPr>
    </w:p>
    <w:p w:rsidR="00C16B42" w:rsidRPr="0012760D" w:rsidRDefault="00C16B42" w:rsidP="003A6A05">
      <w:pPr>
        <w:rPr>
          <w:sz w:val="24"/>
          <w:szCs w:val="24"/>
        </w:rPr>
      </w:pPr>
    </w:p>
    <w:p w:rsidR="003A6A05" w:rsidRDefault="003A6A05" w:rsidP="00C16B42">
      <w:pPr>
        <w:pStyle w:val="Heading3"/>
      </w:pPr>
      <w:r w:rsidRPr="0012760D">
        <w:t>Intangible assets</w:t>
      </w:r>
    </w:p>
    <w:p w:rsidR="00C16B42" w:rsidRPr="0012760D" w:rsidRDefault="00C16B42" w:rsidP="003A6A05">
      <w:pPr>
        <w:rPr>
          <w:sz w:val="24"/>
          <w:szCs w:val="24"/>
        </w:rPr>
      </w:pPr>
    </w:p>
    <w:p w:rsidR="003A6A05" w:rsidRDefault="003A6A05" w:rsidP="003A6A05">
      <w:pPr>
        <w:rPr>
          <w:sz w:val="24"/>
          <w:szCs w:val="24"/>
        </w:rPr>
      </w:pPr>
      <w:r w:rsidRPr="0012760D">
        <w:rPr>
          <w:sz w:val="24"/>
          <w:szCs w:val="24"/>
        </w:rPr>
        <w:t>Intangible assets represent identifiable non monetary assets without physical substance.</w:t>
      </w:r>
    </w:p>
    <w:p w:rsidR="00C16B42" w:rsidRDefault="00C16B42" w:rsidP="003A6A05">
      <w:pPr>
        <w:rPr>
          <w:sz w:val="24"/>
          <w:szCs w:val="24"/>
        </w:rPr>
      </w:pPr>
    </w:p>
    <w:p w:rsidR="00C16B42" w:rsidRPr="0012760D" w:rsidRDefault="00C16B42" w:rsidP="003A6A05">
      <w:pPr>
        <w:rPr>
          <w:sz w:val="24"/>
          <w:szCs w:val="24"/>
        </w:rPr>
      </w:pPr>
    </w:p>
    <w:p w:rsidR="003A6A05" w:rsidRDefault="003A6A05" w:rsidP="00C16B42">
      <w:pPr>
        <w:pStyle w:val="Heading3"/>
      </w:pPr>
      <w:r w:rsidRPr="0012760D">
        <w:t>Interest expense</w:t>
      </w:r>
    </w:p>
    <w:p w:rsidR="00C16B42" w:rsidRPr="0012760D" w:rsidRDefault="00C16B42" w:rsidP="003A6A05">
      <w:pPr>
        <w:rPr>
          <w:sz w:val="24"/>
          <w:szCs w:val="24"/>
        </w:rPr>
      </w:pPr>
    </w:p>
    <w:p w:rsidR="003A6A05" w:rsidRDefault="003A6A05" w:rsidP="003A6A05">
      <w:pPr>
        <w:rPr>
          <w:sz w:val="24"/>
          <w:szCs w:val="24"/>
        </w:rPr>
      </w:pPr>
      <w:r w:rsidRPr="0012760D">
        <w:rPr>
          <w:sz w:val="24"/>
          <w:szCs w:val="24"/>
        </w:rPr>
        <w:t xml:space="preserve">Costs incurred in connection with the borrowing of funds interest expenses include interest on bank overdrafts and short-term and long-term borrowings, amortisation of discounts or premiums relating to borrowings, interest component of finance lease repayments, and the increase in financial liabilities and non employee provisions due </w:t>
      </w:r>
      <w:r w:rsidRPr="0012760D">
        <w:rPr>
          <w:sz w:val="24"/>
          <w:szCs w:val="24"/>
        </w:rPr>
        <w:lastRenderedPageBreak/>
        <w:t>to the unwinding of discounts to reflect the passage of time.</w:t>
      </w:r>
    </w:p>
    <w:p w:rsidR="00C16B42" w:rsidRDefault="00C16B42" w:rsidP="003A6A05">
      <w:pPr>
        <w:rPr>
          <w:sz w:val="24"/>
          <w:szCs w:val="24"/>
        </w:rPr>
      </w:pPr>
    </w:p>
    <w:p w:rsidR="00C16B42" w:rsidRPr="0012760D" w:rsidRDefault="00C16B42" w:rsidP="003A6A05">
      <w:pPr>
        <w:rPr>
          <w:sz w:val="24"/>
          <w:szCs w:val="24"/>
        </w:rPr>
      </w:pPr>
    </w:p>
    <w:p w:rsidR="003A6A05" w:rsidRDefault="003A6A05" w:rsidP="00C16B42">
      <w:pPr>
        <w:pStyle w:val="Heading3"/>
      </w:pPr>
      <w:r w:rsidRPr="0012760D">
        <w:t>Interest revenue</w:t>
      </w:r>
    </w:p>
    <w:p w:rsidR="00C16B42" w:rsidRPr="0012760D" w:rsidRDefault="00C16B42" w:rsidP="003A6A05">
      <w:pPr>
        <w:rPr>
          <w:sz w:val="24"/>
          <w:szCs w:val="24"/>
        </w:rPr>
      </w:pPr>
    </w:p>
    <w:p w:rsidR="003A6A05" w:rsidRDefault="003A6A05" w:rsidP="003A6A05">
      <w:pPr>
        <w:rPr>
          <w:sz w:val="24"/>
          <w:szCs w:val="24"/>
        </w:rPr>
      </w:pPr>
      <w:r w:rsidRPr="0012760D">
        <w:rPr>
          <w:sz w:val="24"/>
          <w:szCs w:val="24"/>
        </w:rPr>
        <w:t>Interest revenue includes interest received on bank term deposits, interest from investments, and other interest received.</w:t>
      </w:r>
    </w:p>
    <w:p w:rsidR="00C16B42" w:rsidRDefault="00C16B42" w:rsidP="003A6A05">
      <w:pPr>
        <w:rPr>
          <w:sz w:val="24"/>
          <w:szCs w:val="24"/>
        </w:rPr>
      </w:pPr>
    </w:p>
    <w:p w:rsidR="00C16B42" w:rsidRPr="0012760D" w:rsidRDefault="00C16B42" w:rsidP="003A6A05">
      <w:pPr>
        <w:rPr>
          <w:sz w:val="24"/>
          <w:szCs w:val="24"/>
        </w:rPr>
      </w:pPr>
    </w:p>
    <w:p w:rsidR="003A6A05" w:rsidRDefault="003A6A05" w:rsidP="00C16B42">
      <w:pPr>
        <w:pStyle w:val="Heading3"/>
      </w:pPr>
      <w:r w:rsidRPr="0012760D">
        <w:t>Net acquisition of non-financial assets (from transactions)</w:t>
      </w:r>
    </w:p>
    <w:p w:rsidR="00C16B42" w:rsidRPr="0012760D" w:rsidRDefault="00C16B42" w:rsidP="003A6A05">
      <w:pPr>
        <w:rPr>
          <w:sz w:val="24"/>
          <w:szCs w:val="24"/>
        </w:rPr>
      </w:pPr>
    </w:p>
    <w:p w:rsidR="003A6A05" w:rsidRDefault="003A6A05" w:rsidP="003A6A05">
      <w:pPr>
        <w:rPr>
          <w:sz w:val="24"/>
          <w:szCs w:val="24"/>
        </w:rPr>
      </w:pPr>
      <w:r w:rsidRPr="0012760D">
        <w:rPr>
          <w:sz w:val="24"/>
          <w:szCs w:val="24"/>
        </w:rPr>
        <w:t>Purchases (and other acquisitions) of non financial assets less sales (or disposals) of non financial assets, less depreciation, plus changes in inventories and other movements in non financial assets. includes only those increases or decreases in non financial assets resulting from transactions, and therefore excludes write offs, impairment write-downs and revaluations.</w:t>
      </w:r>
    </w:p>
    <w:p w:rsidR="00C16B42" w:rsidRDefault="00C16B42" w:rsidP="003A6A05">
      <w:pPr>
        <w:rPr>
          <w:sz w:val="24"/>
          <w:szCs w:val="24"/>
        </w:rPr>
      </w:pPr>
    </w:p>
    <w:p w:rsidR="00C16B42" w:rsidRPr="0012760D" w:rsidRDefault="00C16B42" w:rsidP="003A6A05">
      <w:pPr>
        <w:rPr>
          <w:sz w:val="24"/>
          <w:szCs w:val="24"/>
        </w:rPr>
      </w:pPr>
    </w:p>
    <w:p w:rsidR="003A6A05" w:rsidRDefault="003A6A05" w:rsidP="00C16B42">
      <w:pPr>
        <w:pStyle w:val="Heading3"/>
      </w:pPr>
      <w:r w:rsidRPr="0012760D">
        <w:t>Net result</w:t>
      </w:r>
    </w:p>
    <w:p w:rsidR="00C16B42" w:rsidRPr="0012760D" w:rsidRDefault="00C16B42" w:rsidP="003A6A05">
      <w:pPr>
        <w:rPr>
          <w:sz w:val="24"/>
          <w:szCs w:val="24"/>
        </w:rPr>
      </w:pPr>
    </w:p>
    <w:p w:rsidR="003A6A05" w:rsidRDefault="003A6A05" w:rsidP="003A6A05">
      <w:pPr>
        <w:rPr>
          <w:sz w:val="24"/>
          <w:szCs w:val="24"/>
        </w:rPr>
      </w:pPr>
      <w:r w:rsidRPr="0012760D">
        <w:rPr>
          <w:sz w:val="24"/>
          <w:szCs w:val="24"/>
        </w:rPr>
        <w:t>Net result is a measure of financial performance of the operations for the period. it is the net result of items of revenue, gains and expenses (including losses) recognised for the period, excluding those that are classified as "other non owner changes in equity".</w:t>
      </w:r>
    </w:p>
    <w:p w:rsidR="00C16B42" w:rsidRDefault="00C16B42" w:rsidP="003A6A05">
      <w:pPr>
        <w:rPr>
          <w:sz w:val="24"/>
          <w:szCs w:val="24"/>
        </w:rPr>
      </w:pPr>
    </w:p>
    <w:p w:rsidR="00C16B42" w:rsidRPr="0012760D" w:rsidRDefault="00C16B42" w:rsidP="003A6A05">
      <w:pPr>
        <w:rPr>
          <w:sz w:val="24"/>
          <w:szCs w:val="24"/>
        </w:rPr>
      </w:pPr>
    </w:p>
    <w:p w:rsidR="003A6A05" w:rsidRDefault="003A6A05" w:rsidP="00C16B42">
      <w:pPr>
        <w:pStyle w:val="Heading3"/>
      </w:pPr>
      <w:r w:rsidRPr="0012760D">
        <w:t>Net result from transactions/net operating balance</w:t>
      </w:r>
    </w:p>
    <w:p w:rsidR="00C16B42" w:rsidRPr="0012760D" w:rsidRDefault="00C16B42" w:rsidP="003A6A05">
      <w:pPr>
        <w:rPr>
          <w:sz w:val="24"/>
          <w:szCs w:val="24"/>
        </w:rPr>
      </w:pPr>
    </w:p>
    <w:p w:rsidR="003A6A05" w:rsidRDefault="003A6A05" w:rsidP="003A6A05">
      <w:pPr>
        <w:rPr>
          <w:sz w:val="24"/>
          <w:szCs w:val="24"/>
        </w:rPr>
      </w:pPr>
      <w:r w:rsidRPr="0012760D">
        <w:rPr>
          <w:sz w:val="24"/>
          <w:szCs w:val="24"/>
        </w:rPr>
        <w:t>Net result from transactions or net operating balance is a key fiscal aggregate, and is revenue from transactions, minus expenses from transactions. it is a summary measure of the ongoing sustainability of operations. It excludes gains and losses resulting from changes in price levels and other changes in the volume of assets. It is the component of the change in net worth that is due to transactions and can be attributed directly to government policies.</w:t>
      </w:r>
    </w:p>
    <w:p w:rsidR="00C16B42" w:rsidRDefault="00C16B42" w:rsidP="003A6A05">
      <w:pPr>
        <w:rPr>
          <w:sz w:val="24"/>
          <w:szCs w:val="24"/>
        </w:rPr>
      </w:pPr>
    </w:p>
    <w:p w:rsidR="00C16B42" w:rsidRPr="0012760D" w:rsidRDefault="00C16B42" w:rsidP="003A6A05">
      <w:pPr>
        <w:rPr>
          <w:sz w:val="24"/>
          <w:szCs w:val="24"/>
        </w:rPr>
      </w:pPr>
    </w:p>
    <w:p w:rsidR="003A6A05" w:rsidRDefault="003A6A05" w:rsidP="00C16B42">
      <w:pPr>
        <w:pStyle w:val="Heading3"/>
      </w:pPr>
      <w:r w:rsidRPr="0012760D">
        <w:t>Non financial assets</w:t>
      </w:r>
    </w:p>
    <w:p w:rsidR="00C16B42" w:rsidRPr="0012760D" w:rsidRDefault="00C16B42" w:rsidP="003A6A05">
      <w:pPr>
        <w:rPr>
          <w:sz w:val="24"/>
          <w:szCs w:val="24"/>
        </w:rPr>
      </w:pPr>
    </w:p>
    <w:p w:rsidR="003A6A05" w:rsidRDefault="00EF242F" w:rsidP="003A6A05">
      <w:pPr>
        <w:rPr>
          <w:sz w:val="24"/>
          <w:szCs w:val="24"/>
        </w:rPr>
      </w:pPr>
      <w:r w:rsidRPr="0012760D">
        <w:rPr>
          <w:sz w:val="24"/>
          <w:szCs w:val="24"/>
        </w:rPr>
        <w:t xml:space="preserve">Non </w:t>
      </w:r>
      <w:r w:rsidR="003A6A05" w:rsidRPr="0012760D">
        <w:rPr>
          <w:sz w:val="24"/>
          <w:szCs w:val="24"/>
        </w:rPr>
        <w:t>financial assets are all assets that are not "financial assets".</w:t>
      </w:r>
    </w:p>
    <w:p w:rsidR="00C16B42" w:rsidRDefault="00C16B42" w:rsidP="003A6A05">
      <w:pPr>
        <w:rPr>
          <w:sz w:val="24"/>
          <w:szCs w:val="24"/>
        </w:rPr>
      </w:pPr>
    </w:p>
    <w:p w:rsidR="00C16B42" w:rsidRPr="0012760D" w:rsidRDefault="00C16B42" w:rsidP="003A6A05">
      <w:pPr>
        <w:rPr>
          <w:sz w:val="24"/>
          <w:szCs w:val="24"/>
        </w:rPr>
      </w:pPr>
    </w:p>
    <w:p w:rsidR="003A6A05" w:rsidRDefault="003A6A05" w:rsidP="00C16B42">
      <w:pPr>
        <w:pStyle w:val="Heading3"/>
      </w:pPr>
      <w:r w:rsidRPr="0012760D">
        <w:t>Other economic flows</w:t>
      </w:r>
    </w:p>
    <w:p w:rsidR="00C16B42" w:rsidRPr="0012760D" w:rsidRDefault="00C16B42" w:rsidP="003A6A05">
      <w:pPr>
        <w:rPr>
          <w:sz w:val="24"/>
          <w:szCs w:val="24"/>
        </w:rPr>
      </w:pPr>
    </w:p>
    <w:p w:rsidR="003A6A05" w:rsidRDefault="003A6A05" w:rsidP="003A6A05">
      <w:pPr>
        <w:rPr>
          <w:sz w:val="24"/>
          <w:szCs w:val="24"/>
        </w:rPr>
      </w:pPr>
      <w:r w:rsidRPr="0012760D">
        <w:rPr>
          <w:sz w:val="24"/>
          <w:szCs w:val="24"/>
        </w:rPr>
        <w:t>Other economic flows are changes in the volume or value of an asset or liability that do not result from transactions. it includes gains and losses from disposals, revaluations and impairments of non current physical and intangible assets; actuarial gains and losses arising from defined benefit superannuation plans; fair value changes of financial instruments and agricultural assets; and depletion of natural assets (non produced) from their use or removal. in simple terms, other economic flows are changes arising from market re-measurements.</w:t>
      </w:r>
    </w:p>
    <w:p w:rsidR="00C16B42" w:rsidRDefault="00C16B42" w:rsidP="003A6A05">
      <w:pPr>
        <w:rPr>
          <w:sz w:val="24"/>
          <w:szCs w:val="24"/>
        </w:rPr>
      </w:pPr>
    </w:p>
    <w:p w:rsidR="00C16B42" w:rsidRPr="0012760D" w:rsidRDefault="00C16B42" w:rsidP="003A6A05">
      <w:pPr>
        <w:rPr>
          <w:sz w:val="24"/>
          <w:szCs w:val="24"/>
        </w:rPr>
      </w:pPr>
    </w:p>
    <w:p w:rsidR="003A6A05" w:rsidRDefault="003A6A05" w:rsidP="00C16B42">
      <w:pPr>
        <w:pStyle w:val="Heading3"/>
      </w:pPr>
      <w:r w:rsidRPr="0012760D">
        <w:t>Payables</w:t>
      </w:r>
    </w:p>
    <w:p w:rsidR="00C16B42" w:rsidRPr="0012760D" w:rsidRDefault="00C16B42" w:rsidP="003A6A05">
      <w:pPr>
        <w:rPr>
          <w:sz w:val="24"/>
          <w:szCs w:val="24"/>
        </w:rPr>
      </w:pPr>
    </w:p>
    <w:p w:rsidR="003A6A05" w:rsidRPr="0012760D" w:rsidRDefault="003A6A05" w:rsidP="003A6A05">
      <w:pPr>
        <w:rPr>
          <w:sz w:val="24"/>
          <w:szCs w:val="24"/>
        </w:rPr>
      </w:pPr>
      <w:r w:rsidRPr="0012760D">
        <w:rPr>
          <w:sz w:val="24"/>
          <w:szCs w:val="24"/>
        </w:rPr>
        <w:t>Includes short and long term trade debt and accounts payable, grants and interest payable.</w:t>
      </w:r>
    </w:p>
    <w:p w:rsidR="00D54B07" w:rsidRDefault="00D54B07" w:rsidP="00D54B07">
      <w:pPr>
        <w:rPr>
          <w:bCs/>
          <w:sz w:val="24"/>
          <w:szCs w:val="24"/>
        </w:rPr>
      </w:pPr>
      <w:r w:rsidRPr="0012760D">
        <w:rPr>
          <w:bCs/>
          <w:sz w:val="24"/>
          <w:szCs w:val="24"/>
        </w:rPr>
        <w:t>&lt;pp&gt; 52</w:t>
      </w:r>
    </w:p>
    <w:p w:rsidR="00C16B42" w:rsidRDefault="00C16B42" w:rsidP="00D54B07">
      <w:pPr>
        <w:rPr>
          <w:bCs/>
          <w:sz w:val="24"/>
          <w:szCs w:val="24"/>
        </w:rPr>
      </w:pPr>
    </w:p>
    <w:p w:rsidR="00C16B42" w:rsidRPr="0012760D" w:rsidRDefault="00C16B42" w:rsidP="00D54B07">
      <w:pPr>
        <w:rPr>
          <w:sz w:val="24"/>
          <w:szCs w:val="24"/>
        </w:rPr>
      </w:pPr>
    </w:p>
    <w:p w:rsidR="00D54B07" w:rsidRDefault="00D54B07" w:rsidP="00C16B42">
      <w:pPr>
        <w:pStyle w:val="Heading3"/>
      </w:pPr>
      <w:r w:rsidRPr="0012760D">
        <w:t>Receivables</w:t>
      </w:r>
    </w:p>
    <w:p w:rsidR="00C16B42" w:rsidRPr="0012760D" w:rsidRDefault="00C16B42" w:rsidP="00D54B07">
      <w:pPr>
        <w:rPr>
          <w:sz w:val="24"/>
          <w:szCs w:val="24"/>
        </w:rPr>
      </w:pPr>
    </w:p>
    <w:p w:rsidR="00D54B07" w:rsidRDefault="00D54B07" w:rsidP="00D54B07">
      <w:pPr>
        <w:rPr>
          <w:sz w:val="24"/>
          <w:szCs w:val="24"/>
        </w:rPr>
      </w:pPr>
      <w:r w:rsidRPr="0012760D">
        <w:rPr>
          <w:sz w:val="24"/>
          <w:szCs w:val="24"/>
        </w:rPr>
        <w:t>Includes short and long term trade credit and accounts receivable, grants, taxes and interest receivable.</w:t>
      </w:r>
    </w:p>
    <w:p w:rsidR="00C16B42" w:rsidRDefault="00C16B42" w:rsidP="00D54B07">
      <w:pPr>
        <w:rPr>
          <w:sz w:val="24"/>
          <w:szCs w:val="24"/>
        </w:rPr>
      </w:pPr>
    </w:p>
    <w:p w:rsidR="00C16B42" w:rsidRPr="0012760D" w:rsidRDefault="00C16B42" w:rsidP="00D54B07">
      <w:pPr>
        <w:rPr>
          <w:sz w:val="24"/>
          <w:szCs w:val="24"/>
        </w:rPr>
      </w:pPr>
    </w:p>
    <w:p w:rsidR="00D54B07" w:rsidRDefault="00D54B07" w:rsidP="00C16B42">
      <w:pPr>
        <w:pStyle w:val="Heading3"/>
      </w:pPr>
      <w:r w:rsidRPr="0012760D">
        <w:t>Transactions</w:t>
      </w:r>
    </w:p>
    <w:p w:rsidR="00C16B42" w:rsidRPr="0012760D" w:rsidRDefault="00C16B42" w:rsidP="00D54B07">
      <w:pPr>
        <w:rPr>
          <w:sz w:val="24"/>
          <w:szCs w:val="24"/>
        </w:rPr>
      </w:pPr>
    </w:p>
    <w:p w:rsidR="00D54B07" w:rsidRDefault="00D54B07" w:rsidP="00D54B07">
      <w:pPr>
        <w:rPr>
          <w:sz w:val="24"/>
          <w:szCs w:val="24"/>
        </w:rPr>
      </w:pPr>
      <w:r w:rsidRPr="0012760D">
        <w:rPr>
          <w:sz w:val="24"/>
          <w:szCs w:val="24"/>
        </w:rPr>
        <w:t>Transactions are those economic flows that are considered to arise as a result of policy decisions, usually an interaction between two entities by mutual agreement. They also include flows within an entity, such as depreciation where the owner is simultaneously acting as the owner of the depreciating asset and as the consumer of the service provided by the asset. Taxation is regarded as mutually agreed interactions between the government and taxpayers. Transactions can be in kind (e.g. assets provided/given free of charge or for nominal consideration) or where the final consideration is cash. In simple terms, transactions arise from the policy decisions of the government.</w:t>
      </w:r>
    </w:p>
    <w:p w:rsidR="00C16B42" w:rsidRDefault="00C16B42" w:rsidP="00D54B07">
      <w:pPr>
        <w:rPr>
          <w:sz w:val="24"/>
          <w:szCs w:val="24"/>
        </w:rPr>
      </w:pPr>
    </w:p>
    <w:p w:rsidR="00C16B42" w:rsidRPr="0012760D" w:rsidRDefault="00C16B42" w:rsidP="00D54B07">
      <w:pPr>
        <w:rPr>
          <w:sz w:val="24"/>
          <w:szCs w:val="24"/>
        </w:rPr>
      </w:pPr>
    </w:p>
    <w:p w:rsidR="00D54B07" w:rsidRDefault="00C16B42" w:rsidP="00C16B42">
      <w:pPr>
        <w:pStyle w:val="Heading2"/>
      </w:pPr>
      <w:r w:rsidRPr="0012760D">
        <w:t xml:space="preserve">Sustainability </w:t>
      </w:r>
      <w:r w:rsidR="00D54B07" w:rsidRPr="0012760D">
        <w:t>Victoria</w:t>
      </w:r>
      <w:r>
        <w:br/>
      </w:r>
      <w:r w:rsidR="00D54B07" w:rsidRPr="0012760D">
        <w:t>Statement by Chairperson, Accountable Officer and Chief Financial Officer</w:t>
      </w:r>
    </w:p>
    <w:p w:rsidR="00C16B42" w:rsidRPr="0012760D" w:rsidRDefault="00C16B42" w:rsidP="00D54B07">
      <w:pPr>
        <w:rPr>
          <w:sz w:val="24"/>
          <w:szCs w:val="24"/>
        </w:rPr>
      </w:pPr>
    </w:p>
    <w:p w:rsidR="00D54B07" w:rsidRDefault="00D54B07" w:rsidP="00D54B07">
      <w:pPr>
        <w:rPr>
          <w:sz w:val="24"/>
          <w:szCs w:val="24"/>
        </w:rPr>
      </w:pPr>
      <w:r w:rsidRPr="0012760D">
        <w:rPr>
          <w:sz w:val="24"/>
          <w:szCs w:val="24"/>
        </w:rPr>
        <w:t xml:space="preserve">We certify that the attached Financial Statements for Sustainability Victoria have been prepared in accordance with Standing Direction 4.2 of the </w:t>
      </w:r>
      <w:r w:rsidRPr="0012760D">
        <w:rPr>
          <w:i/>
          <w:iCs/>
          <w:sz w:val="24"/>
          <w:szCs w:val="24"/>
        </w:rPr>
        <w:t>Financial Management Act 1994</w:t>
      </w:r>
      <w:r w:rsidRPr="0012760D">
        <w:rPr>
          <w:sz w:val="24"/>
          <w:szCs w:val="24"/>
        </w:rPr>
        <w:t>, Applicable Financial Reporting Directions, Australian Accounting Standards and other mandatory professional reporting requirements.</w:t>
      </w:r>
    </w:p>
    <w:p w:rsidR="00C16B42" w:rsidRPr="0012760D" w:rsidRDefault="00C16B42" w:rsidP="00D54B07">
      <w:pPr>
        <w:rPr>
          <w:sz w:val="24"/>
          <w:szCs w:val="24"/>
        </w:rPr>
      </w:pPr>
    </w:p>
    <w:p w:rsidR="00D54B07" w:rsidRPr="0012760D" w:rsidRDefault="00D54B07" w:rsidP="00D54B07">
      <w:pPr>
        <w:rPr>
          <w:sz w:val="24"/>
          <w:szCs w:val="24"/>
        </w:rPr>
      </w:pPr>
      <w:r w:rsidRPr="0012760D">
        <w:rPr>
          <w:sz w:val="24"/>
          <w:szCs w:val="24"/>
        </w:rPr>
        <w:t>We further state that, in our opinion, the information set out in the Comprehensive Operating Statement, Balance Sheet, Statement of Changes in Equity and Cash Flow Statement, presents fairly the financial transactions during the year ended 30 June 2013 and the financial position of sustainability Victoria as at 30 June 2013.</w:t>
      </w:r>
    </w:p>
    <w:p w:rsidR="00D54B07" w:rsidRDefault="00D54B07" w:rsidP="00D54B07">
      <w:pPr>
        <w:rPr>
          <w:sz w:val="24"/>
          <w:szCs w:val="24"/>
        </w:rPr>
      </w:pPr>
      <w:r w:rsidRPr="0012760D">
        <w:rPr>
          <w:sz w:val="24"/>
          <w:szCs w:val="24"/>
        </w:rPr>
        <w:t>At the date of signing, we are not aware of any circumstances which would render any particulars in the Financial Statements to be misleading or inaccurate</w:t>
      </w:r>
    </w:p>
    <w:p w:rsidR="00143898" w:rsidRPr="0012760D" w:rsidRDefault="00143898" w:rsidP="00D54B07">
      <w:pPr>
        <w:rPr>
          <w:sz w:val="24"/>
          <w:szCs w:val="24"/>
        </w:rPr>
      </w:pPr>
    </w:p>
    <w:p w:rsidR="00D54B07" w:rsidRPr="0012760D" w:rsidRDefault="00D54B07" w:rsidP="00D54B07">
      <w:pPr>
        <w:rPr>
          <w:sz w:val="24"/>
          <w:szCs w:val="24"/>
        </w:rPr>
      </w:pPr>
      <w:r w:rsidRPr="0012760D">
        <w:rPr>
          <w:bCs/>
          <w:sz w:val="24"/>
          <w:szCs w:val="24"/>
        </w:rPr>
        <w:t>Doctor Gillian Sparkes</w:t>
      </w:r>
    </w:p>
    <w:p w:rsidR="00D54B07" w:rsidRPr="0012760D" w:rsidRDefault="00D54B07" w:rsidP="00D54B07">
      <w:pPr>
        <w:rPr>
          <w:sz w:val="24"/>
          <w:szCs w:val="24"/>
        </w:rPr>
      </w:pPr>
      <w:r w:rsidRPr="0012760D">
        <w:rPr>
          <w:sz w:val="24"/>
          <w:szCs w:val="24"/>
        </w:rPr>
        <w:t>Chair</w:t>
      </w:r>
    </w:p>
    <w:p w:rsidR="00D54B07" w:rsidRPr="0012760D" w:rsidRDefault="00D54B07" w:rsidP="00D54B07">
      <w:pPr>
        <w:rPr>
          <w:sz w:val="24"/>
          <w:szCs w:val="24"/>
        </w:rPr>
      </w:pPr>
      <w:r w:rsidRPr="0012760D">
        <w:rPr>
          <w:sz w:val="24"/>
          <w:szCs w:val="24"/>
        </w:rPr>
        <w:t>Sustainability Victoria</w:t>
      </w:r>
    </w:p>
    <w:p w:rsidR="00D54B07" w:rsidRPr="0012760D" w:rsidRDefault="00D54B07" w:rsidP="00D54B07">
      <w:pPr>
        <w:rPr>
          <w:sz w:val="24"/>
          <w:szCs w:val="24"/>
        </w:rPr>
      </w:pPr>
      <w:r w:rsidRPr="0012760D">
        <w:rPr>
          <w:sz w:val="24"/>
          <w:szCs w:val="24"/>
        </w:rPr>
        <w:t>Melbourne 27/08/2013</w:t>
      </w:r>
    </w:p>
    <w:p w:rsidR="00D54B07" w:rsidRPr="0012760D" w:rsidRDefault="00D54B07" w:rsidP="00D54B07">
      <w:pPr>
        <w:rPr>
          <w:sz w:val="24"/>
          <w:szCs w:val="24"/>
        </w:rPr>
      </w:pPr>
    </w:p>
    <w:p w:rsidR="00D54B07" w:rsidRPr="0012760D" w:rsidRDefault="00D54B07" w:rsidP="00D54B07">
      <w:pPr>
        <w:rPr>
          <w:sz w:val="24"/>
          <w:szCs w:val="24"/>
        </w:rPr>
      </w:pPr>
      <w:r w:rsidRPr="0012760D">
        <w:rPr>
          <w:bCs/>
          <w:sz w:val="24"/>
          <w:szCs w:val="24"/>
        </w:rPr>
        <w:t>Stan Krpan</w:t>
      </w:r>
    </w:p>
    <w:p w:rsidR="00D54B07" w:rsidRPr="0012760D" w:rsidRDefault="00D54B07" w:rsidP="00D54B07">
      <w:pPr>
        <w:rPr>
          <w:sz w:val="24"/>
          <w:szCs w:val="24"/>
        </w:rPr>
      </w:pPr>
      <w:r w:rsidRPr="0012760D">
        <w:rPr>
          <w:sz w:val="24"/>
          <w:szCs w:val="24"/>
        </w:rPr>
        <w:t>Chief Executive Officer</w:t>
      </w:r>
    </w:p>
    <w:p w:rsidR="00D54B07" w:rsidRPr="0012760D" w:rsidRDefault="00D54B07" w:rsidP="00D54B07">
      <w:pPr>
        <w:rPr>
          <w:sz w:val="24"/>
          <w:szCs w:val="24"/>
        </w:rPr>
      </w:pPr>
      <w:r w:rsidRPr="0012760D">
        <w:rPr>
          <w:sz w:val="24"/>
          <w:szCs w:val="24"/>
        </w:rPr>
        <w:lastRenderedPageBreak/>
        <w:t>Sustainability Victoria</w:t>
      </w:r>
    </w:p>
    <w:p w:rsidR="00D54B07" w:rsidRPr="0012760D" w:rsidRDefault="00D54B07" w:rsidP="00D54B07">
      <w:pPr>
        <w:rPr>
          <w:sz w:val="24"/>
          <w:szCs w:val="24"/>
        </w:rPr>
      </w:pPr>
      <w:r w:rsidRPr="0012760D">
        <w:rPr>
          <w:sz w:val="24"/>
          <w:szCs w:val="24"/>
        </w:rPr>
        <w:t>Melbourne 27/08/2013</w:t>
      </w:r>
    </w:p>
    <w:p w:rsidR="00D54B07" w:rsidRPr="0012760D" w:rsidRDefault="00D54B07" w:rsidP="00D54B07">
      <w:pPr>
        <w:rPr>
          <w:sz w:val="24"/>
          <w:szCs w:val="24"/>
        </w:rPr>
      </w:pPr>
    </w:p>
    <w:p w:rsidR="00D54B07" w:rsidRPr="0012760D" w:rsidRDefault="00D54B07" w:rsidP="00D54B07">
      <w:pPr>
        <w:rPr>
          <w:sz w:val="24"/>
          <w:szCs w:val="24"/>
        </w:rPr>
      </w:pPr>
      <w:r w:rsidRPr="0012760D">
        <w:rPr>
          <w:bCs/>
          <w:sz w:val="24"/>
          <w:szCs w:val="24"/>
        </w:rPr>
        <w:t>Derek Jones</w:t>
      </w:r>
    </w:p>
    <w:p w:rsidR="00D54B07" w:rsidRPr="0012760D" w:rsidRDefault="00D54B07" w:rsidP="00D54B07">
      <w:pPr>
        <w:rPr>
          <w:sz w:val="24"/>
          <w:szCs w:val="24"/>
        </w:rPr>
      </w:pPr>
      <w:r w:rsidRPr="0012760D">
        <w:rPr>
          <w:sz w:val="24"/>
          <w:szCs w:val="24"/>
        </w:rPr>
        <w:t>Chief Financial Officer</w:t>
      </w:r>
    </w:p>
    <w:p w:rsidR="00D54B07" w:rsidRPr="0012760D" w:rsidRDefault="00D54B07" w:rsidP="00D54B07">
      <w:pPr>
        <w:rPr>
          <w:sz w:val="24"/>
          <w:szCs w:val="24"/>
        </w:rPr>
      </w:pPr>
      <w:r w:rsidRPr="0012760D">
        <w:rPr>
          <w:sz w:val="24"/>
          <w:szCs w:val="24"/>
        </w:rPr>
        <w:t>Sustainability Victoria</w:t>
      </w:r>
    </w:p>
    <w:p w:rsidR="00D54B07" w:rsidRPr="0012760D" w:rsidRDefault="00D54B07" w:rsidP="00D54B07">
      <w:pPr>
        <w:rPr>
          <w:sz w:val="24"/>
          <w:szCs w:val="24"/>
        </w:rPr>
      </w:pPr>
      <w:r w:rsidRPr="0012760D">
        <w:rPr>
          <w:sz w:val="24"/>
          <w:szCs w:val="24"/>
        </w:rPr>
        <w:t>Melbourne 27/08/2013</w:t>
      </w:r>
    </w:p>
    <w:p w:rsidR="00716109" w:rsidRPr="0012760D" w:rsidRDefault="00716109" w:rsidP="00716109">
      <w:pPr>
        <w:rPr>
          <w:bCs/>
          <w:noProof/>
          <w:sz w:val="24"/>
          <w:szCs w:val="24"/>
        </w:rPr>
      </w:pPr>
      <w:r w:rsidRPr="0012760D">
        <w:rPr>
          <w:bCs/>
          <w:noProof/>
          <w:sz w:val="24"/>
          <w:szCs w:val="24"/>
        </w:rPr>
        <w:t>&lt;pp&gt; 53</w:t>
      </w:r>
    </w:p>
    <w:p w:rsidR="00143898" w:rsidRPr="0012760D" w:rsidRDefault="00143898" w:rsidP="00716109">
      <w:pPr>
        <w:rPr>
          <w:sz w:val="24"/>
          <w:szCs w:val="24"/>
        </w:rPr>
      </w:pPr>
    </w:p>
    <w:p w:rsidR="00716109" w:rsidRPr="0012760D" w:rsidRDefault="00716109" w:rsidP="00716109">
      <w:pPr>
        <w:rPr>
          <w:sz w:val="24"/>
          <w:szCs w:val="24"/>
        </w:rPr>
      </w:pPr>
      <w:r w:rsidRPr="0012760D">
        <w:rPr>
          <w:bCs/>
          <w:sz w:val="24"/>
          <w:szCs w:val="24"/>
        </w:rPr>
        <w:t>VAGO</w:t>
      </w:r>
    </w:p>
    <w:p w:rsidR="00716109" w:rsidRPr="0012760D" w:rsidRDefault="00716109" w:rsidP="00716109">
      <w:pPr>
        <w:rPr>
          <w:sz w:val="24"/>
          <w:szCs w:val="24"/>
        </w:rPr>
      </w:pPr>
      <w:r w:rsidRPr="0012760D">
        <w:rPr>
          <w:sz w:val="24"/>
          <w:szCs w:val="24"/>
        </w:rPr>
        <w:t>Victorian Auditor-General's Office</w:t>
      </w:r>
    </w:p>
    <w:p w:rsidR="00716109" w:rsidRPr="0012760D" w:rsidRDefault="00716109" w:rsidP="00716109">
      <w:pPr>
        <w:rPr>
          <w:sz w:val="24"/>
          <w:szCs w:val="24"/>
        </w:rPr>
      </w:pPr>
      <w:r w:rsidRPr="0012760D">
        <w:rPr>
          <w:sz w:val="24"/>
          <w:szCs w:val="24"/>
        </w:rPr>
        <w:t>Level 24, 35 Collins Street</w:t>
      </w:r>
    </w:p>
    <w:p w:rsidR="00716109" w:rsidRPr="0012760D" w:rsidRDefault="00716109" w:rsidP="00716109">
      <w:pPr>
        <w:rPr>
          <w:sz w:val="24"/>
          <w:szCs w:val="24"/>
        </w:rPr>
      </w:pPr>
      <w:r w:rsidRPr="0012760D">
        <w:rPr>
          <w:sz w:val="24"/>
          <w:szCs w:val="24"/>
        </w:rPr>
        <w:t>Melbourne VIC 3000</w:t>
      </w:r>
    </w:p>
    <w:p w:rsidR="00716109" w:rsidRPr="0012760D" w:rsidRDefault="00716109" w:rsidP="00716109">
      <w:pPr>
        <w:rPr>
          <w:sz w:val="24"/>
          <w:szCs w:val="24"/>
        </w:rPr>
      </w:pPr>
      <w:r w:rsidRPr="0012760D">
        <w:rPr>
          <w:sz w:val="24"/>
          <w:szCs w:val="24"/>
        </w:rPr>
        <w:t>Telephone 6</w:t>
      </w:r>
      <w:r w:rsidR="00EF242F">
        <w:rPr>
          <w:sz w:val="24"/>
          <w:szCs w:val="24"/>
        </w:rPr>
        <w:t xml:space="preserve"> </w:t>
      </w:r>
      <w:r w:rsidRPr="0012760D">
        <w:rPr>
          <w:sz w:val="24"/>
          <w:szCs w:val="24"/>
        </w:rPr>
        <w:t>1 3 8</w:t>
      </w:r>
      <w:r w:rsidR="00EF242F">
        <w:rPr>
          <w:sz w:val="24"/>
          <w:szCs w:val="24"/>
        </w:rPr>
        <w:t xml:space="preserve"> </w:t>
      </w:r>
      <w:r w:rsidRPr="0012760D">
        <w:rPr>
          <w:sz w:val="24"/>
          <w:szCs w:val="24"/>
        </w:rPr>
        <w:t>6</w:t>
      </w:r>
      <w:r w:rsidR="00EF242F">
        <w:rPr>
          <w:sz w:val="24"/>
          <w:szCs w:val="24"/>
        </w:rPr>
        <w:t xml:space="preserve"> </w:t>
      </w:r>
      <w:r w:rsidRPr="0012760D">
        <w:rPr>
          <w:sz w:val="24"/>
          <w:szCs w:val="24"/>
        </w:rPr>
        <w:t>0</w:t>
      </w:r>
      <w:r w:rsidR="00EF242F">
        <w:rPr>
          <w:sz w:val="24"/>
          <w:szCs w:val="24"/>
        </w:rPr>
        <w:t xml:space="preserve"> </w:t>
      </w:r>
      <w:r w:rsidRPr="0012760D">
        <w:rPr>
          <w:sz w:val="24"/>
          <w:szCs w:val="24"/>
        </w:rPr>
        <w:t>1 7</w:t>
      </w:r>
      <w:r w:rsidR="00EF242F">
        <w:rPr>
          <w:sz w:val="24"/>
          <w:szCs w:val="24"/>
        </w:rPr>
        <w:t xml:space="preserve"> </w:t>
      </w:r>
      <w:r w:rsidRPr="0012760D">
        <w:rPr>
          <w:sz w:val="24"/>
          <w:szCs w:val="24"/>
        </w:rPr>
        <w:t>0</w:t>
      </w:r>
      <w:r w:rsidR="00EF242F">
        <w:rPr>
          <w:sz w:val="24"/>
          <w:szCs w:val="24"/>
        </w:rPr>
        <w:t xml:space="preserve"> </w:t>
      </w:r>
      <w:r w:rsidRPr="0012760D">
        <w:rPr>
          <w:sz w:val="24"/>
          <w:szCs w:val="24"/>
        </w:rPr>
        <w:t>0</w:t>
      </w:r>
      <w:r w:rsidR="00EF242F">
        <w:rPr>
          <w:sz w:val="24"/>
          <w:szCs w:val="24"/>
        </w:rPr>
        <w:t xml:space="preserve"> </w:t>
      </w:r>
      <w:r w:rsidRPr="0012760D">
        <w:rPr>
          <w:sz w:val="24"/>
          <w:szCs w:val="24"/>
        </w:rPr>
        <w:t>0</w:t>
      </w:r>
    </w:p>
    <w:p w:rsidR="00716109" w:rsidRPr="0012760D" w:rsidRDefault="00716109" w:rsidP="00716109">
      <w:pPr>
        <w:rPr>
          <w:sz w:val="24"/>
          <w:szCs w:val="24"/>
        </w:rPr>
      </w:pPr>
      <w:r w:rsidRPr="0012760D">
        <w:rPr>
          <w:sz w:val="24"/>
          <w:szCs w:val="24"/>
        </w:rPr>
        <w:t>Facsimile 6</w:t>
      </w:r>
      <w:r w:rsidR="00EF242F">
        <w:rPr>
          <w:sz w:val="24"/>
          <w:szCs w:val="24"/>
        </w:rPr>
        <w:t xml:space="preserve"> </w:t>
      </w:r>
      <w:r w:rsidRPr="0012760D">
        <w:rPr>
          <w:sz w:val="24"/>
          <w:szCs w:val="24"/>
        </w:rPr>
        <w:t>1 3 8</w:t>
      </w:r>
      <w:r w:rsidR="00EF242F">
        <w:rPr>
          <w:sz w:val="24"/>
          <w:szCs w:val="24"/>
        </w:rPr>
        <w:t xml:space="preserve"> </w:t>
      </w:r>
      <w:r w:rsidRPr="0012760D">
        <w:rPr>
          <w:sz w:val="24"/>
          <w:szCs w:val="24"/>
        </w:rPr>
        <w:t>6</w:t>
      </w:r>
      <w:r w:rsidR="00EF242F">
        <w:rPr>
          <w:sz w:val="24"/>
          <w:szCs w:val="24"/>
        </w:rPr>
        <w:t xml:space="preserve"> </w:t>
      </w:r>
      <w:r w:rsidRPr="0012760D">
        <w:rPr>
          <w:sz w:val="24"/>
          <w:szCs w:val="24"/>
        </w:rPr>
        <w:t>0</w:t>
      </w:r>
      <w:r w:rsidR="00EF242F">
        <w:rPr>
          <w:sz w:val="24"/>
          <w:szCs w:val="24"/>
        </w:rPr>
        <w:t xml:space="preserve"> </w:t>
      </w:r>
      <w:r w:rsidRPr="0012760D">
        <w:rPr>
          <w:sz w:val="24"/>
          <w:szCs w:val="24"/>
        </w:rPr>
        <w:t>1 7</w:t>
      </w:r>
      <w:r w:rsidR="00EF242F">
        <w:rPr>
          <w:sz w:val="24"/>
          <w:szCs w:val="24"/>
        </w:rPr>
        <w:t xml:space="preserve"> </w:t>
      </w:r>
      <w:r w:rsidRPr="0012760D">
        <w:rPr>
          <w:sz w:val="24"/>
          <w:szCs w:val="24"/>
        </w:rPr>
        <w:t>0</w:t>
      </w:r>
      <w:r w:rsidR="00EF242F">
        <w:rPr>
          <w:sz w:val="24"/>
          <w:szCs w:val="24"/>
        </w:rPr>
        <w:t xml:space="preserve"> </w:t>
      </w:r>
      <w:r w:rsidRPr="0012760D">
        <w:rPr>
          <w:sz w:val="24"/>
          <w:szCs w:val="24"/>
        </w:rPr>
        <w:t>1</w:t>
      </w:r>
      <w:r w:rsidR="00EF242F">
        <w:rPr>
          <w:sz w:val="24"/>
          <w:szCs w:val="24"/>
        </w:rPr>
        <w:t xml:space="preserve"> </w:t>
      </w:r>
      <w:r w:rsidRPr="0012760D">
        <w:rPr>
          <w:sz w:val="24"/>
          <w:szCs w:val="24"/>
        </w:rPr>
        <w:t>0</w:t>
      </w:r>
    </w:p>
    <w:p w:rsidR="00716109" w:rsidRPr="0012760D" w:rsidRDefault="00716109" w:rsidP="00716109">
      <w:pPr>
        <w:rPr>
          <w:sz w:val="24"/>
          <w:szCs w:val="24"/>
        </w:rPr>
      </w:pPr>
      <w:r w:rsidRPr="0012760D">
        <w:rPr>
          <w:sz w:val="24"/>
          <w:szCs w:val="24"/>
        </w:rPr>
        <w:t>Email comme</w:t>
      </w:r>
      <w:hyperlink r:id="rId8" w:history="1">
        <w:r w:rsidRPr="0012760D">
          <w:rPr>
            <w:sz w:val="24"/>
            <w:szCs w:val="24"/>
          </w:rPr>
          <w:t xml:space="preserve">nts@audit.vic.gov.au </w:t>
        </w:r>
      </w:hyperlink>
    </w:p>
    <w:p w:rsidR="00716109" w:rsidRPr="0012760D" w:rsidRDefault="00716109" w:rsidP="00716109">
      <w:pPr>
        <w:rPr>
          <w:sz w:val="24"/>
          <w:szCs w:val="24"/>
        </w:rPr>
      </w:pPr>
      <w:r w:rsidRPr="0012760D">
        <w:rPr>
          <w:sz w:val="24"/>
          <w:szCs w:val="24"/>
        </w:rPr>
        <w:t>Website www.audit.vic.</w:t>
      </w:r>
      <w:hyperlink r:id="rId9" w:history="1">
        <w:r w:rsidRPr="0012760D">
          <w:rPr>
            <w:sz w:val="24"/>
            <w:szCs w:val="24"/>
          </w:rPr>
          <w:t>gov.au</w:t>
        </w:r>
      </w:hyperlink>
    </w:p>
    <w:p w:rsidR="00716109" w:rsidRPr="0012760D" w:rsidRDefault="00716109" w:rsidP="00716109">
      <w:pPr>
        <w:rPr>
          <w:sz w:val="24"/>
          <w:szCs w:val="24"/>
        </w:rPr>
      </w:pPr>
    </w:p>
    <w:p w:rsidR="00716109" w:rsidRPr="0012760D" w:rsidRDefault="00716109" w:rsidP="00716109">
      <w:pPr>
        <w:rPr>
          <w:sz w:val="24"/>
          <w:szCs w:val="24"/>
        </w:rPr>
      </w:pPr>
      <w:r w:rsidRPr="0012760D">
        <w:rPr>
          <w:sz w:val="24"/>
          <w:szCs w:val="24"/>
        </w:rPr>
        <w:t>Auditing in the Public Interest</w:t>
      </w:r>
    </w:p>
    <w:p w:rsidR="00716109" w:rsidRDefault="00716109" w:rsidP="00716109">
      <w:pPr>
        <w:rPr>
          <w:sz w:val="24"/>
          <w:szCs w:val="24"/>
        </w:rPr>
      </w:pPr>
    </w:p>
    <w:p w:rsidR="00143898" w:rsidRPr="0012760D" w:rsidRDefault="00143898" w:rsidP="00716109">
      <w:pPr>
        <w:rPr>
          <w:sz w:val="24"/>
          <w:szCs w:val="24"/>
        </w:rPr>
      </w:pPr>
    </w:p>
    <w:p w:rsidR="00716109" w:rsidRPr="0012760D" w:rsidRDefault="00716109" w:rsidP="00143898">
      <w:pPr>
        <w:pStyle w:val="Heading1"/>
      </w:pPr>
      <w:r w:rsidRPr="0012760D">
        <w:t>Independent Auditor's Report</w:t>
      </w:r>
    </w:p>
    <w:p w:rsidR="00716109" w:rsidRPr="0012760D" w:rsidRDefault="00716109" w:rsidP="00716109">
      <w:pPr>
        <w:rPr>
          <w:sz w:val="24"/>
          <w:szCs w:val="24"/>
        </w:rPr>
      </w:pPr>
    </w:p>
    <w:p w:rsidR="00716109" w:rsidRDefault="00716109" w:rsidP="00143898">
      <w:pPr>
        <w:pStyle w:val="Heading2"/>
      </w:pPr>
      <w:r w:rsidRPr="0012760D">
        <w:t>To the Board Members, Sustainability Victoria</w:t>
      </w:r>
    </w:p>
    <w:p w:rsidR="00143898" w:rsidRPr="0012760D" w:rsidRDefault="00143898" w:rsidP="00716109">
      <w:pPr>
        <w:rPr>
          <w:sz w:val="24"/>
          <w:szCs w:val="24"/>
        </w:rPr>
      </w:pPr>
    </w:p>
    <w:p w:rsidR="00716109" w:rsidRDefault="00716109" w:rsidP="00143898">
      <w:pPr>
        <w:pStyle w:val="Heading3"/>
      </w:pPr>
      <w:r w:rsidRPr="0012760D">
        <w:t>The Financial Report</w:t>
      </w:r>
    </w:p>
    <w:p w:rsidR="00143898" w:rsidRPr="0012760D" w:rsidRDefault="00143898" w:rsidP="00716109">
      <w:pPr>
        <w:rPr>
          <w:sz w:val="24"/>
          <w:szCs w:val="24"/>
        </w:rPr>
      </w:pPr>
    </w:p>
    <w:p w:rsidR="00716109" w:rsidRDefault="00716109" w:rsidP="00716109">
      <w:pPr>
        <w:rPr>
          <w:sz w:val="24"/>
          <w:szCs w:val="24"/>
        </w:rPr>
      </w:pPr>
      <w:r w:rsidRPr="0012760D">
        <w:rPr>
          <w:sz w:val="24"/>
          <w:szCs w:val="24"/>
        </w:rPr>
        <w:t>The accompanying financial report for the year ended 30 June 2013 of Sustainability Victoria which comprises the comprehensive operating statement, balance sheet, statement of changes in equity, cash flow statement, notes comprising a summary of significant accounting policies and other explanatory information, and the statement by chairperson, accountable officer and chief financial officer has been audited.</w:t>
      </w:r>
    </w:p>
    <w:p w:rsidR="00143898" w:rsidRPr="0012760D" w:rsidRDefault="00143898" w:rsidP="00716109">
      <w:pPr>
        <w:rPr>
          <w:sz w:val="24"/>
          <w:szCs w:val="24"/>
        </w:rPr>
      </w:pPr>
    </w:p>
    <w:p w:rsidR="00716109" w:rsidRPr="0012760D" w:rsidRDefault="00716109" w:rsidP="00716109">
      <w:pPr>
        <w:rPr>
          <w:sz w:val="24"/>
          <w:szCs w:val="24"/>
        </w:rPr>
      </w:pPr>
    </w:p>
    <w:p w:rsidR="00716109" w:rsidRDefault="00716109" w:rsidP="00143898">
      <w:pPr>
        <w:pStyle w:val="Heading3"/>
      </w:pPr>
      <w:r w:rsidRPr="0012760D">
        <w:t>The Board Members' Responsibility for the Financial Report</w:t>
      </w:r>
    </w:p>
    <w:p w:rsidR="00143898" w:rsidRPr="0012760D" w:rsidRDefault="00143898" w:rsidP="00716109">
      <w:pPr>
        <w:rPr>
          <w:sz w:val="24"/>
          <w:szCs w:val="24"/>
        </w:rPr>
      </w:pPr>
    </w:p>
    <w:p w:rsidR="00716109" w:rsidRDefault="00716109" w:rsidP="00716109">
      <w:pPr>
        <w:rPr>
          <w:sz w:val="24"/>
          <w:szCs w:val="24"/>
        </w:rPr>
      </w:pPr>
      <w:r w:rsidRPr="0012760D">
        <w:rPr>
          <w:sz w:val="24"/>
          <w:szCs w:val="24"/>
        </w:rPr>
        <w:t xml:space="preserve">The Board Members of the Sustainability Victoria are responsible for the preparation and fair presentation of the financial report in accordance with Australian Accounting Standards, and the financial reporting requirements of the </w:t>
      </w:r>
      <w:r w:rsidRPr="0012760D">
        <w:rPr>
          <w:i/>
          <w:iCs/>
          <w:sz w:val="24"/>
          <w:szCs w:val="24"/>
        </w:rPr>
        <w:t xml:space="preserve">Financial Management Act 1994, </w:t>
      </w:r>
      <w:r w:rsidRPr="0012760D">
        <w:rPr>
          <w:sz w:val="24"/>
          <w:szCs w:val="24"/>
        </w:rPr>
        <w:t>and for such internal control as the Board Members determine is necessary to enable the preparation and fair presentation of the financial report that is free from material misstatement, whether due to fraud or error.</w:t>
      </w:r>
    </w:p>
    <w:p w:rsidR="00143898" w:rsidRPr="0012760D" w:rsidRDefault="00143898" w:rsidP="00716109">
      <w:pPr>
        <w:rPr>
          <w:sz w:val="24"/>
          <w:szCs w:val="24"/>
        </w:rPr>
      </w:pPr>
    </w:p>
    <w:p w:rsidR="00716109" w:rsidRPr="0012760D" w:rsidRDefault="00716109" w:rsidP="00716109">
      <w:pPr>
        <w:rPr>
          <w:sz w:val="24"/>
          <w:szCs w:val="24"/>
        </w:rPr>
      </w:pPr>
    </w:p>
    <w:p w:rsidR="00716109" w:rsidRDefault="00716109" w:rsidP="00143898">
      <w:pPr>
        <w:pStyle w:val="Heading3"/>
      </w:pPr>
      <w:r w:rsidRPr="0012760D">
        <w:t>Auditor's Responsibility</w:t>
      </w:r>
    </w:p>
    <w:p w:rsidR="00143898" w:rsidRPr="0012760D" w:rsidRDefault="00143898" w:rsidP="00716109">
      <w:pPr>
        <w:rPr>
          <w:sz w:val="24"/>
          <w:szCs w:val="24"/>
        </w:rPr>
      </w:pPr>
    </w:p>
    <w:p w:rsidR="00716109" w:rsidRDefault="00716109" w:rsidP="00716109">
      <w:pPr>
        <w:rPr>
          <w:sz w:val="24"/>
          <w:szCs w:val="24"/>
        </w:rPr>
      </w:pPr>
      <w:r w:rsidRPr="0012760D">
        <w:rPr>
          <w:sz w:val="24"/>
          <w:szCs w:val="24"/>
        </w:rPr>
        <w:t xml:space="preserve">As required by the </w:t>
      </w:r>
      <w:r w:rsidRPr="0012760D">
        <w:rPr>
          <w:i/>
          <w:iCs/>
          <w:sz w:val="24"/>
          <w:szCs w:val="24"/>
        </w:rPr>
        <w:t xml:space="preserve">Audit Act 1994, </w:t>
      </w:r>
      <w:r w:rsidRPr="0012760D">
        <w:rPr>
          <w:sz w:val="24"/>
          <w:szCs w:val="24"/>
        </w:rPr>
        <w:t xml:space="preserve">my responsibility is to express an opinion on the financial report based on the audit, which has been conducted in accordance with Australian Auditing Standards. Those standards require compliance with relevant </w:t>
      </w:r>
      <w:r w:rsidRPr="0012760D">
        <w:rPr>
          <w:sz w:val="24"/>
          <w:szCs w:val="24"/>
        </w:rPr>
        <w:lastRenderedPageBreak/>
        <w:t>ethical requirements relating to audit engagements and that the audit be planned and performed to obtain reasonable assurance about whether the financial report is free from material misstatement.</w:t>
      </w:r>
    </w:p>
    <w:p w:rsidR="00143898" w:rsidRPr="0012760D" w:rsidRDefault="00143898" w:rsidP="00716109">
      <w:pPr>
        <w:rPr>
          <w:sz w:val="24"/>
          <w:szCs w:val="24"/>
        </w:rPr>
      </w:pPr>
    </w:p>
    <w:p w:rsidR="00716109" w:rsidRDefault="00716109" w:rsidP="00716109">
      <w:pPr>
        <w:rPr>
          <w:sz w:val="24"/>
          <w:szCs w:val="24"/>
        </w:rPr>
      </w:pPr>
      <w:r w:rsidRPr="0012760D">
        <w:rPr>
          <w:sz w:val="24"/>
          <w:szCs w:val="24"/>
        </w:rPr>
        <w:t>An audit involves performing procedures to obtain audit evidence about the amounts and disclosures in the financial report. The audit procedures selected depend on judgement, including the assessment of the risks of material misstatement of the financial report, whether due to fraud or error. In making those risk assessments, consideration is given to the internal control relevant to the entity's preparation and fair presentation of the financial report in order to design audit procedures that are appropriate in the circumstances, but not for the purpose of expressing an opinion on the effectiveness of the entity's internal control. An audit also includes evaluating the appropriateness of the accounting policies used and the reasonableness of accounting estimates made by the Board Members, as well as evaluating the overall presentation of the financial report.</w:t>
      </w:r>
    </w:p>
    <w:p w:rsidR="00143898" w:rsidRPr="0012760D" w:rsidRDefault="00143898" w:rsidP="00716109">
      <w:pPr>
        <w:rPr>
          <w:sz w:val="24"/>
          <w:szCs w:val="24"/>
        </w:rPr>
      </w:pPr>
    </w:p>
    <w:p w:rsidR="00716109" w:rsidRPr="0012760D" w:rsidRDefault="00716109" w:rsidP="00716109">
      <w:pPr>
        <w:rPr>
          <w:sz w:val="24"/>
          <w:szCs w:val="24"/>
        </w:rPr>
      </w:pPr>
      <w:r w:rsidRPr="0012760D">
        <w:rPr>
          <w:sz w:val="24"/>
          <w:szCs w:val="24"/>
        </w:rPr>
        <w:t>I believe that the audit evidence I have obtained is sufficient and appropriate to provide a basis for my audit opinion.</w:t>
      </w:r>
    </w:p>
    <w:p w:rsidR="00A4473E" w:rsidRDefault="00A4473E" w:rsidP="00A4473E">
      <w:pPr>
        <w:rPr>
          <w:bCs/>
          <w:noProof/>
          <w:sz w:val="24"/>
          <w:szCs w:val="24"/>
        </w:rPr>
      </w:pPr>
      <w:r w:rsidRPr="0012760D">
        <w:rPr>
          <w:bCs/>
          <w:noProof/>
          <w:sz w:val="24"/>
          <w:szCs w:val="24"/>
        </w:rPr>
        <w:t>&lt;pp&gt; 54</w:t>
      </w:r>
    </w:p>
    <w:p w:rsidR="00143898" w:rsidRDefault="00143898" w:rsidP="00A4473E">
      <w:pPr>
        <w:rPr>
          <w:bCs/>
          <w:noProof/>
          <w:sz w:val="24"/>
          <w:szCs w:val="24"/>
        </w:rPr>
      </w:pPr>
    </w:p>
    <w:p w:rsidR="00143898" w:rsidRPr="0012760D" w:rsidRDefault="00143898" w:rsidP="00A4473E">
      <w:pPr>
        <w:rPr>
          <w:sz w:val="24"/>
          <w:szCs w:val="24"/>
        </w:rPr>
      </w:pPr>
    </w:p>
    <w:p w:rsidR="00A4473E" w:rsidRDefault="00A4473E" w:rsidP="00143898">
      <w:pPr>
        <w:pStyle w:val="Heading3"/>
        <w:rPr>
          <w:lang w:val="en-US"/>
        </w:rPr>
      </w:pPr>
      <w:r w:rsidRPr="0012760D">
        <w:rPr>
          <w:lang w:val="en-US"/>
        </w:rPr>
        <w:t>Independence</w:t>
      </w:r>
    </w:p>
    <w:p w:rsidR="00143898" w:rsidRPr="0012760D" w:rsidRDefault="00143898" w:rsidP="00A4473E">
      <w:pPr>
        <w:rPr>
          <w:sz w:val="24"/>
          <w:szCs w:val="24"/>
        </w:rPr>
      </w:pPr>
    </w:p>
    <w:p w:rsidR="00A4473E" w:rsidRPr="0012760D" w:rsidRDefault="00A4473E" w:rsidP="00A4473E">
      <w:pPr>
        <w:rPr>
          <w:sz w:val="24"/>
          <w:szCs w:val="24"/>
        </w:rPr>
      </w:pPr>
      <w:r w:rsidRPr="0012760D">
        <w:rPr>
          <w:sz w:val="24"/>
          <w:szCs w:val="24"/>
          <w:lang w:val="en-US"/>
        </w:rPr>
        <w:t xml:space="preserve">The Auditor-General's independence is established by the </w:t>
      </w:r>
      <w:r w:rsidRPr="0012760D">
        <w:rPr>
          <w:i/>
          <w:iCs/>
          <w:sz w:val="24"/>
          <w:szCs w:val="24"/>
          <w:lang w:val="en-US"/>
        </w:rPr>
        <w:t xml:space="preserve">Constitution Act 1975. </w:t>
      </w:r>
      <w:r w:rsidRPr="0012760D">
        <w:rPr>
          <w:sz w:val="24"/>
          <w:szCs w:val="24"/>
          <w:lang w:val="en-US"/>
        </w:rPr>
        <w:t>The Auditor-General is not subject to direction by any person about the way in which his powers and responsibilities are to be exercised. In conducting the audit, the Auditor-General, his staff and delegates complied with all applicable independence requirements of the Australian accounting</w:t>
      </w:r>
    </w:p>
    <w:p w:rsidR="00A4473E" w:rsidRPr="0012760D" w:rsidRDefault="00A4473E" w:rsidP="00A4473E">
      <w:pPr>
        <w:rPr>
          <w:sz w:val="24"/>
          <w:szCs w:val="24"/>
          <w:lang w:val="en-US"/>
        </w:rPr>
      </w:pPr>
      <w:r w:rsidRPr="0012760D">
        <w:rPr>
          <w:sz w:val="24"/>
          <w:szCs w:val="24"/>
          <w:lang w:val="en-US"/>
        </w:rPr>
        <w:t>profession.</w:t>
      </w:r>
    </w:p>
    <w:p w:rsidR="00A4473E" w:rsidRDefault="00A4473E" w:rsidP="00A4473E">
      <w:pPr>
        <w:rPr>
          <w:sz w:val="24"/>
          <w:szCs w:val="24"/>
        </w:rPr>
      </w:pPr>
    </w:p>
    <w:p w:rsidR="00143898" w:rsidRPr="0012760D" w:rsidRDefault="00143898" w:rsidP="00A4473E">
      <w:pPr>
        <w:rPr>
          <w:sz w:val="24"/>
          <w:szCs w:val="24"/>
        </w:rPr>
      </w:pPr>
    </w:p>
    <w:p w:rsidR="00A4473E" w:rsidRDefault="00A4473E" w:rsidP="00143898">
      <w:pPr>
        <w:pStyle w:val="Heading3"/>
        <w:rPr>
          <w:lang w:val="en-US"/>
        </w:rPr>
      </w:pPr>
      <w:r w:rsidRPr="0012760D">
        <w:rPr>
          <w:lang w:val="en-US"/>
        </w:rPr>
        <w:t>Opinion</w:t>
      </w:r>
    </w:p>
    <w:p w:rsidR="00143898" w:rsidRPr="0012760D" w:rsidRDefault="00143898" w:rsidP="00A4473E">
      <w:pPr>
        <w:rPr>
          <w:sz w:val="24"/>
          <w:szCs w:val="24"/>
        </w:rPr>
      </w:pPr>
    </w:p>
    <w:p w:rsidR="00A4473E" w:rsidRDefault="00A4473E" w:rsidP="00A4473E">
      <w:pPr>
        <w:rPr>
          <w:i/>
          <w:iCs/>
          <w:sz w:val="24"/>
          <w:szCs w:val="24"/>
          <w:lang w:val="en-US"/>
        </w:rPr>
      </w:pPr>
      <w:r w:rsidRPr="0012760D">
        <w:rPr>
          <w:sz w:val="24"/>
          <w:szCs w:val="24"/>
          <w:lang w:val="en-US"/>
        </w:rPr>
        <w:t xml:space="preserve">In my opinion, the financial report presents fairly, in all material respects, the financial position of Sustainability Victoria as at 30 June 2013 and of its financial performance and its cash flows for the year then ended in accordance with applicable Australian Accounting Standards, and the financial reporting requirements of the </w:t>
      </w:r>
      <w:r w:rsidRPr="0012760D">
        <w:rPr>
          <w:i/>
          <w:iCs/>
          <w:sz w:val="24"/>
          <w:szCs w:val="24"/>
          <w:lang w:val="en-US"/>
        </w:rPr>
        <w:t>Financial Management Act 1994.</w:t>
      </w:r>
    </w:p>
    <w:p w:rsidR="00143898" w:rsidRPr="0012760D" w:rsidRDefault="00143898" w:rsidP="00A4473E">
      <w:pPr>
        <w:rPr>
          <w:i/>
          <w:iCs/>
          <w:sz w:val="24"/>
          <w:szCs w:val="24"/>
          <w:lang w:val="en-US"/>
        </w:rPr>
      </w:pPr>
    </w:p>
    <w:p w:rsidR="00A4473E" w:rsidRPr="0012760D" w:rsidRDefault="00A4473E" w:rsidP="00A4473E">
      <w:pPr>
        <w:rPr>
          <w:sz w:val="24"/>
          <w:szCs w:val="24"/>
        </w:rPr>
      </w:pPr>
    </w:p>
    <w:p w:rsidR="00A4473E" w:rsidRDefault="00A4473E" w:rsidP="00143898">
      <w:pPr>
        <w:pStyle w:val="Heading3"/>
        <w:rPr>
          <w:lang w:val="en-US"/>
        </w:rPr>
      </w:pPr>
      <w:r w:rsidRPr="0012760D">
        <w:rPr>
          <w:lang w:val="en-US"/>
        </w:rPr>
        <w:t>Matters Relating to the Electronic Publication of the Audited Financial Report</w:t>
      </w:r>
    </w:p>
    <w:p w:rsidR="00143898" w:rsidRPr="0012760D" w:rsidRDefault="00143898" w:rsidP="00A4473E">
      <w:pPr>
        <w:rPr>
          <w:sz w:val="24"/>
          <w:szCs w:val="24"/>
        </w:rPr>
      </w:pPr>
    </w:p>
    <w:p w:rsidR="00A4473E" w:rsidRPr="0012760D" w:rsidRDefault="00A4473E" w:rsidP="00A4473E">
      <w:pPr>
        <w:rPr>
          <w:sz w:val="24"/>
          <w:szCs w:val="24"/>
          <w:lang w:val="en-US"/>
        </w:rPr>
      </w:pPr>
      <w:r w:rsidRPr="0012760D">
        <w:rPr>
          <w:sz w:val="24"/>
          <w:szCs w:val="24"/>
          <w:lang w:val="en-US"/>
        </w:rPr>
        <w:t xml:space="preserve">This auditor's report relates to the financial report of Sustainability Victoria for the year ended 30 June 2013 included both in Sustainability Victoria's annual report and on the website. The Board Members of Sustainability Victoria are responsible for the integrity of Sustainability Victoria's website. I have not been engaged to report on the integrity of Sustainability Victoria's website. The auditor's report refers only to the subject matter described above. It does not provide an opinion on any other information which may have been hyperlinked to/from these statements. If users of the financial report are concerned with the inherent risks arising from publication on </w:t>
      </w:r>
      <w:r w:rsidRPr="0012760D">
        <w:rPr>
          <w:sz w:val="24"/>
          <w:szCs w:val="24"/>
          <w:lang w:val="en-US"/>
        </w:rPr>
        <w:lastRenderedPageBreak/>
        <w:t>a website, they are advised to refer to the hard copy of the audited financial report to confirm the information contained in the website version of the financial report</w:t>
      </w:r>
    </w:p>
    <w:p w:rsidR="00A4473E" w:rsidRPr="0012760D" w:rsidRDefault="00A4473E" w:rsidP="00A4473E">
      <w:pPr>
        <w:rPr>
          <w:sz w:val="24"/>
          <w:szCs w:val="24"/>
        </w:rPr>
      </w:pPr>
    </w:p>
    <w:p w:rsidR="00A4473E" w:rsidRPr="0012760D" w:rsidRDefault="00A4473E" w:rsidP="00A4473E">
      <w:pPr>
        <w:rPr>
          <w:sz w:val="24"/>
          <w:szCs w:val="24"/>
          <w:lang w:val="en-US"/>
        </w:rPr>
      </w:pPr>
      <w:r w:rsidRPr="0012760D">
        <w:rPr>
          <w:sz w:val="24"/>
          <w:szCs w:val="24"/>
          <w:lang w:val="en-US"/>
        </w:rPr>
        <w:t>John Doyle</w:t>
      </w:r>
    </w:p>
    <w:p w:rsidR="00A4473E" w:rsidRPr="0012760D" w:rsidRDefault="00A4473E" w:rsidP="00A4473E">
      <w:pPr>
        <w:rPr>
          <w:sz w:val="24"/>
          <w:szCs w:val="24"/>
        </w:rPr>
      </w:pPr>
      <w:r w:rsidRPr="0012760D">
        <w:rPr>
          <w:iCs/>
          <w:sz w:val="24"/>
          <w:szCs w:val="24"/>
          <w:lang w:val="en-US"/>
        </w:rPr>
        <w:t>Auditor-General</w:t>
      </w:r>
    </w:p>
    <w:p w:rsidR="00A4473E" w:rsidRPr="0012760D" w:rsidRDefault="00A4473E" w:rsidP="00A4473E">
      <w:pPr>
        <w:rPr>
          <w:sz w:val="24"/>
          <w:szCs w:val="24"/>
        </w:rPr>
      </w:pPr>
      <w:r w:rsidRPr="0012760D">
        <w:rPr>
          <w:sz w:val="24"/>
          <w:szCs w:val="24"/>
        </w:rPr>
        <w:t>Melbourne</w:t>
      </w:r>
    </w:p>
    <w:p w:rsidR="00A4473E" w:rsidRPr="0012760D" w:rsidRDefault="00A4473E" w:rsidP="00A4473E">
      <w:pPr>
        <w:rPr>
          <w:sz w:val="24"/>
          <w:szCs w:val="24"/>
        </w:rPr>
      </w:pPr>
      <w:r w:rsidRPr="0012760D">
        <w:rPr>
          <w:sz w:val="24"/>
          <w:szCs w:val="24"/>
        </w:rPr>
        <w:t>29 August 2013</w:t>
      </w:r>
    </w:p>
    <w:p w:rsidR="001C3CF8" w:rsidRDefault="001C3CF8" w:rsidP="001C3CF8">
      <w:pPr>
        <w:rPr>
          <w:bCs/>
          <w:sz w:val="24"/>
          <w:szCs w:val="24"/>
        </w:rPr>
      </w:pPr>
      <w:r w:rsidRPr="0012760D">
        <w:rPr>
          <w:bCs/>
          <w:sz w:val="24"/>
          <w:szCs w:val="24"/>
        </w:rPr>
        <w:t>&lt;pp&gt; 55</w:t>
      </w:r>
    </w:p>
    <w:p w:rsidR="00143898" w:rsidRDefault="00143898" w:rsidP="001C3CF8">
      <w:pPr>
        <w:rPr>
          <w:bCs/>
          <w:sz w:val="24"/>
          <w:szCs w:val="24"/>
        </w:rPr>
      </w:pPr>
    </w:p>
    <w:p w:rsidR="00143898" w:rsidRPr="0012760D" w:rsidRDefault="00143898" w:rsidP="001C3CF8">
      <w:pPr>
        <w:rPr>
          <w:sz w:val="24"/>
          <w:szCs w:val="24"/>
        </w:rPr>
      </w:pPr>
    </w:p>
    <w:p w:rsidR="001C3CF8" w:rsidRDefault="001C3CF8" w:rsidP="00143898">
      <w:pPr>
        <w:pStyle w:val="Heading1"/>
      </w:pPr>
      <w:r w:rsidRPr="0012760D">
        <w:t>Part 8</w:t>
      </w:r>
      <w:r w:rsidR="00143898">
        <w:br/>
      </w:r>
      <w:r w:rsidRPr="0012760D">
        <w:t>Legislative Compliance</w:t>
      </w:r>
    </w:p>
    <w:p w:rsidR="00143898" w:rsidRPr="0012760D" w:rsidRDefault="00143898" w:rsidP="001C3CF8">
      <w:pPr>
        <w:rPr>
          <w:sz w:val="24"/>
          <w:szCs w:val="24"/>
        </w:rPr>
      </w:pPr>
    </w:p>
    <w:p w:rsidR="001C3CF8" w:rsidRDefault="001C3CF8" w:rsidP="001C3CF8">
      <w:pPr>
        <w:rPr>
          <w:sz w:val="24"/>
          <w:szCs w:val="24"/>
        </w:rPr>
      </w:pPr>
      <w:r w:rsidRPr="0012760D">
        <w:rPr>
          <w:sz w:val="24"/>
          <w:szCs w:val="24"/>
        </w:rPr>
        <w:t>The 2012 to 13 Annual Report of Sustainability Victoria is prepared in accordance with all relevant Victorian legislation.</w:t>
      </w:r>
    </w:p>
    <w:p w:rsidR="00143898" w:rsidRDefault="00143898" w:rsidP="001C3CF8">
      <w:pPr>
        <w:rPr>
          <w:sz w:val="24"/>
          <w:szCs w:val="24"/>
        </w:rPr>
      </w:pPr>
    </w:p>
    <w:p w:rsidR="00143898" w:rsidRPr="0012760D" w:rsidRDefault="00143898" w:rsidP="001C3CF8">
      <w:pPr>
        <w:rPr>
          <w:sz w:val="24"/>
          <w:szCs w:val="24"/>
        </w:rPr>
      </w:pPr>
    </w:p>
    <w:p w:rsidR="001C3CF8" w:rsidRDefault="001C3CF8" w:rsidP="00143898">
      <w:pPr>
        <w:pStyle w:val="Heading2"/>
      </w:pPr>
      <w:r w:rsidRPr="0012760D">
        <w:t>Building Act</w:t>
      </w:r>
    </w:p>
    <w:p w:rsidR="00143898" w:rsidRPr="0012760D" w:rsidRDefault="00143898" w:rsidP="001C3CF8">
      <w:pPr>
        <w:rPr>
          <w:sz w:val="24"/>
          <w:szCs w:val="24"/>
        </w:rPr>
      </w:pPr>
    </w:p>
    <w:p w:rsidR="001C3CF8" w:rsidRDefault="001C3CF8" w:rsidP="001C3CF8">
      <w:pPr>
        <w:rPr>
          <w:sz w:val="24"/>
          <w:szCs w:val="24"/>
        </w:rPr>
      </w:pPr>
      <w:r w:rsidRPr="0012760D">
        <w:rPr>
          <w:sz w:val="24"/>
          <w:szCs w:val="24"/>
        </w:rPr>
        <w:t xml:space="preserve">We do not own or control any government buildings and consequently are exempt from notifying our compliance with the building and maintenance provisions of the </w:t>
      </w:r>
      <w:r w:rsidRPr="0012760D">
        <w:rPr>
          <w:i/>
          <w:iCs/>
          <w:sz w:val="24"/>
          <w:szCs w:val="24"/>
        </w:rPr>
        <w:t xml:space="preserve">Building Act 1993 </w:t>
      </w:r>
      <w:r w:rsidRPr="0012760D">
        <w:rPr>
          <w:sz w:val="24"/>
          <w:szCs w:val="24"/>
        </w:rPr>
        <w:t>(Vic).</w:t>
      </w:r>
    </w:p>
    <w:p w:rsidR="00143898" w:rsidRDefault="00143898" w:rsidP="001C3CF8">
      <w:pPr>
        <w:rPr>
          <w:sz w:val="24"/>
          <w:szCs w:val="24"/>
        </w:rPr>
      </w:pPr>
    </w:p>
    <w:p w:rsidR="00143898" w:rsidRPr="0012760D" w:rsidRDefault="00143898" w:rsidP="001C3CF8">
      <w:pPr>
        <w:rPr>
          <w:sz w:val="24"/>
          <w:szCs w:val="24"/>
        </w:rPr>
      </w:pPr>
    </w:p>
    <w:p w:rsidR="001C3CF8" w:rsidRDefault="001C3CF8" w:rsidP="00143898">
      <w:pPr>
        <w:pStyle w:val="Heading2"/>
      </w:pPr>
      <w:r w:rsidRPr="0012760D">
        <w:t>Freedom of Information Act</w:t>
      </w:r>
    </w:p>
    <w:p w:rsidR="00143898" w:rsidRPr="0012760D" w:rsidRDefault="00143898" w:rsidP="001C3CF8">
      <w:pPr>
        <w:rPr>
          <w:sz w:val="24"/>
          <w:szCs w:val="24"/>
        </w:rPr>
      </w:pPr>
    </w:p>
    <w:p w:rsidR="001C3CF8" w:rsidRDefault="001C3CF8" w:rsidP="001C3CF8">
      <w:pPr>
        <w:rPr>
          <w:sz w:val="24"/>
          <w:szCs w:val="24"/>
        </w:rPr>
      </w:pPr>
      <w:r w:rsidRPr="0012760D">
        <w:rPr>
          <w:sz w:val="24"/>
          <w:szCs w:val="24"/>
        </w:rPr>
        <w:t xml:space="preserve">The </w:t>
      </w:r>
      <w:r w:rsidRPr="0012760D">
        <w:rPr>
          <w:i/>
          <w:iCs/>
          <w:sz w:val="24"/>
          <w:szCs w:val="24"/>
        </w:rPr>
        <w:t xml:space="preserve">Freedom of Information Act 1982 </w:t>
      </w:r>
      <w:r w:rsidRPr="0012760D">
        <w:rPr>
          <w:sz w:val="24"/>
          <w:szCs w:val="24"/>
        </w:rPr>
        <w:t>(Vic) gives the public a right of access to documents held by Sustainability Victoria. For the 12 months ending 30 June 2013, we received no requests.</w:t>
      </w:r>
    </w:p>
    <w:p w:rsidR="00143898" w:rsidRPr="0012760D" w:rsidRDefault="00143898" w:rsidP="001C3CF8">
      <w:pPr>
        <w:rPr>
          <w:sz w:val="24"/>
          <w:szCs w:val="24"/>
        </w:rPr>
      </w:pPr>
    </w:p>
    <w:p w:rsidR="001C3CF8" w:rsidRPr="0012760D" w:rsidRDefault="001C3CF8" w:rsidP="001C3CF8">
      <w:pPr>
        <w:rPr>
          <w:sz w:val="24"/>
          <w:szCs w:val="24"/>
        </w:rPr>
      </w:pPr>
      <w:r w:rsidRPr="0012760D">
        <w:rPr>
          <w:sz w:val="24"/>
          <w:szCs w:val="24"/>
        </w:rPr>
        <w:t>To access documents, you must write to the Freedom of Information Officer. Your request should:</w:t>
      </w:r>
    </w:p>
    <w:p w:rsidR="001C3CF8" w:rsidRPr="0012760D" w:rsidRDefault="001C3CF8" w:rsidP="001C3CF8">
      <w:pPr>
        <w:rPr>
          <w:sz w:val="24"/>
          <w:szCs w:val="24"/>
        </w:rPr>
      </w:pPr>
      <w:r w:rsidRPr="0012760D">
        <w:rPr>
          <w:sz w:val="24"/>
          <w:szCs w:val="24"/>
        </w:rPr>
        <w:t>• be in writing</w:t>
      </w:r>
    </w:p>
    <w:p w:rsidR="001C3CF8" w:rsidRPr="0012760D" w:rsidRDefault="001C3CF8" w:rsidP="001C3CF8">
      <w:pPr>
        <w:rPr>
          <w:sz w:val="24"/>
          <w:szCs w:val="24"/>
        </w:rPr>
      </w:pPr>
      <w:r w:rsidRPr="0012760D">
        <w:rPr>
          <w:sz w:val="24"/>
          <w:szCs w:val="24"/>
        </w:rPr>
        <w:t>• identify as clearly as possible which document is requested</w:t>
      </w:r>
    </w:p>
    <w:p w:rsidR="001C3CF8" w:rsidRDefault="001C3CF8" w:rsidP="001C3CF8">
      <w:pPr>
        <w:rPr>
          <w:sz w:val="24"/>
          <w:szCs w:val="24"/>
        </w:rPr>
      </w:pPr>
      <w:r w:rsidRPr="0012760D">
        <w:rPr>
          <w:sz w:val="24"/>
          <w:szCs w:val="24"/>
        </w:rPr>
        <w:t>• be accompanied by the $25.70 application fee, which may be waived in certain circumstances.</w:t>
      </w:r>
    </w:p>
    <w:p w:rsidR="00143898" w:rsidRPr="0012760D" w:rsidRDefault="00143898" w:rsidP="001C3CF8">
      <w:pPr>
        <w:rPr>
          <w:sz w:val="24"/>
          <w:szCs w:val="24"/>
        </w:rPr>
      </w:pPr>
    </w:p>
    <w:p w:rsidR="001C3CF8" w:rsidRPr="0012760D" w:rsidRDefault="001C3CF8" w:rsidP="001C3CF8">
      <w:pPr>
        <w:rPr>
          <w:sz w:val="24"/>
          <w:szCs w:val="24"/>
        </w:rPr>
      </w:pPr>
      <w:r w:rsidRPr="0012760D">
        <w:rPr>
          <w:sz w:val="24"/>
          <w:szCs w:val="24"/>
        </w:rPr>
        <w:t>Requests for documents possessed by us should be addressed to:</w:t>
      </w:r>
    </w:p>
    <w:p w:rsidR="001C3CF8" w:rsidRPr="0012760D" w:rsidRDefault="001C3CF8" w:rsidP="001C3CF8">
      <w:pPr>
        <w:rPr>
          <w:sz w:val="24"/>
          <w:szCs w:val="24"/>
        </w:rPr>
      </w:pPr>
      <w:r w:rsidRPr="0012760D">
        <w:rPr>
          <w:bCs/>
          <w:sz w:val="24"/>
          <w:szCs w:val="24"/>
        </w:rPr>
        <w:t>Mr Derek Jones</w:t>
      </w:r>
    </w:p>
    <w:p w:rsidR="001C3CF8" w:rsidRPr="0012760D" w:rsidRDefault="001C3CF8" w:rsidP="001C3CF8">
      <w:pPr>
        <w:rPr>
          <w:sz w:val="24"/>
          <w:szCs w:val="24"/>
        </w:rPr>
      </w:pPr>
      <w:r w:rsidRPr="0012760D">
        <w:rPr>
          <w:sz w:val="24"/>
          <w:szCs w:val="24"/>
        </w:rPr>
        <w:t>Sustainability Victoria</w:t>
      </w:r>
    </w:p>
    <w:p w:rsidR="001C3CF8" w:rsidRPr="0012760D" w:rsidRDefault="001C3CF8" w:rsidP="001C3CF8">
      <w:pPr>
        <w:rPr>
          <w:sz w:val="24"/>
          <w:szCs w:val="24"/>
        </w:rPr>
      </w:pPr>
      <w:r w:rsidRPr="0012760D">
        <w:rPr>
          <w:sz w:val="24"/>
          <w:szCs w:val="24"/>
        </w:rPr>
        <w:t>Level 28</w:t>
      </w:r>
    </w:p>
    <w:p w:rsidR="001C3CF8" w:rsidRPr="0012760D" w:rsidRDefault="001C3CF8" w:rsidP="001C3CF8">
      <w:pPr>
        <w:rPr>
          <w:sz w:val="24"/>
          <w:szCs w:val="24"/>
        </w:rPr>
      </w:pPr>
      <w:r w:rsidRPr="0012760D">
        <w:rPr>
          <w:sz w:val="24"/>
          <w:szCs w:val="24"/>
        </w:rPr>
        <w:t>50 Lonsdale Street</w:t>
      </w:r>
    </w:p>
    <w:p w:rsidR="001C3CF8" w:rsidRPr="0012760D" w:rsidRDefault="001C3CF8" w:rsidP="001C3CF8">
      <w:pPr>
        <w:rPr>
          <w:sz w:val="24"/>
          <w:szCs w:val="24"/>
        </w:rPr>
      </w:pPr>
      <w:r w:rsidRPr="0012760D">
        <w:rPr>
          <w:sz w:val="24"/>
          <w:szCs w:val="24"/>
        </w:rPr>
        <w:t>Melbourne Victoria 3000</w:t>
      </w:r>
    </w:p>
    <w:p w:rsidR="001C3CF8" w:rsidRPr="0012760D" w:rsidRDefault="001C3CF8" w:rsidP="001C3CF8">
      <w:pPr>
        <w:rPr>
          <w:sz w:val="24"/>
          <w:szCs w:val="24"/>
        </w:rPr>
      </w:pPr>
      <w:r w:rsidRPr="0012760D">
        <w:rPr>
          <w:sz w:val="24"/>
          <w:szCs w:val="24"/>
        </w:rPr>
        <w:t>Telephone (03) 8</w:t>
      </w:r>
      <w:r w:rsidR="00EF242F">
        <w:rPr>
          <w:sz w:val="24"/>
          <w:szCs w:val="24"/>
        </w:rPr>
        <w:t xml:space="preserve"> </w:t>
      </w:r>
      <w:r w:rsidRPr="0012760D">
        <w:rPr>
          <w:sz w:val="24"/>
          <w:szCs w:val="24"/>
        </w:rPr>
        <w:t>6</w:t>
      </w:r>
      <w:r w:rsidR="00EF242F">
        <w:rPr>
          <w:sz w:val="24"/>
          <w:szCs w:val="24"/>
        </w:rPr>
        <w:t xml:space="preserve"> </w:t>
      </w:r>
      <w:r w:rsidRPr="0012760D">
        <w:rPr>
          <w:sz w:val="24"/>
          <w:szCs w:val="24"/>
        </w:rPr>
        <w:t>2</w:t>
      </w:r>
      <w:r w:rsidR="00EF242F">
        <w:rPr>
          <w:sz w:val="24"/>
          <w:szCs w:val="24"/>
        </w:rPr>
        <w:t xml:space="preserve"> </w:t>
      </w:r>
      <w:r w:rsidRPr="0012760D">
        <w:rPr>
          <w:sz w:val="24"/>
          <w:szCs w:val="24"/>
        </w:rPr>
        <w:t>6 8</w:t>
      </w:r>
      <w:r w:rsidR="00EF242F">
        <w:rPr>
          <w:sz w:val="24"/>
          <w:szCs w:val="24"/>
        </w:rPr>
        <w:t xml:space="preserve"> </w:t>
      </w:r>
      <w:r w:rsidRPr="0012760D">
        <w:rPr>
          <w:sz w:val="24"/>
          <w:szCs w:val="24"/>
        </w:rPr>
        <w:t>7</w:t>
      </w:r>
      <w:r w:rsidR="00EF242F">
        <w:rPr>
          <w:sz w:val="24"/>
          <w:szCs w:val="24"/>
        </w:rPr>
        <w:t xml:space="preserve"> </w:t>
      </w:r>
      <w:r w:rsidRPr="0012760D">
        <w:rPr>
          <w:sz w:val="24"/>
          <w:szCs w:val="24"/>
        </w:rPr>
        <w:t>0</w:t>
      </w:r>
      <w:r w:rsidR="00EF242F">
        <w:rPr>
          <w:sz w:val="24"/>
          <w:szCs w:val="24"/>
        </w:rPr>
        <w:t xml:space="preserve"> </w:t>
      </w:r>
      <w:r w:rsidRPr="0012760D">
        <w:rPr>
          <w:sz w:val="24"/>
          <w:szCs w:val="24"/>
        </w:rPr>
        <w:t>0</w:t>
      </w:r>
    </w:p>
    <w:p w:rsidR="001C3CF8" w:rsidRPr="0012760D" w:rsidRDefault="001C3CF8" w:rsidP="001C3CF8">
      <w:pPr>
        <w:rPr>
          <w:sz w:val="24"/>
          <w:szCs w:val="24"/>
        </w:rPr>
      </w:pPr>
      <w:r w:rsidRPr="0012760D">
        <w:rPr>
          <w:sz w:val="24"/>
          <w:szCs w:val="24"/>
        </w:rPr>
        <w:t>Facsimile (03) 9</w:t>
      </w:r>
      <w:r w:rsidR="00EF242F">
        <w:rPr>
          <w:sz w:val="24"/>
          <w:szCs w:val="24"/>
        </w:rPr>
        <w:t xml:space="preserve"> </w:t>
      </w:r>
      <w:r w:rsidRPr="0012760D">
        <w:rPr>
          <w:sz w:val="24"/>
          <w:szCs w:val="24"/>
        </w:rPr>
        <w:t>6</w:t>
      </w:r>
      <w:r w:rsidR="00EF242F">
        <w:rPr>
          <w:sz w:val="24"/>
          <w:szCs w:val="24"/>
        </w:rPr>
        <w:t xml:space="preserve"> </w:t>
      </w:r>
      <w:r w:rsidRPr="0012760D">
        <w:rPr>
          <w:sz w:val="24"/>
          <w:szCs w:val="24"/>
        </w:rPr>
        <w:t>6</w:t>
      </w:r>
      <w:r w:rsidR="00EF242F">
        <w:rPr>
          <w:sz w:val="24"/>
          <w:szCs w:val="24"/>
        </w:rPr>
        <w:t xml:space="preserve"> </w:t>
      </w:r>
      <w:r w:rsidRPr="0012760D">
        <w:rPr>
          <w:sz w:val="24"/>
          <w:szCs w:val="24"/>
        </w:rPr>
        <w:t>3 1</w:t>
      </w:r>
      <w:r w:rsidR="00EF242F">
        <w:rPr>
          <w:sz w:val="24"/>
          <w:szCs w:val="24"/>
        </w:rPr>
        <w:t xml:space="preserve"> </w:t>
      </w:r>
      <w:r w:rsidRPr="0012760D">
        <w:rPr>
          <w:sz w:val="24"/>
          <w:szCs w:val="24"/>
        </w:rPr>
        <w:t>0</w:t>
      </w:r>
      <w:r w:rsidR="00EF242F">
        <w:rPr>
          <w:sz w:val="24"/>
          <w:szCs w:val="24"/>
        </w:rPr>
        <w:t xml:space="preserve"> </w:t>
      </w:r>
      <w:r w:rsidRPr="0012760D">
        <w:rPr>
          <w:sz w:val="24"/>
          <w:szCs w:val="24"/>
        </w:rPr>
        <w:t>0</w:t>
      </w:r>
      <w:r w:rsidR="00EF242F">
        <w:rPr>
          <w:sz w:val="24"/>
          <w:szCs w:val="24"/>
        </w:rPr>
        <w:t xml:space="preserve"> </w:t>
      </w:r>
      <w:r w:rsidRPr="0012760D">
        <w:rPr>
          <w:sz w:val="24"/>
          <w:szCs w:val="24"/>
        </w:rPr>
        <w:t>7</w:t>
      </w:r>
    </w:p>
    <w:p w:rsidR="001C3CF8" w:rsidRPr="0012760D" w:rsidRDefault="001C3CF8" w:rsidP="001C3CF8">
      <w:pPr>
        <w:rPr>
          <w:sz w:val="24"/>
          <w:szCs w:val="24"/>
        </w:rPr>
      </w:pPr>
      <w:r w:rsidRPr="0012760D">
        <w:rPr>
          <w:sz w:val="24"/>
          <w:szCs w:val="24"/>
        </w:rPr>
        <w:t xml:space="preserve">Email </w:t>
      </w:r>
      <w:hyperlink r:id="rId10" w:history="1">
        <w:r w:rsidRPr="0012760D">
          <w:rPr>
            <w:sz w:val="24"/>
            <w:szCs w:val="24"/>
          </w:rPr>
          <w:t>derek.jones@sustainability.vic.gov.au</w:t>
        </w:r>
      </w:hyperlink>
    </w:p>
    <w:p w:rsidR="00143898" w:rsidRDefault="00143898" w:rsidP="001C3CF8">
      <w:pPr>
        <w:rPr>
          <w:sz w:val="24"/>
          <w:szCs w:val="24"/>
        </w:rPr>
      </w:pPr>
    </w:p>
    <w:p w:rsidR="001C3CF8" w:rsidRPr="0012760D" w:rsidRDefault="001C3CF8" w:rsidP="001C3CF8">
      <w:pPr>
        <w:rPr>
          <w:sz w:val="24"/>
          <w:szCs w:val="24"/>
        </w:rPr>
      </w:pPr>
      <w:r w:rsidRPr="0012760D">
        <w:rPr>
          <w:sz w:val="24"/>
          <w:szCs w:val="24"/>
        </w:rPr>
        <w:t xml:space="preserve">Requests can also be lodged online at </w:t>
      </w:r>
      <w:hyperlink r:id="rId11" w:history="1">
        <w:r w:rsidRPr="0012760D">
          <w:rPr>
            <w:sz w:val="24"/>
            <w:szCs w:val="24"/>
          </w:rPr>
          <w:t>www.foi.vic.gov.au</w:t>
        </w:r>
      </w:hyperlink>
    </w:p>
    <w:p w:rsidR="00143898" w:rsidRDefault="00143898" w:rsidP="001C3CF8">
      <w:pPr>
        <w:rPr>
          <w:sz w:val="24"/>
          <w:szCs w:val="24"/>
        </w:rPr>
      </w:pPr>
    </w:p>
    <w:p w:rsidR="001C3CF8" w:rsidRDefault="001C3CF8" w:rsidP="001C3CF8">
      <w:pPr>
        <w:rPr>
          <w:sz w:val="24"/>
          <w:szCs w:val="24"/>
        </w:rPr>
      </w:pPr>
      <w:r w:rsidRPr="0012760D">
        <w:rPr>
          <w:sz w:val="24"/>
          <w:szCs w:val="24"/>
        </w:rPr>
        <w:lastRenderedPageBreak/>
        <w:t>Access charges may also apply once documents have been processed and a decision on access is made; for example, photocopying and search and retrieval charges.</w:t>
      </w:r>
    </w:p>
    <w:p w:rsidR="00143898" w:rsidRPr="0012760D" w:rsidRDefault="00143898" w:rsidP="001C3CF8">
      <w:pPr>
        <w:rPr>
          <w:sz w:val="24"/>
          <w:szCs w:val="24"/>
        </w:rPr>
      </w:pPr>
    </w:p>
    <w:p w:rsidR="001C3CF8" w:rsidRPr="0012760D" w:rsidRDefault="001C3CF8" w:rsidP="001C3CF8">
      <w:pPr>
        <w:rPr>
          <w:sz w:val="24"/>
          <w:szCs w:val="24"/>
        </w:rPr>
      </w:pPr>
      <w:r w:rsidRPr="0012760D">
        <w:rPr>
          <w:sz w:val="24"/>
          <w:szCs w:val="24"/>
        </w:rPr>
        <w:t xml:space="preserve">Further information regarding Freedom of Information can be found at </w:t>
      </w:r>
      <w:hyperlink r:id="rId12" w:history="1">
        <w:r w:rsidRPr="0012760D">
          <w:rPr>
            <w:sz w:val="24"/>
            <w:szCs w:val="24"/>
          </w:rPr>
          <w:t>www.foi.vic.gov.au</w:t>
        </w:r>
      </w:hyperlink>
      <w:r w:rsidRPr="0012760D">
        <w:rPr>
          <w:sz w:val="24"/>
          <w:szCs w:val="24"/>
        </w:rPr>
        <w:t>.</w:t>
      </w:r>
    </w:p>
    <w:p w:rsidR="00143898" w:rsidRDefault="00143898" w:rsidP="001C3CF8">
      <w:pPr>
        <w:rPr>
          <w:sz w:val="24"/>
          <w:szCs w:val="24"/>
        </w:rPr>
      </w:pPr>
    </w:p>
    <w:p w:rsidR="001C3CF8" w:rsidRPr="0012760D" w:rsidRDefault="001C3CF8" w:rsidP="001C3CF8">
      <w:pPr>
        <w:rPr>
          <w:sz w:val="24"/>
          <w:szCs w:val="24"/>
        </w:rPr>
      </w:pPr>
      <w:r w:rsidRPr="0012760D">
        <w:rPr>
          <w:sz w:val="24"/>
          <w:szCs w:val="24"/>
        </w:rPr>
        <w:t>The following information is available from the Freedom of information Officer, subject to the Freedom of Information Act:</w:t>
      </w:r>
    </w:p>
    <w:p w:rsidR="001C3CF8" w:rsidRPr="0012760D" w:rsidRDefault="001C3CF8" w:rsidP="001C3CF8">
      <w:pPr>
        <w:rPr>
          <w:sz w:val="24"/>
          <w:szCs w:val="24"/>
        </w:rPr>
      </w:pPr>
      <w:r w:rsidRPr="0012760D">
        <w:rPr>
          <w:sz w:val="24"/>
          <w:szCs w:val="24"/>
        </w:rPr>
        <w:t>• a statement declaring that all pecuniary interests have been duly completed by all relevant officers</w:t>
      </w:r>
    </w:p>
    <w:p w:rsidR="001C3CF8" w:rsidRPr="0012760D" w:rsidRDefault="001C3CF8" w:rsidP="001C3CF8">
      <w:pPr>
        <w:rPr>
          <w:sz w:val="24"/>
          <w:szCs w:val="24"/>
        </w:rPr>
      </w:pPr>
      <w:r w:rsidRPr="0012760D">
        <w:rPr>
          <w:sz w:val="24"/>
          <w:szCs w:val="24"/>
        </w:rPr>
        <w:t>• details of shares held by senior officers as nominee,</w:t>
      </w:r>
    </w:p>
    <w:p w:rsidR="001C3CF8" w:rsidRPr="0012760D" w:rsidRDefault="001C3CF8" w:rsidP="001C3CF8">
      <w:pPr>
        <w:rPr>
          <w:sz w:val="24"/>
          <w:szCs w:val="24"/>
        </w:rPr>
      </w:pPr>
      <w:r w:rsidRPr="0012760D">
        <w:rPr>
          <w:sz w:val="24"/>
          <w:szCs w:val="24"/>
        </w:rPr>
        <w:t>or held beneficially in a statutory authority or subsidiary</w:t>
      </w:r>
    </w:p>
    <w:p w:rsidR="001C3CF8" w:rsidRPr="0012760D" w:rsidRDefault="001C3CF8" w:rsidP="001C3CF8">
      <w:pPr>
        <w:rPr>
          <w:sz w:val="24"/>
          <w:szCs w:val="24"/>
        </w:rPr>
      </w:pPr>
      <w:r w:rsidRPr="0012760D">
        <w:rPr>
          <w:sz w:val="24"/>
          <w:szCs w:val="24"/>
        </w:rPr>
        <w:t xml:space="preserve">• details of publications we have produced about our activities, and how you can obtain these. In particular, note that you can subscribe to our email newsletters and alerts, KABV newsletter and Schools News via our website </w:t>
      </w:r>
      <w:hyperlink r:id="rId13" w:history="1">
        <w:r w:rsidRPr="0012760D">
          <w:rPr>
            <w:sz w:val="24"/>
            <w:szCs w:val="24"/>
          </w:rPr>
          <w:t>http://www</w:t>
        </w:r>
      </w:hyperlink>
      <w:r w:rsidRPr="0012760D">
        <w:rPr>
          <w:sz w:val="24"/>
          <w:szCs w:val="24"/>
        </w:rPr>
        <w:t>. sustainability.vic.gov.au/www/html/3620-subscribe.asp</w:t>
      </w:r>
    </w:p>
    <w:p w:rsidR="001C3CF8" w:rsidRPr="0012760D" w:rsidRDefault="001C3CF8" w:rsidP="001C3CF8">
      <w:pPr>
        <w:rPr>
          <w:sz w:val="24"/>
          <w:szCs w:val="24"/>
        </w:rPr>
      </w:pPr>
      <w:r w:rsidRPr="0012760D">
        <w:rPr>
          <w:sz w:val="24"/>
          <w:szCs w:val="24"/>
        </w:rPr>
        <w:t>• details of changes in prices, fees, charges, rates and levies charged by us</w:t>
      </w:r>
    </w:p>
    <w:p w:rsidR="001C3CF8" w:rsidRPr="0012760D" w:rsidRDefault="001C3CF8" w:rsidP="001C3CF8">
      <w:pPr>
        <w:rPr>
          <w:sz w:val="24"/>
          <w:szCs w:val="24"/>
        </w:rPr>
      </w:pPr>
      <w:r w:rsidRPr="0012760D">
        <w:rPr>
          <w:sz w:val="24"/>
          <w:szCs w:val="24"/>
        </w:rPr>
        <w:t>• details of any major external reviews of our operations</w:t>
      </w:r>
    </w:p>
    <w:p w:rsidR="001C3CF8" w:rsidRPr="0012760D" w:rsidRDefault="001C3CF8" w:rsidP="001C3CF8">
      <w:pPr>
        <w:rPr>
          <w:sz w:val="24"/>
          <w:szCs w:val="24"/>
        </w:rPr>
      </w:pPr>
      <w:r w:rsidRPr="0012760D">
        <w:rPr>
          <w:sz w:val="24"/>
          <w:szCs w:val="24"/>
        </w:rPr>
        <w:t>• details of major research and development activities undertaken by us</w:t>
      </w:r>
    </w:p>
    <w:p w:rsidR="001C3CF8" w:rsidRPr="0012760D" w:rsidRDefault="001C3CF8" w:rsidP="001C3CF8">
      <w:pPr>
        <w:rPr>
          <w:sz w:val="24"/>
          <w:szCs w:val="24"/>
        </w:rPr>
      </w:pPr>
      <w:r w:rsidRPr="0012760D">
        <w:rPr>
          <w:sz w:val="24"/>
          <w:szCs w:val="24"/>
        </w:rPr>
        <w:t>• details of overseas visits, including a summary of the objectives and outcomes of each visit</w:t>
      </w:r>
    </w:p>
    <w:p w:rsidR="001C3CF8" w:rsidRPr="0012760D" w:rsidRDefault="001C3CF8" w:rsidP="001C3CF8">
      <w:pPr>
        <w:rPr>
          <w:sz w:val="24"/>
          <w:szCs w:val="24"/>
        </w:rPr>
      </w:pPr>
      <w:r w:rsidRPr="0012760D">
        <w:rPr>
          <w:sz w:val="24"/>
          <w:szCs w:val="24"/>
        </w:rPr>
        <w:t>• details of major promotional, public relations and marketing activities we have undertaken to develop community awareness of us and our services</w:t>
      </w:r>
    </w:p>
    <w:p w:rsidR="001C3CF8" w:rsidRPr="0012760D" w:rsidRDefault="001C3CF8" w:rsidP="001C3CF8">
      <w:pPr>
        <w:rPr>
          <w:sz w:val="24"/>
          <w:szCs w:val="24"/>
        </w:rPr>
      </w:pPr>
      <w:r w:rsidRPr="0012760D">
        <w:rPr>
          <w:sz w:val="24"/>
          <w:szCs w:val="24"/>
        </w:rPr>
        <w:t>• details of assessments and measures undertaken to improve the occupational health and safety of employees</w:t>
      </w:r>
    </w:p>
    <w:p w:rsidR="001C3CF8" w:rsidRPr="0012760D" w:rsidRDefault="001C3CF8" w:rsidP="001C3CF8">
      <w:pPr>
        <w:rPr>
          <w:sz w:val="24"/>
          <w:szCs w:val="24"/>
        </w:rPr>
      </w:pPr>
      <w:r w:rsidRPr="0012760D">
        <w:rPr>
          <w:sz w:val="24"/>
          <w:szCs w:val="24"/>
        </w:rPr>
        <w:t>• a general statement on industrial relations, and details of time lost through industrial accidents and disputes</w:t>
      </w:r>
    </w:p>
    <w:p w:rsidR="001C3CF8" w:rsidRPr="0012760D" w:rsidRDefault="001C3CF8" w:rsidP="001C3CF8">
      <w:pPr>
        <w:rPr>
          <w:sz w:val="24"/>
          <w:szCs w:val="24"/>
        </w:rPr>
      </w:pPr>
      <w:r w:rsidRPr="0012760D">
        <w:rPr>
          <w:sz w:val="24"/>
          <w:szCs w:val="24"/>
        </w:rPr>
        <w:t>• a list of major committees, their purposes and achievements.</w:t>
      </w:r>
    </w:p>
    <w:p w:rsidR="001C3CF8" w:rsidRDefault="001C3CF8" w:rsidP="001C3CF8">
      <w:pPr>
        <w:rPr>
          <w:sz w:val="24"/>
          <w:szCs w:val="24"/>
        </w:rPr>
      </w:pPr>
    </w:p>
    <w:p w:rsidR="00143898" w:rsidRPr="0012760D" w:rsidRDefault="00143898" w:rsidP="001C3CF8">
      <w:pPr>
        <w:rPr>
          <w:sz w:val="24"/>
          <w:szCs w:val="24"/>
        </w:rPr>
      </w:pPr>
    </w:p>
    <w:p w:rsidR="001C3CF8" w:rsidRDefault="001C3CF8" w:rsidP="00143898">
      <w:pPr>
        <w:pStyle w:val="Heading2"/>
      </w:pPr>
      <w:r w:rsidRPr="0012760D">
        <w:t>Information Privacy Act</w:t>
      </w:r>
    </w:p>
    <w:p w:rsidR="00143898" w:rsidRPr="0012760D" w:rsidRDefault="00143898" w:rsidP="001C3CF8">
      <w:pPr>
        <w:rPr>
          <w:sz w:val="24"/>
          <w:szCs w:val="24"/>
        </w:rPr>
      </w:pPr>
    </w:p>
    <w:p w:rsidR="001C3CF8" w:rsidRDefault="001C3CF8" w:rsidP="001C3CF8">
      <w:pPr>
        <w:rPr>
          <w:sz w:val="24"/>
          <w:szCs w:val="24"/>
        </w:rPr>
      </w:pPr>
      <w:r w:rsidRPr="0012760D">
        <w:rPr>
          <w:sz w:val="24"/>
          <w:szCs w:val="24"/>
        </w:rPr>
        <w:t xml:space="preserve">We collect and use customer information according to our Information </w:t>
      </w:r>
      <w:r w:rsidRPr="0012760D">
        <w:rPr>
          <w:i/>
          <w:iCs/>
          <w:sz w:val="24"/>
          <w:szCs w:val="24"/>
        </w:rPr>
        <w:t xml:space="preserve">Privacy Policy and the Information Privacy Act 2000 </w:t>
      </w:r>
      <w:r w:rsidRPr="0012760D">
        <w:rPr>
          <w:sz w:val="24"/>
          <w:szCs w:val="24"/>
        </w:rPr>
        <w:t>(Vic). in 2012 to 13, we received no complaints for breaches of privacy.</w:t>
      </w:r>
    </w:p>
    <w:p w:rsidR="00143898" w:rsidRPr="0012760D" w:rsidRDefault="00143898" w:rsidP="001C3CF8">
      <w:pPr>
        <w:rPr>
          <w:sz w:val="24"/>
          <w:szCs w:val="24"/>
        </w:rPr>
      </w:pPr>
    </w:p>
    <w:p w:rsidR="001C3CF8" w:rsidRDefault="001C3CF8" w:rsidP="001C3CF8">
      <w:pPr>
        <w:rPr>
          <w:sz w:val="24"/>
          <w:szCs w:val="24"/>
        </w:rPr>
      </w:pPr>
      <w:r w:rsidRPr="0012760D">
        <w:rPr>
          <w:sz w:val="24"/>
          <w:szCs w:val="24"/>
        </w:rPr>
        <w:t xml:space="preserve">You can get a copy of our privacy statement by phoning (03) 8626 8700, by emailing </w:t>
      </w:r>
      <w:hyperlink r:id="rId14" w:history="1">
        <w:r w:rsidRPr="0012760D">
          <w:rPr>
            <w:sz w:val="24"/>
            <w:szCs w:val="24"/>
          </w:rPr>
          <w:t xml:space="preserve">privacy@sustainability.vic.gov.au </w:t>
        </w:r>
      </w:hyperlink>
      <w:r w:rsidRPr="0012760D">
        <w:rPr>
          <w:sz w:val="24"/>
          <w:szCs w:val="24"/>
        </w:rPr>
        <w:t xml:space="preserve">or by visiting our website at </w:t>
      </w:r>
      <w:hyperlink r:id="rId15" w:history="1">
        <w:r w:rsidRPr="0012760D">
          <w:rPr>
            <w:sz w:val="24"/>
            <w:szCs w:val="24"/>
          </w:rPr>
          <w:t>www.sustainability.vic.gov.au</w:t>
        </w:r>
      </w:hyperlink>
      <w:r w:rsidRPr="0012760D">
        <w:rPr>
          <w:sz w:val="24"/>
          <w:szCs w:val="24"/>
        </w:rPr>
        <w:t>.</w:t>
      </w:r>
    </w:p>
    <w:p w:rsidR="00143898" w:rsidRPr="0012760D" w:rsidRDefault="00143898" w:rsidP="001C3CF8">
      <w:pPr>
        <w:rPr>
          <w:sz w:val="24"/>
          <w:szCs w:val="24"/>
        </w:rPr>
      </w:pPr>
    </w:p>
    <w:p w:rsidR="001C3CF8" w:rsidRPr="0012760D" w:rsidRDefault="001C3CF8" w:rsidP="001C3CF8">
      <w:pPr>
        <w:rPr>
          <w:sz w:val="24"/>
          <w:szCs w:val="24"/>
        </w:rPr>
      </w:pPr>
    </w:p>
    <w:p w:rsidR="001C3CF8" w:rsidRDefault="001C3CF8" w:rsidP="00143898">
      <w:pPr>
        <w:pStyle w:val="Heading2"/>
      </w:pPr>
      <w:r w:rsidRPr="0012760D">
        <w:t>National Competition Policy</w:t>
      </w:r>
    </w:p>
    <w:p w:rsidR="00143898" w:rsidRPr="0012760D" w:rsidRDefault="00143898" w:rsidP="001C3CF8">
      <w:pPr>
        <w:rPr>
          <w:sz w:val="24"/>
          <w:szCs w:val="24"/>
        </w:rPr>
      </w:pPr>
    </w:p>
    <w:p w:rsidR="001C3CF8" w:rsidRPr="0012760D" w:rsidRDefault="001C3CF8" w:rsidP="001C3CF8">
      <w:pPr>
        <w:rPr>
          <w:sz w:val="24"/>
          <w:szCs w:val="24"/>
        </w:rPr>
      </w:pPr>
      <w:r w:rsidRPr="0012760D">
        <w:rPr>
          <w:sz w:val="24"/>
          <w:szCs w:val="24"/>
        </w:rPr>
        <w:t>Under the National Competition Policy, the guiding legislative principle is that legislation, including future legislative proposals, should not restrict competition unless it can be demonstrated that:</w:t>
      </w:r>
    </w:p>
    <w:p w:rsidR="001C3CF8" w:rsidRPr="0012760D" w:rsidRDefault="001C3CF8" w:rsidP="001C3CF8">
      <w:pPr>
        <w:rPr>
          <w:sz w:val="24"/>
          <w:szCs w:val="24"/>
        </w:rPr>
      </w:pPr>
      <w:r w:rsidRPr="0012760D">
        <w:rPr>
          <w:sz w:val="24"/>
          <w:szCs w:val="24"/>
        </w:rPr>
        <w:t>• the benefits of the restriction to the community as a whole outweigh the costs and</w:t>
      </w:r>
    </w:p>
    <w:p w:rsidR="001C3CF8" w:rsidRPr="0012760D" w:rsidRDefault="001C3CF8" w:rsidP="001C3CF8">
      <w:pPr>
        <w:rPr>
          <w:sz w:val="24"/>
          <w:szCs w:val="24"/>
        </w:rPr>
      </w:pPr>
      <w:r w:rsidRPr="0012760D">
        <w:rPr>
          <w:sz w:val="24"/>
          <w:szCs w:val="24"/>
        </w:rPr>
        <w:t>• the objectives of the legislation can only be achieved by restricting competition.</w:t>
      </w:r>
    </w:p>
    <w:p w:rsidR="00143898" w:rsidRDefault="00143898" w:rsidP="001C3CF8">
      <w:pPr>
        <w:rPr>
          <w:sz w:val="24"/>
          <w:szCs w:val="24"/>
        </w:rPr>
      </w:pPr>
    </w:p>
    <w:p w:rsidR="001C3CF8" w:rsidRPr="0012760D" w:rsidRDefault="001C3CF8" w:rsidP="001C3CF8">
      <w:pPr>
        <w:rPr>
          <w:sz w:val="24"/>
          <w:szCs w:val="24"/>
        </w:rPr>
      </w:pPr>
      <w:r w:rsidRPr="0012760D">
        <w:rPr>
          <w:sz w:val="24"/>
          <w:szCs w:val="24"/>
        </w:rPr>
        <w:lastRenderedPageBreak/>
        <w:t>We continue to comply with the requirements of the National Competition Policy. Competitive neutrality means fair competition between government and private sector businesses. Any advantages or disadvantages that government businesses might have, simply as a result of government ownership, should be neutralised. We continue to apply this principle in our business undertakings.</w:t>
      </w:r>
    </w:p>
    <w:p w:rsidR="00D843CA" w:rsidRPr="0012760D" w:rsidRDefault="00D843CA" w:rsidP="00D843CA">
      <w:pPr>
        <w:rPr>
          <w:bCs/>
          <w:sz w:val="24"/>
          <w:szCs w:val="24"/>
        </w:rPr>
      </w:pPr>
      <w:r w:rsidRPr="0012760D">
        <w:rPr>
          <w:bCs/>
          <w:sz w:val="24"/>
          <w:szCs w:val="24"/>
        </w:rPr>
        <w:t>&lt;pp&gt; 56</w:t>
      </w:r>
    </w:p>
    <w:p w:rsidR="00D843CA" w:rsidRDefault="00D843CA" w:rsidP="00D843CA">
      <w:pPr>
        <w:rPr>
          <w:sz w:val="24"/>
          <w:szCs w:val="24"/>
        </w:rPr>
      </w:pPr>
    </w:p>
    <w:p w:rsidR="00143898" w:rsidRPr="0012760D" w:rsidRDefault="00143898" w:rsidP="00D843CA">
      <w:pPr>
        <w:rPr>
          <w:sz w:val="24"/>
          <w:szCs w:val="24"/>
        </w:rPr>
      </w:pPr>
    </w:p>
    <w:p w:rsidR="00D843CA" w:rsidRDefault="00D843CA" w:rsidP="00143898">
      <w:pPr>
        <w:pStyle w:val="Heading2"/>
      </w:pPr>
      <w:r w:rsidRPr="0012760D">
        <w:t>Victorian Industry Participation Policy</w:t>
      </w:r>
    </w:p>
    <w:p w:rsidR="00143898" w:rsidRPr="0012760D" w:rsidRDefault="00143898" w:rsidP="00D843CA">
      <w:pPr>
        <w:rPr>
          <w:sz w:val="24"/>
          <w:szCs w:val="24"/>
        </w:rPr>
      </w:pPr>
    </w:p>
    <w:p w:rsidR="00D843CA" w:rsidRDefault="00D843CA" w:rsidP="00D843CA">
      <w:pPr>
        <w:rPr>
          <w:sz w:val="24"/>
          <w:szCs w:val="24"/>
        </w:rPr>
      </w:pPr>
      <w:r w:rsidRPr="0012760D">
        <w:rPr>
          <w:sz w:val="24"/>
          <w:szCs w:val="24"/>
        </w:rPr>
        <w:t xml:space="preserve">In October 2003, the Victorian Parliament passed the </w:t>
      </w:r>
      <w:r w:rsidRPr="0012760D">
        <w:rPr>
          <w:i/>
          <w:iCs/>
          <w:sz w:val="24"/>
          <w:szCs w:val="24"/>
        </w:rPr>
        <w:t xml:space="preserve">Victorian Industry Participation Policy Act 2003 </w:t>
      </w:r>
      <w:r w:rsidRPr="0012760D">
        <w:rPr>
          <w:sz w:val="24"/>
          <w:szCs w:val="24"/>
        </w:rPr>
        <w:t>(Vic), which requires public bodies and departments to report on the implementation of the Victorian Industry Participation Policy (V</w:t>
      </w:r>
      <w:r w:rsidR="00EF242F">
        <w:rPr>
          <w:sz w:val="24"/>
          <w:szCs w:val="24"/>
        </w:rPr>
        <w:t xml:space="preserve"> </w:t>
      </w:r>
      <w:r w:rsidRPr="0012760D">
        <w:rPr>
          <w:sz w:val="24"/>
          <w:szCs w:val="24"/>
        </w:rPr>
        <w:t>I</w:t>
      </w:r>
      <w:r w:rsidR="00EF242F">
        <w:rPr>
          <w:sz w:val="24"/>
          <w:szCs w:val="24"/>
        </w:rPr>
        <w:t xml:space="preserve"> </w:t>
      </w:r>
      <w:r w:rsidRPr="0012760D">
        <w:rPr>
          <w:sz w:val="24"/>
          <w:szCs w:val="24"/>
        </w:rPr>
        <w:t>P</w:t>
      </w:r>
      <w:r w:rsidR="00EF242F">
        <w:rPr>
          <w:sz w:val="24"/>
          <w:szCs w:val="24"/>
        </w:rPr>
        <w:t xml:space="preserve"> </w:t>
      </w:r>
      <w:r w:rsidRPr="0012760D">
        <w:rPr>
          <w:sz w:val="24"/>
          <w:szCs w:val="24"/>
        </w:rPr>
        <w:t xml:space="preserve">P). Departments and public bodies must apply </w:t>
      </w:r>
      <w:r w:rsidR="00EF242F">
        <w:rPr>
          <w:sz w:val="24"/>
          <w:szCs w:val="24"/>
        </w:rPr>
        <w:t>V I P P</w:t>
      </w:r>
      <w:r w:rsidRPr="0012760D">
        <w:rPr>
          <w:sz w:val="24"/>
          <w:szCs w:val="24"/>
        </w:rPr>
        <w:t xml:space="preserve"> in all tenders over $3 million in metropolitan Melbourne and over $1 million in regional Victoria.</w:t>
      </w:r>
    </w:p>
    <w:p w:rsidR="00143898" w:rsidRPr="0012760D" w:rsidRDefault="00143898" w:rsidP="00D843CA">
      <w:pPr>
        <w:rPr>
          <w:sz w:val="24"/>
          <w:szCs w:val="24"/>
        </w:rPr>
      </w:pPr>
    </w:p>
    <w:p w:rsidR="00D843CA" w:rsidRDefault="00D843CA" w:rsidP="00D843CA">
      <w:pPr>
        <w:rPr>
          <w:sz w:val="24"/>
          <w:szCs w:val="24"/>
        </w:rPr>
      </w:pPr>
      <w:r w:rsidRPr="0012760D">
        <w:rPr>
          <w:sz w:val="24"/>
          <w:szCs w:val="24"/>
        </w:rPr>
        <w:t xml:space="preserve">During 2012 to 13, we completed one contract relevant to </w:t>
      </w:r>
      <w:r w:rsidR="00EF242F">
        <w:rPr>
          <w:sz w:val="24"/>
          <w:szCs w:val="24"/>
        </w:rPr>
        <w:t>V I P P</w:t>
      </w:r>
      <w:r w:rsidRPr="0012760D">
        <w:rPr>
          <w:sz w:val="24"/>
          <w:szCs w:val="24"/>
        </w:rPr>
        <w:t xml:space="preserve"> and did not commence any contracts relevant to </w:t>
      </w:r>
      <w:r w:rsidR="00EF242F">
        <w:rPr>
          <w:sz w:val="24"/>
          <w:szCs w:val="24"/>
        </w:rPr>
        <w:t>V I P P</w:t>
      </w:r>
      <w:r w:rsidRPr="0012760D">
        <w:rPr>
          <w:sz w:val="24"/>
          <w:szCs w:val="24"/>
        </w:rPr>
        <w:t>.</w:t>
      </w:r>
    </w:p>
    <w:p w:rsidR="00143898" w:rsidRPr="0012760D" w:rsidRDefault="00143898" w:rsidP="00D843CA">
      <w:pPr>
        <w:rPr>
          <w:sz w:val="24"/>
          <w:szCs w:val="24"/>
        </w:rPr>
      </w:pPr>
    </w:p>
    <w:p w:rsidR="00D843CA" w:rsidRPr="0012760D" w:rsidRDefault="00D843CA" w:rsidP="00D843CA">
      <w:pPr>
        <w:rPr>
          <w:sz w:val="24"/>
          <w:szCs w:val="24"/>
        </w:rPr>
      </w:pPr>
      <w:r w:rsidRPr="0012760D">
        <w:rPr>
          <w:sz w:val="24"/>
          <w:szCs w:val="24"/>
        </w:rPr>
        <w:t xml:space="preserve">Details of the contract completed to which the </w:t>
      </w:r>
      <w:r w:rsidR="00EF242F">
        <w:rPr>
          <w:sz w:val="24"/>
          <w:szCs w:val="24"/>
        </w:rPr>
        <w:t>V I P P</w:t>
      </w:r>
      <w:r w:rsidRPr="0012760D">
        <w:rPr>
          <w:sz w:val="24"/>
          <w:szCs w:val="24"/>
        </w:rPr>
        <w:t xml:space="preserve"> applied are as follows:</w:t>
      </w:r>
    </w:p>
    <w:p w:rsidR="00D843CA" w:rsidRPr="0012760D" w:rsidRDefault="00D843CA" w:rsidP="00D843CA">
      <w:pPr>
        <w:rPr>
          <w:sz w:val="24"/>
          <w:szCs w:val="24"/>
        </w:rPr>
      </w:pPr>
      <w:r w:rsidRPr="0012760D">
        <w:rPr>
          <w:sz w:val="24"/>
          <w:szCs w:val="24"/>
        </w:rPr>
        <w:t>• the contract commenced on 3 October 2008 and was completed on 30 June 2013.</w:t>
      </w:r>
    </w:p>
    <w:p w:rsidR="00D843CA" w:rsidRPr="0012760D" w:rsidRDefault="00D843CA" w:rsidP="00D843CA">
      <w:pPr>
        <w:rPr>
          <w:sz w:val="24"/>
          <w:szCs w:val="24"/>
        </w:rPr>
      </w:pPr>
      <w:r w:rsidRPr="0012760D">
        <w:rPr>
          <w:sz w:val="24"/>
          <w:szCs w:val="24"/>
        </w:rPr>
        <w:t>• the contract totalled $7.3 million in value, affecting both metropolitan Melbourne and regional Victoria.</w:t>
      </w:r>
    </w:p>
    <w:p w:rsidR="00D843CA" w:rsidRPr="0012760D" w:rsidRDefault="00D843CA" w:rsidP="00D843CA">
      <w:pPr>
        <w:rPr>
          <w:sz w:val="24"/>
          <w:szCs w:val="24"/>
        </w:rPr>
      </w:pPr>
      <w:r w:rsidRPr="0012760D">
        <w:rPr>
          <w:sz w:val="24"/>
          <w:szCs w:val="24"/>
        </w:rPr>
        <w:t xml:space="preserve">• the outcomes reported by the contractor under </w:t>
      </w:r>
      <w:r w:rsidR="00EF242F">
        <w:rPr>
          <w:sz w:val="24"/>
          <w:szCs w:val="24"/>
        </w:rPr>
        <w:t>V I P P</w:t>
      </w:r>
      <w:r w:rsidRPr="0012760D">
        <w:rPr>
          <w:sz w:val="24"/>
          <w:szCs w:val="24"/>
        </w:rPr>
        <w:t xml:space="preserve"> were consistent with its commitments and included:</w:t>
      </w:r>
    </w:p>
    <w:p w:rsidR="00D843CA" w:rsidRPr="0012760D" w:rsidRDefault="00D843CA" w:rsidP="00D843CA">
      <w:pPr>
        <w:rPr>
          <w:sz w:val="24"/>
          <w:szCs w:val="24"/>
        </w:rPr>
      </w:pPr>
      <w:r w:rsidRPr="0012760D">
        <w:rPr>
          <w:sz w:val="24"/>
          <w:szCs w:val="24"/>
        </w:rPr>
        <w:t>- an overall level of local content of 98 per cent of the total value of the contract and eight full-time equivalent jobs</w:t>
      </w:r>
    </w:p>
    <w:p w:rsidR="00D843CA" w:rsidRPr="0012760D" w:rsidRDefault="00D843CA" w:rsidP="00D843CA">
      <w:pPr>
        <w:rPr>
          <w:sz w:val="24"/>
          <w:szCs w:val="24"/>
        </w:rPr>
      </w:pPr>
      <w:r w:rsidRPr="0012760D">
        <w:rPr>
          <w:sz w:val="24"/>
          <w:szCs w:val="24"/>
        </w:rPr>
        <w:t>- benefits to the Victorian economy in terms of skills and technology transfer, including operation of advanced waste management technologies</w:t>
      </w:r>
    </w:p>
    <w:p w:rsidR="00D843CA" w:rsidRPr="0012760D" w:rsidRDefault="00D843CA" w:rsidP="00D843CA">
      <w:pPr>
        <w:rPr>
          <w:sz w:val="24"/>
          <w:szCs w:val="24"/>
        </w:rPr>
      </w:pPr>
      <w:r w:rsidRPr="0012760D">
        <w:rPr>
          <w:sz w:val="24"/>
          <w:szCs w:val="24"/>
        </w:rPr>
        <w:t>- occupational health and safety skill training, chemical awareness and safety training, warehouse and storage certification, driver certification in transporting prescribed industrial Waste, development of computer and technical data management skills.</w:t>
      </w:r>
    </w:p>
    <w:p w:rsidR="00143898" w:rsidRDefault="00143898" w:rsidP="00D843CA">
      <w:pPr>
        <w:rPr>
          <w:sz w:val="24"/>
          <w:szCs w:val="24"/>
        </w:rPr>
      </w:pPr>
    </w:p>
    <w:p w:rsidR="00D843CA" w:rsidRPr="0012760D" w:rsidRDefault="00D843CA" w:rsidP="00D843CA">
      <w:pPr>
        <w:rPr>
          <w:sz w:val="24"/>
          <w:szCs w:val="24"/>
        </w:rPr>
      </w:pPr>
      <w:r w:rsidRPr="0012760D">
        <w:rPr>
          <w:sz w:val="24"/>
          <w:szCs w:val="24"/>
        </w:rPr>
        <w:t xml:space="preserve">In line with its </w:t>
      </w:r>
      <w:r w:rsidR="00EF242F">
        <w:rPr>
          <w:sz w:val="24"/>
          <w:szCs w:val="24"/>
        </w:rPr>
        <w:t>V I P P</w:t>
      </w:r>
      <w:r w:rsidRPr="0012760D">
        <w:rPr>
          <w:sz w:val="24"/>
          <w:szCs w:val="24"/>
        </w:rPr>
        <w:t xml:space="preserve"> statement, upskilling has been a key feature for several of the contractor</w:t>
      </w:r>
      <w:r w:rsidR="00425F22" w:rsidRPr="0012760D">
        <w:rPr>
          <w:sz w:val="24"/>
          <w:szCs w:val="24"/>
        </w:rPr>
        <w:t>'</w:t>
      </w:r>
      <w:r w:rsidRPr="0012760D">
        <w:rPr>
          <w:sz w:val="24"/>
          <w:szCs w:val="24"/>
        </w:rPr>
        <w:t>s staff who have taken on the challenge of operating critical equipment for processes such as paint depacking via the contractor</w:t>
      </w:r>
      <w:r w:rsidR="00425F22" w:rsidRPr="0012760D">
        <w:rPr>
          <w:sz w:val="24"/>
          <w:szCs w:val="24"/>
        </w:rPr>
        <w:t>'</w:t>
      </w:r>
      <w:r w:rsidRPr="0012760D">
        <w:rPr>
          <w:sz w:val="24"/>
          <w:szCs w:val="24"/>
        </w:rPr>
        <w:t>s Hazpak machine and Fluorescent Tube processing. Included in the upskilling has been advanced driver training to enable those drivers who aren</w:t>
      </w:r>
      <w:r w:rsidR="00425F22" w:rsidRPr="0012760D">
        <w:rPr>
          <w:sz w:val="24"/>
          <w:szCs w:val="24"/>
        </w:rPr>
        <w:t>'</w:t>
      </w:r>
      <w:r w:rsidRPr="0012760D">
        <w:rPr>
          <w:sz w:val="24"/>
          <w:szCs w:val="24"/>
        </w:rPr>
        <w:t>t truck and trailer licenced to achieve that status.</w:t>
      </w:r>
    </w:p>
    <w:p w:rsidR="00D843CA" w:rsidRDefault="00D843CA" w:rsidP="00D843CA">
      <w:pPr>
        <w:rPr>
          <w:sz w:val="24"/>
          <w:szCs w:val="24"/>
        </w:rPr>
      </w:pPr>
    </w:p>
    <w:p w:rsidR="00143898" w:rsidRPr="0012760D" w:rsidRDefault="00143898" w:rsidP="00D843CA">
      <w:pPr>
        <w:rPr>
          <w:sz w:val="24"/>
          <w:szCs w:val="24"/>
        </w:rPr>
      </w:pPr>
    </w:p>
    <w:p w:rsidR="00D843CA" w:rsidRDefault="00D843CA" w:rsidP="00143898">
      <w:pPr>
        <w:pStyle w:val="Heading2"/>
      </w:pPr>
      <w:r w:rsidRPr="0012760D">
        <w:t>Whistleblowers Protection Act</w:t>
      </w:r>
    </w:p>
    <w:p w:rsidR="00143898" w:rsidRPr="0012760D" w:rsidRDefault="00143898" w:rsidP="00D843CA">
      <w:pPr>
        <w:rPr>
          <w:sz w:val="24"/>
          <w:szCs w:val="24"/>
        </w:rPr>
      </w:pPr>
    </w:p>
    <w:p w:rsidR="00D843CA" w:rsidRDefault="00D843CA" w:rsidP="00D843CA">
      <w:pPr>
        <w:rPr>
          <w:sz w:val="24"/>
          <w:szCs w:val="24"/>
        </w:rPr>
      </w:pPr>
      <w:r w:rsidRPr="0012760D">
        <w:rPr>
          <w:i/>
          <w:iCs/>
          <w:sz w:val="24"/>
          <w:szCs w:val="24"/>
        </w:rPr>
        <w:t xml:space="preserve">The Whistleblowers Protection Act 2001 </w:t>
      </w:r>
      <w:r w:rsidRPr="0012760D">
        <w:rPr>
          <w:sz w:val="24"/>
          <w:szCs w:val="24"/>
        </w:rPr>
        <w:t>(Vic) encourages and helps people to disclose improper conduct by public officers and public bodies. The Act protects people who disclose in accordance with the Act, and establishes a system where the information disclosed can be investigated and matters rectified.</w:t>
      </w:r>
    </w:p>
    <w:p w:rsidR="00143898" w:rsidRPr="0012760D" w:rsidRDefault="00143898" w:rsidP="00D843CA">
      <w:pPr>
        <w:rPr>
          <w:sz w:val="24"/>
          <w:szCs w:val="24"/>
        </w:rPr>
      </w:pPr>
    </w:p>
    <w:p w:rsidR="00D843CA" w:rsidRDefault="00D843CA" w:rsidP="00D843CA">
      <w:pPr>
        <w:rPr>
          <w:sz w:val="24"/>
          <w:szCs w:val="24"/>
        </w:rPr>
      </w:pPr>
      <w:r w:rsidRPr="0012760D">
        <w:rPr>
          <w:sz w:val="24"/>
          <w:szCs w:val="24"/>
        </w:rPr>
        <w:t xml:space="preserve">We do not tolerate improper conduct by employees, or reprisals against people who </w:t>
      </w:r>
      <w:r w:rsidRPr="0012760D">
        <w:rPr>
          <w:sz w:val="24"/>
          <w:szCs w:val="24"/>
        </w:rPr>
        <w:lastRenderedPageBreak/>
        <w:t>disclose this conduct. We ensure transparency and accountability in our administration and management, and we support disclosures that reveal corrupt conduct, substantial mismanagement of public resources, and substantial risks to public health and safety or the environment.</w:t>
      </w:r>
    </w:p>
    <w:p w:rsidR="00143898" w:rsidRPr="0012760D" w:rsidRDefault="00143898" w:rsidP="00D843CA">
      <w:pPr>
        <w:rPr>
          <w:sz w:val="24"/>
          <w:szCs w:val="24"/>
        </w:rPr>
      </w:pPr>
    </w:p>
    <w:p w:rsidR="00D843CA" w:rsidRDefault="00D843CA" w:rsidP="00D843CA">
      <w:pPr>
        <w:rPr>
          <w:sz w:val="24"/>
          <w:szCs w:val="24"/>
        </w:rPr>
      </w:pPr>
      <w:r w:rsidRPr="0012760D">
        <w:rPr>
          <w:sz w:val="24"/>
          <w:szCs w:val="24"/>
        </w:rPr>
        <w:t>We will take all reasonable steps to protect people who make disclosures from any reprisals. We will also afford natural justice to the person who is the subject of the disclosure, to the extent it is legally possible.</w:t>
      </w:r>
    </w:p>
    <w:p w:rsidR="00143898" w:rsidRPr="0012760D" w:rsidRDefault="00143898" w:rsidP="00D843CA">
      <w:pPr>
        <w:rPr>
          <w:sz w:val="24"/>
          <w:szCs w:val="24"/>
        </w:rPr>
      </w:pPr>
    </w:p>
    <w:p w:rsidR="00D843CA" w:rsidRPr="0012760D" w:rsidRDefault="00EF242F" w:rsidP="00D843CA">
      <w:pPr>
        <w:rPr>
          <w:sz w:val="24"/>
          <w:szCs w:val="24"/>
        </w:rPr>
      </w:pPr>
      <w:r w:rsidRPr="0012760D">
        <w:rPr>
          <w:sz w:val="24"/>
          <w:szCs w:val="24"/>
        </w:rPr>
        <w:t xml:space="preserve">In </w:t>
      </w:r>
      <w:r w:rsidR="00D843CA" w:rsidRPr="0012760D">
        <w:rPr>
          <w:sz w:val="24"/>
          <w:szCs w:val="24"/>
        </w:rPr>
        <w:t>2012 to 13, no disclosures were reported in accordance with the Act.</w:t>
      </w:r>
    </w:p>
    <w:p w:rsidR="00D843CA" w:rsidRDefault="00D843CA" w:rsidP="00D843CA">
      <w:pPr>
        <w:rPr>
          <w:sz w:val="24"/>
          <w:szCs w:val="24"/>
        </w:rPr>
      </w:pPr>
    </w:p>
    <w:p w:rsidR="00143898" w:rsidRPr="0012760D" w:rsidRDefault="00143898" w:rsidP="00D843CA">
      <w:pPr>
        <w:rPr>
          <w:sz w:val="24"/>
          <w:szCs w:val="24"/>
        </w:rPr>
      </w:pPr>
    </w:p>
    <w:p w:rsidR="00D843CA" w:rsidRDefault="00D843CA" w:rsidP="00143898">
      <w:pPr>
        <w:pStyle w:val="Heading2"/>
      </w:pPr>
      <w:r w:rsidRPr="0012760D">
        <w:t>Further Information</w:t>
      </w:r>
    </w:p>
    <w:p w:rsidR="00143898" w:rsidRPr="0012760D" w:rsidRDefault="00143898" w:rsidP="00D843CA">
      <w:pPr>
        <w:rPr>
          <w:sz w:val="24"/>
          <w:szCs w:val="24"/>
        </w:rPr>
      </w:pPr>
    </w:p>
    <w:p w:rsidR="00D843CA" w:rsidRPr="0012760D" w:rsidRDefault="00D843CA" w:rsidP="00D843CA">
      <w:pPr>
        <w:rPr>
          <w:sz w:val="24"/>
          <w:szCs w:val="24"/>
        </w:rPr>
      </w:pPr>
      <w:r w:rsidRPr="0012760D">
        <w:rPr>
          <w:sz w:val="24"/>
          <w:szCs w:val="24"/>
        </w:rPr>
        <w:t>Written guidelines outlining the system for reporting disclosures are available on our website and in Appendix 8.</w:t>
      </w:r>
    </w:p>
    <w:p w:rsidR="00D843CA" w:rsidRDefault="00D843CA" w:rsidP="00D843CA">
      <w:pPr>
        <w:rPr>
          <w:sz w:val="24"/>
          <w:szCs w:val="24"/>
        </w:rPr>
      </w:pPr>
    </w:p>
    <w:p w:rsidR="00143898" w:rsidRPr="0012760D" w:rsidRDefault="00143898" w:rsidP="00D843CA">
      <w:pPr>
        <w:rPr>
          <w:sz w:val="24"/>
          <w:szCs w:val="24"/>
        </w:rPr>
      </w:pPr>
    </w:p>
    <w:p w:rsidR="00D843CA" w:rsidRDefault="00D843CA" w:rsidP="00143898">
      <w:pPr>
        <w:pStyle w:val="Heading2"/>
      </w:pPr>
      <w:r w:rsidRPr="0012760D">
        <w:t>Protected Disclosure Act</w:t>
      </w:r>
    </w:p>
    <w:p w:rsidR="00143898" w:rsidRPr="0012760D" w:rsidRDefault="00143898" w:rsidP="00D843CA">
      <w:pPr>
        <w:rPr>
          <w:sz w:val="24"/>
          <w:szCs w:val="24"/>
        </w:rPr>
      </w:pPr>
    </w:p>
    <w:p w:rsidR="00D843CA" w:rsidRPr="0012760D" w:rsidRDefault="00D843CA" w:rsidP="00D843CA">
      <w:pPr>
        <w:rPr>
          <w:sz w:val="24"/>
          <w:szCs w:val="24"/>
        </w:rPr>
      </w:pPr>
      <w:r w:rsidRPr="0012760D">
        <w:rPr>
          <w:sz w:val="24"/>
          <w:szCs w:val="24"/>
        </w:rPr>
        <w:t xml:space="preserve">On 10 February 2013, the </w:t>
      </w:r>
      <w:r w:rsidRPr="0012760D">
        <w:rPr>
          <w:i/>
          <w:iCs/>
          <w:sz w:val="24"/>
          <w:szCs w:val="24"/>
        </w:rPr>
        <w:t xml:space="preserve">Protected Disclosure Act 2012 </w:t>
      </w:r>
      <w:r w:rsidRPr="0012760D">
        <w:rPr>
          <w:sz w:val="24"/>
          <w:szCs w:val="24"/>
        </w:rPr>
        <w:t xml:space="preserve">(Vic) commenced, replacing the Whistleblowers Protection Act. We are currently developing policies and procedures to implement the Protected Disclosure Act by 10 August 2013. Visit our website at </w:t>
      </w:r>
      <w:hyperlink r:id="rId16" w:history="1">
        <w:r w:rsidRPr="0012760D">
          <w:rPr>
            <w:sz w:val="24"/>
            <w:szCs w:val="24"/>
          </w:rPr>
          <w:t>www.sustainability.vic.gov.au</w:t>
        </w:r>
      </w:hyperlink>
      <w:r w:rsidRPr="0012760D">
        <w:rPr>
          <w:sz w:val="24"/>
          <w:szCs w:val="24"/>
        </w:rPr>
        <w:t xml:space="preserve"> after 10 August 2013 for information on our new policies and procedures in accordance with the Protected Disclosure Act.</w:t>
      </w:r>
    </w:p>
    <w:p w:rsidR="00994911" w:rsidRPr="0012760D" w:rsidRDefault="00994911" w:rsidP="00994911">
      <w:pPr>
        <w:rPr>
          <w:bCs/>
          <w:sz w:val="24"/>
          <w:szCs w:val="24"/>
        </w:rPr>
      </w:pPr>
      <w:r w:rsidRPr="0012760D">
        <w:rPr>
          <w:bCs/>
          <w:sz w:val="24"/>
          <w:szCs w:val="24"/>
        </w:rPr>
        <w:t>&lt;pp&gt; 57</w:t>
      </w:r>
    </w:p>
    <w:p w:rsidR="00994911" w:rsidRDefault="00994911" w:rsidP="00994911">
      <w:pPr>
        <w:rPr>
          <w:sz w:val="24"/>
          <w:szCs w:val="24"/>
        </w:rPr>
      </w:pPr>
    </w:p>
    <w:p w:rsidR="00143898" w:rsidRPr="0012760D" w:rsidRDefault="00143898" w:rsidP="00994911">
      <w:pPr>
        <w:rPr>
          <w:sz w:val="24"/>
          <w:szCs w:val="24"/>
        </w:rPr>
      </w:pPr>
    </w:p>
    <w:p w:rsidR="00994911" w:rsidRPr="0012760D" w:rsidRDefault="00994911" w:rsidP="00143898">
      <w:pPr>
        <w:pStyle w:val="Heading2"/>
      </w:pPr>
      <w:r w:rsidRPr="0012760D">
        <w:t>Disability Act</w:t>
      </w:r>
    </w:p>
    <w:p w:rsidR="00994911" w:rsidRPr="0012760D" w:rsidRDefault="00994911" w:rsidP="00994911">
      <w:pPr>
        <w:rPr>
          <w:sz w:val="24"/>
          <w:szCs w:val="24"/>
        </w:rPr>
      </w:pPr>
    </w:p>
    <w:p w:rsidR="00994911" w:rsidRDefault="00994911" w:rsidP="00143898">
      <w:pPr>
        <w:pStyle w:val="Heading3"/>
      </w:pPr>
      <w:r w:rsidRPr="0012760D">
        <w:t>Managing and celebrating diversity - compliance with other legislation</w:t>
      </w:r>
    </w:p>
    <w:p w:rsidR="00143898" w:rsidRPr="0012760D" w:rsidRDefault="00143898" w:rsidP="00994911">
      <w:pPr>
        <w:rPr>
          <w:sz w:val="24"/>
          <w:szCs w:val="24"/>
        </w:rPr>
      </w:pPr>
    </w:p>
    <w:p w:rsidR="00994911" w:rsidRDefault="00994911" w:rsidP="00994911">
      <w:pPr>
        <w:rPr>
          <w:sz w:val="24"/>
          <w:szCs w:val="24"/>
        </w:rPr>
      </w:pPr>
      <w:r w:rsidRPr="0012760D">
        <w:rPr>
          <w:sz w:val="24"/>
          <w:szCs w:val="24"/>
        </w:rPr>
        <w:t>Sustainability Victoria (SV) is committed to actively managing diversity by adopting and implementing inclusive policies and strategies that advance diversity as a positive force in our organisation. We value the differences between people and the contribution these differences make to our organisation to foster greater innovation, stronger problem-solving capability, leadership, superior customer service, increased morale, motivation and engagement.</w:t>
      </w:r>
    </w:p>
    <w:p w:rsidR="00143898" w:rsidRPr="0012760D" w:rsidRDefault="00143898" w:rsidP="00994911">
      <w:pPr>
        <w:rPr>
          <w:sz w:val="24"/>
          <w:szCs w:val="24"/>
        </w:rPr>
      </w:pPr>
    </w:p>
    <w:p w:rsidR="00994911" w:rsidRPr="0012760D" w:rsidRDefault="00994911" w:rsidP="00994911">
      <w:pPr>
        <w:rPr>
          <w:sz w:val="24"/>
          <w:szCs w:val="24"/>
        </w:rPr>
      </w:pPr>
      <w:r w:rsidRPr="0012760D">
        <w:rPr>
          <w:sz w:val="24"/>
          <w:szCs w:val="24"/>
        </w:rPr>
        <w:t>As part of our commitment to supporting a diverse workplace, we meet our legislative requirements and actively support inclusion by:</w:t>
      </w:r>
    </w:p>
    <w:p w:rsidR="00994911" w:rsidRPr="0012760D" w:rsidRDefault="00994911" w:rsidP="00994911">
      <w:pPr>
        <w:rPr>
          <w:sz w:val="24"/>
          <w:szCs w:val="24"/>
        </w:rPr>
      </w:pPr>
      <w:r w:rsidRPr="0012760D">
        <w:rPr>
          <w:sz w:val="24"/>
          <w:szCs w:val="24"/>
        </w:rPr>
        <w:t>• encouraging and valuing diversity and inclusion</w:t>
      </w:r>
    </w:p>
    <w:p w:rsidR="00994911" w:rsidRPr="0012760D" w:rsidRDefault="00994911" w:rsidP="00994911">
      <w:pPr>
        <w:rPr>
          <w:sz w:val="24"/>
          <w:szCs w:val="24"/>
        </w:rPr>
      </w:pPr>
      <w:r w:rsidRPr="0012760D">
        <w:rPr>
          <w:sz w:val="24"/>
          <w:szCs w:val="24"/>
        </w:rPr>
        <w:t>• ensuring equitable and fair treatment for all</w:t>
      </w:r>
    </w:p>
    <w:p w:rsidR="00994911" w:rsidRPr="0012760D" w:rsidRDefault="00994911" w:rsidP="00994911">
      <w:pPr>
        <w:rPr>
          <w:sz w:val="24"/>
          <w:szCs w:val="24"/>
        </w:rPr>
      </w:pPr>
      <w:r w:rsidRPr="0012760D">
        <w:rPr>
          <w:sz w:val="24"/>
          <w:szCs w:val="24"/>
        </w:rPr>
        <w:t>• respecting and upholding human rights.</w:t>
      </w:r>
    </w:p>
    <w:p w:rsidR="00143898" w:rsidRDefault="00143898" w:rsidP="00994911">
      <w:pPr>
        <w:rPr>
          <w:sz w:val="24"/>
          <w:szCs w:val="24"/>
        </w:rPr>
      </w:pPr>
    </w:p>
    <w:p w:rsidR="00994911" w:rsidRDefault="00994911" w:rsidP="00994911">
      <w:pPr>
        <w:rPr>
          <w:sz w:val="24"/>
          <w:szCs w:val="24"/>
        </w:rPr>
      </w:pPr>
      <w:r w:rsidRPr="0012760D">
        <w:rPr>
          <w:sz w:val="24"/>
          <w:szCs w:val="24"/>
        </w:rPr>
        <w:t>We have a range of policies to support and promote a diverse workforce (diversity</w:t>
      </w:r>
      <w:r w:rsidR="00143898">
        <w:rPr>
          <w:sz w:val="24"/>
          <w:szCs w:val="24"/>
        </w:rPr>
        <w:t>, equal employment opportunity (</w:t>
      </w:r>
      <w:r w:rsidRPr="0012760D">
        <w:rPr>
          <w:sz w:val="24"/>
          <w:szCs w:val="24"/>
        </w:rPr>
        <w:t>EEO</w:t>
      </w:r>
      <w:r w:rsidR="00143898">
        <w:rPr>
          <w:sz w:val="24"/>
          <w:szCs w:val="24"/>
        </w:rPr>
        <w:t>)</w:t>
      </w:r>
      <w:r w:rsidRPr="0012760D">
        <w:rPr>
          <w:sz w:val="24"/>
          <w:szCs w:val="24"/>
        </w:rPr>
        <w:t>, Bullying, Grievance and Flexible Work Options) and in 2013, we undertook a review of our organisational values. The newly developed Guide to Values and Behaviours supports our commitment to providing a workplace that is free of discrimination, harassment, victimisation and bullying.</w:t>
      </w:r>
    </w:p>
    <w:p w:rsidR="00143898" w:rsidRPr="0012760D" w:rsidRDefault="00143898" w:rsidP="00994911">
      <w:pPr>
        <w:rPr>
          <w:sz w:val="24"/>
          <w:szCs w:val="24"/>
        </w:rPr>
      </w:pPr>
    </w:p>
    <w:p w:rsidR="00994911" w:rsidRPr="0012760D" w:rsidRDefault="00994911" w:rsidP="00994911">
      <w:pPr>
        <w:rPr>
          <w:sz w:val="24"/>
          <w:szCs w:val="24"/>
        </w:rPr>
      </w:pPr>
      <w:r w:rsidRPr="0012760D">
        <w:rPr>
          <w:sz w:val="24"/>
          <w:szCs w:val="24"/>
        </w:rPr>
        <w:t xml:space="preserve">in June 2013, a baseline for diversity inclusion was developed in the form of a diversity inclusion plan. The plan will be implemented from July 2013 to June 2016, with ongoing monitoring and review by the people </w:t>
      </w:r>
      <w:r w:rsidR="00236A13">
        <w:rPr>
          <w:sz w:val="24"/>
          <w:szCs w:val="24"/>
        </w:rPr>
        <w:t>and</w:t>
      </w:r>
      <w:r w:rsidRPr="0012760D">
        <w:rPr>
          <w:sz w:val="24"/>
          <w:szCs w:val="24"/>
        </w:rPr>
        <w:t xml:space="preserve"> culture committee. The plan forms the basis for progressing diversity initiatives beyond existing policies across SV, and includes minimum legislative requirements outlined in the </w:t>
      </w:r>
      <w:r w:rsidRPr="0012760D">
        <w:rPr>
          <w:i/>
          <w:iCs/>
          <w:sz w:val="24"/>
          <w:szCs w:val="24"/>
        </w:rPr>
        <w:t xml:space="preserve">Disability Act 2006 </w:t>
      </w:r>
      <w:r w:rsidRPr="0012760D">
        <w:rPr>
          <w:sz w:val="24"/>
          <w:szCs w:val="24"/>
        </w:rPr>
        <w:t>(Vic). This includes awareness raising and celebration of diversity and ensuring access to our goods, services and facilities.</w:t>
      </w:r>
    </w:p>
    <w:p w:rsidR="00FD0A8F" w:rsidRDefault="00FD0A8F" w:rsidP="00FD0A8F">
      <w:pPr>
        <w:rPr>
          <w:bCs/>
          <w:sz w:val="24"/>
          <w:szCs w:val="24"/>
        </w:rPr>
      </w:pPr>
      <w:r w:rsidRPr="0012760D">
        <w:rPr>
          <w:bCs/>
          <w:sz w:val="24"/>
          <w:szCs w:val="24"/>
        </w:rPr>
        <w:t>&lt;pp&gt; 58</w:t>
      </w:r>
    </w:p>
    <w:p w:rsidR="00143898" w:rsidRDefault="00143898" w:rsidP="00FD0A8F">
      <w:pPr>
        <w:rPr>
          <w:bCs/>
          <w:sz w:val="24"/>
          <w:szCs w:val="24"/>
        </w:rPr>
      </w:pPr>
    </w:p>
    <w:p w:rsidR="00143898" w:rsidRPr="0012760D" w:rsidRDefault="00143898" w:rsidP="00FD0A8F">
      <w:pPr>
        <w:rPr>
          <w:sz w:val="24"/>
          <w:szCs w:val="24"/>
        </w:rPr>
      </w:pPr>
    </w:p>
    <w:p w:rsidR="00FD0A8F" w:rsidRDefault="00FD0A8F" w:rsidP="00143898">
      <w:pPr>
        <w:pStyle w:val="Heading1"/>
      </w:pPr>
      <w:r w:rsidRPr="0012760D">
        <w:t>Part 9</w:t>
      </w:r>
      <w:r w:rsidR="00143898">
        <w:br/>
      </w:r>
      <w:r w:rsidRPr="0012760D">
        <w:t>Disclosure Index</w:t>
      </w:r>
    </w:p>
    <w:p w:rsidR="00143898" w:rsidRPr="0012760D" w:rsidRDefault="00143898" w:rsidP="00FD0A8F">
      <w:pPr>
        <w:rPr>
          <w:sz w:val="24"/>
          <w:szCs w:val="24"/>
        </w:rPr>
      </w:pPr>
    </w:p>
    <w:p w:rsidR="00FD0A8F" w:rsidRDefault="00FD0A8F" w:rsidP="00FD0A8F">
      <w:pPr>
        <w:rPr>
          <w:sz w:val="24"/>
          <w:szCs w:val="24"/>
        </w:rPr>
      </w:pPr>
      <w:r w:rsidRPr="0012760D">
        <w:rPr>
          <w:sz w:val="24"/>
          <w:szCs w:val="24"/>
        </w:rPr>
        <w:t>The 2012 to 13 Annual Report of Sustainability Victoria is prepared in accordance with all relevant Victorian legislation.</w:t>
      </w:r>
    </w:p>
    <w:p w:rsidR="00143898" w:rsidRPr="0012760D" w:rsidRDefault="00143898" w:rsidP="00FD0A8F">
      <w:pPr>
        <w:rPr>
          <w:sz w:val="24"/>
          <w:szCs w:val="24"/>
        </w:rPr>
      </w:pPr>
    </w:p>
    <w:p w:rsidR="00FD0A8F" w:rsidRPr="0012760D" w:rsidRDefault="00FD0A8F" w:rsidP="00FD0A8F">
      <w:pPr>
        <w:rPr>
          <w:sz w:val="24"/>
          <w:szCs w:val="24"/>
        </w:rPr>
      </w:pPr>
      <w:r w:rsidRPr="0012760D">
        <w:rPr>
          <w:sz w:val="24"/>
          <w:szCs w:val="24"/>
        </w:rPr>
        <w:t>This index has been prepared to facilitate identification of the authority</w:t>
      </w:r>
      <w:r w:rsidR="00425F22" w:rsidRPr="0012760D">
        <w:rPr>
          <w:sz w:val="24"/>
          <w:szCs w:val="24"/>
        </w:rPr>
        <w:t>'</w:t>
      </w:r>
      <w:r w:rsidRPr="0012760D">
        <w:rPr>
          <w:sz w:val="24"/>
          <w:szCs w:val="24"/>
        </w:rPr>
        <w:t>s compliance with statutory disclosure requirements.</w:t>
      </w:r>
    </w:p>
    <w:p w:rsidR="00FD0A8F" w:rsidRDefault="00FD0A8F" w:rsidP="00FD0A8F">
      <w:pPr>
        <w:rPr>
          <w:sz w:val="24"/>
          <w:szCs w:val="24"/>
        </w:rPr>
      </w:pPr>
    </w:p>
    <w:p w:rsidR="00143898" w:rsidRPr="0012760D" w:rsidRDefault="00143898" w:rsidP="00FD0A8F">
      <w:pPr>
        <w:rPr>
          <w:sz w:val="24"/>
          <w:szCs w:val="24"/>
        </w:rPr>
      </w:pPr>
    </w:p>
    <w:p w:rsidR="00FD0A8F" w:rsidRPr="00143898" w:rsidRDefault="00FD0A8F" w:rsidP="00143898">
      <w:pPr>
        <w:pStyle w:val="Heading2"/>
      </w:pPr>
      <w:r w:rsidRPr="00143898">
        <w:t>Legislation, Requirement, Page reference</w:t>
      </w:r>
    </w:p>
    <w:p w:rsidR="00143898" w:rsidRPr="0012760D" w:rsidRDefault="00143898" w:rsidP="00FD0A8F">
      <w:pPr>
        <w:rPr>
          <w:sz w:val="24"/>
          <w:szCs w:val="24"/>
        </w:rPr>
      </w:pPr>
    </w:p>
    <w:p w:rsidR="00FD0A8F" w:rsidRDefault="00FD0A8F" w:rsidP="00143898">
      <w:pPr>
        <w:pStyle w:val="Heading3"/>
      </w:pPr>
      <w:r w:rsidRPr="0012760D">
        <w:t>Charter and purpose</w:t>
      </w:r>
    </w:p>
    <w:p w:rsidR="00143898" w:rsidRPr="0012760D" w:rsidRDefault="00143898" w:rsidP="00FD0A8F">
      <w:pPr>
        <w:rPr>
          <w:sz w:val="24"/>
          <w:szCs w:val="24"/>
        </w:rPr>
      </w:pPr>
    </w:p>
    <w:p w:rsidR="00FD0A8F" w:rsidRPr="0012760D" w:rsidRDefault="00FD0A8F" w:rsidP="00FD0A8F">
      <w:pPr>
        <w:rPr>
          <w:sz w:val="24"/>
          <w:szCs w:val="24"/>
        </w:rPr>
      </w:pPr>
      <w:r w:rsidRPr="0012760D">
        <w:rPr>
          <w:sz w:val="24"/>
          <w:szCs w:val="24"/>
        </w:rPr>
        <w:t>FRD22D, Manner of establishment and the relevant Ministers, 4</w:t>
      </w:r>
    </w:p>
    <w:p w:rsidR="00FD0A8F" w:rsidRPr="0012760D" w:rsidRDefault="00FD0A8F" w:rsidP="00FD0A8F">
      <w:pPr>
        <w:rPr>
          <w:sz w:val="24"/>
          <w:szCs w:val="24"/>
        </w:rPr>
      </w:pPr>
      <w:r w:rsidRPr="0012760D">
        <w:rPr>
          <w:sz w:val="24"/>
          <w:szCs w:val="24"/>
        </w:rPr>
        <w:t>FRD22D, Objectives, functions, powers and duties, 4</w:t>
      </w:r>
    </w:p>
    <w:p w:rsidR="00FD0A8F" w:rsidRPr="0012760D" w:rsidRDefault="00FD0A8F" w:rsidP="00FD0A8F">
      <w:pPr>
        <w:rPr>
          <w:sz w:val="24"/>
          <w:szCs w:val="24"/>
        </w:rPr>
      </w:pPr>
      <w:r w:rsidRPr="0012760D">
        <w:rPr>
          <w:sz w:val="24"/>
          <w:szCs w:val="24"/>
        </w:rPr>
        <w:t>FRD22D, Nature and range of services provided, 4</w:t>
      </w:r>
    </w:p>
    <w:p w:rsidR="00FD0A8F" w:rsidRPr="0012760D" w:rsidRDefault="00FD0A8F" w:rsidP="00FD0A8F">
      <w:pPr>
        <w:rPr>
          <w:sz w:val="24"/>
          <w:szCs w:val="24"/>
        </w:rPr>
      </w:pPr>
      <w:r w:rsidRPr="0012760D">
        <w:rPr>
          <w:bCs/>
          <w:sz w:val="24"/>
          <w:szCs w:val="24"/>
        </w:rPr>
        <w:t>Management and structure</w:t>
      </w:r>
      <w:r w:rsidRPr="0012760D">
        <w:rPr>
          <w:sz w:val="24"/>
          <w:szCs w:val="24"/>
        </w:rPr>
        <w:t xml:space="preserve"> </w:t>
      </w:r>
    </w:p>
    <w:p w:rsidR="00FD0A8F" w:rsidRDefault="00FD0A8F" w:rsidP="00FD0A8F">
      <w:pPr>
        <w:rPr>
          <w:sz w:val="24"/>
          <w:szCs w:val="24"/>
        </w:rPr>
      </w:pPr>
      <w:r w:rsidRPr="0012760D">
        <w:rPr>
          <w:sz w:val="24"/>
          <w:szCs w:val="24"/>
        </w:rPr>
        <w:t>FRD22D, Organisational structure, 6</w:t>
      </w:r>
    </w:p>
    <w:p w:rsidR="00143898" w:rsidRDefault="00143898" w:rsidP="00FD0A8F">
      <w:pPr>
        <w:rPr>
          <w:sz w:val="24"/>
          <w:szCs w:val="24"/>
        </w:rPr>
      </w:pPr>
    </w:p>
    <w:p w:rsidR="00143898" w:rsidRPr="0012760D" w:rsidRDefault="00143898" w:rsidP="00FD0A8F">
      <w:pPr>
        <w:rPr>
          <w:sz w:val="24"/>
          <w:szCs w:val="24"/>
        </w:rPr>
      </w:pPr>
    </w:p>
    <w:p w:rsidR="00FD0A8F" w:rsidRPr="00143898" w:rsidRDefault="00FD0A8F" w:rsidP="00143898">
      <w:pPr>
        <w:pStyle w:val="Heading4"/>
      </w:pPr>
      <w:r w:rsidRPr="00143898">
        <w:t xml:space="preserve">Financial and other information </w:t>
      </w:r>
    </w:p>
    <w:p w:rsidR="00143898" w:rsidRPr="0012760D" w:rsidRDefault="00143898" w:rsidP="00FD0A8F">
      <w:pPr>
        <w:rPr>
          <w:sz w:val="24"/>
          <w:szCs w:val="24"/>
        </w:rPr>
      </w:pPr>
    </w:p>
    <w:p w:rsidR="00FD0A8F" w:rsidRPr="0012760D" w:rsidRDefault="00FD0A8F" w:rsidP="00FD0A8F">
      <w:pPr>
        <w:rPr>
          <w:sz w:val="24"/>
          <w:szCs w:val="24"/>
        </w:rPr>
      </w:pPr>
      <w:r w:rsidRPr="0012760D">
        <w:rPr>
          <w:sz w:val="24"/>
          <w:szCs w:val="24"/>
        </w:rPr>
        <w:t>FRD10, Disclosure index, 58, 59</w:t>
      </w:r>
    </w:p>
    <w:p w:rsidR="00FD0A8F" w:rsidRPr="0012760D" w:rsidRDefault="00FD0A8F" w:rsidP="00FD0A8F">
      <w:pPr>
        <w:rPr>
          <w:sz w:val="24"/>
          <w:szCs w:val="24"/>
        </w:rPr>
      </w:pPr>
      <w:r w:rsidRPr="0012760D">
        <w:rPr>
          <w:sz w:val="24"/>
          <w:szCs w:val="24"/>
        </w:rPr>
        <w:t>FRD12A, Disclosure of major contracts, 30</w:t>
      </w:r>
    </w:p>
    <w:p w:rsidR="00FD0A8F" w:rsidRPr="0012760D" w:rsidRDefault="00FD0A8F" w:rsidP="00FD0A8F">
      <w:pPr>
        <w:rPr>
          <w:sz w:val="24"/>
          <w:szCs w:val="24"/>
        </w:rPr>
      </w:pPr>
      <w:r w:rsidRPr="0012760D">
        <w:rPr>
          <w:sz w:val="24"/>
          <w:szCs w:val="24"/>
        </w:rPr>
        <w:t>FRD15B, Executive Officer disclosures, 47</w:t>
      </w:r>
    </w:p>
    <w:p w:rsidR="00FD0A8F" w:rsidRPr="0012760D" w:rsidRDefault="00FD0A8F" w:rsidP="00FD0A8F">
      <w:pPr>
        <w:rPr>
          <w:sz w:val="24"/>
          <w:szCs w:val="24"/>
        </w:rPr>
      </w:pPr>
      <w:r w:rsidRPr="0012760D">
        <w:rPr>
          <w:sz w:val="24"/>
          <w:szCs w:val="24"/>
        </w:rPr>
        <w:t>FRD22D, Objectives and performance against objectives, 4, 7</w:t>
      </w:r>
    </w:p>
    <w:p w:rsidR="00FD0A8F" w:rsidRPr="0012760D" w:rsidRDefault="00FD0A8F" w:rsidP="00FD0A8F">
      <w:pPr>
        <w:rPr>
          <w:sz w:val="24"/>
          <w:szCs w:val="24"/>
        </w:rPr>
      </w:pPr>
      <w:r w:rsidRPr="0012760D">
        <w:rPr>
          <w:sz w:val="24"/>
          <w:szCs w:val="24"/>
        </w:rPr>
        <w:t>FRD22D, Employment and conduct principles, 28, 29</w:t>
      </w:r>
    </w:p>
    <w:p w:rsidR="00FD0A8F" w:rsidRPr="0012760D" w:rsidRDefault="00FD0A8F" w:rsidP="00FD0A8F">
      <w:pPr>
        <w:rPr>
          <w:sz w:val="24"/>
          <w:szCs w:val="24"/>
        </w:rPr>
      </w:pPr>
      <w:r w:rsidRPr="0012760D">
        <w:rPr>
          <w:sz w:val="24"/>
          <w:szCs w:val="24"/>
        </w:rPr>
        <w:t>FRD22D, Occupational health and safety policy, 69</w:t>
      </w:r>
    </w:p>
    <w:p w:rsidR="00FD0A8F" w:rsidRPr="0012760D" w:rsidRDefault="00FD0A8F" w:rsidP="00FD0A8F">
      <w:pPr>
        <w:rPr>
          <w:sz w:val="24"/>
          <w:szCs w:val="24"/>
        </w:rPr>
      </w:pPr>
      <w:r w:rsidRPr="0012760D">
        <w:rPr>
          <w:sz w:val="24"/>
          <w:szCs w:val="24"/>
        </w:rPr>
        <w:t>FRD22D, Summary of the financial results for the year, 30, 31</w:t>
      </w:r>
    </w:p>
    <w:p w:rsidR="00FD0A8F" w:rsidRPr="0012760D" w:rsidRDefault="00FD0A8F" w:rsidP="00FD0A8F">
      <w:pPr>
        <w:rPr>
          <w:sz w:val="24"/>
          <w:szCs w:val="24"/>
        </w:rPr>
      </w:pPr>
      <w:r w:rsidRPr="0012760D">
        <w:rPr>
          <w:sz w:val="24"/>
          <w:szCs w:val="24"/>
        </w:rPr>
        <w:t>FRD22D, Significant changes in financial position during the year, 30</w:t>
      </w:r>
    </w:p>
    <w:p w:rsidR="00FD0A8F" w:rsidRPr="0012760D" w:rsidRDefault="00FD0A8F" w:rsidP="00FD0A8F">
      <w:pPr>
        <w:rPr>
          <w:sz w:val="24"/>
          <w:szCs w:val="24"/>
        </w:rPr>
      </w:pPr>
      <w:r w:rsidRPr="0012760D">
        <w:rPr>
          <w:sz w:val="24"/>
          <w:szCs w:val="24"/>
        </w:rPr>
        <w:t>FRD22D, Major changes or factors affecting performance, 30</w:t>
      </w:r>
    </w:p>
    <w:p w:rsidR="00FD0A8F" w:rsidRPr="0012760D" w:rsidRDefault="00FD0A8F" w:rsidP="00FD0A8F">
      <w:pPr>
        <w:rPr>
          <w:sz w:val="24"/>
          <w:szCs w:val="24"/>
        </w:rPr>
      </w:pPr>
      <w:r w:rsidRPr="0012760D">
        <w:rPr>
          <w:sz w:val="24"/>
          <w:szCs w:val="24"/>
        </w:rPr>
        <w:t>FRD22D, Subsequent events, 30</w:t>
      </w:r>
    </w:p>
    <w:p w:rsidR="00FD0A8F" w:rsidRPr="0012760D" w:rsidRDefault="00FD0A8F" w:rsidP="00FD0A8F">
      <w:pPr>
        <w:rPr>
          <w:sz w:val="24"/>
          <w:szCs w:val="24"/>
        </w:rPr>
      </w:pPr>
      <w:r w:rsidRPr="0012760D">
        <w:rPr>
          <w:sz w:val="24"/>
          <w:szCs w:val="24"/>
        </w:rPr>
        <w:t xml:space="preserve">FRD22D, Application and operation of </w:t>
      </w:r>
      <w:r w:rsidRPr="0012760D">
        <w:rPr>
          <w:i/>
          <w:iCs/>
          <w:sz w:val="24"/>
          <w:szCs w:val="24"/>
        </w:rPr>
        <w:t xml:space="preserve">Freedom of Information Act 1982 </w:t>
      </w:r>
      <w:r w:rsidRPr="0012760D">
        <w:rPr>
          <w:sz w:val="24"/>
          <w:szCs w:val="24"/>
        </w:rPr>
        <w:t>(Vic), 55</w:t>
      </w:r>
    </w:p>
    <w:p w:rsidR="00FD0A8F" w:rsidRPr="0012760D" w:rsidRDefault="00FD0A8F" w:rsidP="00FD0A8F">
      <w:pPr>
        <w:rPr>
          <w:sz w:val="24"/>
          <w:szCs w:val="24"/>
        </w:rPr>
      </w:pPr>
      <w:r w:rsidRPr="0012760D">
        <w:rPr>
          <w:sz w:val="24"/>
          <w:szCs w:val="24"/>
        </w:rPr>
        <w:t xml:space="preserve">FRD22D, Compliance with building and maintenance provisions of </w:t>
      </w:r>
      <w:r w:rsidRPr="0012760D">
        <w:rPr>
          <w:i/>
          <w:iCs/>
          <w:sz w:val="24"/>
          <w:szCs w:val="24"/>
        </w:rPr>
        <w:t xml:space="preserve">Building Act 1993 </w:t>
      </w:r>
      <w:r w:rsidRPr="0012760D">
        <w:rPr>
          <w:sz w:val="24"/>
          <w:szCs w:val="24"/>
        </w:rPr>
        <w:t>(Vic), 55</w:t>
      </w:r>
    </w:p>
    <w:p w:rsidR="00FD0A8F" w:rsidRPr="0012760D" w:rsidRDefault="00FD0A8F" w:rsidP="00FD0A8F">
      <w:pPr>
        <w:rPr>
          <w:sz w:val="24"/>
          <w:szCs w:val="24"/>
        </w:rPr>
      </w:pPr>
      <w:r w:rsidRPr="0012760D">
        <w:rPr>
          <w:sz w:val="24"/>
          <w:szCs w:val="24"/>
        </w:rPr>
        <w:t>FRD22D, Statement on National Competition Policy, 55</w:t>
      </w:r>
    </w:p>
    <w:p w:rsidR="00FD0A8F" w:rsidRPr="0012760D" w:rsidRDefault="00FD0A8F" w:rsidP="00FD0A8F">
      <w:pPr>
        <w:rPr>
          <w:sz w:val="24"/>
          <w:szCs w:val="24"/>
        </w:rPr>
      </w:pPr>
      <w:r w:rsidRPr="0012760D">
        <w:rPr>
          <w:sz w:val="24"/>
          <w:szCs w:val="24"/>
        </w:rPr>
        <w:t xml:space="preserve">FRD22D, Application and operation of the </w:t>
      </w:r>
      <w:r w:rsidRPr="0012760D">
        <w:rPr>
          <w:i/>
          <w:iCs/>
          <w:sz w:val="24"/>
          <w:szCs w:val="24"/>
        </w:rPr>
        <w:t xml:space="preserve">Whistleblowers Protection Act 2001 </w:t>
      </w:r>
      <w:r w:rsidRPr="0012760D">
        <w:rPr>
          <w:sz w:val="24"/>
          <w:szCs w:val="24"/>
        </w:rPr>
        <w:t xml:space="preserve">(Vic), </w:t>
      </w:r>
      <w:r w:rsidRPr="0012760D">
        <w:rPr>
          <w:sz w:val="24"/>
          <w:szCs w:val="24"/>
        </w:rPr>
        <w:lastRenderedPageBreak/>
        <w:t>56, 74</w:t>
      </w:r>
    </w:p>
    <w:p w:rsidR="00FD0A8F" w:rsidRPr="0012760D" w:rsidRDefault="00FD0A8F" w:rsidP="00FD0A8F">
      <w:pPr>
        <w:rPr>
          <w:sz w:val="24"/>
          <w:szCs w:val="24"/>
        </w:rPr>
      </w:pPr>
      <w:r w:rsidRPr="0012760D">
        <w:rPr>
          <w:sz w:val="24"/>
          <w:szCs w:val="24"/>
        </w:rPr>
        <w:t>FRD22C, Details of consultancies over $10,000, 31</w:t>
      </w:r>
    </w:p>
    <w:p w:rsidR="00FD0A8F" w:rsidRPr="0012760D" w:rsidRDefault="00FD0A8F" w:rsidP="00FD0A8F">
      <w:pPr>
        <w:rPr>
          <w:sz w:val="24"/>
          <w:szCs w:val="24"/>
        </w:rPr>
      </w:pPr>
      <w:r w:rsidRPr="0012760D">
        <w:rPr>
          <w:sz w:val="24"/>
          <w:szCs w:val="24"/>
        </w:rPr>
        <w:t>FRD22C,Details of consultancies under $10,000, 31</w:t>
      </w:r>
    </w:p>
    <w:p w:rsidR="00FD0A8F" w:rsidRPr="0012760D" w:rsidRDefault="00FD0A8F" w:rsidP="00FD0A8F">
      <w:pPr>
        <w:rPr>
          <w:sz w:val="24"/>
          <w:szCs w:val="24"/>
        </w:rPr>
      </w:pPr>
      <w:r w:rsidRPr="0012760D">
        <w:rPr>
          <w:sz w:val="24"/>
          <w:szCs w:val="24"/>
        </w:rPr>
        <w:t>FRD22D, Statement of availability of other information, 30</w:t>
      </w:r>
    </w:p>
    <w:p w:rsidR="00FD0A8F" w:rsidRPr="0012760D" w:rsidRDefault="00FD0A8F" w:rsidP="00FD0A8F">
      <w:pPr>
        <w:rPr>
          <w:sz w:val="24"/>
          <w:szCs w:val="24"/>
        </w:rPr>
      </w:pPr>
      <w:r w:rsidRPr="0012760D">
        <w:rPr>
          <w:sz w:val="24"/>
          <w:szCs w:val="24"/>
        </w:rPr>
        <w:t>FRD22D, Reporting of office-based environmental data, 71</w:t>
      </w:r>
    </w:p>
    <w:p w:rsidR="00FD0A8F" w:rsidRPr="0012760D" w:rsidRDefault="00FD0A8F" w:rsidP="00FD0A8F">
      <w:pPr>
        <w:rPr>
          <w:sz w:val="24"/>
          <w:szCs w:val="24"/>
        </w:rPr>
      </w:pPr>
      <w:r w:rsidRPr="0012760D">
        <w:rPr>
          <w:sz w:val="24"/>
          <w:szCs w:val="24"/>
        </w:rPr>
        <w:t>FRD25A, Victorian Industry Participation Policy, 56</w:t>
      </w:r>
    </w:p>
    <w:p w:rsidR="00FD0A8F" w:rsidRPr="0012760D" w:rsidRDefault="00FD0A8F" w:rsidP="00FD0A8F">
      <w:pPr>
        <w:rPr>
          <w:sz w:val="24"/>
          <w:szCs w:val="24"/>
        </w:rPr>
      </w:pPr>
      <w:r w:rsidRPr="0012760D">
        <w:rPr>
          <w:sz w:val="24"/>
          <w:szCs w:val="24"/>
        </w:rPr>
        <w:t>FRD29, Workforce data disclosures, 67</w:t>
      </w:r>
    </w:p>
    <w:p w:rsidR="00FD0A8F" w:rsidRPr="0012760D" w:rsidRDefault="00FD0A8F" w:rsidP="00FD0A8F">
      <w:pPr>
        <w:rPr>
          <w:sz w:val="24"/>
          <w:szCs w:val="24"/>
        </w:rPr>
      </w:pPr>
      <w:r w:rsidRPr="0012760D">
        <w:rPr>
          <w:sz w:val="24"/>
          <w:szCs w:val="24"/>
        </w:rPr>
        <w:t>SD 4.5.5, Attestation for compliance with the Australian/New Zealand Risk Management Standard, 89</w:t>
      </w:r>
    </w:p>
    <w:p w:rsidR="00FD0A8F" w:rsidRPr="0012760D" w:rsidRDefault="00FD0A8F" w:rsidP="00FD0A8F">
      <w:pPr>
        <w:rPr>
          <w:sz w:val="24"/>
          <w:szCs w:val="24"/>
        </w:rPr>
      </w:pPr>
      <w:r w:rsidRPr="0012760D">
        <w:rPr>
          <w:sz w:val="24"/>
          <w:szCs w:val="24"/>
        </w:rPr>
        <w:t>SD 4.5.5.1, Attestation for compliance with the Ministerial Standing Direction 4.5.5.1 - Insurance, 88</w:t>
      </w:r>
    </w:p>
    <w:p w:rsidR="00FD0A8F" w:rsidRPr="0012760D" w:rsidRDefault="00FD0A8F" w:rsidP="00FD0A8F">
      <w:pPr>
        <w:rPr>
          <w:sz w:val="24"/>
          <w:szCs w:val="24"/>
        </w:rPr>
      </w:pPr>
      <w:r w:rsidRPr="0012760D">
        <w:rPr>
          <w:sz w:val="24"/>
          <w:szCs w:val="24"/>
        </w:rPr>
        <w:t>SD 4.2 (g), Specific information requirements, 4</w:t>
      </w:r>
    </w:p>
    <w:p w:rsidR="00FD0A8F" w:rsidRPr="0012760D" w:rsidRDefault="00FD0A8F" w:rsidP="00FD0A8F">
      <w:pPr>
        <w:rPr>
          <w:sz w:val="24"/>
          <w:szCs w:val="24"/>
        </w:rPr>
      </w:pPr>
      <w:r w:rsidRPr="0012760D">
        <w:rPr>
          <w:sz w:val="24"/>
          <w:szCs w:val="24"/>
        </w:rPr>
        <w:t>SD 4.2 (j), Sign-off requirements, 52</w:t>
      </w:r>
    </w:p>
    <w:p w:rsidR="00C944E7" w:rsidRPr="0012760D" w:rsidRDefault="00C944E7" w:rsidP="00C944E7">
      <w:pPr>
        <w:rPr>
          <w:bCs/>
          <w:sz w:val="24"/>
          <w:szCs w:val="24"/>
          <w:lang w:val="en-US"/>
        </w:rPr>
      </w:pPr>
      <w:r w:rsidRPr="0012760D">
        <w:rPr>
          <w:bCs/>
          <w:sz w:val="24"/>
          <w:szCs w:val="24"/>
          <w:lang w:val="en-US"/>
        </w:rPr>
        <w:t>&lt;pp&gt; 59</w:t>
      </w:r>
    </w:p>
    <w:p w:rsidR="00C944E7" w:rsidRDefault="00C944E7" w:rsidP="00C944E7">
      <w:pPr>
        <w:rPr>
          <w:sz w:val="24"/>
          <w:szCs w:val="24"/>
        </w:rPr>
      </w:pPr>
    </w:p>
    <w:p w:rsidR="00143898" w:rsidRPr="0012760D" w:rsidRDefault="00143898" w:rsidP="00C944E7">
      <w:pPr>
        <w:rPr>
          <w:sz w:val="24"/>
          <w:szCs w:val="24"/>
        </w:rPr>
      </w:pPr>
    </w:p>
    <w:p w:rsidR="00C944E7" w:rsidRPr="00143898" w:rsidRDefault="00C944E7" w:rsidP="00143898">
      <w:pPr>
        <w:pStyle w:val="Heading4"/>
      </w:pPr>
      <w:r w:rsidRPr="00143898">
        <w:t>Financial statements required under Part 7 of FMA</w:t>
      </w:r>
    </w:p>
    <w:p w:rsidR="00143898" w:rsidRPr="0012760D" w:rsidRDefault="00143898" w:rsidP="00C944E7">
      <w:pPr>
        <w:rPr>
          <w:sz w:val="24"/>
          <w:szCs w:val="24"/>
        </w:rPr>
      </w:pPr>
    </w:p>
    <w:p w:rsidR="00C944E7" w:rsidRPr="0012760D" w:rsidRDefault="00C944E7" w:rsidP="00C944E7">
      <w:pPr>
        <w:rPr>
          <w:sz w:val="24"/>
          <w:szCs w:val="24"/>
        </w:rPr>
      </w:pPr>
      <w:r w:rsidRPr="0012760D">
        <w:rPr>
          <w:sz w:val="24"/>
          <w:szCs w:val="24"/>
          <w:lang w:val="en-US"/>
        </w:rPr>
        <w:t>SD</w:t>
      </w:r>
      <w:r w:rsidR="00EF242F">
        <w:rPr>
          <w:sz w:val="24"/>
          <w:szCs w:val="24"/>
          <w:lang w:val="en-US"/>
        </w:rPr>
        <w:t xml:space="preserve"> </w:t>
      </w:r>
      <w:r w:rsidRPr="0012760D">
        <w:rPr>
          <w:sz w:val="24"/>
          <w:szCs w:val="24"/>
          <w:lang w:val="en-US"/>
        </w:rPr>
        <w:t>4.2(a)</w:t>
      </w:r>
      <w:r w:rsidRPr="0012760D">
        <w:rPr>
          <w:sz w:val="24"/>
          <w:szCs w:val="24"/>
        </w:rPr>
        <w:t xml:space="preserve">, </w:t>
      </w:r>
      <w:r w:rsidRPr="0012760D">
        <w:rPr>
          <w:sz w:val="24"/>
          <w:szCs w:val="24"/>
          <w:lang w:val="en-US"/>
        </w:rPr>
        <w:t>Statement of changes in equity</w:t>
      </w:r>
      <w:r w:rsidRPr="0012760D">
        <w:rPr>
          <w:sz w:val="24"/>
          <w:szCs w:val="24"/>
        </w:rPr>
        <w:t xml:space="preserve">, </w:t>
      </w:r>
      <w:r w:rsidRPr="0012760D">
        <w:rPr>
          <w:sz w:val="24"/>
          <w:szCs w:val="24"/>
          <w:lang w:val="en-US"/>
        </w:rPr>
        <w:t>34</w:t>
      </w:r>
    </w:p>
    <w:p w:rsidR="00C944E7" w:rsidRPr="0012760D" w:rsidRDefault="00C944E7" w:rsidP="00C944E7">
      <w:pPr>
        <w:rPr>
          <w:sz w:val="24"/>
          <w:szCs w:val="24"/>
        </w:rPr>
      </w:pPr>
      <w:r w:rsidRPr="0012760D">
        <w:rPr>
          <w:sz w:val="24"/>
          <w:szCs w:val="24"/>
          <w:lang w:val="en-US"/>
        </w:rPr>
        <w:t>SD 4.2(b)</w:t>
      </w:r>
      <w:r w:rsidRPr="0012760D">
        <w:rPr>
          <w:sz w:val="24"/>
          <w:szCs w:val="24"/>
        </w:rPr>
        <w:t xml:space="preserve">, </w:t>
      </w:r>
      <w:r w:rsidRPr="0012760D">
        <w:rPr>
          <w:sz w:val="24"/>
          <w:szCs w:val="24"/>
          <w:lang w:val="en-US"/>
        </w:rPr>
        <w:t>Operating statement</w:t>
      </w:r>
      <w:r w:rsidRPr="0012760D">
        <w:rPr>
          <w:sz w:val="24"/>
          <w:szCs w:val="24"/>
        </w:rPr>
        <w:t xml:space="preserve">, </w:t>
      </w:r>
      <w:r w:rsidRPr="0012760D">
        <w:rPr>
          <w:sz w:val="24"/>
          <w:szCs w:val="24"/>
          <w:lang w:val="en-US"/>
        </w:rPr>
        <w:t>32</w:t>
      </w:r>
    </w:p>
    <w:p w:rsidR="00C944E7" w:rsidRPr="0012760D" w:rsidRDefault="00C944E7" w:rsidP="00C944E7">
      <w:pPr>
        <w:rPr>
          <w:sz w:val="24"/>
          <w:szCs w:val="24"/>
        </w:rPr>
      </w:pPr>
      <w:r w:rsidRPr="0012760D">
        <w:rPr>
          <w:sz w:val="24"/>
          <w:szCs w:val="24"/>
          <w:lang w:val="en-US"/>
        </w:rPr>
        <w:t>SD 4.2(b)</w:t>
      </w:r>
      <w:r w:rsidRPr="0012760D">
        <w:rPr>
          <w:sz w:val="24"/>
          <w:szCs w:val="24"/>
        </w:rPr>
        <w:t xml:space="preserve">, </w:t>
      </w:r>
      <w:r w:rsidRPr="0012760D">
        <w:rPr>
          <w:sz w:val="24"/>
          <w:szCs w:val="24"/>
          <w:lang w:val="en-US"/>
        </w:rPr>
        <w:t>Balance sheet</w:t>
      </w:r>
      <w:r w:rsidRPr="0012760D">
        <w:rPr>
          <w:sz w:val="24"/>
          <w:szCs w:val="24"/>
        </w:rPr>
        <w:t xml:space="preserve">, </w:t>
      </w:r>
      <w:r w:rsidRPr="0012760D">
        <w:rPr>
          <w:sz w:val="24"/>
          <w:szCs w:val="24"/>
          <w:lang w:val="en-US"/>
        </w:rPr>
        <w:t>33</w:t>
      </w:r>
    </w:p>
    <w:p w:rsidR="00C944E7" w:rsidRDefault="00C944E7" w:rsidP="00C944E7">
      <w:pPr>
        <w:rPr>
          <w:sz w:val="24"/>
          <w:szCs w:val="24"/>
          <w:lang w:val="en-US"/>
        </w:rPr>
      </w:pPr>
      <w:r w:rsidRPr="0012760D">
        <w:rPr>
          <w:sz w:val="24"/>
          <w:szCs w:val="24"/>
          <w:lang w:val="en-US"/>
        </w:rPr>
        <w:t>SD 4.2(b)</w:t>
      </w:r>
      <w:r w:rsidRPr="0012760D">
        <w:rPr>
          <w:sz w:val="24"/>
          <w:szCs w:val="24"/>
        </w:rPr>
        <w:t xml:space="preserve">, </w:t>
      </w:r>
      <w:r w:rsidRPr="0012760D">
        <w:rPr>
          <w:sz w:val="24"/>
          <w:szCs w:val="24"/>
          <w:lang w:val="en-US"/>
        </w:rPr>
        <w:t>Cash flows statement</w:t>
      </w:r>
      <w:r w:rsidRPr="0012760D">
        <w:rPr>
          <w:sz w:val="24"/>
          <w:szCs w:val="24"/>
        </w:rPr>
        <w:t xml:space="preserve">, </w:t>
      </w:r>
      <w:r w:rsidRPr="0012760D">
        <w:rPr>
          <w:sz w:val="24"/>
          <w:szCs w:val="24"/>
          <w:lang w:val="en-US"/>
        </w:rPr>
        <w:t>34</w:t>
      </w:r>
    </w:p>
    <w:p w:rsidR="00143898" w:rsidRDefault="00143898" w:rsidP="00C944E7">
      <w:pPr>
        <w:rPr>
          <w:sz w:val="24"/>
          <w:szCs w:val="24"/>
          <w:lang w:val="en-US"/>
        </w:rPr>
      </w:pPr>
    </w:p>
    <w:p w:rsidR="00143898" w:rsidRPr="0012760D" w:rsidRDefault="00143898" w:rsidP="00C944E7">
      <w:pPr>
        <w:rPr>
          <w:sz w:val="24"/>
          <w:szCs w:val="24"/>
        </w:rPr>
      </w:pPr>
    </w:p>
    <w:p w:rsidR="00C944E7" w:rsidRDefault="00C944E7" w:rsidP="00143898">
      <w:pPr>
        <w:pStyle w:val="Heading3"/>
        <w:rPr>
          <w:lang w:val="en-US"/>
        </w:rPr>
      </w:pPr>
      <w:r w:rsidRPr="0012760D">
        <w:rPr>
          <w:lang w:val="en-US"/>
        </w:rPr>
        <w:t>Other requirements under Standing Directions 4.2</w:t>
      </w:r>
    </w:p>
    <w:p w:rsidR="00143898" w:rsidRPr="0012760D" w:rsidRDefault="00143898" w:rsidP="00C944E7">
      <w:pPr>
        <w:rPr>
          <w:sz w:val="24"/>
          <w:szCs w:val="24"/>
        </w:rPr>
      </w:pPr>
    </w:p>
    <w:p w:rsidR="00C944E7" w:rsidRPr="0012760D" w:rsidRDefault="00C944E7" w:rsidP="00C944E7">
      <w:pPr>
        <w:rPr>
          <w:sz w:val="24"/>
          <w:szCs w:val="24"/>
        </w:rPr>
      </w:pPr>
      <w:r w:rsidRPr="0012760D">
        <w:rPr>
          <w:bCs/>
          <w:sz w:val="24"/>
          <w:szCs w:val="24"/>
          <w:lang w:val="en-US"/>
        </w:rPr>
        <w:t xml:space="preserve">SD </w:t>
      </w:r>
      <w:r w:rsidRPr="0012760D">
        <w:rPr>
          <w:sz w:val="24"/>
          <w:szCs w:val="24"/>
          <w:lang w:val="en-US"/>
        </w:rPr>
        <w:t>4.2(c)</w:t>
      </w:r>
      <w:r w:rsidRPr="0012760D">
        <w:rPr>
          <w:sz w:val="24"/>
          <w:szCs w:val="24"/>
        </w:rPr>
        <w:t xml:space="preserve">, </w:t>
      </w:r>
      <w:r w:rsidRPr="0012760D">
        <w:rPr>
          <w:sz w:val="24"/>
          <w:szCs w:val="24"/>
          <w:lang w:val="en-US"/>
        </w:rPr>
        <w:t>Compliance with Australian accounting standards and other authoritative pronouncements</w:t>
      </w:r>
      <w:r w:rsidRPr="0012760D">
        <w:rPr>
          <w:sz w:val="24"/>
          <w:szCs w:val="24"/>
        </w:rPr>
        <w:t xml:space="preserve">, </w:t>
      </w:r>
      <w:r w:rsidRPr="0012760D">
        <w:rPr>
          <w:sz w:val="24"/>
          <w:szCs w:val="24"/>
          <w:lang w:val="en-US"/>
        </w:rPr>
        <w:t>35</w:t>
      </w:r>
    </w:p>
    <w:p w:rsidR="00C944E7" w:rsidRPr="0012760D" w:rsidRDefault="00C944E7" w:rsidP="00C944E7">
      <w:pPr>
        <w:rPr>
          <w:sz w:val="24"/>
          <w:szCs w:val="24"/>
        </w:rPr>
      </w:pPr>
      <w:r w:rsidRPr="0012760D">
        <w:rPr>
          <w:bCs/>
          <w:sz w:val="24"/>
          <w:szCs w:val="24"/>
          <w:lang w:val="en-US"/>
        </w:rPr>
        <w:t xml:space="preserve">SD </w:t>
      </w:r>
      <w:r w:rsidRPr="0012760D">
        <w:rPr>
          <w:sz w:val="24"/>
          <w:szCs w:val="24"/>
          <w:lang w:val="en-US"/>
        </w:rPr>
        <w:t>4.2(c)</w:t>
      </w:r>
      <w:r w:rsidRPr="0012760D">
        <w:rPr>
          <w:sz w:val="24"/>
          <w:szCs w:val="24"/>
        </w:rPr>
        <w:t xml:space="preserve">, </w:t>
      </w:r>
      <w:r w:rsidRPr="0012760D">
        <w:rPr>
          <w:sz w:val="24"/>
          <w:szCs w:val="24"/>
          <w:lang w:val="en-US"/>
        </w:rPr>
        <w:t>Compliance with Ministerial Directions</w:t>
      </w:r>
      <w:r w:rsidRPr="0012760D">
        <w:rPr>
          <w:sz w:val="24"/>
          <w:szCs w:val="24"/>
        </w:rPr>
        <w:t xml:space="preserve">, </w:t>
      </w:r>
      <w:r w:rsidRPr="0012760D">
        <w:rPr>
          <w:sz w:val="24"/>
          <w:szCs w:val="24"/>
          <w:lang w:val="en-US"/>
        </w:rPr>
        <w:t>45</w:t>
      </w:r>
    </w:p>
    <w:p w:rsidR="00C944E7" w:rsidRPr="0012760D" w:rsidRDefault="00C944E7" w:rsidP="00C944E7">
      <w:pPr>
        <w:rPr>
          <w:sz w:val="24"/>
          <w:szCs w:val="24"/>
        </w:rPr>
      </w:pPr>
      <w:r w:rsidRPr="0012760D">
        <w:rPr>
          <w:bCs/>
          <w:sz w:val="24"/>
          <w:szCs w:val="24"/>
          <w:lang w:val="en-US"/>
        </w:rPr>
        <w:t xml:space="preserve">SD </w:t>
      </w:r>
      <w:r w:rsidRPr="0012760D">
        <w:rPr>
          <w:sz w:val="24"/>
          <w:szCs w:val="24"/>
          <w:lang w:val="en-US"/>
        </w:rPr>
        <w:t>4.2(d)</w:t>
      </w:r>
      <w:r w:rsidRPr="0012760D">
        <w:rPr>
          <w:sz w:val="24"/>
          <w:szCs w:val="24"/>
        </w:rPr>
        <w:t xml:space="preserve">, </w:t>
      </w:r>
      <w:r w:rsidRPr="0012760D">
        <w:rPr>
          <w:sz w:val="24"/>
          <w:szCs w:val="24"/>
          <w:lang w:val="en-US"/>
        </w:rPr>
        <w:t>Rounding of amounts</w:t>
      </w:r>
      <w:r w:rsidRPr="0012760D">
        <w:rPr>
          <w:sz w:val="24"/>
          <w:szCs w:val="24"/>
        </w:rPr>
        <w:t xml:space="preserve">, </w:t>
      </w:r>
      <w:r w:rsidRPr="0012760D">
        <w:rPr>
          <w:sz w:val="24"/>
          <w:szCs w:val="24"/>
          <w:lang w:val="en-US"/>
        </w:rPr>
        <w:t>35</w:t>
      </w:r>
    </w:p>
    <w:p w:rsidR="00C944E7" w:rsidRPr="0012760D" w:rsidRDefault="00C944E7" w:rsidP="00C944E7">
      <w:pPr>
        <w:rPr>
          <w:sz w:val="24"/>
          <w:szCs w:val="24"/>
        </w:rPr>
      </w:pPr>
      <w:r w:rsidRPr="0012760D">
        <w:rPr>
          <w:bCs/>
          <w:sz w:val="24"/>
          <w:szCs w:val="24"/>
          <w:lang w:val="en-US"/>
        </w:rPr>
        <w:t xml:space="preserve">SD </w:t>
      </w:r>
      <w:r w:rsidRPr="0012760D">
        <w:rPr>
          <w:sz w:val="24"/>
          <w:szCs w:val="24"/>
          <w:lang w:val="en-US"/>
        </w:rPr>
        <w:t>4.2(c)</w:t>
      </w:r>
      <w:r w:rsidRPr="0012760D">
        <w:rPr>
          <w:sz w:val="24"/>
          <w:szCs w:val="24"/>
        </w:rPr>
        <w:t xml:space="preserve">, </w:t>
      </w:r>
      <w:r w:rsidRPr="0012760D">
        <w:rPr>
          <w:sz w:val="24"/>
          <w:szCs w:val="24"/>
          <w:lang w:val="en-US"/>
        </w:rPr>
        <w:t>Accountable officer's declaration</w:t>
      </w:r>
      <w:r w:rsidRPr="0012760D">
        <w:rPr>
          <w:sz w:val="24"/>
          <w:szCs w:val="24"/>
        </w:rPr>
        <w:t xml:space="preserve">, </w:t>
      </w:r>
      <w:r w:rsidRPr="0012760D">
        <w:rPr>
          <w:sz w:val="24"/>
          <w:szCs w:val="24"/>
          <w:lang w:val="en-US"/>
        </w:rPr>
        <w:t>52</w:t>
      </w:r>
    </w:p>
    <w:p w:rsidR="00C944E7" w:rsidRDefault="00C944E7" w:rsidP="00C944E7">
      <w:pPr>
        <w:rPr>
          <w:sz w:val="24"/>
          <w:szCs w:val="24"/>
          <w:lang w:val="en-US"/>
        </w:rPr>
      </w:pPr>
      <w:r w:rsidRPr="0012760D">
        <w:rPr>
          <w:bCs/>
          <w:sz w:val="24"/>
          <w:szCs w:val="24"/>
          <w:lang w:val="en-US"/>
        </w:rPr>
        <w:t xml:space="preserve">SD </w:t>
      </w:r>
      <w:r w:rsidRPr="0012760D">
        <w:rPr>
          <w:sz w:val="24"/>
          <w:szCs w:val="24"/>
          <w:lang w:val="en-US"/>
        </w:rPr>
        <w:t>4.2(f)</w:t>
      </w:r>
      <w:r w:rsidRPr="0012760D">
        <w:rPr>
          <w:sz w:val="24"/>
          <w:szCs w:val="24"/>
        </w:rPr>
        <w:t xml:space="preserve">, </w:t>
      </w:r>
      <w:r w:rsidRPr="0012760D">
        <w:rPr>
          <w:sz w:val="24"/>
          <w:szCs w:val="24"/>
          <w:lang w:val="en-US"/>
        </w:rPr>
        <w:t>Compliance with Model Financial Report</w:t>
      </w:r>
      <w:r w:rsidRPr="0012760D">
        <w:rPr>
          <w:sz w:val="24"/>
          <w:szCs w:val="24"/>
        </w:rPr>
        <w:t xml:space="preserve">, </w:t>
      </w:r>
      <w:r w:rsidRPr="0012760D">
        <w:rPr>
          <w:sz w:val="24"/>
          <w:szCs w:val="24"/>
          <w:lang w:val="en-US"/>
        </w:rPr>
        <w:t>35</w:t>
      </w:r>
    </w:p>
    <w:p w:rsidR="00143898" w:rsidRDefault="00143898" w:rsidP="00C944E7">
      <w:pPr>
        <w:rPr>
          <w:sz w:val="24"/>
          <w:szCs w:val="24"/>
          <w:lang w:val="en-US"/>
        </w:rPr>
      </w:pPr>
    </w:p>
    <w:p w:rsidR="00143898" w:rsidRPr="0012760D" w:rsidRDefault="00143898" w:rsidP="00C944E7">
      <w:pPr>
        <w:rPr>
          <w:sz w:val="24"/>
          <w:szCs w:val="24"/>
        </w:rPr>
      </w:pPr>
    </w:p>
    <w:p w:rsidR="00C944E7" w:rsidRDefault="00C944E7" w:rsidP="00143898">
      <w:pPr>
        <w:pStyle w:val="Heading3"/>
        <w:rPr>
          <w:lang w:val="en-US"/>
        </w:rPr>
      </w:pPr>
      <w:r w:rsidRPr="0012760D">
        <w:rPr>
          <w:lang w:val="en-US"/>
        </w:rPr>
        <w:t>Other disclosures as required by FRDs in notes to the financial statements</w:t>
      </w:r>
    </w:p>
    <w:p w:rsidR="00143898" w:rsidRPr="0012760D" w:rsidRDefault="00143898" w:rsidP="00C944E7">
      <w:pPr>
        <w:rPr>
          <w:sz w:val="24"/>
          <w:szCs w:val="24"/>
        </w:rPr>
      </w:pPr>
    </w:p>
    <w:p w:rsidR="00C944E7" w:rsidRPr="0012760D" w:rsidRDefault="00C944E7" w:rsidP="00C944E7">
      <w:pPr>
        <w:rPr>
          <w:sz w:val="24"/>
          <w:szCs w:val="24"/>
        </w:rPr>
      </w:pPr>
      <w:r w:rsidRPr="0012760D">
        <w:rPr>
          <w:sz w:val="24"/>
          <w:szCs w:val="24"/>
          <w:lang w:val="en-US"/>
        </w:rPr>
        <w:t>FRD11</w:t>
      </w:r>
      <w:r w:rsidRPr="0012760D">
        <w:rPr>
          <w:sz w:val="24"/>
          <w:szCs w:val="24"/>
        </w:rPr>
        <w:t xml:space="preserve">, </w:t>
      </w:r>
      <w:r w:rsidRPr="0012760D">
        <w:rPr>
          <w:sz w:val="24"/>
          <w:szCs w:val="24"/>
          <w:lang w:val="en-US"/>
        </w:rPr>
        <w:t>Disclosure of ex-gratia payments</w:t>
      </w:r>
      <w:r w:rsidRPr="0012760D">
        <w:rPr>
          <w:sz w:val="24"/>
          <w:szCs w:val="24"/>
        </w:rPr>
        <w:t xml:space="preserve">, </w:t>
      </w:r>
      <w:r w:rsidRPr="0012760D">
        <w:rPr>
          <w:sz w:val="24"/>
          <w:szCs w:val="24"/>
          <w:lang w:val="en-US"/>
        </w:rPr>
        <w:t>N/A</w:t>
      </w:r>
    </w:p>
    <w:p w:rsidR="00C944E7" w:rsidRPr="0012760D" w:rsidRDefault="00C944E7" w:rsidP="00C944E7">
      <w:pPr>
        <w:rPr>
          <w:sz w:val="24"/>
          <w:szCs w:val="24"/>
        </w:rPr>
      </w:pPr>
      <w:r w:rsidRPr="0012760D">
        <w:rPr>
          <w:sz w:val="24"/>
          <w:szCs w:val="24"/>
          <w:lang w:val="en-US"/>
        </w:rPr>
        <w:t>FRD21B</w:t>
      </w:r>
      <w:r w:rsidRPr="0012760D">
        <w:rPr>
          <w:sz w:val="24"/>
          <w:szCs w:val="24"/>
        </w:rPr>
        <w:t xml:space="preserve">, </w:t>
      </w:r>
      <w:r w:rsidRPr="0012760D">
        <w:rPr>
          <w:sz w:val="24"/>
          <w:szCs w:val="24"/>
          <w:lang w:val="en-US"/>
        </w:rPr>
        <w:t>Disclosures of responsible persons, executive officers and other personnel</w:t>
      </w:r>
      <w:r w:rsidRPr="0012760D">
        <w:rPr>
          <w:sz w:val="24"/>
          <w:szCs w:val="24"/>
        </w:rPr>
        <w:t xml:space="preserve">, </w:t>
      </w:r>
      <w:r w:rsidRPr="0012760D">
        <w:rPr>
          <w:sz w:val="24"/>
          <w:szCs w:val="24"/>
          <w:lang w:val="en-US"/>
        </w:rPr>
        <w:t>45, 46, 47</w:t>
      </w:r>
    </w:p>
    <w:p w:rsidR="00C944E7" w:rsidRPr="0012760D" w:rsidRDefault="00C944E7" w:rsidP="00C944E7">
      <w:pPr>
        <w:rPr>
          <w:sz w:val="24"/>
          <w:szCs w:val="24"/>
        </w:rPr>
      </w:pPr>
      <w:r w:rsidRPr="0012760D">
        <w:rPr>
          <w:sz w:val="24"/>
          <w:szCs w:val="24"/>
          <w:lang w:val="en-US"/>
        </w:rPr>
        <w:t>FRD 103D</w:t>
      </w:r>
      <w:r w:rsidRPr="0012760D">
        <w:rPr>
          <w:sz w:val="24"/>
          <w:szCs w:val="24"/>
        </w:rPr>
        <w:t xml:space="preserve">, </w:t>
      </w:r>
      <w:r w:rsidRPr="0012760D">
        <w:rPr>
          <w:sz w:val="24"/>
          <w:szCs w:val="24"/>
          <w:lang w:val="en-US"/>
        </w:rPr>
        <w:t>Non-current physical assets</w:t>
      </w:r>
      <w:r w:rsidRPr="0012760D">
        <w:rPr>
          <w:sz w:val="24"/>
          <w:szCs w:val="24"/>
        </w:rPr>
        <w:t xml:space="preserve">, </w:t>
      </w:r>
      <w:r w:rsidRPr="0012760D">
        <w:rPr>
          <w:sz w:val="24"/>
          <w:szCs w:val="24"/>
          <w:lang w:val="en-US"/>
        </w:rPr>
        <w:t>36</w:t>
      </w:r>
    </w:p>
    <w:p w:rsidR="00C944E7" w:rsidRPr="0012760D" w:rsidRDefault="00C944E7" w:rsidP="00C944E7">
      <w:pPr>
        <w:rPr>
          <w:sz w:val="24"/>
          <w:szCs w:val="24"/>
        </w:rPr>
      </w:pPr>
      <w:r w:rsidRPr="0012760D">
        <w:rPr>
          <w:sz w:val="24"/>
          <w:szCs w:val="24"/>
          <w:lang w:val="en-US"/>
        </w:rPr>
        <w:t>FRD 109</w:t>
      </w:r>
      <w:r w:rsidRPr="0012760D">
        <w:rPr>
          <w:sz w:val="24"/>
          <w:szCs w:val="24"/>
        </w:rPr>
        <w:t xml:space="preserve">, </w:t>
      </w:r>
      <w:r w:rsidRPr="0012760D">
        <w:rPr>
          <w:sz w:val="24"/>
          <w:szCs w:val="24"/>
          <w:lang w:val="en-US"/>
        </w:rPr>
        <w:t>Intangible assets</w:t>
      </w:r>
      <w:r w:rsidRPr="0012760D">
        <w:rPr>
          <w:sz w:val="24"/>
          <w:szCs w:val="24"/>
        </w:rPr>
        <w:t xml:space="preserve">, </w:t>
      </w:r>
      <w:r w:rsidRPr="0012760D">
        <w:rPr>
          <w:sz w:val="24"/>
          <w:szCs w:val="24"/>
          <w:lang w:val="en-US"/>
        </w:rPr>
        <w:t>36</w:t>
      </w:r>
    </w:p>
    <w:p w:rsidR="00C944E7" w:rsidRPr="0012760D" w:rsidRDefault="00C944E7" w:rsidP="00C944E7">
      <w:pPr>
        <w:rPr>
          <w:sz w:val="24"/>
          <w:szCs w:val="24"/>
        </w:rPr>
      </w:pPr>
      <w:r w:rsidRPr="0012760D">
        <w:rPr>
          <w:sz w:val="24"/>
          <w:szCs w:val="24"/>
          <w:lang w:val="en-US"/>
        </w:rPr>
        <w:t>FRD 110</w:t>
      </w:r>
      <w:r w:rsidRPr="0012760D">
        <w:rPr>
          <w:sz w:val="24"/>
          <w:szCs w:val="24"/>
        </w:rPr>
        <w:t xml:space="preserve">, </w:t>
      </w:r>
      <w:r w:rsidRPr="0012760D">
        <w:rPr>
          <w:sz w:val="24"/>
          <w:szCs w:val="24"/>
          <w:lang w:val="en-US"/>
        </w:rPr>
        <w:t>Cash flow statements</w:t>
      </w:r>
      <w:r w:rsidRPr="0012760D">
        <w:rPr>
          <w:sz w:val="24"/>
          <w:szCs w:val="24"/>
        </w:rPr>
        <w:t xml:space="preserve">, </w:t>
      </w:r>
      <w:r w:rsidRPr="0012760D">
        <w:rPr>
          <w:sz w:val="24"/>
          <w:szCs w:val="24"/>
          <w:lang w:val="en-US"/>
        </w:rPr>
        <w:t>34</w:t>
      </w:r>
    </w:p>
    <w:p w:rsidR="00C944E7" w:rsidRPr="0012760D" w:rsidRDefault="00C944E7" w:rsidP="00C944E7">
      <w:pPr>
        <w:rPr>
          <w:sz w:val="24"/>
          <w:szCs w:val="24"/>
        </w:rPr>
      </w:pPr>
      <w:r w:rsidRPr="0012760D">
        <w:rPr>
          <w:sz w:val="24"/>
          <w:szCs w:val="24"/>
          <w:lang w:val="en-US"/>
        </w:rPr>
        <w:t>FRD 112C</w:t>
      </w:r>
      <w:r w:rsidRPr="0012760D">
        <w:rPr>
          <w:sz w:val="24"/>
          <w:szCs w:val="24"/>
        </w:rPr>
        <w:t xml:space="preserve">, </w:t>
      </w:r>
      <w:r w:rsidRPr="0012760D">
        <w:rPr>
          <w:sz w:val="24"/>
          <w:szCs w:val="24"/>
          <w:lang w:val="en-US"/>
        </w:rPr>
        <w:t>Defined benefit superannuation obligations</w:t>
      </w:r>
      <w:r w:rsidRPr="0012760D">
        <w:rPr>
          <w:sz w:val="24"/>
          <w:szCs w:val="24"/>
        </w:rPr>
        <w:t xml:space="preserve">, </w:t>
      </w:r>
      <w:r w:rsidRPr="0012760D">
        <w:rPr>
          <w:sz w:val="24"/>
          <w:szCs w:val="24"/>
          <w:lang w:val="en-US"/>
        </w:rPr>
        <w:t>38</w:t>
      </w:r>
    </w:p>
    <w:p w:rsidR="00C944E7" w:rsidRPr="0012760D" w:rsidRDefault="00C944E7" w:rsidP="00C944E7">
      <w:pPr>
        <w:rPr>
          <w:sz w:val="24"/>
          <w:szCs w:val="24"/>
        </w:rPr>
      </w:pPr>
      <w:r w:rsidRPr="0012760D">
        <w:rPr>
          <w:sz w:val="24"/>
          <w:szCs w:val="24"/>
          <w:lang w:val="en-US"/>
        </w:rPr>
        <w:t>FRD 114A</w:t>
      </w:r>
      <w:r w:rsidRPr="0012760D">
        <w:rPr>
          <w:sz w:val="24"/>
          <w:szCs w:val="24"/>
        </w:rPr>
        <w:t xml:space="preserve">, </w:t>
      </w:r>
      <w:r w:rsidRPr="0012760D">
        <w:rPr>
          <w:sz w:val="24"/>
          <w:szCs w:val="24"/>
          <w:lang w:val="en-US"/>
        </w:rPr>
        <w:t>Financial instruments - general government entities and public non-financial corporations</w:t>
      </w:r>
      <w:r w:rsidRPr="0012760D">
        <w:rPr>
          <w:sz w:val="24"/>
          <w:szCs w:val="24"/>
        </w:rPr>
        <w:t xml:space="preserve">, </w:t>
      </w:r>
      <w:r w:rsidRPr="0012760D">
        <w:rPr>
          <w:sz w:val="24"/>
          <w:szCs w:val="24"/>
          <w:lang w:val="en-US"/>
        </w:rPr>
        <w:t>48</w:t>
      </w:r>
    </w:p>
    <w:p w:rsidR="00C944E7" w:rsidRPr="0012760D" w:rsidRDefault="00C944E7" w:rsidP="00C944E7">
      <w:pPr>
        <w:rPr>
          <w:sz w:val="24"/>
          <w:szCs w:val="24"/>
          <w:lang w:val="en-US"/>
        </w:rPr>
      </w:pPr>
      <w:r w:rsidRPr="0012760D">
        <w:rPr>
          <w:sz w:val="24"/>
          <w:szCs w:val="24"/>
          <w:lang w:val="en-US"/>
        </w:rPr>
        <w:t>FRD 119</w:t>
      </w:r>
      <w:r w:rsidRPr="0012760D">
        <w:rPr>
          <w:sz w:val="24"/>
          <w:szCs w:val="24"/>
        </w:rPr>
        <w:t xml:space="preserve">, </w:t>
      </w:r>
      <w:r w:rsidRPr="0012760D">
        <w:rPr>
          <w:sz w:val="24"/>
          <w:szCs w:val="24"/>
          <w:lang w:val="en-US"/>
        </w:rPr>
        <w:t>Contributions by owners</w:t>
      </w:r>
      <w:r w:rsidRPr="0012760D">
        <w:rPr>
          <w:sz w:val="24"/>
          <w:szCs w:val="24"/>
        </w:rPr>
        <w:t xml:space="preserve">, </w:t>
      </w:r>
      <w:r w:rsidRPr="0012760D">
        <w:rPr>
          <w:sz w:val="24"/>
          <w:szCs w:val="24"/>
          <w:lang w:val="en-US"/>
        </w:rPr>
        <w:t>34</w:t>
      </w:r>
    </w:p>
    <w:p w:rsidR="00C944E7" w:rsidRDefault="00C944E7" w:rsidP="00C944E7">
      <w:pPr>
        <w:rPr>
          <w:sz w:val="24"/>
          <w:szCs w:val="24"/>
        </w:rPr>
      </w:pPr>
    </w:p>
    <w:p w:rsidR="00143898" w:rsidRPr="0012760D" w:rsidRDefault="00143898" w:rsidP="00C944E7">
      <w:pPr>
        <w:rPr>
          <w:sz w:val="24"/>
          <w:szCs w:val="24"/>
        </w:rPr>
      </w:pPr>
    </w:p>
    <w:p w:rsidR="00C944E7" w:rsidRPr="0012760D" w:rsidRDefault="00C944E7" w:rsidP="00143898">
      <w:pPr>
        <w:pStyle w:val="Heading3"/>
        <w:rPr>
          <w:lang w:val="en-US"/>
        </w:rPr>
      </w:pPr>
      <w:r w:rsidRPr="0012760D">
        <w:rPr>
          <w:lang w:val="en-US"/>
        </w:rPr>
        <w:t>Legislation</w:t>
      </w:r>
    </w:p>
    <w:p w:rsidR="00C944E7" w:rsidRPr="0012760D" w:rsidRDefault="00C944E7" w:rsidP="00C944E7">
      <w:pPr>
        <w:rPr>
          <w:sz w:val="24"/>
          <w:szCs w:val="24"/>
        </w:rPr>
      </w:pPr>
    </w:p>
    <w:p w:rsidR="00C944E7" w:rsidRPr="0012760D" w:rsidRDefault="00C944E7" w:rsidP="00C944E7">
      <w:pPr>
        <w:tabs>
          <w:tab w:val="left" w:pos="8968"/>
        </w:tabs>
        <w:ind w:left="40"/>
        <w:rPr>
          <w:sz w:val="24"/>
          <w:szCs w:val="24"/>
        </w:rPr>
      </w:pPr>
      <w:r w:rsidRPr="0012760D">
        <w:rPr>
          <w:i/>
          <w:iCs/>
          <w:sz w:val="24"/>
          <w:szCs w:val="24"/>
          <w:lang w:val="en-US"/>
        </w:rPr>
        <w:lastRenderedPageBreak/>
        <w:t xml:space="preserve">Freedom of Information Act 1982 </w:t>
      </w:r>
      <w:r w:rsidRPr="0012760D">
        <w:rPr>
          <w:sz w:val="24"/>
          <w:szCs w:val="24"/>
          <w:lang w:val="en-US"/>
        </w:rPr>
        <w:t>(Vic)</w:t>
      </w:r>
      <w:r w:rsidRPr="0012760D">
        <w:rPr>
          <w:sz w:val="24"/>
          <w:szCs w:val="24"/>
        </w:rPr>
        <w:t xml:space="preserve">, </w:t>
      </w:r>
      <w:r w:rsidRPr="0012760D">
        <w:rPr>
          <w:sz w:val="24"/>
          <w:szCs w:val="24"/>
          <w:lang w:val="en-US"/>
        </w:rPr>
        <w:t>55</w:t>
      </w:r>
    </w:p>
    <w:p w:rsidR="00C944E7" w:rsidRPr="0012760D" w:rsidRDefault="00C944E7" w:rsidP="00C944E7">
      <w:pPr>
        <w:tabs>
          <w:tab w:val="left" w:pos="8968"/>
        </w:tabs>
        <w:ind w:left="40"/>
        <w:rPr>
          <w:sz w:val="24"/>
          <w:szCs w:val="24"/>
        </w:rPr>
      </w:pPr>
      <w:r w:rsidRPr="0012760D">
        <w:rPr>
          <w:i/>
          <w:iCs/>
          <w:sz w:val="24"/>
          <w:szCs w:val="24"/>
          <w:lang w:val="en-US"/>
        </w:rPr>
        <w:t xml:space="preserve">Building Act 1993 </w:t>
      </w:r>
      <w:r w:rsidRPr="0012760D">
        <w:rPr>
          <w:sz w:val="24"/>
          <w:szCs w:val="24"/>
          <w:lang w:val="en-US"/>
        </w:rPr>
        <w:t>(Vic)</w:t>
      </w:r>
      <w:r w:rsidRPr="0012760D">
        <w:rPr>
          <w:sz w:val="24"/>
          <w:szCs w:val="24"/>
        </w:rPr>
        <w:t xml:space="preserve">, </w:t>
      </w:r>
      <w:r w:rsidRPr="0012760D">
        <w:rPr>
          <w:sz w:val="24"/>
          <w:szCs w:val="24"/>
          <w:lang w:val="en-US"/>
        </w:rPr>
        <w:t>55</w:t>
      </w:r>
    </w:p>
    <w:p w:rsidR="00C944E7" w:rsidRPr="0012760D" w:rsidRDefault="00C944E7" w:rsidP="00C944E7">
      <w:pPr>
        <w:tabs>
          <w:tab w:val="left" w:pos="8968"/>
        </w:tabs>
        <w:ind w:left="40"/>
        <w:rPr>
          <w:sz w:val="24"/>
          <w:szCs w:val="24"/>
        </w:rPr>
      </w:pPr>
      <w:r w:rsidRPr="0012760D">
        <w:rPr>
          <w:i/>
          <w:iCs/>
          <w:sz w:val="24"/>
          <w:szCs w:val="24"/>
          <w:lang w:val="en-US"/>
        </w:rPr>
        <w:t xml:space="preserve">Whistleblowers Protection Act 2001 </w:t>
      </w:r>
      <w:r w:rsidRPr="0012760D">
        <w:rPr>
          <w:sz w:val="24"/>
          <w:szCs w:val="24"/>
          <w:lang w:val="en-US"/>
        </w:rPr>
        <w:t>(Vic)</w:t>
      </w:r>
      <w:r w:rsidRPr="0012760D">
        <w:rPr>
          <w:sz w:val="24"/>
          <w:szCs w:val="24"/>
        </w:rPr>
        <w:t xml:space="preserve">, </w:t>
      </w:r>
      <w:r w:rsidRPr="0012760D">
        <w:rPr>
          <w:sz w:val="24"/>
          <w:szCs w:val="24"/>
          <w:lang w:val="en-US"/>
        </w:rPr>
        <w:t>56,74</w:t>
      </w:r>
    </w:p>
    <w:p w:rsidR="00C944E7" w:rsidRPr="0012760D" w:rsidRDefault="00C944E7" w:rsidP="00C944E7">
      <w:pPr>
        <w:tabs>
          <w:tab w:val="left" w:pos="8968"/>
        </w:tabs>
        <w:ind w:left="40"/>
        <w:rPr>
          <w:sz w:val="24"/>
          <w:szCs w:val="24"/>
        </w:rPr>
      </w:pPr>
      <w:r w:rsidRPr="0012760D">
        <w:rPr>
          <w:i/>
          <w:iCs/>
          <w:sz w:val="24"/>
          <w:szCs w:val="24"/>
          <w:lang w:val="en-US"/>
        </w:rPr>
        <w:t xml:space="preserve">Victorian Industry Participation Policy Act 2003 </w:t>
      </w:r>
      <w:r w:rsidRPr="0012760D">
        <w:rPr>
          <w:sz w:val="24"/>
          <w:szCs w:val="24"/>
          <w:lang w:val="en-US"/>
        </w:rPr>
        <w:t>(Vic)</w:t>
      </w:r>
      <w:r w:rsidRPr="0012760D">
        <w:rPr>
          <w:sz w:val="24"/>
          <w:szCs w:val="24"/>
        </w:rPr>
        <w:t xml:space="preserve">, </w:t>
      </w:r>
      <w:r w:rsidRPr="0012760D">
        <w:rPr>
          <w:sz w:val="24"/>
          <w:szCs w:val="24"/>
          <w:lang w:val="en-US"/>
        </w:rPr>
        <w:t>56</w:t>
      </w:r>
    </w:p>
    <w:p w:rsidR="00C944E7" w:rsidRPr="0012760D" w:rsidRDefault="00C944E7" w:rsidP="00C944E7">
      <w:pPr>
        <w:tabs>
          <w:tab w:val="left" w:pos="8968"/>
        </w:tabs>
        <w:ind w:left="40"/>
        <w:rPr>
          <w:sz w:val="24"/>
          <w:szCs w:val="24"/>
        </w:rPr>
      </w:pPr>
      <w:r w:rsidRPr="0012760D">
        <w:rPr>
          <w:i/>
          <w:iCs/>
          <w:sz w:val="24"/>
          <w:szCs w:val="24"/>
          <w:lang w:val="en-US"/>
        </w:rPr>
        <w:t xml:space="preserve">Financial Management Act 1994 </w:t>
      </w:r>
      <w:r w:rsidRPr="0012760D">
        <w:rPr>
          <w:sz w:val="24"/>
          <w:szCs w:val="24"/>
          <w:lang w:val="en-US"/>
        </w:rPr>
        <w:t>(Vic)</w:t>
      </w:r>
      <w:r w:rsidRPr="0012760D">
        <w:rPr>
          <w:sz w:val="24"/>
          <w:szCs w:val="24"/>
        </w:rPr>
        <w:t xml:space="preserve">, </w:t>
      </w:r>
      <w:r w:rsidRPr="0012760D">
        <w:rPr>
          <w:sz w:val="24"/>
          <w:szCs w:val="24"/>
          <w:lang w:val="en-US"/>
        </w:rPr>
        <w:t>35</w:t>
      </w:r>
    </w:p>
    <w:p w:rsidR="00C944E7" w:rsidRPr="0012760D" w:rsidRDefault="00C944E7" w:rsidP="00C944E7">
      <w:pPr>
        <w:tabs>
          <w:tab w:val="left" w:pos="8968"/>
        </w:tabs>
        <w:ind w:left="40"/>
        <w:rPr>
          <w:sz w:val="24"/>
          <w:szCs w:val="24"/>
        </w:rPr>
      </w:pPr>
      <w:r w:rsidRPr="0012760D">
        <w:rPr>
          <w:i/>
          <w:iCs/>
          <w:sz w:val="24"/>
          <w:szCs w:val="24"/>
          <w:lang w:val="en-US"/>
        </w:rPr>
        <w:t xml:space="preserve">Information Privacy Act 2000 </w:t>
      </w:r>
      <w:r w:rsidRPr="0012760D">
        <w:rPr>
          <w:sz w:val="24"/>
          <w:szCs w:val="24"/>
          <w:lang w:val="en-US"/>
        </w:rPr>
        <w:t>(Vic)</w:t>
      </w:r>
      <w:r w:rsidRPr="0012760D">
        <w:rPr>
          <w:sz w:val="24"/>
          <w:szCs w:val="24"/>
        </w:rPr>
        <w:t xml:space="preserve">, </w:t>
      </w:r>
      <w:r w:rsidRPr="0012760D">
        <w:rPr>
          <w:sz w:val="24"/>
          <w:szCs w:val="24"/>
          <w:lang w:val="en-US"/>
        </w:rPr>
        <w:t>55</w:t>
      </w:r>
    </w:p>
    <w:p w:rsidR="00B9374D" w:rsidRDefault="00B9374D" w:rsidP="00B9374D">
      <w:pPr>
        <w:rPr>
          <w:bCs/>
          <w:sz w:val="24"/>
          <w:szCs w:val="24"/>
        </w:rPr>
      </w:pPr>
      <w:r w:rsidRPr="0012760D">
        <w:rPr>
          <w:bCs/>
          <w:sz w:val="24"/>
          <w:szCs w:val="24"/>
        </w:rPr>
        <w:t>&lt;pp&gt; 60</w:t>
      </w:r>
    </w:p>
    <w:p w:rsidR="00143898" w:rsidRDefault="00143898" w:rsidP="00B9374D">
      <w:pPr>
        <w:rPr>
          <w:bCs/>
          <w:sz w:val="24"/>
          <w:szCs w:val="24"/>
        </w:rPr>
      </w:pPr>
    </w:p>
    <w:p w:rsidR="00143898" w:rsidRPr="0012760D" w:rsidRDefault="00143898" w:rsidP="00B9374D">
      <w:pPr>
        <w:rPr>
          <w:sz w:val="24"/>
          <w:szCs w:val="24"/>
        </w:rPr>
      </w:pPr>
    </w:p>
    <w:p w:rsidR="00B9374D" w:rsidRDefault="00B9374D" w:rsidP="00143898">
      <w:pPr>
        <w:pStyle w:val="Heading1"/>
      </w:pPr>
      <w:r w:rsidRPr="0012760D">
        <w:t>Part 10</w:t>
      </w:r>
      <w:r w:rsidR="00143898">
        <w:br/>
      </w:r>
      <w:r w:rsidRPr="0012760D">
        <w:t>Landfill Levy</w:t>
      </w:r>
    </w:p>
    <w:p w:rsidR="00143898" w:rsidRPr="0012760D" w:rsidRDefault="00143898" w:rsidP="00B9374D">
      <w:pPr>
        <w:rPr>
          <w:sz w:val="24"/>
          <w:szCs w:val="24"/>
        </w:rPr>
      </w:pPr>
    </w:p>
    <w:p w:rsidR="00B9374D" w:rsidRPr="0012760D" w:rsidRDefault="00B9374D" w:rsidP="00B9374D">
      <w:pPr>
        <w:rPr>
          <w:sz w:val="24"/>
          <w:szCs w:val="24"/>
        </w:rPr>
      </w:pPr>
      <w:r w:rsidRPr="0012760D">
        <w:rPr>
          <w:sz w:val="24"/>
          <w:szCs w:val="24"/>
        </w:rPr>
        <w:t>The following summary of the way the landfill levy is distributed to Sustainability Victoria (SV), the Environment Protection Authority (EPA), the waste management groups and the Sustainability Fund provides a clearer understanding of where the levy is spent.</w:t>
      </w:r>
    </w:p>
    <w:p w:rsidR="00B9374D" w:rsidRDefault="00B9374D" w:rsidP="00B9374D">
      <w:pPr>
        <w:rPr>
          <w:sz w:val="24"/>
          <w:szCs w:val="24"/>
        </w:rPr>
      </w:pPr>
    </w:p>
    <w:p w:rsidR="00143898" w:rsidRPr="0012760D" w:rsidRDefault="00143898" w:rsidP="00B9374D">
      <w:pPr>
        <w:rPr>
          <w:sz w:val="24"/>
          <w:szCs w:val="24"/>
        </w:rPr>
      </w:pPr>
    </w:p>
    <w:p w:rsidR="00B9374D" w:rsidRDefault="00B9374D" w:rsidP="00143898">
      <w:pPr>
        <w:pStyle w:val="Heading2"/>
      </w:pPr>
      <w:r w:rsidRPr="0012760D">
        <w:t>Landfill Levy Receipts and Distribution</w:t>
      </w:r>
    </w:p>
    <w:p w:rsidR="00143898" w:rsidRPr="0012760D" w:rsidRDefault="00143898" w:rsidP="00B9374D">
      <w:pPr>
        <w:rPr>
          <w:sz w:val="24"/>
          <w:szCs w:val="24"/>
        </w:rPr>
      </w:pPr>
    </w:p>
    <w:p w:rsidR="00B9374D" w:rsidRDefault="00B9374D" w:rsidP="00B9374D">
      <w:pPr>
        <w:rPr>
          <w:sz w:val="24"/>
          <w:szCs w:val="24"/>
        </w:rPr>
      </w:pPr>
      <w:r w:rsidRPr="0012760D">
        <w:rPr>
          <w:sz w:val="24"/>
          <w:szCs w:val="24"/>
        </w:rPr>
        <w:t>Victoria charges a landfill levy on each tonne of waste that is disposed of. These levies apply to municipal and commercial wastes deposited at licensed facilities in Victoria. Revenue raised from landfill levies is held in the Environment Protection (E</w:t>
      </w:r>
      <w:r w:rsidR="00EF242F">
        <w:rPr>
          <w:sz w:val="24"/>
          <w:szCs w:val="24"/>
        </w:rPr>
        <w:t xml:space="preserve"> </w:t>
      </w:r>
      <w:r w:rsidRPr="0012760D">
        <w:rPr>
          <w:sz w:val="24"/>
          <w:szCs w:val="24"/>
        </w:rPr>
        <w:t xml:space="preserve">P) Fund. This fund is established under the </w:t>
      </w:r>
      <w:r w:rsidRPr="0012760D">
        <w:rPr>
          <w:i/>
          <w:iCs/>
          <w:sz w:val="24"/>
          <w:szCs w:val="24"/>
        </w:rPr>
        <w:t xml:space="preserve">Environment Protection Act 1970 </w:t>
      </w:r>
      <w:r w:rsidRPr="0012760D">
        <w:rPr>
          <w:sz w:val="24"/>
          <w:szCs w:val="24"/>
        </w:rPr>
        <w:t>(Vic) (s. 70) and is managed by EPA Victoria.</w:t>
      </w:r>
    </w:p>
    <w:p w:rsidR="00143898" w:rsidRPr="0012760D" w:rsidRDefault="00143898" w:rsidP="00B9374D">
      <w:pPr>
        <w:rPr>
          <w:sz w:val="24"/>
          <w:szCs w:val="24"/>
        </w:rPr>
      </w:pPr>
    </w:p>
    <w:p w:rsidR="00B9374D" w:rsidRPr="0012760D" w:rsidRDefault="00B9374D" w:rsidP="00B9374D">
      <w:pPr>
        <w:rPr>
          <w:sz w:val="24"/>
          <w:szCs w:val="24"/>
        </w:rPr>
      </w:pPr>
    </w:p>
    <w:p w:rsidR="00B9374D" w:rsidRPr="0012760D" w:rsidRDefault="00B9374D" w:rsidP="00143898">
      <w:pPr>
        <w:pStyle w:val="Heading2"/>
      </w:pPr>
      <w:r w:rsidRPr="0012760D">
        <w:t xml:space="preserve">In 2012 to 13, the </w:t>
      </w:r>
      <w:r w:rsidR="00EF242F">
        <w:t>E P</w:t>
      </w:r>
      <w:r w:rsidRPr="0012760D">
        <w:t>Fund distributed $144.72 million from landfill levies</w:t>
      </w:r>
    </w:p>
    <w:p w:rsidR="00B9374D" w:rsidRPr="0012760D" w:rsidRDefault="00B9374D" w:rsidP="00B9374D">
      <w:pPr>
        <w:rPr>
          <w:sz w:val="24"/>
          <w:szCs w:val="24"/>
        </w:rPr>
      </w:pPr>
    </w:p>
    <w:p w:rsidR="00B9374D" w:rsidRDefault="00B9374D" w:rsidP="00B9374D">
      <w:pPr>
        <w:rPr>
          <w:sz w:val="24"/>
          <w:szCs w:val="24"/>
        </w:rPr>
      </w:pPr>
      <w:r w:rsidRPr="0012760D">
        <w:rPr>
          <w:sz w:val="24"/>
          <w:szCs w:val="24"/>
        </w:rPr>
        <w:t xml:space="preserve">Levies received in the </w:t>
      </w:r>
      <w:r w:rsidR="00EF242F">
        <w:rPr>
          <w:sz w:val="24"/>
          <w:szCs w:val="24"/>
        </w:rPr>
        <w:t>E P</w:t>
      </w:r>
      <w:r w:rsidRPr="0012760D">
        <w:rPr>
          <w:sz w:val="24"/>
          <w:szCs w:val="24"/>
        </w:rPr>
        <w:t xml:space="preserve">Fund are distributed in accordance with the Environment Protection (Distribution of Landfill Levy) Regulations 2010. These regulations govern the distribution of money to the WMGs, SV and EPA. The remainder of the money is then transferred into the Sustainability Fund account, within the </w:t>
      </w:r>
      <w:r w:rsidR="00EF242F">
        <w:rPr>
          <w:sz w:val="24"/>
          <w:szCs w:val="24"/>
        </w:rPr>
        <w:t>E P</w:t>
      </w:r>
      <w:r w:rsidRPr="0012760D">
        <w:rPr>
          <w:sz w:val="24"/>
          <w:szCs w:val="24"/>
        </w:rPr>
        <w:t>Fund, held by EPA.</w:t>
      </w:r>
    </w:p>
    <w:p w:rsidR="00143898" w:rsidRPr="0012760D" w:rsidRDefault="00143898" w:rsidP="00B9374D">
      <w:pPr>
        <w:rPr>
          <w:sz w:val="24"/>
          <w:szCs w:val="24"/>
        </w:rPr>
      </w:pPr>
    </w:p>
    <w:p w:rsidR="00B9374D" w:rsidRPr="0012760D" w:rsidRDefault="00B9374D" w:rsidP="00B9374D">
      <w:pPr>
        <w:rPr>
          <w:sz w:val="24"/>
          <w:szCs w:val="24"/>
        </w:rPr>
      </w:pPr>
      <w:r w:rsidRPr="0012760D">
        <w:rPr>
          <w:sz w:val="24"/>
          <w:szCs w:val="24"/>
        </w:rPr>
        <w:t>In 2012 to 13, SV received $24.24 million, EPA received $24.54 million and waste management groups received $7.33 million. The remaining funds, totalling $88.61 million, were transferred to the Sustainability Fund account. Figure 3 below summarises this distribution.</w:t>
      </w:r>
    </w:p>
    <w:p w:rsidR="00B9374D" w:rsidRDefault="00B9374D" w:rsidP="00B9374D">
      <w:pPr>
        <w:rPr>
          <w:sz w:val="24"/>
          <w:szCs w:val="24"/>
        </w:rPr>
      </w:pPr>
    </w:p>
    <w:p w:rsidR="00143898" w:rsidRPr="0012760D" w:rsidRDefault="00143898" w:rsidP="00B9374D">
      <w:pPr>
        <w:rPr>
          <w:sz w:val="24"/>
          <w:szCs w:val="24"/>
        </w:rPr>
      </w:pPr>
    </w:p>
    <w:p w:rsidR="00B9374D" w:rsidRDefault="00B9374D" w:rsidP="00143898">
      <w:pPr>
        <w:pStyle w:val="Heading2"/>
      </w:pPr>
      <w:r w:rsidRPr="0012760D">
        <w:t>SV</w:t>
      </w:r>
      <w:r w:rsidR="00425F22" w:rsidRPr="0012760D">
        <w:t>'</w:t>
      </w:r>
      <w:r w:rsidRPr="0012760D">
        <w:t>s Use of Landfill Levy</w:t>
      </w:r>
    </w:p>
    <w:p w:rsidR="00143898" w:rsidRPr="0012760D" w:rsidRDefault="00143898" w:rsidP="00B9374D">
      <w:pPr>
        <w:rPr>
          <w:sz w:val="24"/>
          <w:szCs w:val="24"/>
        </w:rPr>
      </w:pPr>
    </w:p>
    <w:p w:rsidR="00B9374D" w:rsidRPr="0012760D" w:rsidRDefault="00B9374D" w:rsidP="00B9374D">
      <w:pPr>
        <w:rPr>
          <w:sz w:val="24"/>
          <w:szCs w:val="24"/>
        </w:rPr>
      </w:pPr>
      <w:r w:rsidRPr="0012760D">
        <w:rPr>
          <w:sz w:val="24"/>
          <w:szCs w:val="24"/>
        </w:rPr>
        <w:t xml:space="preserve">The </w:t>
      </w:r>
      <w:r w:rsidRPr="0012760D">
        <w:rPr>
          <w:i/>
          <w:iCs/>
          <w:sz w:val="24"/>
          <w:szCs w:val="24"/>
        </w:rPr>
        <w:t xml:space="preserve">Sustainability Victoria Act 2005 </w:t>
      </w:r>
      <w:r w:rsidRPr="0012760D">
        <w:rPr>
          <w:sz w:val="24"/>
          <w:szCs w:val="24"/>
        </w:rPr>
        <w:t>(Vic) specifies our objectives and functions, and we outline our annual priorities in our annual business plan. To do our work, we receive revenue from a range of sources, including government grants (appropriation), the landfill levy, and other sources for specific programs and purposes. We detail our full income and expenditure statements in Part 6 (Annual Financial Statements).</w:t>
      </w:r>
    </w:p>
    <w:p w:rsidR="00B9374D" w:rsidRPr="0012760D" w:rsidRDefault="00B9374D" w:rsidP="00B9374D">
      <w:pPr>
        <w:rPr>
          <w:sz w:val="24"/>
          <w:szCs w:val="24"/>
        </w:rPr>
      </w:pPr>
    </w:p>
    <w:p w:rsidR="00B9374D" w:rsidRPr="0012760D" w:rsidRDefault="00B9374D" w:rsidP="00B9374D">
      <w:pPr>
        <w:rPr>
          <w:sz w:val="24"/>
          <w:szCs w:val="24"/>
        </w:rPr>
      </w:pPr>
      <w:r w:rsidRPr="0012760D">
        <w:rPr>
          <w:sz w:val="24"/>
          <w:szCs w:val="24"/>
        </w:rPr>
        <w:t>&lt;transcriber's note&gt; Figure 3 has been converted to the following list.&lt;/ transcriber's note &gt;</w:t>
      </w:r>
    </w:p>
    <w:p w:rsidR="00B9374D" w:rsidRDefault="00B9374D" w:rsidP="00B9374D">
      <w:pPr>
        <w:rPr>
          <w:sz w:val="24"/>
          <w:szCs w:val="24"/>
        </w:rPr>
      </w:pPr>
    </w:p>
    <w:p w:rsidR="00143898" w:rsidRPr="0012760D" w:rsidRDefault="00143898" w:rsidP="00B9374D">
      <w:pPr>
        <w:rPr>
          <w:sz w:val="24"/>
          <w:szCs w:val="24"/>
        </w:rPr>
      </w:pPr>
    </w:p>
    <w:p w:rsidR="00B9374D" w:rsidRPr="0012760D" w:rsidRDefault="00B9374D" w:rsidP="00143898">
      <w:pPr>
        <w:pStyle w:val="Heading3"/>
      </w:pPr>
      <w:r w:rsidRPr="0012760D">
        <w:t>Figure 3: Landfill Levy Distributions 2012 to 13</w:t>
      </w:r>
    </w:p>
    <w:p w:rsidR="00B9374D" w:rsidRPr="0012760D" w:rsidRDefault="00B9374D" w:rsidP="00B9374D">
      <w:pPr>
        <w:rPr>
          <w:sz w:val="24"/>
          <w:szCs w:val="24"/>
        </w:rPr>
      </w:pPr>
    </w:p>
    <w:p w:rsidR="00B9374D" w:rsidRDefault="00B9374D" w:rsidP="00143898">
      <w:pPr>
        <w:pStyle w:val="Heading4"/>
      </w:pPr>
      <w:r w:rsidRPr="0012760D">
        <w:t>Environment Protection Fund</w:t>
      </w:r>
    </w:p>
    <w:p w:rsidR="00143898" w:rsidRPr="0012760D" w:rsidRDefault="00143898" w:rsidP="00B9374D">
      <w:pPr>
        <w:rPr>
          <w:sz w:val="24"/>
          <w:szCs w:val="24"/>
        </w:rPr>
      </w:pPr>
    </w:p>
    <w:p w:rsidR="00B9374D" w:rsidRPr="0012760D" w:rsidRDefault="00B9374D" w:rsidP="00B9374D">
      <w:pPr>
        <w:rPr>
          <w:sz w:val="24"/>
          <w:szCs w:val="24"/>
        </w:rPr>
      </w:pPr>
      <w:r w:rsidRPr="0012760D">
        <w:rPr>
          <w:sz w:val="24"/>
          <w:szCs w:val="24"/>
        </w:rPr>
        <w:t>• Municipal and Industrial Landfill Levy cash receipts ($144,72m)</w:t>
      </w:r>
    </w:p>
    <w:p w:rsidR="00B9374D" w:rsidRPr="0012760D" w:rsidRDefault="00B9374D" w:rsidP="00B9374D">
      <w:pPr>
        <w:rPr>
          <w:sz w:val="24"/>
          <w:szCs w:val="24"/>
        </w:rPr>
      </w:pPr>
      <w:r w:rsidRPr="0012760D">
        <w:rPr>
          <w:sz w:val="24"/>
          <w:szCs w:val="24"/>
        </w:rPr>
        <w:t>- SV ($24.24m)</w:t>
      </w:r>
    </w:p>
    <w:p w:rsidR="00B9374D" w:rsidRPr="0012760D" w:rsidRDefault="00B9374D" w:rsidP="00B9374D">
      <w:pPr>
        <w:rPr>
          <w:sz w:val="24"/>
          <w:szCs w:val="24"/>
        </w:rPr>
      </w:pPr>
      <w:r w:rsidRPr="0012760D">
        <w:rPr>
          <w:sz w:val="24"/>
          <w:szCs w:val="24"/>
        </w:rPr>
        <w:t>- WMGs (7.33m)</w:t>
      </w:r>
    </w:p>
    <w:p w:rsidR="00B9374D" w:rsidRPr="0012760D" w:rsidRDefault="00B9374D" w:rsidP="00B9374D">
      <w:pPr>
        <w:rPr>
          <w:sz w:val="24"/>
          <w:szCs w:val="24"/>
        </w:rPr>
      </w:pPr>
      <w:r w:rsidRPr="0012760D">
        <w:rPr>
          <w:sz w:val="24"/>
          <w:szCs w:val="24"/>
        </w:rPr>
        <w:t>- EPA (24.54m)</w:t>
      </w:r>
    </w:p>
    <w:p w:rsidR="00B9374D" w:rsidRPr="0012760D" w:rsidRDefault="00B9374D" w:rsidP="00B9374D">
      <w:pPr>
        <w:rPr>
          <w:sz w:val="24"/>
          <w:szCs w:val="24"/>
        </w:rPr>
      </w:pPr>
      <w:r w:rsidRPr="0012760D">
        <w:rPr>
          <w:sz w:val="24"/>
          <w:szCs w:val="24"/>
        </w:rPr>
        <w:t>- Sustainability Fund Account ($88.61m)</w:t>
      </w:r>
    </w:p>
    <w:p w:rsidR="00412AB7" w:rsidRPr="0012760D" w:rsidRDefault="00412AB7" w:rsidP="00412AB7">
      <w:pPr>
        <w:rPr>
          <w:bCs/>
          <w:sz w:val="24"/>
          <w:szCs w:val="24"/>
          <w:lang w:val="en-US"/>
        </w:rPr>
      </w:pPr>
      <w:r w:rsidRPr="0012760D">
        <w:rPr>
          <w:bCs/>
          <w:sz w:val="24"/>
          <w:szCs w:val="24"/>
          <w:lang w:val="en-US"/>
        </w:rPr>
        <w:t>&lt;pp&gt; 61</w:t>
      </w:r>
    </w:p>
    <w:p w:rsidR="00412AB7" w:rsidRDefault="00412AB7" w:rsidP="00412AB7">
      <w:pPr>
        <w:rPr>
          <w:sz w:val="24"/>
          <w:szCs w:val="24"/>
        </w:rPr>
      </w:pPr>
    </w:p>
    <w:p w:rsidR="00143898" w:rsidRPr="0012760D" w:rsidRDefault="00143898" w:rsidP="00412AB7">
      <w:pPr>
        <w:rPr>
          <w:sz w:val="24"/>
          <w:szCs w:val="24"/>
        </w:rPr>
      </w:pPr>
    </w:p>
    <w:p w:rsidR="00412AB7" w:rsidRDefault="00412AB7" w:rsidP="00143898">
      <w:pPr>
        <w:pStyle w:val="Heading1"/>
        <w:rPr>
          <w:lang w:val="en-US"/>
        </w:rPr>
      </w:pPr>
      <w:r w:rsidRPr="0012760D">
        <w:rPr>
          <w:lang w:val="en-US"/>
        </w:rPr>
        <w:t>Part 11</w:t>
      </w:r>
      <w:r w:rsidR="00143898">
        <w:rPr>
          <w:lang w:val="en-US"/>
        </w:rPr>
        <w:br/>
      </w:r>
      <w:r w:rsidRPr="0012760D">
        <w:rPr>
          <w:lang w:val="en-US"/>
        </w:rPr>
        <w:t>Sustainability</w:t>
      </w:r>
      <w:r w:rsidRPr="0012760D">
        <w:t xml:space="preserve"> </w:t>
      </w:r>
      <w:r w:rsidRPr="0012760D">
        <w:rPr>
          <w:lang w:val="en-US"/>
        </w:rPr>
        <w:t>Fund</w:t>
      </w:r>
    </w:p>
    <w:p w:rsidR="00143898" w:rsidRPr="0012760D" w:rsidRDefault="00143898" w:rsidP="00412AB7">
      <w:pPr>
        <w:rPr>
          <w:sz w:val="24"/>
          <w:szCs w:val="24"/>
        </w:rPr>
      </w:pPr>
    </w:p>
    <w:p w:rsidR="00412AB7" w:rsidRDefault="00412AB7" w:rsidP="00412AB7">
      <w:pPr>
        <w:rPr>
          <w:sz w:val="24"/>
          <w:szCs w:val="24"/>
          <w:lang w:val="en-US"/>
        </w:rPr>
      </w:pPr>
      <w:r w:rsidRPr="0012760D">
        <w:rPr>
          <w:sz w:val="24"/>
          <w:szCs w:val="24"/>
          <w:lang w:val="en-US"/>
        </w:rPr>
        <w:t xml:space="preserve">The Sustainability Fund is created by the </w:t>
      </w:r>
      <w:r w:rsidRPr="0012760D">
        <w:rPr>
          <w:i/>
          <w:iCs/>
          <w:sz w:val="24"/>
          <w:szCs w:val="24"/>
          <w:lang w:val="en-US"/>
        </w:rPr>
        <w:t xml:space="preserve">Environment Protection Act 1970 </w:t>
      </w:r>
      <w:r w:rsidRPr="0012760D">
        <w:rPr>
          <w:sz w:val="24"/>
          <w:szCs w:val="24"/>
          <w:lang w:val="en-US"/>
        </w:rPr>
        <w:t>(Vic) for the purposes of fostering environmentally sustainable uses of resources and best practices in waste management and fostering community action to tackle climate change. All allocations are made jointly by the Premier and Minister for Environment and Climate Change.</w:t>
      </w:r>
    </w:p>
    <w:p w:rsidR="00143898" w:rsidRPr="0012760D" w:rsidRDefault="00143898" w:rsidP="00412AB7">
      <w:pPr>
        <w:rPr>
          <w:sz w:val="24"/>
          <w:szCs w:val="24"/>
        </w:rPr>
      </w:pPr>
    </w:p>
    <w:p w:rsidR="00412AB7" w:rsidRDefault="00412AB7" w:rsidP="00412AB7">
      <w:pPr>
        <w:rPr>
          <w:sz w:val="24"/>
          <w:szCs w:val="24"/>
          <w:lang w:val="en-US"/>
        </w:rPr>
      </w:pPr>
      <w:r w:rsidRPr="0012760D">
        <w:rPr>
          <w:sz w:val="24"/>
          <w:szCs w:val="24"/>
          <w:lang w:val="en-US"/>
        </w:rPr>
        <w:t>Over $35 million was distributed from the Fund to grants and strategic initiatives in 2012 to 13.</w:t>
      </w:r>
    </w:p>
    <w:p w:rsidR="00143898" w:rsidRPr="0012760D" w:rsidRDefault="00143898" w:rsidP="00412AB7">
      <w:pPr>
        <w:rPr>
          <w:sz w:val="24"/>
          <w:szCs w:val="24"/>
        </w:rPr>
      </w:pPr>
    </w:p>
    <w:p w:rsidR="00412AB7" w:rsidRPr="0012760D" w:rsidRDefault="00412AB7" w:rsidP="00412AB7">
      <w:pPr>
        <w:rPr>
          <w:sz w:val="24"/>
          <w:szCs w:val="24"/>
          <w:lang w:val="en-US"/>
        </w:rPr>
      </w:pPr>
      <w:r w:rsidRPr="0012760D">
        <w:rPr>
          <w:sz w:val="24"/>
          <w:szCs w:val="24"/>
          <w:lang w:val="en-US"/>
        </w:rPr>
        <w:t xml:space="preserve">Section 70d of the </w:t>
      </w:r>
      <w:r w:rsidRPr="0012760D">
        <w:rPr>
          <w:i/>
          <w:iCs/>
          <w:sz w:val="24"/>
          <w:szCs w:val="24"/>
          <w:lang w:val="en-US"/>
        </w:rPr>
        <w:t xml:space="preserve">Environment Protection Act 1970 </w:t>
      </w:r>
      <w:r w:rsidRPr="0012760D">
        <w:rPr>
          <w:sz w:val="24"/>
          <w:szCs w:val="24"/>
          <w:lang w:val="en-US"/>
        </w:rPr>
        <w:t>requires us to include a copy of the Sustainability Fund Advisory Panel</w:t>
      </w:r>
      <w:r w:rsidR="00425F22" w:rsidRPr="0012760D">
        <w:rPr>
          <w:sz w:val="24"/>
          <w:szCs w:val="24"/>
          <w:lang w:val="en-US"/>
        </w:rPr>
        <w:t>'</w:t>
      </w:r>
      <w:r w:rsidRPr="0012760D">
        <w:rPr>
          <w:sz w:val="24"/>
          <w:szCs w:val="24"/>
          <w:lang w:val="en-US"/>
        </w:rPr>
        <w:t>s recommendations in our annual report for the financial year in which the panel made its recommendations. The sustainability Fund Advisory Panel (Table 6) did not make any recommendation for funding in 2012 to 13. We must also include a list of all Sustainability Fund grants made in that financial year - please refer to Appendix 9.</w:t>
      </w:r>
    </w:p>
    <w:p w:rsidR="00412AB7" w:rsidRDefault="00412AB7" w:rsidP="00412AB7">
      <w:pPr>
        <w:rPr>
          <w:sz w:val="24"/>
          <w:szCs w:val="24"/>
        </w:rPr>
      </w:pPr>
    </w:p>
    <w:p w:rsidR="00143898" w:rsidRPr="0012760D" w:rsidRDefault="00143898" w:rsidP="00412AB7">
      <w:pPr>
        <w:rPr>
          <w:sz w:val="24"/>
          <w:szCs w:val="24"/>
        </w:rPr>
      </w:pPr>
    </w:p>
    <w:p w:rsidR="00412AB7" w:rsidRPr="0012760D" w:rsidRDefault="00412AB7" w:rsidP="00143898">
      <w:pPr>
        <w:pStyle w:val="Heading3"/>
        <w:rPr>
          <w:lang w:val="en-US"/>
        </w:rPr>
      </w:pPr>
      <w:r w:rsidRPr="0012760D">
        <w:rPr>
          <w:lang w:val="en-US"/>
        </w:rPr>
        <w:t>Table 6: Sustainability Fund Advisory Panel membership</w:t>
      </w:r>
    </w:p>
    <w:p w:rsidR="00412AB7" w:rsidRDefault="00412AB7" w:rsidP="00412AB7">
      <w:pPr>
        <w:rPr>
          <w:sz w:val="24"/>
          <w:szCs w:val="24"/>
        </w:rPr>
      </w:pPr>
    </w:p>
    <w:p w:rsidR="00143898" w:rsidRPr="0012760D" w:rsidRDefault="00143898" w:rsidP="00412AB7">
      <w:pPr>
        <w:rPr>
          <w:sz w:val="24"/>
          <w:szCs w:val="24"/>
        </w:rPr>
      </w:pPr>
    </w:p>
    <w:p w:rsidR="00412AB7" w:rsidRDefault="00412AB7" w:rsidP="00143898">
      <w:pPr>
        <w:pStyle w:val="Heading4"/>
        <w:rPr>
          <w:lang w:val="en-US"/>
        </w:rPr>
      </w:pPr>
      <w:r w:rsidRPr="0012760D">
        <w:rPr>
          <w:lang w:val="en-US"/>
        </w:rPr>
        <w:t>Member</w:t>
      </w:r>
      <w:r w:rsidRPr="0012760D">
        <w:t xml:space="preserve">, </w:t>
      </w:r>
      <w:r w:rsidRPr="0012760D">
        <w:rPr>
          <w:lang w:val="en-US"/>
        </w:rPr>
        <w:t>Expiry of current term</w:t>
      </w:r>
    </w:p>
    <w:p w:rsidR="00143898" w:rsidRPr="0012760D" w:rsidRDefault="00143898" w:rsidP="00412AB7">
      <w:pPr>
        <w:rPr>
          <w:sz w:val="24"/>
          <w:szCs w:val="24"/>
        </w:rPr>
      </w:pPr>
    </w:p>
    <w:p w:rsidR="00412AB7" w:rsidRPr="0012760D" w:rsidRDefault="00412AB7" w:rsidP="00412AB7">
      <w:pPr>
        <w:rPr>
          <w:sz w:val="24"/>
          <w:szCs w:val="24"/>
        </w:rPr>
      </w:pPr>
      <w:r w:rsidRPr="0012760D">
        <w:rPr>
          <w:sz w:val="24"/>
          <w:szCs w:val="24"/>
          <w:lang w:val="en-US"/>
        </w:rPr>
        <w:t xml:space="preserve">Mick Murphy </w:t>
      </w:r>
      <w:r w:rsidR="00EF242F">
        <w:rPr>
          <w:sz w:val="24"/>
          <w:szCs w:val="24"/>
          <w:lang w:val="en-US"/>
        </w:rPr>
        <w:t>O A M (C</w:t>
      </w:r>
      <w:r w:rsidRPr="0012760D">
        <w:rPr>
          <w:sz w:val="24"/>
          <w:szCs w:val="24"/>
          <w:lang w:val="en-US"/>
        </w:rPr>
        <w:t>hair)</w:t>
      </w:r>
      <w:r w:rsidRPr="0012760D">
        <w:rPr>
          <w:sz w:val="24"/>
          <w:szCs w:val="24"/>
        </w:rPr>
        <w:t xml:space="preserve">, </w:t>
      </w:r>
      <w:r w:rsidRPr="0012760D">
        <w:rPr>
          <w:sz w:val="24"/>
          <w:szCs w:val="24"/>
          <w:lang w:val="en-US"/>
        </w:rPr>
        <w:t>11 February 2015</w:t>
      </w:r>
    </w:p>
    <w:p w:rsidR="00412AB7" w:rsidRPr="0012760D" w:rsidRDefault="00412AB7" w:rsidP="00412AB7">
      <w:pPr>
        <w:rPr>
          <w:sz w:val="24"/>
          <w:szCs w:val="24"/>
        </w:rPr>
      </w:pPr>
      <w:r w:rsidRPr="0012760D">
        <w:rPr>
          <w:sz w:val="24"/>
          <w:szCs w:val="24"/>
          <w:lang w:val="en-US"/>
        </w:rPr>
        <w:t>Jan Boynton</w:t>
      </w:r>
      <w:r w:rsidRPr="0012760D">
        <w:rPr>
          <w:sz w:val="24"/>
          <w:szCs w:val="24"/>
        </w:rPr>
        <w:t xml:space="preserve">, </w:t>
      </w:r>
      <w:r w:rsidRPr="0012760D">
        <w:rPr>
          <w:sz w:val="24"/>
          <w:szCs w:val="24"/>
          <w:lang w:val="en-US"/>
        </w:rPr>
        <w:t>11 February 2015</w:t>
      </w:r>
    </w:p>
    <w:p w:rsidR="00412AB7" w:rsidRPr="0012760D" w:rsidRDefault="00412AB7" w:rsidP="00412AB7">
      <w:pPr>
        <w:rPr>
          <w:sz w:val="24"/>
          <w:szCs w:val="24"/>
        </w:rPr>
      </w:pPr>
      <w:r w:rsidRPr="0012760D">
        <w:rPr>
          <w:sz w:val="24"/>
          <w:szCs w:val="24"/>
          <w:lang w:val="en-US"/>
        </w:rPr>
        <w:t>Doctor Sarah Ewing</w:t>
      </w:r>
      <w:r w:rsidRPr="0012760D">
        <w:rPr>
          <w:sz w:val="24"/>
          <w:szCs w:val="24"/>
        </w:rPr>
        <w:t xml:space="preserve">, </w:t>
      </w:r>
      <w:r w:rsidRPr="0012760D">
        <w:rPr>
          <w:sz w:val="24"/>
          <w:szCs w:val="24"/>
          <w:lang w:val="en-US"/>
        </w:rPr>
        <w:t>11 February 2015</w:t>
      </w:r>
    </w:p>
    <w:p w:rsidR="00412AB7" w:rsidRPr="0012760D" w:rsidRDefault="00412AB7" w:rsidP="00412AB7">
      <w:pPr>
        <w:rPr>
          <w:sz w:val="24"/>
          <w:szCs w:val="24"/>
        </w:rPr>
      </w:pPr>
      <w:r w:rsidRPr="0012760D">
        <w:rPr>
          <w:sz w:val="24"/>
          <w:szCs w:val="24"/>
          <w:lang w:val="en-US"/>
        </w:rPr>
        <w:t>Anne Dalton</w:t>
      </w:r>
      <w:r w:rsidRPr="0012760D">
        <w:rPr>
          <w:sz w:val="24"/>
          <w:szCs w:val="24"/>
        </w:rPr>
        <w:t xml:space="preserve">, </w:t>
      </w:r>
      <w:r w:rsidRPr="0012760D">
        <w:rPr>
          <w:sz w:val="24"/>
          <w:szCs w:val="24"/>
          <w:lang w:val="en-US"/>
        </w:rPr>
        <w:t>8 July 2015</w:t>
      </w:r>
    </w:p>
    <w:p w:rsidR="00412AB7" w:rsidRPr="0012760D" w:rsidRDefault="00412AB7" w:rsidP="00412AB7">
      <w:pPr>
        <w:rPr>
          <w:sz w:val="24"/>
          <w:szCs w:val="24"/>
        </w:rPr>
      </w:pPr>
      <w:r w:rsidRPr="0012760D">
        <w:rPr>
          <w:sz w:val="24"/>
          <w:szCs w:val="24"/>
          <w:lang w:val="en-US"/>
        </w:rPr>
        <w:t>Joanne Anderson</w:t>
      </w:r>
      <w:r w:rsidRPr="0012760D">
        <w:rPr>
          <w:sz w:val="24"/>
          <w:szCs w:val="24"/>
        </w:rPr>
        <w:t xml:space="preserve">, </w:t>
      </w:r>
      <w:r w:rsidRPr="0012760D">
        <w:rPr>
          <w:sz w:val="24"/>
          <w:szCs w:val="24"/>
          <w:lang w:val="en-US"/>
        </w:rPr>
        <w:t>8 July 2015</w:t>
      </w:r>
    </w:p>
    <w:p w:rsidR="00412AB7" w:rsidRDefault="00412AB7" w:rsidP="00412AB7">
      <w:pPr>
        <w:rPr>
          <w:bCs/>
          <w:sz w:val="24"/>
          <w:szCs w:val="24"/>
          <w:lang w:val="en-US"/>
        </w:rPr>
      </w:pPr>
    </w:p>
    <w:p w:rsidR="00143898" w:rsidRPr="0012760D" w:rsidRDefault="00143898" w:rsidP="00412AB7">
      <w:pPr>
        <w:rPr>
          <w:bCs/>
          <w:sz w:val="24"/>
          <w:szCs w:val="24"/>
          <w:lang w:val="en-US"/>
        </w:rPr>
      </w:pPr>
      <w:r>
        <w:rPr>
          <w:bCs/>
          <w:sz w:val="24"/>
          <w:szCs w:val="24"/>
          <w:lang w:val="en-US"/>
        </w:rPr>
        <w:t>&lt;box&gt;</w:t>
      </w:r>
    </w:p>
    <w:p w:rsidR="00412AB7" w:rsidRPr="0012760D" w:rsidRDefault="00412AB7" w:rsidP="00412AB7">
      <w:pPr>
        <w:rPr>
          <w:sz w:val="24"/>
          <w:szCs w:val="24"/>
        </w:rPr>
      </w:pPr>
      <w:r w:rsidRPr="0012760D">
        <w:rPr>
          <w:bCs/>
          <w:sz w:val="24"/>
          <w:szCs w:val="24"/>
          <w:lang w:val="en-US"/>
        </w:rPr>
        <w:lastRenderedPageBreak/>
        <w:t>Fostering environmentally sustainable uses of resources and best practices in waste management and fostering community action to tackle climate change</w:t>
      </w:r>
    </w:p>
    <w:p w:rsidR="002C6FF0" w:rsidRPr="0012760D" w:rsidRDefault="002C6FF0" w:rsidP="00412AB7">
      <w:pPr>
        <w:rPr>
          <w:bCs/>
          <w:sz w:val="24"/>
          <w:szCs w:val="24"/>
          <w:lang w:val="en-US"/>
        </w:rPr>
      </w:pPr>
      <w:r>
        <w:rPr>
          <w:bCs/>
          <w:sz w:val="24"/>
          <w:szCs w:val="24"/>
          <w:lang w:val="en-US"/>
        </w:rPr>
        <w:t>&lt;/box&gt;</w:t>
      </w:r>
    </w:p>
    <w:p w:rsidR="00412AB7" w:rsidRDefault="00412AB7" w:rsidP="00412AB7">
      <w:pPr>
        <w:rPr>
          <w:sz w:val="24"/>
          <w:szCs w:val="24"/>
        </w:rPr>
      </w:pPr>
    </w:p>
    <w:p w:rsidR="002C6FF0" w:rsidRDefault="002C6FF0" w:rsidP="00412AB7">
      <w:pPr>
        <w:rPr>
          <w:sz w:val="24"/>
          <w:szCs w:val="24"/>
        </w:rPr>
      </w:pPr>
    </w:p>
    <w:p w:rsidR="002C6FF0" w:rsidRDefault="002C6FF0" w:rsidP="002C6FF0">
      <w:pPr>
        <w:pStyle w:val="Heading3"/>
        <w:rPr>
          <w:lang w:val="en-US"/>
        </w:rPr>
      </w:pPr>
      <w:r w:rsidRPr="0012760D">
        <w:rPr>
          <w:lang w:val="en-US"/>
        </w:rPr>
        <w:t>Current focus</w:t>
      </w:r>
    </w:p>
    <w:p w:rsidR="002C6FF0" w:rsidRPr="0012760D" w:rsidRDefault="002C6FF0" w:rsidP="00412AB7">
      <w:pPr>
        <w:rPr>
          <w:sz w:val="24"/>
          <w:szCs w:val="24"/>
        </w:rPr>
      </w:pPr>
    </w:p>
    <w:p w:rsidR="00412AB7" w:rsidRDefault="00412AB7" w:rsidP="00412AB7">
      <w:pPr>
        <w:rPr>
          <w:sz w:val="24"/>
          <w:szCs w:val="24"/>
          <w:lang w:val="en-US"/>
        </w:rPr>
      </w:pPr>
      <w:r w:rsidRPr="0012760D">
        <w:rPr>
          <w:sz w:val="24"/>
          <w:szCs w:val="24"/>
          <w:lang w:val="en-US"/>
        </w:rPr>
        <w:t>As the authority responsible for management of the Sustainability Fund, we distribute funds on behalf of the Premier and the Minister for Environment and Climate Change. We maintain the Sustainability Fund secretariat for this purpose.</w:t>
      </w:r>
    </w:p>
    <w:p w:rsidR="002C6FF0" w:rsidRPr="0012760D" w:rsidRDefault="002C6FF0" w:rsidP="00412AB7">
      <w:pPr>
        <w:rPr>
          <w:sz w:val="24"/>
          <w:szCs w:val="24"/>
        </w:rPr>
      </w:pPr>
    </w:p>
    <w:p w:rsidR="00412AB7" w:rsidRDefault="00412AB7" w:rsidP="00412AB7">
      <w:pPr>
        <w:rPr>
          <w:sz w:val="24"/>
          <w:szCs w:val="24"/>
          <w:lang w:val="en-US"/>
        </w:rPr>
      </w:pPr>
      <w:r w:rsidRPr="0012760D">
        <w:rPr>
          <w:sz w:val="24"/>
          <w:szCs w:val="24"/>
          <w:lang w:val="en-US"/>
        </w:rPr>
        <w:t>The Fund supports best practice in waste management and environmentally sustainable resource use to enhance Victoria socially and economically, and to foster community action and innovation on climate change. To achieve this, funds are allocated to various competitive funding rounds and strategic initiatives.</w:t>
      </w:r>
    </w:p>
    <w:p w:rsidR="002C6FF0" w:rsidRDefault="002C6FF0" w:rsidP="00412AB7">
      <w:pPr>
        <w:rPr>
          <w:sz w:val="24"/>
          <w:szCs w:val="24"/>
          <w:lang w:val="en-US"/>
        </w:rPr>
      </w:pPr>
    </w:p>
    <w:p w:rsidR="002C6FF0" w:rsidRPr="0012760D" w:rsidRDefault="002C6FF0" w:rsidP="00412AB7">
      <w:pPr>
        <w:rPr>
          <w:sz w:val="24"/>
          <w:szCs w:val="24"/>
        </w:rPr>
      </w:pPr>
    </w:p>
    <w:p w:rsidR="00412AB7" w:rsidRDefault="00412AB7" w:rsidP="002C6FF0">
      <w:pPr>
        <w:pStyle w:val="Heading3"/>
        <w:rPr>
          <w:lang w:val="en-US"/>
        </w:rPr>
      </w:pPr>
      <w:r w:rsidRPr="0012760D">
        <w:rPr>
          <w:lang w:val="en-US"/>
        </w:rPr>
        <w:t>Key achievements</w:t>
      </w:r>
    </w:p>
    <w:p w:rsidR="002C6FF0" w:rsidRPr="0012760D" w:rsidRDefault="002C6FF0" w:rsidP="00412AB7">
      <w:pPr>
        <w:rPr>
          <w:sz w:val="24"/>
          <w:szCs w:val="24"/>
        </w:rPr>
      </w:pPr>
    </w:p>
    <w:p w:rsidR="00412AB7" w:rsidRDefault="00412AB7" w:rsidP="00412AB7">
      <w:pPr>
        <w:rPr>
          <w:sz w:val="24"/>
          <w:szCs w:val="24"/>
          <w:lang w:val="en-US"/>
        </w:rPr>
      </w:pPr>
      <w:r w:rsidRPr="0012760D">
        <w:rPr>
          <w:sz w:val="24"/>
          <w:szCs w:val="24"/>
          <w:lang w:val="en-US"/>
        </w:rPr>
        <w:t>Over $35 million was distributed from the Sustainability Fund to grants and strategic initiatives in 2012 to 13.</w:t>
      </w:r>
    </w:p>
    <w:p w:rsidR="002C6FF0" w:rsidRPr="0012760D" w:rsidRDefault="002C6FF0" w:rsidP="00412AB7">
      <w:pPr>
        <w:rPr>
          <w:sz w:val="24"/>
          <w:szCs w:val="24"/>
        </w:rPr>
      </w:pPr>
    </w:p>
    <w:p w:rsidR="00412AB7" w:rsidRPr="0012760D" w:rsidRDefault="00412AB7" w:rsidP="00412AB7">
      <w:pPr>
        <w:rPr>
          <w:sz w:val="24"/>
          <w:szCs w:val="24"/>
        </w:rPr>
      </w:pPr>
      <w:r w:rsidRPr="0012760D">
        <w:rPr>
          <w:sz w:val="24"/>
          <w:szCs w:val="24"/>
          <w:lang w:val="en-US"/>
        </w:rPr>
        <w:t>To meet our commitments to the Fund, we:</w:t>
      </w:r>
    </w:p>
    <w:p w:rsidR="00412AB7" w:rsidRPr="0012760D" w:rsidRDefault="00412AB7" w:rsidP="00412AB7">
      <w:pPr>
        <w:rPr>
          <w:sz w:val="24"/>
          <w:szCs w:val="24"/>
        </w:rPr>
      </w:pPr>
      <w:r w:rsidRPr="0012760D">
        <w:rPr>
          <w:sz w:val="24"/>
          <w:szCs w:val="24"/>
          <w:lang w:val="en-US"/>
        </w:rPr>
        <w:t>• improved governance, transparency and reporting processes</w:t>
      </w:r>
    </w:p>
    <w:p w:rsidR="00412AB7" w:rsidRPr="0012760D" w:rsidRDefault="00412AB7" w:rsidP="00412AB7">
      <w:pPr>
        <w:rPr>
          <w:sz w:val="24"/>
          <w:szCs w:val="24"/>
        </w:rPr>
      </w:pPr>
      <w:r w:rsidRPr="0012760D">
        <w:rPr>
          <w:sz w:val="24"/>
          <w:szCs w:val="24"/>
          <w:lang w:val="en-US"/>
        </w:rPr>
        <w:t>• continued to manage all pre-existing strategic funding allocations and over 80 projects from previous funding rounds, together with those announced in 2012 to 13</w:t>
      </w:r>
    </w:p>
    <w:p w:rsidR="00412AB7" w:rsidRPr="0012760D" w:rsidRDefault="00412AB7" w:rsidP="00412AB7">
      <w:pPr>
        <w:rPr>
          <w:sz w:val="24"/>
          <w:szCs w:val="24"/>
        </w:rPr>
      </w:pPr>
      <w:r w:rsidRPr="0012760D">
        <w:rPr>
          <w:sz w:val="24"/>
          <w:szCs w:val="24"/>
          <w:lang w:val="en-US"/>
        </w:rPr>
        <w:t>• continued secretariat support to the sustainability Fund advisory panel.</w:t>
      </w:r>
    </w:p>
    <w:p w:rsidR="00F83426" w:rsidRDefault="00F83426" w:rsidP="00F83426">
      <w:pPr>
        <w:rPr>
          <w:bCs/>
          <w:sz w:val="24"/>
          <w:szCs w:val="24"/>
        </w:rPr>
      </w:pPr>
      <w:r w:rsidRPr="0012760D">
        <w:rPr>
          <w:bCs/>
          <w:sz w:val="24"/>
          <w:szCs w:val="24"/>
        </w:rPr>
        <w:t>&lt;pp&gt; 62</w:t>
      </w:r>
    </w:p>
    <w:p w:rsidR="002C6FF0" w:rsidRDefault="002C6FF0" w:rsidP="00F83426">
      <w:pPr>
        <w:rPr>
          <w:bCs/>
          <w:sz w:val="24"/>
          <w:szCs w:val="24"/>
        </w:rPr>
      </w:pPr>
    </w:p>
    <w:p w:rsidR="002C6FF0" w:rsidRPr="0012760D" w:rsidRDefault="002C6FF0" w:rsidP="00F83426">
      <w:pPr>
        <w:rPr>
          <w:sz w:val="24"/>
          <w:szCs w:val="24"/>
        </w:rPr>
      </w:pPr>
    </w:p>
    <w:p w:rsidR="00F83426" w:rsidRDefault="00F83426" w:rsidP="002C6FF0">
      <w:pPr>
        <w:pStyle w:val="Heading1"/>
      </w:pPr>
      <w:r w:rsidRPr="0012760D">
        <w:t>Appendix 1</w:t>
      </w:r>
      <w:r w:rsidR="002C6FF0">
        <w:br/>
      </w:r>
      <w:r w:rsidRPr="0012760D">
        <w:t>Board Membership and Operations</w:t>
      </w:r>
    </w:p>
    <w:p w:rsidR="002C6FF0" w:rsidRPr="0012760D" w:rsidRDefault="002C6FF0" w:rsidP="00F83426">
      <w:pPr>
        <w:rPr>
          <w:sz w:val="24"/>
          <w:szCs w:val="24"/>
        </w:rPr>
      </w:pPr>
    </w:p>
    <w:p w:rsidR="00F83426" w:rsidRDefault="002C6FF0" w:rsidP="002C6FF0">
      <w:pPr>
        <w:pStyle w:val="Heading1"/>
      </w:pPr>
      <w:r w:rsidRPr="0012760D">
        <w:t>Board Members</w:t>
      </w:r>
    </w:p>
    <w:p w:rsidR="002C6FF0" w:rsidRPr="0012760D" w:rsidRDefault="002C6FF0" w:rsidP="00F83426">
      <w:pPr>
        <w:rPr>
          <w:sz w:val="24"/>
          <w:szCs w:val="24"/>
        </w:rPr>
      </w:pPr>
    </w:p>
    <w:p w:rsidR="00F83426" w:rsidRDefault="00F83426" w:rsidP="002C6FF0">
      <w:pPr>
        <w:pStyle w:val="Heading2"/>
      </w:pPr>
      <w:r w:rsidRPr="0012760D">
        <w:t>Doctor Gillian Sparkes, PhD, MBA, Chair</w:t>
      </w:r>
    </w:p>
    <w:p w:rsidR="002C6FF0" w:rsidRPr="0012760D" w:rsidRDefault="002C6FF0" w:rsidP="00F83426">
      <w:pPr>
        <w:rPr>
          <w:sz w:val="24"/>
          <w:szCs w:val="24"/>
        </w:rPr>
      </w:pPr>
    </w:p>
    <w:p w:rsidR="00F83426" w:rsidRDefault="00F83426" w:rsidP="00F83426">
      <w:pPr>
        <w:rPr>
          <w:sz w:val="24"/>
          <w:szCs w:val="24"/>
        </w:rPr>
      </w:pPr>
      <w:r w:rsidRPr="0012760D">
        <w:rPr>
          <w:sz w:val="24"/>
          <w:szCs w:val="24"/>
        </w:rPr>
        <w:t>Gillian was appointed as the Chair of Sustainability Victoria in May 2011.</w:t>
      </w:r>
    </w:p>
    <w:p w:rsidR="002C6FF0" w:rsidRPr="0012760D" w:rsidRDefault="002C6FF0" w:rsidP="00F83426">
      <w:pPr>
        <w:rPr>
          <w:sz w:val="24"/>
          <w:szCs w:val="24"/>
        </w:rPr>
      </w:pPr>
    </w:p>
    <w:p w:rsidR="00F83426" w:rsidRDefault="00F83426" w:rsidP="00F83426">
      <w:pPr>
        <w:rPr>
          <w:sz w:val="24"/>
          <w:szCs w:val="24"/>
        </w:rPr>
      </w:pPr>
      <w:r w:rsidRPr="0012760D">
        <w:rPr>
          <w:sz w:val="24"/>
          <w:szCs w:val="24"/>
        </w:rPr>
        <w:t>Gillian has extensive experience as a senior executive in the private and public sectors over a long career in the manufacturing, waste management and water industries, and research sectors. Gillian is also the Executive Director of External Affairs for WorkSafe Victoria, a strategic leadership role with executive responsibility for stakeholder engagement and supporting services. Immediately prior to joining WorkSafe, Gillian was the Deputy Secretary Corporate and Business Services for the Department of Environment and Primary Industries in Victoria (formerly DSE), where she led significant organisational reforms.</w:t>
      </w:r>
    </w:p>
    <w:p w:rsidR="002C6FF0" w:rsidRPr="0012760D" w:rsidRDefault="002C6FF0" w:rsidP="00F83426">
      <w:pPr>
        <w:rPr>
          <w:sz w:val="24"/>
          <w:szCs w:val="24"/>
        </w:rPr>
      </w:pPr>
    </w:p>
    <w:p w:rsidR="00F83426" w:rsidRPr="0012760D" w:rsidRDefault="00F83426" w:rsidP="00F83426">
      <w:pPr>
        <w:rPr>
          <w:sz w:val="24"/>
          <w:szCs w:val="24"/>
        </w:rPr>
      </w:pPr>
      <w:r w:rsidRPr="0012760D">
        <w:rPr>
          <w:sz w:val="24"/>
          <w:szCs w:val="24"/>
        </w:rPr>
        <w:lastRenderedPageBreak/>
        <w:t>Gillian's qualifications include a PhD in Applied Science (Chemistry) and a Masters of Business Administration. Gillian is a graduate of the Australian Institute of Company Directors.</w:t>
      </w:r>
    </w:p>
    <w:p w:rsidR="00F83426" w:rsidRDefault="00F83426" w:rsidP="00F83426">
      <w:pPr>
        <w:rPr>
          <w:sz w:val="24"/>
          <w:szCs w:val="24"/>
        </w:rPr>
      </w:pPr>
    </w:p>
    <w:p w:rsidR="002C6FF0" w:rsidRPr="0012760D" w:rsidRDefault="002C6FF0" w:rsidP="00F83426">
      <w:pPr>
        <w:rPr>
          <w:sz w:val="24"/>
          <w:szCs w:val="24"/>
        </w:rPr>
      </w:pPr>
    </w:p>
    <w:p w:rsidR="00F83426" w:rsidRDefault="00F83426" w:rsidP="002C6FF0">
      <w:pPr>
        <w:pStyle w:val="Heading2"/>
      </w:pPr>
      <w:r w:rsidRPr="0012760D">
        <w:t>Mike Hill, Deputy Chair</w:t>
      </w:r>
    </w:p>
    <w:p w:rsidR="002C6FF0" w:rsidRPr="0012760D" w:rsidRDefault="002C6FF0" w:rsidP="00F83426">
      <w:pPr>
        <w:rPr>
          <w:sz w:val="24"/>
          <w:szCs w:val="24"/>
        </w:rPr>
      </w:pPr>
    </w:p>
    <w:p w:rsidR="00F83426" w:rsidRDefault="00F83426" w:rsidP="00F83426">
      <w:pPr>
        <w:rPr>
          <w:sz w:val="24"/>
          <w:szCs w:val="24"/>
        </w:rPr>
      </w:pPr>
      <w:r w:rsidRPr="0012760D">
        <w:rPr>
          <w:sz w:val="24"/>
          <w:szCs w:val="24"/>
        </w:rPr>
        <w:t>Mike has three decades of close involvement with local governments, including serving as a Councillor and Mayor in the municipalities of Brunswick and Moreland. He was the inaugural CEO of the Victorian Local Governance Association and later designed, and served as Director of, the Victorian Local Sustainability Accord.</w:t>
      </w:r>
    </w:p>
    <w:p w:rsidR="002C6FF0" w:rsidRPr="0012760D" w:rsidRDefault="002C6FF0" w:rsidP="00F83426">
      <w:pPr>
        <w:rPr>
          <w:sz w:val="24"/>
          <w:szCs w:val="24"/>
        </w:rPr>
      </w:pPr>
    </w:p>
    <w:p w:rsidR="00F83426" w:rsidRPr="0012760D" w:rsidRDefault="00F83426" w:rsidP="00F83426">
      <w:pPr>
        <w:rPr>
          <w:sz w:val="24"/>
          <w:szCs w:val="24"/>
        </w:rPr>
      </w:pPr>
      <w:r w:rsidRPr="0012760D">
        <w:rPr>
          <w:sz w:val="24"/>
          <w:szCs w:val="24"/>
        </w:rPr>
        <w:t>Mike has been involved in all of Sustainability Victoria's predecessor organisations stretching over a 25-year period. He also spent 10 years as foundation Chair of the Moreland Energy Foundation and was the inaugural chair of ECO-Buy Limited, a Centre for Excellence in Environmental Purchasing. He is Chair of the Natural Resources Conservation League and co-director of WestWyck, a company developing an eco-housing project on a former school site in Brunswick West.</w:t>
      </w:r>
    </w:p>
    <w:p w:rsidR="00F83426" w:rsidRDefault="00F83426" w:rsidP="00F83426">
      <w:pPr>
        <w:rPr>
          <w:sz w:val="24"/>
          <w:szCs w:val="24"/>
        </w:rPr>
      </w:pPr>
    </w:p>
    <w:p w:rsidR="002C6FF0" w:rsidRPr="0012760D" w:rsidRDefault="002C6FF0" w:rsidP="00F83426">
      <w:pPr>
        <w:rPr>
          <w:sz w:val="24"/>
          <w:szCs w:val="24"/>
        </w:rPr>
      </w:pPr>
    </w:p>
    <w:p w:rsidR="00F83426" w:rsidRDefault="00F83426" w:rsidP="002C6FF0">
      <w:pPr>
        <w:pStyle w:val="Heading2"/>
      </w:pPr>
      <w:r w:rsidRPr="0012760D">
        <w:t>Cheryl Batagol</w:t>
      </w:r>
    </w:p>
    <w:p w:rsidR="002C6FF0" w:rsidRPr="0012760D" w:rsidRDefault="002C6FF0" w:rsidP="00F83426">
      <w:pPr>
        <w:rPr>
          <w:sz w:val="24"/>
          <w:szCs w:val="24"/>
        </w:rPr>
      </w:pPr>
    </w:p>
    <w:p w:rsidR="00F83426" w:rsidRDefault="00F83426" w:rsidP="00F83426">
      <w:pPr>
        <w:rPr>
          <w:sz w:val="24"/>
          <w:szCs w:val="24"/>
        </w:rPr>
      </w:pPr>
      <w:r w:rsidRPr="0012760D">
        <w:rPr>
          <w:sz w:val="24"/>
          <w:szCs w:val="24"/>
        </w:rPr>
        <w:t>Cheryl is the Chair of the Victorian Environment Protection Authority (EPA) and is a member of the Victorian Catchment Management Council. She is a former Chairman of Melbourne Water and board member of City West Water and Southern Rural Water.</w:t>
      </w:r>
    </w:p>
    <w:p w:rsidR="002C6FF0" w:rsidRPr="0012760D" w:rsidRDefault="002C6FF0" w:rsidP="00F83426">
      <w:pPr>
        <w:rPr>
          <w:sz w:val="24"/>
          <w:szCs w:val="24"/>
        </w:rPr>
      </w:pPr>
    </w:p>
    <w:p w:rsidR="00F83426" w:rsidRPr="0012760D" w:rsidRDefault="00F83426" w:rsidP="00F83426">
      <w:pPr>
        <w:rPr>
          <w:sz w:val="24"/>
          <w:szCs w:val="24"/>
        </w:rPr>
      </w:pPr>
      <w:r w:rsidRPr="0012760D">
        <w:rPr>
          <w:sz w:val="24"/>
          <w:szCs w:val="24"/>
        </w:rPr>
        <w:t>Cheryl has 30 years' experience in the waste management industry, including commercial, industrial and trade waste management and treatment. Cheryl served as the former Chair of EcoRecycle Victoria from 2003 to 2005.</w:t>
      </w:r>
    </w:p>
    <w:p w:rsidR="00F83426" w:rsidRDefault="00F83426" w:rsidP="00F83426">
      <w:pPr>
        <w:rPr>
          <w:sz w:val="24"/>
          <w:szCs w:val="24"/>
        </w:rPr>
      </w:pPr>
    </w:p>
    <w:p w:rsidR="002C6FF0" w:rsidRPr="0012760D" w:rsidRDefault="002C6FF0" w:rsidP="00F83426">
      <w:pPr>
        <w:rPr>
          <w:sz w:val="24"/>
          <w:szCs w:val="24"/>
        </w:rPr>
      </w:pPr>
    </w:p>
    <w:p w:rsidR="00F83426" w:rsidRDefault="00F83426" w:rsidP="002C6FF0">
      <w:pPr>
        <w:pStyle w:val="Heading2"/>
      </w:pPr>
      <w:r w:rsidRPr="0012760D">
        <w:t>Suzanne Evans</w:t>
      </w:r>
    </w:p>
    <w:p w:rsidR="002C6FF0" w:rsidRPr="0012760D" w:rsidRDefault="002C6FF0" w:rsidP="00F83426">
      <w:pPr>
        <w:rPr>
          <w:sz w:val="24"/>
          <w:szCs w:val="24"/>
        </w:rPr>
      </w:pPr>
    </w:p>
    <w:p w:rsidR="00F83426" w:rsidRDefault="00F83426" w:rsidP="00F83426">
      <w:pPr>
        <w:rPr>
          <w:sz w:val="24"/>
          <w:szCs w:val="24"/>
        </w:rPr>
      </w:pPr>
      <w:r w:rsidRPr="0012760D">
        <w:rPr>
          <w:sz w:val="24"/>
          <w:szCs w:val="24"/>
        </w:rPr>
        <w:t>Suzanne is a partner in a horticultural enterprise in central Victoria.</w:t>
      </w:r>
    </w:p>
    <w:p w:rsidR="002C6FF0" w:rsidRPr="0012760D" w:rsidRDefault="002C6FF0" w:rsidP="00F83426">
      <w:pPr>
        <w:rPr>
          <w:sz w:val="24"/>
          <w:szCs w:val="24"/>
        </w:rPr>
      </w:pPr>
    </w:p>
    <w:p w:rsidR="00F83426" w:rsidRPr="0012760D" w:rsidRDefault="00F83426" w:rsidP="00F83426">
      <w:pPr>
        <w:rPr>
          <w:sz w:val="24"/>
          <w:szCs w:val="24"/>
        </w:rPr>
      </w:pPr>
      <w:r w:rsidRPr="0012760D">
        <w:rPr>
          <w:sz w:val="24"/>
          <w:szCs w:val="24"/>
        </w:rPr>
        <w:t>She is also a non-executive director of Austin Health. She also sits as an independent member in the Risk and Audit Committee for the Department of Environment and Primary Industries. She is a past member of the Osteopaths' Registration Board of Victoria, North East Water Corporation and the Medical Practitioners' Board of Victoria's Customer Consultative Committee. Suzanne sits on the accreditation committee for the Australian and New Zealand Osteopathic Council. She has executive experience in the water industry, at State Treasury, as principal of a public accounting practice and in academia.</w:t>
      </w:r>
    </w:p>
    <w:p w:rsidR="00F80869" w:rsidRPr="0012760D" w:rsidRDefault="00F80869" w:rsidP="00F80869">
      <w:pPr>
        <w:rPr>
          <w:bCs/>
          <w:sz w:val="24"/>
          <w:szCs w:val="24"/>
        </w:rPr>
      </w:pPr>
      <w:r w:rsidRPr="0012760D">
        <w:rPr>
          <w:bCs/>
          <w:sz w:val="24"/>
          <w:szCs w:val="24"/>
        </w:rPr>
        <w:t>&lt;pp&gt;63</w:t>
      </w:r>
    </w:p>
    <w:p w:rsidR="00F80869" w:rsidRDefault="00F80869" w:rsidP="00F80869">
      <w:pPr>
        <w:rPr>
          <w:sz w:val="24"/>
          <w:szCs w:val="24"/>
        </w:rPr>
      </w:pPr>
    </w:p>
    <w:p w:rsidR="002C6FF0" w:rsidRPr="0012760D" w:rsidRDefault="002C6FF0" w:rsidP="00F80869">
      <w:pPr>
        <w:rPr>
          <w:sz w:val="24"/>
          <w:szCs w:val="24"/>
        </w:rPr>
      </w:pPr>
    </w:p>
    <w:p w:rsidR="00F80869" w:rsidRDefault="00F80869" w:rsidP="002C6FF0">
      <w:pPr>
        <w:pStyle w:val="Heading2"/>
      </w:pPr>
      <w:r w:rsidRPr="0012760D">
        <w:t>Ross McCann</w:t>
      </w:r>
    </w:p>
    <w:p w:rsidR="002C6FF0" w:rsidRPr="0012760D" w:rsidRDefault="002C6FF0" w:rsidP="00F80869">
      <w:pPr>
        <w:rPr>
          <w:sz w:val="24"/>
          <w:szCs w:val="24"/>
        </w:rPr>
      </w:pPr>
    </w:p>
    <w:p w:rsidR="00F80869" w:rsidRDefault="00F80869" w:rsidP="00F80869">
      <w:pPr>
        <w:rPr>
          <w:sz w:val="24"/>
          <w:szCs w:val="24"/>
        </w:rPr>
      </w:pPr>
      <w:r w:rsidRPr="0012760D">
        <w:rPr>
          <w:sz w:val="24"/>
          <w:szCs w:val="24"/>
        </w:rPr>
        <w:t xml:space="preserve">Ross is the Executive Chair of Qenos and President of the Plastics and Chemicals </w:t>
      </w:r>
      <w:r w:rsidRPr="0012760D">
        <w:rPr>
          <w:sz w:val="24"/>
          <w:szCs w:val="24"/>
        </w:rPr>
        <w:lastRenderedPageBreak/>
        <w:t>Industry Association. He is also a member of the EPA's Environment Protection Board.</w:t>
      </w:r>
    </w:p>
    <w:p w:rsidR="002C6FF0" w:rsidRPr="0012760D" w:rsidRDefault="002C6FF0" w:rsidP="00F80869">
      <w:pPr>
        <w:rPr>
          <w:sz w:val="24"/>
          <w:szCs w:val="24"/>
        </w:rPr>
      </w:pPr>
    </w:p>
    <w:p w:rsidR="00F80869" w:rsidRPr="0012760D" w:rsidRDefault="00F80869" w:rsidP="00F80869">
      <w:pPr>
        <w:rPr>
          <w:sz w:val="24"/>
          <w:szCs w:val="24"/>
        </w:rPr>
      </w:pPr>
      <w:r w:rsidRPr="0012760D">
        <w:rPr>
          <w:sz w:val="24"/>
          <w:szCs w:val="24"/>
        </w:rPr>
        <w:t>He spent 25 years in management-based roles at ICI Australia across operations, business development, projects and also in leading business units. He has also been a member of the Executive Committee of WMC Resources Ltd.</w:t>
      </w:r>
    </w:p>
    <w:p w:rsidR="00F80869" w:rsidRDefault="00F80869" w:rsidP="00F80869">
      <w:pPr>
        <w:rPr>
          <w:sz w:val="24"/>
          <w:szCs w:val="24"/>
        </w:rPr>
      </w:pPr>
    </w:p>
    <w:p w:rsidR="002C6FF0" w:rsidRPr="0012760D" w:rsidRDefault="002C6FF0" w:rsidP="00F80869">
      <w:pPr>
        <w:rPr>
          <w:sz w:val="24"/>
          <w:szCs w:val="24"/>
        </w:rPr>
      </w:pPr>
    </w:p>
    <w:p w:rsidR="00F80869" w:rsidRDefault="00F80869" w:rsidP="002C6FF0">
      <w:pPr>
        <w:pStyle w:val="Heading2"/>
      </w:pPr>
      <w:r w:rsidRPr="0012760D">
        <w:t>Ron Lovett MAICD</w:t>
      </w:r>
    </w:p>
    <w:p w:rsidR="002C6FF0" w:rsidRPr="0012760D" w:rsidRDefault="002C6FF0" w:rsidP="00F80869">
      <w:pPr>
        <w:rPr>
          <w:sz w:val="24"/>
          <w:szCs w:val="24"/>
        </w:rPr>
      </w:pPr>
    </w:p>
    <w:p w:rsidR="00F80869" w:rsidRDefault="00F80869" w:rsidP="00F80869">
      <w:pPr>
        <w:rPr>
          <w:sz w:val="24"/>
          <w:szCs w:val="24"/>
        </w:rPr>
      </w:pPr>
      <w:r w:rsidRPr="0012760D">
        <w:rPr>
          <w:sz w:val="24"/>
          <w:szCs w:val="24"/>
        </w:rPr>
        <w:t>Ron has over 40 years' continuous involvement in the major infrastructure building and construction sectors, working both overseas and throughout Australia, and over 30 years' experience at senior management level in all aspects of project development and financing, including organisational, business leadership and strategic planning roles with Abigroup, one of Australia's largest infrastructure construction services contractors.</w:t>
      </w:r>
    </w:p>
    <w:p w:rsidR="002C6FF0" w:rsidRPr="0012760D" w:rsidRDefault="002C6FF0" w:rsidP="00F80869">
      <w:pPr>
        <w:rPr>
          <w:sz w:val="24"/>
          <w:szCs w:val="24"/>
        </w:rPr>
      </w:pPr>
    </w:p>
    <w:p w:rsidR="00F80869" w:rsidRPr="0012760D" w:rsidRDefault="00F80869" w:rsidP="00F80869">
      <w:pPr>
        <w:rPr>
          <w:sz w:val="24"/>
          <w:szCs w:val="24"/>
        </w:rPr>
      </w:pPr>
      <w:r w:rsidRPr="0012760D">
        <w:rPr>
          <w:sz w:val="24"/>
          <w:szCs w:val="24"/>
        </w:rPr>
        <w:t>Ron also has extensive experience in executive elected position roles in not-for-profit and industry leadership organisations.</w:t>
      </w:r>
    </w:p>
    <w:p w:rsidR="00F80869" w:rsidRDefault="00F80869" w:rsidP="00F80869">
      <w:pPr>
        <w:rPr>
          <w:sz w:val="24"/>
          <w:szCs w:val="24"/>
        </w:rPr>
      </w:pPr>
    </w:p>
    <w:p w:rsidR="002C6FF0" w:rsidRPr="0012760D" w:rsidRDefault="002C6FF0" w:rsidP="00F80869">
      <w:pPr>
        <w:rPr>
          <w:sz w:val="24"/>
          <w:szCs w:val="24"/>
        </w:rPr>
      </w:pPr>
    </w:p>
    <w:p w:rsidR="00F80869" w:rsidRDefault="00F80869" w:rsidP="002C6FF0">
      <w:pPr>
        <w:pStyle w:val="Heading2"/>
      </w:pPr>
      <w:r w:rsidRPr="0012760D">
        <w:t>Tony Hinton</w:t>
      </w:r>
    </w:p>
    <w:p w:rsidR="002C6FF0" w:rsidRPr="0012760D" w:rsidRDefault="002C6FF0" w:rsidP="00F80869">
      <w:pPr>
        <w:rPr>
          <w:sz w:val="24"/>
          <w:szCs w:val="24"/>
        </w:rPr>
      </w:pPr>
    </w:p>
    <w:p w:rsidR="00F80869" w:rsidRDefault="00F80869" w:rsidP="00F80869">
      <w:pPr>
        <w:rPr>
          <w:sz w:val="24"/>
          <w:szCs w:val="24"/>
        </w:rPr>
      </w:pPr>
      <w:r w:rsidRPr="0012760D">
        <w:rPr>
          <w:sz w:val="24"/>
          <w:szCs w:val="24"/>
        </w:rPr>
        <w:t>Tony is a consultant in economic policy and public policy issues. He has extensive public policy experience in Australia and overseas, with a wide-ranging mix of government, financial, commercial and diplomatic responsibilities.</w:t>
      </w:r>
    </w:p>
    <w:p w:rsidR="002C6FF0" w:rsidRPr="0012760D" w:rsidRDefault="002C6FF0" w:rsidP="00F80869">
      <w:pPr>
        <w:rPr>
          <w:sz w:val="24"/>
          <w:szCs w:val="24"/>
        </w:rPr>
      </w:pPr>
    </w:p>
    <w:p w:rsidR="00F80869" w:rsidRPr="0012760D" w:rsidRDefault="00F80869" w:rsidP="00F80869">
      <w:pPr>
        <w:rPr>
          <w:sz w:val="24"/>
          <w:szCs w:val="24"/>
        </w:rPr>
      </w:pPr>
      <w:r w:rsidRPr="0012760D">
        <w:rPr>
          <w:sz w:val="24"/>
          <w:szCs w:val="24"/>
        </w:rPr>
        <w:t>From 2002 to 2007, Tony was a full-time Commissioner at the Productivity Commission, which is the Australian Government's principal review and advisory body on economic reform and regulation. Prior to that, he was Australia's Ambassador to the OECD in Paris, which followed on from a 27-year career in the Australian Treasury.</w:t>
      </w:r>
    </w:p>
    <w:p w:rsidR="00425F22" w:rsidRDefault="00425F22" w:rsidP="00425F22">
      <w:pPr>
        <w:rPr>
          <w:bCs/>
          <w:sz w:val="24"/>
          <w:szCs w:val="24"/>
        </w:rPr>
      </w:pPr>
      <w:r w:rsidRPr="0012760D">
        <w:rPr>
          <w:bCs/>
          <w:sz w:val="24"/>
          <w:szCs w:val="24"/>
        </w:rPr>
        <w:t>&lt;pp&gt; 64</w:t>
      </w:r>
    </w:p>
    <w:p w:rsidR="002C6FF0" w:rsidRDefault="002C6FF0" w:rsidP="00425F22">
      <w:pPr>
        <w:rPr>
          <w:bCs/>
          <w:sz w:val="24"/>
          <w:szCs w:val="24"/>
        </w:rPr>
      </w:pPr>
    </w:p>
    <w:p w:rsidR="002C6FF0" w:rsidRPr="0012760D" w:rsidRDefault="002C6FF0" w:rsidP="00425F22">
      <w:pPr>
        <w:rPr>
          <w:sz w:val="24"/>
          <w:szCs w:val="24"/>
        </w:rPr>
      </w:pPr>
    </w:p>
    <w:p w:rsidR="00425F22" w:rsidRPr="002C6FF0" w:rsidRDefault="00425F22" w:rsidP="002C6FF0">
      <w:pPr>
        <w:pStyle w:val="Heading2"/>
      </w:pPr>
      <w:r w:rsidRPr="002C6FF0">
        <w:t>Board Operations</w:t>
      </w:r>
    </w:p>
    <w:p w:rsidR="002C6FF0" w:rsidRPr="0012760D" w:rsidRDefault="002C6FF0" w:rsidP="00425F22">
      <w:pPr>
        <w:rPr>
          <w:sz w:val="24"/>
          <w:szCs w:val="24"/>
        </w:rPr>
      </w:pPr>
    </w:p>
    <w:p w:rsidR="002C6FF0" w:rsidRPr="0012760D" w:rsidRDefault="00425F22" w:rsidP="002C6FF0">
      <w:pPr>
        <w:pStyle w:val="Heading2"/>
      </w:pPr>
      <w:r w:rsidRPr="0012760D">
        <w:t>Board meetings</w:t>
      </w:r>
    </w:p>
    <w:p w:rsidR="00425F22" w:rsidRPr="0012760D" w:rsidRDefault="00425F22" w:rsidP="00425F22">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3442"/>
        <w:gridCol w:w="3402"/>
        <w:gridCol w:w="2265"/>
      </w:tblGrid>
      <w:tr w:rsidR="00425F22" w:rsidRPr="0012760D" w:rsidTr="00CA07BB">
        <w:tblPrEx>
          <w:tblCellMar>
            <w:top w:w="0" w:type="dxa"/>
            <w:bottom w:w="0" w:type="dxa"/>
          </w:tblCellMar>
        </w:tblPrEx>
        <w:tc>
          <w:tcPr>
            <w:tcW w:w="1889" w:type="pct"/>
            <w:shd w:val="clear" w:color="auto" w:fill="auto"/>
          </w:tcPr>
          <w:p w:rsidR="00425F22" w:rsidRPr="0012760D" w:rsidRDefault="00425F22" w:rsidP="00CA07BB">
            <w:pPr>
              <w:rPr>
                <w:sz w:val="24"/>
                <w:szCs w:val="24"/>
              </w:rPr>
            </w:pPr>
            <w:r w:rsidRPr="0012760D">
              <w:rPr>
                <w:bCs/>
                <w:sz w:val="24"/>
                <w:szCs w:val="24"/>
              </w:rPr>
              <w:t>Board Member</w:t>
            </w:r>
          </w:p>
        </w:tc>
        <w:tc>
          <w:tcPr>
            <w:tcW w:w="1867" w:type="pct"/>
            <w:shd w:val="clear" w:color="auto" w:fill="auto"/>
          </w:tcPr>
          <w:p w:rsidR="00425F22" w:rsidRPr="0012760D" w:rsidRDefault="00425F22" w:rsidP="00CA07BB">
            <w:pPr>
              <w:rPr>
                <w:sz w:val="24"/>
                <w:szCs w:val="24"/>
              </w:rPr>
            </w:pPr>
            <w:r w:rsidRPr="0012760D">
              <w:rPr>
                <w:bCs/>
                <w:sz w:val="24"/>
                <w:szCs w:val="24"/>
              </w:rPr>
              <w:t>Meetings held</w:t>
            </w:r>
            <w:r w:rsidRPr="0012760D">
              <w:rPr>
                <w:sz w:val="24"/>
                <w:szCs w:val="24"/>
              </w:rPr>
              <w:t xml:space="preserve"> </w:t>
            </w:r>
            <w:r w:rsidRPr="0012760D">
              <w:rPr>
                <w:bCs/>
                <w:sz w:val="24"/>
                <w:szCs w:val="24"/>
              </w:rPr>
              <w:t>during period</w:t>
            </w:r>
            <w:r w:rsidRPr="0012760D">
              <w:rPr>
                <w:sz w:val="24"/>
                <w:szCs w:val="24"/>
              </w:rPr>
              <w:t xml:space="preserve"> </w:t>
            </w:r>
            <w:r w:rsidRPr="0012760D">
              <w:rPr>
                <w:bCs/>
                <w:sz w:val="24"/>
                <w:szCs w:val="24"/>
              </w:rPr>
              <w:t>of appointment</w:t>
            </w:r>
          </w:p>
        </w:tc>
        <w:tc>
          <w:tcPr>
            <w:tcW w:w="1243" w:type="pct"/>
            <w:shd w:val="clear" w:color="auto" w:fill="auto"/>
          </w:tcPr>
          <w:p w:rsidR="00425F22" w:rsidRPr="0012760D" w:rsidRDefault="00425F22" w:rsidP="00CA07BB">
            <w:pPr>
              <w:rPr>
                <w:sz w:val="24"/>
                <w:szCs w:val="24"/>
              </w:rPr>
            </w:pPr>
            <w:r w:rsidRPr="0012760D">
              <w:rPr>
                <w:bCs/>
                <w:sz w:val="24"/>
                <w:szCs w:val="24"/>
              </w:rPr>
              <w:t>Meetings attended</w:t>
            </w:r>
          </w:p>
        </w:tc>
      </w:tr>
      <w:tr w:rsidR="00425F22" w:rsidRPr="0012760D" w:rsidTr="00CA07BB">
        <w:tblPrEx>
          <w:tblCellMar>
            <w:top w:w="0" w:type="dxa"/>
            <w:bottom w:w="0" w:type="dxa"/>
          </w:tblCellMar>
        </w:tblPrEx>
        <w:tc>
          <w:tcPr>
            <w:tcW w:w="1889" w:type="pct"/>
            <w:shd w:val="clear" w:color="auto" w:fill="auto"/>
          </w:tcPr>
          <w:p w:rsidR="00425F22" w:rsidRPr="0012760D" w:rsidRDefault="00425F22" w:rsidP="00CA07BB">
            <w:pPr>
              <w:rPr>
                <w:sz w:val="24"/>
                <w:szCs w:val="24"/>
              </w:rPr>
            </w:pPr>
            <w:r w:rsidRPr="0012760D">
              <w:rPr>
                <w:sz w:val="24"/>
                <w:szCs w:val="24"/>
              </w:rPr>
              <w:t>Doctor Gillian Sparkes, Chair</w:t>
            </w:r>
          </w:p>
        </w:tc>
        <w:tc>
          <w:tcPr>
            <w:tcW w:w="1867" w:type="pct"/>
            <w:shd w:val="clear" w:color="auto" w:fill="auto"/>
          </w:tcPr>
          <w:p w:rsidR="00425F22" w:rsidRPr="0012760D" w:rsidRDefault="00425F22" w:rsidP="00CA07BB">
            <w:pPr>
              <w:jc w:val="right"/>
              <w:rPr>
                <w:sz w:val="24"/>
                <w:szCs w:val="24"/>
              </w:rPr>
            </w:pPr>
            <w:r w:rsidRPr="0012760D">
              <w:rPr>
                <w:sz w:val="24"/>
                <w:szCs w:val="24"/>
              </w:rPr>
              <w:t>9</w:t>
            </w:r>
          </w:p>
        </w:tc>
        <w:tc>
          <w:tcPr>
            <w:tcW w:w="1243" w:type="pct"/>
            <w:shd w:val="clear" w:color="auto" w:fill="auto"/>
          </w:tcPr>
          <w:p w:rsidR="00425F22" w:rsidRPr="0012760D" w:rsidRDefault="00425F22" w:rsidP="00CA07BB">
            <w:pPr>
              <w:jc w:val="right"/>
              <w:rPr>
                <w:sz w:val="24"/>
                <w:szCs w:val="24"/>
              </w:rPr>
            </w:pPr>
            <w:r w:rsidRPr="0012760D">
              <w:rPr>
                <w:sz w:val="24"/>
                <w:szCs w:val="24"/>
              </w:rPr>
              <w:t>9</w:t>
            </w:r>
          </w:p>
        </w:tc>
      </w:tr>
      <w:tr w:rsidR="00425F22" w:rsidRPr="0012760D" w:rsidTr="00CA07BB">
        <w:tblPrEx>
          <w:tblCellMar>
            <w:top w:w="0" w:type="dxa"/>
            <w:bottom w:w="0" w:type="dxa"/>
          </w:tblCellMar>
        </w:tblPrEx>
        <w:tc>
          <w:tcPr>
            <w:tcW w:w="1889" w:type="pct"/>
            <w:shd w:val="clear" w:color="auto" w:fill="auto"/>
          </w:tcPr>
          <w:p w:rsidR="00425F22" w:rsidRPr="0012760D" w:rsidRDefault="00425F22" w:rsidP="00CA07BB">
            <w:pPr>
              <w:rPr>
                <w:sz w:val="24"/>
                <w:szCs w:val="24"/>
              </w:rPr>
            </w:pPr>
            <w:r w:rsidRPr="0012760D">
              <w:rPr>
                <w:sz w:val="24"/>
                <w:szCs w:val="24"/>
              </w:rPr>
              <w:t>Mike Hill, Deputy Chair</w:t>
            </w:r>
          </w:p>
        </w:tc>
        <w:tc>
          <w:tcPr>
            <w:tcW w:w="1867" w:type="pct"/>
            <w:shd w:val="clear" w:color="auto" w:fill="auto"/>
          </w:tcPr>
          <w:p w:rsidR="00425F22" w:rsidRPr="0012760D" w:rsidRDefault="00425F22" w:rsidP="00CA07BB">
            <w:pPr>
              <w:jc w:val="right"/>
              <w:rPr>
                <w:sz w:val="24"/>
                <w:szCs w:val="24"/>
              </w:rPr>
            </w:pPr>
            <w:r w:rsidRPr="0012760D">
              <w:rPr>
                <w:sz w:val="24"/>
                <w:szCs w:val="24"/>
              </w:rPr>
              <w:t>9</w:t>
            </w:r>
          </w:p>
        </w:tc>
        <w:tc>
          <w:tcPr>
            <w:tcW w:w="1243" w:type="pct"/>
            <w:shd w:val="clear" w:color="auto" w:fill="auto"/>
          </w:tcPr>
          <w:p w:rsidR="00425F22" w:rsidRPr="0012760D" w:rsidRDefault="00425F22" w:rsidP="00CA07BB">
            <w:pPr>
              <w:jc w:val="right"/>
              <w:rPr>
                <w:sz w:val="24"/>
                <w:szCs w:val="24"/>
              </w:rPr>
            </w:pPr>
            <w:r w:rsidRPr="0012760D">
              <w:rPr>
                <w:sz w:val="24"/>
                <w:szCs w:val="24"/>
              </w:rPr>
              <w:t>8</w:t>
            </w:r>
          </w:p>
        </w:tc>
      </w:tr>
      <w:tr w:rsidR="00425F22" w:rsidRPr="0012760D" w:rsidTr="00CA07BB">
        <w:tblPrEx>
          <w:tblCellMar>
            <w:top w:w="0" w:type="dxa"/>
            <w:bottom w:w="0" w:type="dxa"/>
          </w:tblCellMar>
        </w:tblPrEx>
        <w:tc>
          <w:tcPr>
            <w:tcW w:w="1889" w:type="pct"/>
            <w:shd w:val="clear" w:color="auto" w:fill="auto"/>
          </w:tcPr>
          <w:p w:rsidR="00425F22" w:rsidRPr="0012760D" w:rsidRDefault="00425F22" w:rsidP="00CA07BB">
            <w:pPr>
              <w:rPr>
                <w:sz w:val="24"/>
                <w:szCs w:val="24"/>
              </w:rPr>
            </w:pPr>
            <w:r w:rsidRPr="0012760D">
              <w:rPr>
                <w:sz w:val="24"/>
                <w:szCs w:val="24"/>
              </w:rPr>
              <w:t>Cheryl Batagol</w:t>
            </w:r>
          </w:p>
        </w:tc>
        <w:tc>
          <w:tcPr>
            <w:tcW w:w="1867" w:type="pct"/>
            <w:shd w:val="clear" w:color="auto" w:fill="auto"/>
          </w:tcPr>
          <w:p w:rsidR="00425F22" w:rsidRPr="0012760D" w:rsidRDefault="00425F22" w:rsidP="00CA07BB">
            <w:pPr>
              <w:jc w:val="right"/>
              <w:rPr>
                <w:sz w:val="24"/>
                <w:szCs w:val="24"/>
              </w:rPr>
            </w:pPr>
            <w:r w:rsidRPr="0012760D">
              <w:rPr>
                <w:sz w:val="24"/>
                <w:szCs w:val="24"/>
              </w:rPr>
              <w:t>9</w:t>
            </w:r>
          </w:p>
        </w:tc>
        <w:tc>
          <w:tcPr>
            <w:tcW w:w="1243" w:type="pct"/>
            <w:shd w:val="clear" w:color="auto" w:fill="auto"/>
          </w:tcPr>
          <w:p w:rsidR="00425F22" w:rsidRPr="0012760D" w:rsidRDefault="00425F22" w:rsidP="00CA07BB">
            <w:pPr>
              <w:jc w:val="right"/>
              <w:rPr>
                <w:sz w:val="24"/>
                <w:szCs w:val="24"/>
              </w:rPr>
            </w:pPr>
            <w:r w:rsidRPr="0012760D">
              <w:rPr>
                <w:sz w:val="24"/>
                <w:szCs w:val="24"/>
              </w:rPr>
              <w:t>8</w:t>
            </w:r>
          </w:p>
        </w:tc>
      </w:tr>
      <w:tr w:rsidR="00425F22" w:rsidRPr="0012760D" w:rsidTr="00CA07BB">
        <w:tblPrEx>
          <w:tblCellMar>
            <w:top w:w="0" w:type="dxa"/>
            <w:bottom w:w="0" w:type="dxa"/>
          </w:tblCellMar>
        </w:tblPrEx>
        <w:tc>
          <w:tcPr>
            <w:tcW w:w="1889" w:type="pct"/>
            <w:shd w:val="clear" w:color="auto" w:fill="auto"/>
          </w:tcPr>
          <w:p w:rsidR="00425F22" w:rsidRPr="0012760D" w:rsidRDefault="00425F22" w:rsidP="00CA07BB">
            <w:pPr>
              <w:rPr>
                <w:sz w:val="24"/>
                <w:szCs w:val="24"/>
              </w:rPr>
            </w:pPr>
            <w:r w:rsidRPr="0012760D">
              <w:rPr>
                <w:sz w:val="24"/>
                <w:szCs w:val="24"/>
              </w:rPr>
              <w:t>Suzanne Evans</w:t>
            </w:r>
          </w:p>
        </w:tc>
        <w:tc>
          <w:tcPr>
            <w:tcW w:w="1867" w:type="pct"/>
            <w:shd w:val="clear" w:color="auto" w:fill="auto"/>
          </w:tcPr>
          <w:p w:rsidR="00425F22" w:rsidRPr="0012760D" w:rsidRDefault="00425F22" w:rsidP="00CA07BB">
            <w:pPr>
              <w:jc w:val="right"/>
              <w:rPr>
                <w:sz w:val="24"/>
                <w:szCs w:val="24"/>
              </w:rPr>
            </w:pPr>
            <w:r w:rsidRPr="0012760D">
              <w:rPr>
                <w:sz w:val="24"/>
                <w:szCs w:val="24"/>
              </w:rPr>
              <w:t>9</w:t>
            </w:r>
          </w:p>
        </w:tc>
        <w:tc>
          <w:tcPr>
            <w:tcW w:w="1243" w:type="pct"/>
            <w:shd w:val="clear" w:color="auto" w:fill="auto"/>
          </w:tcPr>
          <w:p w:rsidR="00425F22" w:rsidRPr="0012760D" w:rsidRDefault="00425F22" w:rsidP="00CA07BB">
            <w:pPr>
              <w:jc w:val="right"/>
              <w:rPr>
                <w:sz w:val="24"/>
                <w:szCs w:val="24"/>
              </w:rPr>
            </w:pPr>
            <w:r w:rsidRPr="0012760D">
              <w:rPr>
                <w:sz w:val="24"/>
                <w:szCs w:val="24"/>
              </w:rPr>
              <w:t>8</w:t>
            </w:r>
          </w:p>
        </w:tc>
      </w:tr>
      <w:tr w:rsidR="00425F22" w:rsidRPr="0012760D" w:rsidTr="00CA07BB">
        <w:tblPrEx>
          <w:tblCellMar>
            <w:top w:w="0" w:type="dxa"/>
            <w:bottom w:w="0" w:type="dxa"/>
          </w:tblCellMar>
        </w:tblPrEx>
        <w:tc>
          <w:tcPr>
            <w:tcW w:w="1889" w:type="pct"/>
            <w:shd w:val="clear" w:color="auto" w:fill="auto"/>
          </w:tcPr>
          <w:p w:rsidR="00425F22" w:rsidRPr="0012760D" w:rsidRDefault="00425F22" w:rsidP="00CA07BB">
            <w:pPr>
              <w:rPr>
                <w:sz w:val="24"/>
                <w:szCs w:val="24"/>
              </w:rPr>
            </w:pPr>
            <w:r w:rsidRPr="0012760D">
              <w:rPr>
                <w:sz w:val="24"/>
                <w:szCs w:val="24"/>
              </w:rPr>
              <w:t>Tony Hinton</w:t>
            </w:r>
          </w:p>
        </w:tc>
        <w:tc>
          <w:tcPr>
            <w:tcW w:w="1867" w:type="pct"/>
            <w:shd w:val="clear" w:color="auto" w:fill="auto"/>
          </w:tcPr>
          <w:p w:rsidR="00425F22" w:rsidRPr="0012760D" w:rsidRDefault="00425F22" w:rsidP="00CA07BB">
            <w:pPr>
              <w:jc w:val="right"/>
              <w:rPr>
                <w:sz w:val="24"/>
                <w:szCs w:val="24"/>
              </w:rPr>
            </w:pPr>
            <w:r w:rsidRPr="0012760D">
              <w:rPr>
                <w:sz w:val="24"/>
                <w:szCs w:val="24"/>
              </w:rPr>
              <w:t>9</w:t>
            </w:r>
          </w:p>
        </w:tc>
        <w:tc>
          <w:tcPr>
            <w:tcW w:w="1243" w:type="pct"/>
            <w:shd w:val="clear" w:color="auto" w:fill="auto"/>
          </w:tcPr>
          <w:p w:rsidR="00425F22" w:rsidRPr="0012760D" w:rsidRDefault="00425F22" w:rsidP="00CA07BB">
            <w:pPr>
              <w:jc w:val="right"/>
              <w:rPr>
                <w:sz w:val="24"/>
                <w:szCs w:val="24"/>
              </w:rPr>
            </w:pPr>
            <w:r w:rsidRPr="0012760D">
              <w:rPr>
                <w:sz w:val="24"/>
                <w:szCs w:val="24"/>
              </w:rPr>
              <w:t>9</w:t>
            </w:r>
          </w:p>
        </w:tc>
      </w:tr>
      <w:tr w:rsidR="00425F22" w:rsidRPr="0012760D" w:rsidTr="00CA07BB">
        <w:tblPrEx>
          <w:tblCellMar>
            <w:top w:w="0" w:type="dxa"/>
            <w:bottom w:w="0" w:type="dxa"/>
          </w:tblCellMar>
        </w:tblPrEx>
        <w:tc>
          <w:tcPr>
            <w:tcW w:w="1889" w:type="pct"/>
            <w:shd w:val="clear" w:color="auto" w:fill="auto"/>
          </w:tcPr>
          <w:p w:rsidR="00425F22" w:rsidRPr="0012760D" w:rsidRDefault="00425F22" w:rsidP="00CA07BB">
            <w:pPr>
              <w:rPr>
                <w:sz w:val="24"/>
                <w:szCs w:val="24"/>
              </w:rPr>
            </w:pPr>
            <w:r w:rsidRPr="0012760D">
              <w:rPr>
                <w:sz w:val="24"/>
                <w:szCs w:val="24"/>
              </w:rPr>
              <w:t>Ron Lovett</w:t>
            </w:r>
          </w:p>
        </w:tc>
        <w:tc>
          <w:tcPr>
            <w:tcW w:w="1867" w:type="pct"/>
            <w:shd w:val="clear" w:color="auto" w:fill="auto"/>
          </w:tcPr>
          <w:p w:rsidR="00425F22" w:rsidRPr="0012760D" w:rsidRDefault="00425F22" w:rsidP="00CA07BB">
            <w:pPr>
              <w:jc w:val="right"/>
              <w:rPr>
                <w:sz w:val="24"/>
                <w:szCs w:val="24"/>
              </w:rPr>
            </w:pPr>
            <w:r w:rsidRPr="0012760D">
              <w:rPr>
                <w:sz w:val="24"/>
                <w:szCs w:val="24"/>
              </w:rPr>
              <w:t>9</w:t>
            </w:r>
          </w:p>
        </w:tc>
        <w:tc>
          <w:tcPr>
            <w:tcW w:w="1243" w:type="pct"/>
            <w:shd w:val="clear" w:color="auto" w:fill="auto"/>
          </w:tcPr>
          <w:p w:rsidR="00425F22" w:rsidRPr="0012760D" w:rsidRDefault="00425F22" w:rsidP="00CA07BB">
            <w:pPr>
              <w:jc w:val="right"/>
              <w:rPr>
                <w:sz w:val="24"/>
                <w:szCs w:val="24"/>
              </w:rPr>
            </w:pPr>
            <w:r w:rsidRPr="0012760D">
              <w:rPr>
                <w:sz w:val="24"/>
                <w:szCs w:val="24"/>
              </w:rPr>
              <w:t>8</w:t>
            </w:r>
          </w:p>
        </w:tc>
      </w:tr>
      <w:tr w:rsidR="00425F22" w:rsidRPr="0012760D" w:rsidTr="00CA07BB">
        <w:tblPrEx>
          <w:tblCellMar>
            <w:top w:w="0" w:type="dxa"/>
            <w:bottom w:w="0" w:type="dxa"/>
          </w:tblCellMar>
        </w:tblPrEx>
        <w:tc>
          <w:tcPr>
            <w:tcW w:w="1889" w:type="pct"/>
            <w:shd w:val="clear" w:color="auto" w:fill="auto"/>
          </w:tcPr>
          <w:p w:rsidR="00425F22" w:rsidRPr="0012760D" w:rsidRDefault="00425F22" w:rsidP="00CA07BB">
            <w:pPr>
              <w:rPr>
                <w:sz w:val="24"/>
                <w:szCs w:val="24"/>
              </w:rPr>
            </w:pPr>
            <w:r w:rsidRPr="0012760D">
              <w:rPr>
                <w:sz w:val="24"/>
                <w:szCs w:val="24"/>
              </w:rPr>
              <w:t>Ross McCann</w:t>
            </w:r>
          </w:p>
        </w:tc>
        <w:tc>
          <w:tcPr>
            <w:tcW w:w="1867" w:type="pct"/>
            <w:shd w:val="clear" w:color="auto" w:fill="auto"/>
          </w:tcPr>
          <w:p w:rsidR="00425F22" w:rsidRPr="0012760D" w:rsidRDefault="00425F22" w:rsidP="00CA07BB">
            <w:pPr>
              <w:jc w:val="right"/>
              <w:rPr>
                <w:sz w:val="24"/>
                <w:szCs w:val="24"/>
              </w:rPr>
            </w:pPr>
            <w:r w:rsidRPr="0012760D">
              <w:rPr>
                <w:sz w:val="24"/>
                <w:szCs w:val="24"/>
              </w:rPr>
              <w:t>9</w:t>
            </w:r>
          </w:p>
        </w:tc>
        <w:tc>
          <w:tcPr>
            <w:tcW w:w="1243" w:type="pct"/>
            <w:shd w:val="clear" w:color="auto" w:fill="auto"/>
          </w:tcPr>
          <w:p w:rsidR="00425F22" w:rsidRPr="0012760D" w:rsidRDefault="00425F22" w:rsidP="00CA07BB">
            <w:pPr>
              <w:jc w:val="right"/>
              <w:rPr>
                <w:sz w:val="24"/>
                <w:szCs w:val="24"/>
              </w:rPr>
            </w:pPr>
            <w:r w:rsidRPr="0012760D">
              <w:rPr>
                <w:sz w:val="24"/>
                <w:szCs w:val="24"/>
              </w:rPr>
              <w:t>5</w:t>
            </w:r>
          </w:p>
        </w:tc>
      </w:tr>
    </w:tbl>
    <w:p w:rsidR="00425F22" w:rsidRDefault="00425F22" w:rsidP="00425F22">
      <w:pPr>
        <w:rPr>
          <w:bCs/>
          <w:sz w:val="24"/>
          <w:szCs w:val="24"/>
        </w:rPr>
      </w:pPr>
    </w:p>
    <w:p w:rsidR="002C6FF0" w:rsidRPr="0012760D" w:rsidRDefault="002C6FF0" w:rsidP="00425F22">
      <w:pPr>
        <w:rPr>
          <w:bCs/>
          <w:sz w:val="24"/>
          <w:szCs w:val="24"/>
        </w:rPr>
      </w:pPr>
    </w:p>
    <w:p w:rsidR="00425F22" w:rsidRDefault="00425F22" w:rsidP="002C6FF0">
      <w:pPr>
        <w:pStyle w:val="Heading3"/>
      </w:pPr>
      <w:r w:rsidRPr="0012760D">
        <w:t>Board committees</w:t>
      </w:r>
    </w:p>
    <w:p w:rsidR="002C6FF0" w:rsidRPr="0012760D" w:rsidRDefault="002C6FF0" w:rsidP="00425F22">
      <w:pPr>
        <w:rPr>
          <w:sz w:val="24"/>
          <w:szCs w:val="24"/>
        </w:rPr>
      </w:pPr>
    </w:p>
    <w:p w:rsidR="00425F22" w:rsidRPr="0012760D" w:rsidRDefault="00425F22" w:rsidP="00425F22">
      <w:pPr>
        <w:rPr>
          <w:sz w:val="24"/>
          <w:szCs w:val="24"/>
        </w:rPr>
      </w:pPr>
      <w:r w:rsidRPr="0012760D">
        <w:rPr>
          <w:sz w:val="24"/>
          <w:szCs w:val="24"/>
        </w:rPr>
        <w:t>Three committees help the board perform its corporate governance responsibilities:</w:t>
      </w:r>
    </w:p>
    <w:p w:rsidR="00425F22" w:rsidRPr="0012760D" w:rsidRDefault="00425F22" w:rsidP="00425F22">
      <w:pPr>
        <w:rPr>
          <w:sz w:val="24"/>
          <w:szCs w:val="24"/>
        </w:rPr>
      </w:pPr>
      <w:r w:rsidRPr="0012760D">
        <w:rPr>
          <w:sz w:val="24"/>
          <w:szCs w:val="24"/>
        </w:rPr>
        <w:t>• Audit, Risk and Finance</w:t>
      </w:r>
    </w:p>
    <w:p w:rsidR="00425F22" w:rsidRPr="0012760D" w:rsidRDefault="00425F22" w:rsidP="00425F22">
      <w:pPr>
        <w:rPr>
          <w:sz w:val="24"/>
          <w:szCs w:val="24"/>
        </w:rPr>
      </w:pPr>
      <w:r w:rsidRPr="0012760D">
        <w:rPr>
          <w:sz w:val="24"/>
          <w:szCs w:val="24"/>
        </w:rPr>
        <w:t xml:space="preserve">• People </w:t>
      </w:r>
      <w:r w:rsidR="00236A13">
        <w:rPr>
          <w:sz w:val="24"/>
          <w:szCs w:val="24"/>
        </w:rPr>
        <w:t>and</w:t>
      </w:r>
      <w:r w:rsidRPr="0012760D">
        <w:rPr>
          <w:sz w:val="24"/>
          <w:szCs w:val="24"/>
        </w:rPr>
        <w:t xml:space="preserve"> Culture</w:t>
      </w:r>
    </w:p>
    <w:p w:rsidR="00425F22" w:rsidRPr="0012760D" w:rsidRDefault="00425F22" w:rsidP="00425F22">
      <w:pPr>
        <w:rPr>
          <w:sz w:val="24"/>
          <w:szCs w:val="24"/>
        </w:rPr>
      </w:pPr>
      <w:r w:rsidRPr="0012760D">
        <w:rPr>
          <w:sz w:val="24"/>
          <w:szCs w:val="24"/>
        </w:rPr>
        <w:t>• Performance and Remuneration</w:t>
      </w:r>
    </w:p>
    <w:p w:rsidR="00425F22" w:rsidRPr="0012760D" w:rsidRDefault="00425F22" w:rsidP="00425F22">
      <w:pPr>
        <w:rPr>
          <w:sz w:val="24"/>
          <w:szCs w:val="24"/>
        </w:rPr>
      </w:pPr>
      <w:r w:rsidRPr="0012760D">
        <w:rPr>
          <w:sz w:val="24"/>
          <w:szCs w:val="24"/>
        </w:rPr>
        <w:t>Each committee acts under annually reviewed terms of reference. Committee meeting minutes are tabled at the subsequent Board meeting.</w:t>
      </w:r>
    </w:p>
    <w:p w:rsidR="00425F22" w:rsidRDefault="00425F22" w:rsidP="00425F22">
      <w:pPr>
        <w:rPr>
          <w:sz w:val="24"/>
          <w:szCs w:val="24"/>
        </w:rPr>
      </w:pPr>
    </w:p>
    <w:p w:rsidR="002C6FF0" w:rsidRPr="0012760D" w:rsidRDefault="002C6FF0" w:rsidP="00425F22">
      <w:pPr>
        <w:rPr>
          <w:sz w:val="24"/>
          <w:szCs w:val="24"/>
        </w:rPr>
      </w:pPr>
    </w:p>
    <w:p w:rsidR="00425F22" w:rsidRDefault="00425F22" w:rsidP="002C6FF0">
      <w:pPr>
        <w:pStyle w:val="Heading3"/>
      </w:pPr>
      <w:r w:rsidRPr="0012760D">
        <w:t>Audit, Risk and Finance Committee</w:t>
      </w:r>
    </w:p>
    <w:p w:rsidR="002C6FF0" w:rsidRPr="0012760D" w:rsidRDefault="002C6FF0" w:rsidP="00425F22">
      <w:pPr>
        <w:rPr>
          <w:sz w:val="24"/>
          <w:szCs w:val="24"/>
        </w:rPr>
      </w:pPr>
    </w:p>
    <w:p w:rsidR="00425F22" w:rsidRDefault="00425F22" w:rsidP="00425F22">
      <w:pPr>
        <w:rPr>
          <w:sz w:val="24"/>
          <w:szCs w:val="24"/>
        </w:rPr>
      </w:pPr>
      <w:r w:rsidRPr="0012760D">
        <w:rPr>
          <w:sz w:val="24"/>
          <w:szCs w:val="24"/>
        </w:rPr>
        <w:t>The Audit, Risk and Finance Committee focuses on risk management, statutory and regulatory compliance, financial management and audit assurance.</w:t>
      </w:r>
    </w:p>
    <w:p w:rsidR="002C6FF0" w:rsidRPr="0012760D" w:rsidRDefault="002C6FF0" w:rsidP="00425F22">
      <w:pPr>
        <w:rPr>
          <w:sz w:val="24"/>
          <w:szCs w:val="24"/>
        </w:rPr>
      </w:pPr>
    </w:p>
    <w:p w:rsidR="00425F22" w:rsidRPr="0012760D" w:rsidRDefault="00425F22" w:rsidP="00425F22">
      <w:pPr>
        <w:rPr>
          <w:sz w:val="24"/>
          <w:szCs w:val="24"/>
        </w:rPr>
      </w:pPr>
      <w:r w:rsidRPr="0012760D">
        <w:rPr>
          <w:sz w:val="24"/>
          <w:szCs w:val="24"/>
        </w:rPr>
        <w:t>In 2012 to 13, the committee reviewed and monitored:</w:t>
      </w:r>
    </w:p>
    <w:p w:rsidR="00425F22" w:rsidRPr="0012760D" w:rsidRDefault="00425F22" w:rsidP="00425F22">
      <w:pPr>
        <w:rPr>
          <w:sz w:val="24"/>
          <w:szCs w:val="24"/>
        </w:rPr>
      </w:pPr>
      <w:r w:rsidRPr="0012760D">
        <w:rPr>
          <w:sz w:val="24"/>
          <w:szCs w:val="24"/>
        </w:rPr>
        <w:t>• the implementation of the risk management program</w:t>
      </w:r>
    </w:p>
    <w:p w:rsidR="00425F22" w:rsidRPr="0012760D" w:rsidRDefault="00425F22" w:rsidP="00425F22">
      <w:pPr>
        <w:rPr>
          <w:sz w:val="24"/>
          <w:szCs w:val="24"/>
        </w:rPr>
      </w:pPr>
      <w:r w:rsidRPr="0012760D">
        <w:rPr>
          <w:sz w:val="24"/>
          <w:szCs w:val="24"/>
        </w:rPr>
        <w:t>• the governance and reporting of the sustainability Fund</w:t>
      </w:r>
    </w:p>
    <w:p w:rsidR="00425F22" w:rsidRPr="0012760D" w:rsidRDefault="00425F22" w:rsidP="00425F22">
      <w:pPr>
        <w:rPr>
          <w:sz w:val="24"/>
          <w:szCs w:val="24"/>
        </w:rPr>
      </w:pPr>
      <w:r w:rsidRPr="0012760D">
        <w:rPr>
          <w:sz w:val="24"/>
          <w:szCs w:val="24"/>
        </w:rPr>
        <w:t>• the internal plan for 2013</w:t>
      </w:r>
    </w:p>
    <w:p w:rsidR="00425F22" w:rsidRPr="0012760D" w:rsidRDefault="00425F22" w:rsidP="00425F22">
      <w:pPr>
        <w:rPr>
          <w:sz w:val="24"/>
          <w:szCs w:val="24"/>
        </w:rPr>
      </w:pPr>
      <w:r w:rsidRPr="0012760D">
        <w:rPr>
          <w:sz w:val="24"/>
          <w:szCs w:val="24"/>
        </w:rPr>
        <w:t>• information technology vulnerability testing</w:t>
      </w:r>
    </w:p>
    <w:p w:rsidR="00425F22" w:rsidRPr="0012760D" w:rsidRDefault="00425F22" w:rsidP="00425F22">
      <w:pPr>
        <w:rPr>
          <w:sz w:val="24"/>
          <w:szCs w:val="24"/>
        </w:rPr>
      </w:pPr>
      <w:r w:rsidRPr="0012760D">
        <w:rPr>
          <w:sz w:val="24"/>
          <w:szCs w:val="24"/>
        </w:rPr>
        <w:t>• contract approvals and exemptions</w:t>
      </w:r>
    </w:p>
    <w:p w:rsidR="00425F22" w:rsidRPr="0012760D" w:rsidRDefault="00425F22" w:rsidP="00425F22">
      <w:pPr>
        <w:rPr>
          <w:sz w:val="24"/>
          <w:szCs w:val="24"/>
        </w:rPr>
      </w:pPr>
      <w:r w:rsidRPr="0012760D">
        <w:rPr>
          <w:sz w:val="24"/>
          <w:szCs w:val="24"/>
        </w:rPr>
        <w:t>• compliance with the department of Treasury and Finance's Financial management Compliance Framework at 30 June 2012.</w:t>
      </w:r>
    </w:p>
    <w:p w:rsidR="002C6FF0" w:rsidRDefault="002C6FF0" w:rsidP="00425F22">
      <w:pPr>
        <w:rPr>
          <w:sz w:val="24"/>
          <w:szCs w:val="24"/>
        </w:rPr>
      </w:pPr>
    </w:p>
    <w:p w:rsidR="00425F22" w:rsidRPr="0012760D" w:rsidRDefault="00425F22" w:rsidP="00425F22">
      <w:pPr>
        <w:rPr>
          <w:sz w:val="24"/>
          <w:szCs w:val="24"/>
        </w:rPr>
      </w:pPr>
      <w:r w:rsidRPr="0012760D">
        <w:rPr>
          <w:sz w:val="24"/>
          <w:szCs w:val="24"/>
        </w:rPr>
        <w:t>In august 2013, the committee also reviewed and confirmed:</w:t>
      </w:r>
    </w:p>
    <w:p w:rsidR="00425F22" w:rsidRPr="0012760D" w:rsidRDefault="00425F22" w:rsidP="00425F22">
      <w:pPr>
        <w:rPr>
          <w:sz w:val="24"/>
          <w:szCs w:val="24"/>
        </w:rPr>
      </w:pPr>
      <w:r w:rsidRPr="0012760D">
        <w:rPr>
          <w:sz w:val="24"/>
          <w:szCs w:val="24"/>
        </w:rPr>
        <w:t>• risk attestation compliance at 30 June 2013.</w:t>
      </w:r>
    </w:p>
    <w:p w:rsidR="002C6FF0" w:rsidRDefault="002C6FF0" w:rsidP="00425F22">
      <w:pPr>
        <w:rPr>
          <w:sz w:val="24"/>
          <w:szCs w:val="24"/>
        </w:rPr>
      </w:pPr>
    </w:p>
    <w:p w:rsidR="00425F22" w:rsidRDefault="00425F22" w:rsidP="00425F22">
      <w:pPr>
        <w:rPr>
          <w:sz w:val="24"/>
          <w:szCs w:val="24"/>
        </w:rPr>
      </w:pPr>
      <w:r w:rsidRPr="0012760D">
        <w:rPr>
          <w:sz w:val="24"/>
          <w:szCs w:val="24"/>
        </w:rPr>
        <w:t>The Audit, Risk and Finance Committee comprised two board members in 2012 to 13: Suzanne Evans (Chair) and Ross McCann. Frank King was an external, independent member until 31 March 2013, when his term expired. Janice van Reyk and Robert Hogarth were appointed as external, independent members in April 2013. Table 8 shows committee members' meeting attendance.</w:t>
      </w:r>
    </w:p>
    <w:p w:rsidR="002C6FF0" w:rsidRPr="0012760D" w:rsidRDefault="002C6FF0" w:rsidP="00425F22">
      <w:pPr>
        <w:rPr>
          <w:sz w:val="24"/>
          <w:szCs w:val="24"/>
        </w:rPr>
      </w:pPr>
    </w:p>
    <w:p w:rsidR="00425F22" w:rsidRPr="0012760D" w:rsidRDefault="00425F22" w:rsidP="00425F22">
      <w:pPr>
        <w:rPr>
          <w:sz w:val="24"/>
          <w:szCs w:val="24"/>
        </w:rPr>
      </w:pPr>
      <w:r w:rsidRPr="0012760D">
        <w:rPr>
          <w:sz w:val="24"/>
          <w:szCs w:val="24"/>
        </w:rPr>
        <w:t>The Audit, Risk and Finance Committee satisfies the independence criteria according to the Minister for Finance's standing directions. See Appendix 11 for the Board Chair's risk attestation.</w:t>
      </w:r>
    </w:p>
    <w:p w:rsidR="00425F22" w:rsidRDefault="00425F22" w:rsidP="00425F22">
      <w:pPr>
        <w:rPr>
          <w:sz w:val="24"/>
          <w:szCs w:val="24"/>
        </w:rPr>
      </w:pPr>
    </w:p>
    <w:p w:rsidR="002C6FF0" w:rsidRPr="0012760D" w:rsidRDefault="002C6FF0" w:rsidP="00425F22">
      <w:pPr>
        <w:rPr>
          <w:sz w:val="24"/>
          <w:szCs w:val="24"/>
        </w:rPr>
      </w:pPr>
    </w:p>
    <w:p w:rsidR="00425F22" w:rsidRPr="0012760D" w:rsidRDefault="00425F22" w:rsidP="002C6FF0">
      <w:pPr>
        <w:pStyle w:val="Heading3"/>
      </w:pPr>
      <w:r w:rsidRPr="0012760D">
        <w:t xml:space="preserve">Table 8: Audit, </w:t>
      </w:r>
      <w:r w:rsidR="00B66707" w:rsidRPr="0012760D">
        <w:t xml:space="preserve">Risk </w:t>
      </w:r>
      <w:r w:rsidRPr="0012760D">
        <w:t>and Finance Committee members</w:t>
      </w:r>
    </w:p>
    <w:p w:rsidR="00425F22" w:rsidRPr="0012760D" w:rsidRDefault="00425F22" w:rsidP="00425F22">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3414"/>
        <w:gridCol w:w="3401"/>
        <w:gridCol w:w="2294"/>
      </w:tblGrid>
      <w:tr w:rsidR="00425F22" w:rsidRPr="0012760D" w:rsidTr="00CA07BB">
        <w:tblPrEx>
          <w:tblCellMar>
            <w:top w:w="0" w:type="dxa"/>
            <w:bottom w:w="0" w:type="dxa"/>
          </w:tblCellMar>
        </w:tblPrEx>
        <w:tc>
          <w:tcPr>
            <w:tcW w:w="1874" w:type="pct"/>
            <w:shd w:val="clear" w:color="auto" w:fill="auto"/>
          </w:tcPr>
          <w:p w:rsidR="00425F22" w:rsidRPr="0012760D" w:rsidRDefault="00425F22" w:rsidP="00CA07BB">
            <w:pPr>
              <w:rPr>
                <w:sz w:val="24"/>
                <w:szCs w:val="24"/>
              </w:rPr>
            </w:pPr>
            <w:r w:rsidRPr="0012760D">
              <w:rPr>
                <w:bCs/>
                <w:sz w:val="24"/>
                <w:szCs w:val="24"/>
              </w:rPr>
              <w:t>Committee member</w:t>
            </w:r>
          </w:p>
        </w:tc>
        <w:tc>
          <w:tcPr>
            <w:tcW w:w="1867" w:type="pct"/>
            <w:shd w:val="clear" w:color="auto" w:fill="auto"/>
          </w:tcPr>
          <w:p w:rsidR="00425F22" w:rsidRPr="0012760D" w:rsidRDefault="00425F22" w:rsidP="002C6FF0">
            <w:pPr>
              <w:rPr>
                <w:sz w:val="24"/>
                <w:szCs w:val="24"/>
              </w:rPr>
            </w:pPr>
            <w:r w:rsidRPr="0012760D">
              <w:rPr>
                <w:bCs/>
                <w:sz w:val="24"/>
                <w:szCs w:val="24"/>
              </w:rPr>
              <w:t>Meetings held</w:t>
            </w:r>
            <w:r w:rsidRPr="0012760D">
              <w:rPr>
                <w:sz w:val="24"/>
                <w:szCs w:val="24"/>
              </w:rPr>
              <w:t xml:space="preserve"> </w:t>
            </w:r>
            <w:r w:rsidRPr="0012760D">
              <w:rPr>
                <w:bCs/>
                <w:sz w:val="24"/>
                <w:szCs w:val="24"/>
              </w:rPr>
              <w:t>during</w:t>
            </w:r>
            <w:r w:rsidR="002C6FF0">
              <w:rPr>
                <w:bCs/>
                <w:sz w:val="24"/>
                <w:szCs w:val="24"/>
              </w:rPr>
              <w:t xml:space="preserve"> </w:t>
            </w:r>
            <w:r w:rsidRPr="0012760D">
              <w:rPr>
                <w:bCs/>
                <w:sz w:val="24"/>
                <w:szCs w:val="24"/>
              </w:rPr>
              <w:t>appointment</w:t>
            </w:r>
          </w:p>
        </w:tc>
        <w:tc>
          <w:tcPr>
            <w:tcW w:w="1259" w:type="pct"/>
            <w:shd w:val="clear" w:color="auto" w:fill="auto"/>
          </w:tcPr>
          <w:p w:rsidR="00425F22" w:rsidRPr="0012760D" w:rsidRDefault="00425F22" w:rsidP="00CA07BB">
            <w:pPr>
              <w:rPr>
                <w:sz w:val="24"/>
                <w:szCs w:val="24"/>
              </w:rPr>
            </w:pPr>
            <w:r w:rsidRPr="0012760D">
              <w:rPr>
                <w:bCs/>
                <w:sz w:val="24"/>
                <w:szCs w:val="24"/>
              </w:rPr>
              <w:t>Meetings attended</w:t>
            </w:r>
          </w:p>
        </w:tc>
      </w:tr>
      <w:tr w:rsidR="00425F22" w:rsidRPr="0012760D" w:rsidTr="00CA07BB">
        <w:tblPrEx>
          <w:tblCellMar>
            <w:top w:w="0" w:type="dxa"/>
            <w:bottom w:w="0" w:type="dxa"/>
          </w:tblCellMar>
        </w:tblPrEx>
        <w:tc>
          <w:tcPr>
            <w:tcW w:w="1874" w:type="pct"/>
            <w:shd w:val="clear" w:color="auto" w:fill="auto"/>
          </w:tcPr>
          <w:p w:rsidR="00425F22" w:rsidRPr="0012760D" w:rsidRDefault="00425F22" w:rsidP="00CA07BB">
            <w:pPr>
              <w:rPr>
                <w:sz w:val="24"/>
                <w:szCs w:val="24"/>
              </w:rPr>
            </w:pPr>
            <w:r w:rsidRPr="0012760D">
              <w:rPr>
                <w:sz w:val="24"/>
                <w:szCs w:val="24"/>
              </w:rPr>
              <w:t>Suzanne Evans, Chair</w:t>
            </w:r>
          </w:p>
        </w:tc>
        <w:tc>
          <w:tcPr>
            <w:tcW w:w="1867" w:type="pct"/>
            <w:shd w:val="clear" w:color="auto" w:fill="auto"/>
          </w:tcPr>
          <w:p w:rsidR="00425F22" w:rsidRPr="0012760D" w:rsidRDefault="00425F22" w:rsidP="00CA07BB">
            <w:pPr>
              <w:jc w:val="right"/>
              <w:rPr>
                <w:sz w:val="24"/>
                <w:szCs w:val="24"/>
              </w:rPr>
            </w:pPr>
            <w:r w:rsidRPr="0012760D">
              <w:rPr>
                <w:sz w:val="24"/>
                <w:szCs w:val="24"/>
              </w:rPr>
              <w:t>5</w:t>
            </w:r>
          </w:p>
        </w:tc>
        <w:tc>
          <w:tcPr>
            <w:tcW w:w="1259" w:type="pct"/>
            <w:shd w:val="clear" w:color="auto" w:fill="auto"/>
          </w:tcPr>
          <w:p w:rsidR="00425F22" w:rsidRPr="0012760D" w:rsidRDefault="00425F22" w:rsidP="00CA07BB">
            <w:pPr>
              <w:jc w:val="right"/>
              <w:rPr>
                <w:sz w:val="24"/>
                <w:szCs w:val="24"/>
              </w:rPr>
            </w:pPr>
            <w:r w:rsidRPr="0012760D">
              <w:rPr>
                <w:sz w:val="24"/>
                <w:szCs w:val="24"/>
              </w:rPr>
              <w:t>5</w:t>
            </w:r>
          </w:p>
        </w:tc>
      </w:tr>
      <w:tr w:rsidR="00425F22" w:rsidRPr="0012760D" w:rsidTr="00CA07BB">
        <w:tblPrEx>
          <w:tblCellMar>
            <w:top w:w="0" w:type="dxa"/>
            <w:bottom w:w="0" w:type="dxa"/>
          </w:tblCellMar>
        </w:tblPrEx>
        <w:tc>
          <w:tcPr>
            <w:tcW w:w="1874" w:type="pct"/>
            <w:shd w:val="clear" w:color="auto" w:fill="auto"/>
          </w:tcPr>
          <w:p w:rsidR="00425F22" w:rsidRPr="0012760D" w:rsidRDefault="00425F22" w:rsidP="00CA07BB">
            <w:pPr>
              <w:rPr>
                <w:sz w:val="24"/>
                <w:szCs w:val="24"/>
              </w:rPr>
            </w:pPr>
            <w:r w:rsidRPr="0012760D">
              <w:rPr>
                <w:sz w:val="24"/>
                <w:szCs w:val="24"/>
              </w:rPr>
              <w:t>Ross McCann</w:t>
            </w:r>
          </w:p>
        </w:tc>
        <w:tc>
          <w:tcPr>
            <w:tcW w:w="1867" w:type="pct"/>
            <w:shd w:val="clear" w:color="auto" w:fill="auto"/>
          </w:tcPr>
          <w:p w:rsidR="00425F22" w:rsidRPr="0012760D" w:rsidRDefault="00425F22" w:rsidP="00CA07BB">
            <w:pPr>
              <w:jc w:val="right"/>
              <w:rPr>
                <w:sz w:val="24"/>
                <w:szCs w:val="24"/>
              </w:rPr>
            </w:pPr>
            <w:r w:rsidRPr="0012760D">
              <w:rPr>
                <w:sz w:val="24"/>
                <w:szCs w:val="24"/>
              </w:rPr>
              <w:t>5</w:t>
            </w:r>
          </w:p>
        </w:tc>
        <w:tc>
          <w:tcPr>
            <w:tcW w:w="1259" w:type="pct"/>
            <w:shd w:val="clear" w:color="auto" w:fill="auto"/>
          </w:tcPr>
          <w:p w:rsidR="00425F22" w:rsidRPr="0012760D" w:rsidRDefault="00425F22" w:rsidP="00CA07BB">
            <w:pPr>
              <w:jc w:val="right"/>
              <w:rPr>
                <w:sz w:val="24"/>
                <w:szCs w:val="24"/>
              </w:rPr>
            </w:pPr>
            <w:r w:rsidRPr="0012760D">
              <w:rPr>
                <w:sz w:val="24"/>
                <w:szCs w:val="24"/>
              </w:rPr>
              <w:t>4</w:t>
            </w:r>
          </w:p>
        </w:tc>
      </w:tr>
      <w:tr w:rsidR="00425F22" w:rsidRPr="0012760D" w:rsidTr="00CA07BB">
        <w:tblPrEx>
          <w:tblCellMar>
            <w:top w:w="0" w:type="dxa"/>
            <w:bottom w:w="0" w:type="dxa"/>
          </w:tblCellMar>
        </w:tblPrEx>
        <w:tc>
          <w:tcPr>
            <w:tcW w:w="1874" w:type="pct"/>
            <w:shd w:val="clear" w:color="auto" w:fill="auto"/>
          </w:tcPr>
          <w:p w:rsidR="00425F22" w:rsidRPr="0012760D" w:rsidRDefault="00425F22" w:rsidP="00CA07BB">
            <w:pPr>
              <w:rPr>
                <w:sz w:val="24"/>
                <w:szCs w:val="24"/>
              </w:rPr>
            </w:pPr>
            <w:r w:rsidRPr="0012760D">
              <w:rPr>
                <w:sz w:val="24"/>
                <w:szCs w:val="24"/>
              </w:rPr>
              <w:t>Frank King</w:t>
            </w:r>
          </w:p>
        </w:tc>
        <w:tc>
          <w:tcPr>
            <w:tcW w:w="1867" w:type="pct"/>
            <w:shd w:val="clear" w:color="auto" w:fill="auto"/>
          </w:tcPr>
          <w:p w:rsidR="00425F22" w:rsidRPr="0012760D" w:rsidRDefault="00425F22" w:rsidP="00CA07BB">
            <w:pPr>
              <w:jc w:val="right"/>
              <w:rPr>
                <w:sz w:val="24"/>
                <w:szCs w:val="24"/>
              </w:rPr>
            </w:pPr>
            <w:r w:rsidRPr="0012760D">
              <w:rPr>
                <w:sz w:val="24"/>
                <w:szCs w:val="24"/>
              </w:rPr>
              <w:t>4</w:t>
            </w:r>
          </w:p>
        </w:tc>
        <w:tc>
          <w:tcPr>
            <w:tcW w:w="1259" w:type="pct"/>
            <w:shd w:val="clear" w:color="auto" w:fill="auto"/>
          </w:tcPr>
          <w:p w:rsidR="00425F22" w:rsidRPr="0012760D" w:rsidRDefault="00425F22" w:rsidP="00CA07BB">
            <w:pPr>
              <w:jc w:val="right"/>
              <w:rPr>
                <w:sz w:val="24"/>
                <w:szCs w:val="24"/>
              </w:rPr>
            </w:pPr>
            <w:r w:rsidRPr="0012760D">
              <w:rPr>
                <w:sz w:val="24"/>
                <w:szCs w:val="24"/>
              </w:rPr>
              <w:t>4</w:t>
            </w:r>
          </w:p>
        </w:tc>
      </w:tr>
      <w:tr w:rsidR="00425F22" w:rsidRPr="0012760D" w:rsidTr="00CA07BB">
        <w:tblPrEx>
          <w:tblCellMar>
            <w:top w:w="0" w:type="dxa"/>
            <w:bottom w:w="0" w:type="dxa"/>
          </w:tblCellMar>
        </w:tblPrEx>
        <w:tc>
          <w:tcPr>
            <w:tcW w:w="1874" w:type="pct"/>
            <w:shd w:val="clear" w:color="auto" w:fill="auto"/>
          </w:tcPr>
          <w:p w:rsidR="00425F22" w:rsidRPr="0012760D" w:rsidRDefault="00425F22" w:rsidP="00CA07BB">
            <w:pPr>
              <w:rPr>
                <w:sz w:val="24"/>
                <w:szCs w:val="24"/>
              </w:rPr>
            </w:pPr>
            <w:r w:rsidRPr="0012760D">
              <w:rPr>
                <w:sz w:val="24"/>
                <w:szCs w:val="24"/>
              </w:rPr>
              <w:t>Janice van Reyk</w:t>
            </w:r>
          </w:p>
        </w:tc>
        <w:tc>
          <w:tcPr>
            <w:tcW w:w="1867" w:type="pct"/>
            <w:shd w:val="clear" w:color="auto" w:fill="auto"/>
          </w:tcPr>
          <w:p w:rsidR="00425F22" w:rsidRPr="0012760D" w:rsidRDefault="00425F22" w:rsidP="00CA07BB">
            <w:pPr>
              <w:jc w:val="right"/>
              <w:rPr>
                <w:sz w:val="24"/>
                <w:szCs w:val="24"/>
              </w:rPr>
            </w:pPr>
            <w:r w:rsidRPr="0012760D">
              <w:rPr>
                <w:sz w:val="24"/>
                <w:szCs w:val="24"/>
              </w:rPr>
              <w:t>1</w:t>
            </w:r>
          </w:p>
        </w:tc>
        <w:tc>
          <w:tcPr>
            <w:tcW w:w="1259" w:type="pct"/>
            <w:shd w:val="clear" w:color="auto" w:fill="auto"/>
          </w:tcPr>
          <w:p w:rsidR="00425F22" w:rsidRPr="0012760D" w:rsidRDefault="00425F22" w:rsidP="00CA07BB">
            <w:pPr>
              <w:jc w:val="right"/>
              <w:rPr>
                <w:sz w:val="24"/>
                <w:szCs w:val="24"/>
              </w:rPr>
            </w:pPr>
            <w:r w:rsidRPr="0012760D">
              <w:rPr>
                <w:sz w:val="24"/>
                <w:szCs w:val="24"/>
              </w:rPr>
              <w:t>1</w:t>
            </w:r>
          </w:p>
        </w:tc>
      </w:tr>
      <w:tr w:rsidR="00425F22" w:rsidRPr="0012760D" w:rsidTr="00CA07BB">
        <w:tblPrEx>
          <w:tblCellMar>
            <w:top w:w="0" w:type="dxa"/>
            <w:bottom w:w="0" w:type="dxa"/>
          </w:tblCellMar>
        </w:tblPrEx>
        <w:tc>
          <w:tcPr>
            <w:tcW w:w="1874" w:type="pct"/>
            <w:shd w:val="clear" w:color="auto" w:fill="auto"/>
          </w:tcPr>
          <w:p w:rsidR="00425F22" w:rsidRPr="0012760D" w:rsidRDefault="00425F22" w:rsidP="00CA07BB">
            <w:pPr>
              <w:rPr>
                <w:sz w:val="24"/>
                <w:szCs w:val="24"/>
              </w:rPr>
            </w:pPr>
            <w:r w:rsidRPr="0012760D">
              <w:rPr>
                <w:sz w:val="24"/>
                <w:szCs w:val="24"/>
              </w:rPr>
              <w:t>Robert Hogarth</w:t>
            </w:r>
          </w:p>
        </w:tc>
        <w:tc>
          <w:tcPr>
            <w:tcW w:w="1867" w:type="pct"/>
            <w:shd w:val="clear" w:color="auto" w:fill="auto"/>
          </w:tcPr>
          <w:p w:rsidR="00425F22" w:rsidRPr="0012760D" w:rsidRDefault="00425F22" w:rsidP="00CA07BB">
            <w:pPr>
              <w:jc w:val="right"/>
              <w:rPr>
                <w:sz w:val="24"/>
                <w:szCs w:val="24"/>
              </w:rPr>
            </w:pPr>
            <w:r w:rsidRPr="0012760D">
              <w:rPr>
                <w:sz w:val="24"/>
                <w:szCs w:val="24"/>
              </w:rPr>
              <w:t>1</w:t>
            </w:r>
          </w:p>
        </w:tc>
        <w:tc>
          <w:tcPr>
            <w:tcW w:w="1259" w:type="pct"/>
            <w:shd w:val="clear" w:color="auto" w:fill="auto"/>
          </w:tcPr>
          <w:p w:rsidR="00425F22" w:rsidRPr="0012760D" w:rsidRDefault="00425F22" w:rsidP="00CA07BB">
            <w:pPr>
              <w:jc w:val="right"/>
              <w:rPr>
                <w:sz w:val="24"/>
                <w:szCs w:val="24"/>
              </w:rPr>
            </w:pPr>
            <w:r w:rsidRPr="0012760D">
              <w:rPr>
                <w:sz w:val="24"/>
                <w:szCs w:val="24"/>
              </w:rPr>
              <w:t>1</w:t>
            </w:r>
          </w:p>
        </w:tc>
      </w:tr>
    </w:tbl>
    <w:p w:rsidR="00425F22" w:rsidRDefault="00425F22" w:rsidP="00425F22">
      <w:pPr>
        <w:rPr>
          <w:bCs/>
          <w:sz w:val="24"/>
          <w:szCs w:val="24"/>
        </w:rPr>
      </w:pPr>
    </w:p>
    <w:p w:rsidR="002C6FF0" w:rsidRPr="0012760D" w:rsidRDefault="002C6FF0" w:rsidP="00425F22">
      <w:pPr>
        <w:rPr>
          <w:bCs/>
          <w:sz w:val="24"/>
          <w:szCs w:val="24"/>
        </w:rPr>
      </w:pPr>
    </w:p>
    <w:p w:rsidR="00425F22" w:rsidRDefault="00425F22" w:rsidP="002C6FF0">
      <w:pPr>
        <w:pStyle w:val="Heading3"/>
      </w:pPr>
      <w:r w:rsidRPr="0012760D">
        <w:t xml:space="preserve">People </w:t>
      </w:r>
      <w:r w:rsidR="00236A13">
        <w:t>and</w:t>
      </w:r>
      <w:r w:rsidRPr="0012760D">
        <w:t xml:space="preserve"> Culture Committee</w:t>
      </w:r>
    </w:p>
    <w:p w:rsidR="002C6FF0" w:rsidRPr="0012760D" w:rsidRDefault="002C6FF0" w:rsidP="00425F22">
      <w:pPr>
        <w:rPr>
          <w:sz w:val="24"/>
          <w:szCs w:val="24"/>
        </w:rPr>
      </w:pPr>
    </w:p>
    <w:p w:rsidR="00425F22" w:rsidRDefault="00B66707" w:rsidP="00425F22">
      <w:pPr>
        <w:rPr>
          <w:sz w:val="24"/>
          <w:szCs w:val="24"/>
        </w:rPr>
      </w:pPr>
      <w:r>
        <w:rPr>
          <w:sz w:val="24"/>
          <w:szCs w:val="24"/>
        </w:rPr>
        <w:t>In 2012 to</w:t>
      </w:r>
      <w:r w:rsidR="00425F22" w:rsidRPr="0012760D">
        <w:rPr>
          <w:sz w:val="24"/>
          <w:szCs w:val="24"/>
        </w:rPr>
        <w:t xml:space="preserve"> 13, the name of the Human Resources Committee was changed to the People </w:t>
      </w:r>
      <w:r w:rsidR="00236A13">
        <w:rPr>
          <w:sz w:val="24"/>
          <w:szCs w:val="24"/>
        </w:rPr>
        <w:t>and</w:t>
      </w:r>
      <w:r w:rsidR="00425F22" w:rsidRPr="0012760D">
        <w:rPr>
          <w:sz w:val="24"/>
          <w:szCs w:val="24"/>
        </w:rPr>
        <w:t xml:space="preserve"> Culture Committee. The committee reviewed and refreshed its terms of reference to ensure it was providing targeted support and advice.</w:t>
      </w:r>
    </w:p>
    <w:p w:rsidR="002C6FF0" w:rsidRPr="0012760D" w:rsidRDefault="002C6FF0" w:rsidP="00425F22">
      <w:pPr>
        <w:rPr>
          <w:sz w:val="24"/>
          <w:szCs w:val="24"/>
        </w:rPr>
      </w:pPr>
    </w:p>
    <w:p w:rsidR="00425F22" w:rsidRPr="0012760D" w:rsidRDefault="00425F22" w:rsidP="00425F22">
      <w:pPr>
        <w:rPr>
          <w:sz w:val="24"/>
          <w:szCs w:val="24"/>
        </w:rPr>
      </w:pPr>
      <w:r w:rsidRPr="0012760D">
        <w:rPr>
          <w:sz w:val="24"/>
          <w:szCs w:val="24"/>
        </w:rPr>
        <w:t xml:space="preserve">The primary responsibility of the People </w:t>
      </w:r>
      <w:r w:rsidR="00236A13">
        <w:rPr>
          <w:sz w:val="24"/>
          <w:szCs w:val="24"/>
        </w:rPr>
        <w:t>and</w:t>
      </w:r>
      <w:r w:rsidRPr="0012760D">
        <w:rPr>
          <w:sz w:val="24"/>
          <w:szCs w:val="24"/>
        </w:rPr>
        <w:t xml:space="preserve"> Culture Committee is to assist the board in fulfilling its corporate governance responsibilities by:</w:t>
      </w:r>
    </w:p>
    <w:p w:rsidR="00425F22" w:rsidRPr="0012760D" w:rsidRDefault="00425F22" w:rsidP="00425F22">
      <w:pPr>
        <w:rPr>
          <w:sz w:val="24"/>
          <w:szCs w:val="24"/>
        </w:rPr>
      </w:pPr>
      <w:r w:rsidRPr="0012760D">
        <w:rPr>
          <w:sz w:val="24"/>
          <w:szCs w:val="24"/>
        </w:rPr>
        <w:t xml:space="preserve">• setting strategic direction and framework for the delivery of the People </w:t>
      </w:r>
      <w:r w:rsidR="00236A13">
        <w:rPr>
          <w:sz w:val="24"/>
          <w:szCs w:val="24"/>
        </w:rPr>
        <w:t>and</w:t>
      </w:r>
      <w:r w:rsidRPr="0012760D">
        <w:rPr>
          <w:sz w:val="24"/>
          <w:szCs w:val="24"/>
        </w:rPr>
        <w:t xml:space="preserve"> Leadership corporate capability</w:t>
      </w:r>
    </w:p>
    <w:p w:rsidR="00425F22" w:rsidRPr="0012760D" w:rsidRDefault="00425F22" w:rsidP="00425F22">
      <w:pPr>
        <w:rPr>
          <w:sz w:val="24"/>
          <w:szCs w:val="24"/>
        </w:rPr>
      </w:pPr>
      <w:r w:rsidRPr="0012760D">
        <w:rPr>
          <w:sz w:val="24"/>
          <w:szCs w:val="24"/>
        </w:rPr>
        <w:t>• reviewing effectiveness of people strategies and policies</w:t>
      </w:r>
    </w:p>
    <w:p w:rsidR="00425F22" w:rsidRPr="0012760D" w:rsidRDefault="00425F22" w:rsidP="00425F22">
      <w:pPr>
        <w:rPr>
          <w:sz w:val="24"/>
          <w:szCs w:val="24"/>
        </w:rPr>
      </w:pPr>
      <w:r w:rsidRPr="0012760D">
        <w:rPr>
          <w:sz w:val="24"/>
          <w:szCs w:val="24"/>
        </w:rPr>
        <w:t>• ensuring appropriate monitoring and compliance is in place, with requisite reporting to the board.</w:t>
      </w:r>
    </w:p>
    <w:p w:rsidR="001A59B2" w:rsidRDefault="001A59B2" w:rsidP="001A59B2">
      <w:pPr>
        <w:rPr>
          <w:bCs/>
          <w:sz w:val="24"/>
          <w:szCs w:val="24"/>
        </w:rPr>
      </w:pPr>
      <w:r w:rsidRPr="0012760D">
        <w:rPr>
          <w:bCs/>
          <w:sz w:val="24"/>
          <w:szCs w:val="24"/>
        </w:rPr>
        <w:t>&lt;pp&gt; 65</w:t>
      </w:r>
    </w:p>
    <w:p w:rsidR="002C6FF0" w:rsidRPr="0012760D" w:rsidRDefault="002C6FF0" w:rsidP="001A59B2">
      <w:pPr>
        <w:rPr>
          <w:sz w:val="24"/>
          <w:szCs w:val="24"/>
        </w:rPr>
      </w:pPr>
    </w:p>
    <w:p w:rsidR="001A59B2" w:rsidRPr="0012760D" w:rsidRDefault="001A59B2" w:rsidP="001A59B2">
      <w:pPr>
        <w:rPr>
          <w:sz w:val="24"/>
          <w:szCs w:val="24"/>
        </w:rPr>
      </w:pPr>
      <w:r w:rsidRPr="0012760D">
        <w:rPr>
          <w:sz w:val="24"/>
          <w:szCs w:val="24"/>
        </w:rPr>
        <w:t>In 2012 to 13, the committee:</w:t>
      </w:r>
    </w:p>
    <w:p w:rsidR="001A59B2" w:rsidRPr="0012760D" w:rsidRDefault="001A59B2" w:rsidP="001A59B2">
      <w:pPr>
        <w:rPr>
          <w:sz w:val="24"/>
          <w:szCs w:val="24"/>
        </w:rPr>
      </w:pPr>
      <w:r w:rsidRPr="0012760D">
        <w:rPr>
          <w:sz w:val="24"/>
          <w:szCs w:val="24"/>
        </w:rPr>
        <w:t xml:space="preserve">• endorsed a three year People </w:t>
      </w:r>
      <w:r w:rsidR="00236A13">
        <w:rPr>
          <w:sz w:val="24"/>
          <w:szCs w:val="24"/>
        </w:rPr>
        <w:t>and</w:t>
      </w:r>
      <w:r w:rsidRPr="0012760D">
        <w:rPr>
          <w:sz w:val="24"/>
          <w:szCs w:val="24"/>
        </w:rPr>
        <w:t xml:space="preserve"> Leadership strategy and implementation plan</w:t>
      </w:r>
    </w:p>
    <w:p w:rsidR="001A59B2" w:rsidRPr="0012760D" w:rsidRDefault="001A59B2" w:rsidP="001A59B2">
      <w:pPr>
        <w:rPr>
          <w:sz w:val="24"/>
          <w:szCs w:val="24"/>
        </w:rPr>
      </w:pPr>
      <w:r w:rsidRPr="0012760D">
        <w:rPr>
          <w:sz w:val="24"/>
          <w:szCs w:val="24"/>
        </w:rPr>
        <w:t>• endorsed a capability framework, and talent management and succession strategy, for the organisation</w:t>
      </w:r>
    </w:p>
    <w:p w:rsidR="001A59B2" w:rsidRPr="0012760D" w:rsidRDefault="001A59B2" w:rsidP="001A59B2">
      <w:pPr>
        <w:rPr>
          <w:sz w:val="24"/>
          <w:szCs w:val="24"/>
        </w:rPr>
      </w:pPr>
      <w:r w:rsidRPr="0012760D">
        <w:rPr>
          <w:sz w:val="24"/>
          <w:szCs w:val="24"/>
        </w:rPr>
        <w:t>• provided strategic oversight and input into the cultural improvement action plan</w:t>
      </w:r>
    </w:p>
    <w:p w:rsidR="001A59B2" w:rsidRPr="0012760D" w:rsidRDefault="001A59B2" w:rsidP="001A59B2">
      <w:pPr>
        <w:rPr>
          <w:sz w:val="24"/>
          <w:szCs w:val="24"/>
        </w:rPr>
      </w:pPr>
      <w:r w:rsidRPr="0012760D">
        <w:rPr>
          <w:sz w:val="24"/>
          <w:szCs w:val="24"/>
        </w:rPr>
        <w:t xml:space="preserve">• provided advice and input into the revised Health, safety </w:t>
      </w:r>
      <w:r w:rsidR="00236A13">
        <w:rPr>
          <w:sz w:val="24"/>
          <w:szCs w:val="24"/>
        </w:rPr>
        <w:t>and</w:t>
      </w:r>
      <w:r w:rsidRPr="0012760D">
        <w:rPr>
          <w:sz w:val="24"/>
          <w:szCs w:val="24"/>
        </w:rPr>
        <w:t xml:space="preserve"> Wellbeing policy and implementation, encouraging a focus on psychological wellbeing and zero harm</w:t>
      </w:r>
    </w:p>
    <w:p w:rsidR="001A59B2" w:rsidRPr="0012760D" w:rsidRDefault="001A59B2" w:rsidP="001A59B2">
      <w:pPr>
        <w:rPr>
          <w:sz w:val="24"/>
          <w:szCs w:val="24"/>
        </w:rPr>
      </w:pPr>
      <w:r w:rsidRPr="0012760D">
        <w:rPr>
          <w:sz w:val="24"/>
          <w:szCs w:val="24"/>
        </w:rPr>
        <w:t>• reviewed and updated risks identified in the people strategic risk register</w:t>
      </w:r>
    </w:p>
    <w:p w:rsidR="001A59B2" w:rsidRPr="0012760D" w:rsidRDefault="001A59B2" w:rsidP="001A59B2">
      <w:pPr>
        <w:rPr>
          <w:sz w:val="24"/>
          <w:szCs w:val="24"/>
        </w:rPr>
      </w:pPr>
      <w:r w:rsidRPr="0012760D">
        <w:rPr>
          <w:sz w:val="24"/>
          <w:szCs w:val="24"/>
        </w:rPr>
        <w:t xml:space="preserve">• monitored and analysed trends arising from quarterly People </w:t>
      </w:r>
      <w:r w:rsidR="00236A13">
        <w:rPr>
          <w:sz w:val="24"/>
          <w:szCs w:val="24"/>
        </w:rPr>
        <w:t>and</w:t>
      </w:r>
      <w:r w:rsidRPr="0012760D">
        <w:rPr>
          <w:sz w:val="24"/>
          <w:szCs w:val="24"/>
        </w:rPr>
        <w:t xml:space="preserve"> Culture metrics.</w:t>
      </w:r>
    </w:p>
    <w:p w:rsidR="002C6FF0" w:rsidRDefault="002C6FF0" w:rsidP="001A59B2">
      <w:pPr>
        <w:rPr>
          <w:sz w:val="24"/>
          <w:szCs w:val="24"/>
        </w:rPr>
      </w:pPr>
    </w:p>
    <w:p w:rsidR="001A59B2" w:rsidRPr="0012760D" w:rsidRDefault="001A59B2" w:rsidP="001A59B2">
      <w:pPr>
        <w:rPr>
          <w:sz w:val="24"/>
          <w:szCs w:val="24"/>
        </w:rPr>
      </w:pPr>
      <w:r w:rsidRPr="0012760D">
        <w:rPr>
          <w:sz w:val="24"/>
          <w:szCs w:val="24"/>
        </w:rPr>
        <w:t>The committee comprised two board members in 2012 to 13: Ron Lovett (Chair -  newly appointed) and Cheryl Batagol, and one external member, Jeannette Lang (newly appointed). Table 9 shows committee members' meeting attendance. The committee members will remain unchanged in financial year 2013 to 14.</w:t>
      </w:r>
    </w:p>
    <w:p w:rsidR="001A59B2" w:rsidRDefault="001A59B2" w:rsidP="001A59B2">
      <w:pPr>
        <w:rPr>
          <w:sz w:val="24"/>
          <w:szCs w:val="24"/>
        </w:rPr>
      </w:pPr>
    </w:p>
    <w:p w:rsidR="002C6FF0" w:rsidRPr="0012760D" w:rsidRDefault="002C6FF0" w:rsidP="001A59B2">
      <w:pPr>
        <w:rPr>
          <w:sz w:val="24"/>
          <w:szCs w:val="24"/>
        </w:rPr>
      </w:pPr>
    </w:p>
    <w:p w:rsidR="001A59B2" w:rsidRPr="0012760D" w:rsidRDefault="001A59B2" w:rsidP="002C6FF0">
      <w:pPr>
        <w:pStyle w:val="Heading3"/>
      </w:pPr>
      <w:r w:rsidRPr="0012760D">
        <w:t xml:space="preserve">Table 9: People </w:t>
      </w:r>
      <w:r w:rsidR="00236A13">
        <w:t>and</w:t>
      </w:r>
      <w:r w:rsidRPr="0012760D">
        <w:t xml:space="preserve"> Culture Committee members</w:t>
      </w:r>
    </w:p>
    <w:p w:rsidR="001A59B2" w:rsidRPr="0012760D" w:rsidRDefault="001A59B2" w:rsidP="001A59B2">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3017"/>
        <w:gridCol w:w="3828"/>
        <w:gridCol w:w="2264"/>
      </w:tblGrid>
      <w:tr w:rsidR="001A59B2" w:rsidRPr="0012760D" w:rsidTr="006B246A">
        <w:tblPrEx>
          <w:tblCellMar>
            <w:top w:w="0" w:type="dxa"/>
            <w:bottom w:w="0" w:type="dxa"/>
          </w:tblCellMar>
        </w:tblPrEx>
        <w:tc>
          <w:tcPr>
            <w:tcW w:w="1656" w:type="pct"/>
            <w:shd w:val="clear" w:color="auto" w:fill="auto"/>
          </w:tcPr>
          <w:p w:rsidR="001A59B2" w:rsidRPr="0012760D" w:rsidRDefault="001A59B2" w:rsidP="00CA07BB">
            <w:pPr>
              <w:rPr>
                <w:sz w:val="24"/>
                <w:szCs w:val="24"/>
              </w:rPr>
            </w:pPr>
            <w:r w:rsidRPr="0012760D">
              <w:rPr>
                <w:bCs/>
                <w:sz w:val="24"/>
                <w:szCs w:val="24"/>
              </w:rPr>
              <w:t>Committee member</w:t>
            </w:r>
          </w:p>
        </w:tc>
        <w:tc>
          <w:tcPr>
            <w:tcW w:w="2101" w:type="pct"/>
            <w:shd w:val="clear" w:color="auto" w:fill="auto"/>
          </w:tcPr>
          <w:p w:rsidR="001A59B2" w:rsidRPr="0012760D" w:rsidRDefault="001A59B2" w:rsidP="00CA07BB">
            <w:pPr>
              <w:rPr>
                <w:sz w:val="24"/>
                <w:szCs w:val="24"/>
              </w:rPr>
            </w:pPr>
            <w:r w:rsidRPr="0012760D">
              <w:rPr>
                <w:bCs/>
                <w:sz w:val="24"/>
                <w:szCs w:val="24"/>
              </w:rPr>
              <w:t>Meetings held</w:t>
            </w:r>
            <w:r w:rsidRPr="0012760D">
              <w:rPr>
                <w:sz w:val="24"/>
                <w:szCs w:val="24"/>
              </w:rPr>
              <w:t xml:space="preserve"> </w:t>
            </w:r>
            <w:r w:rsidRPr="0012760D">
              <w:rPr>
                <w:bCs/>
                <w:sz w:val="24"/>
                <w:szCs w:val="24"/>
              </w:rPr>
              <w:t>during</w:t>
            </w:r>
            <w:r w:rsidRPr="0012760D">
              <w:rPr>
                <w:sz w:val="24"/>
                <w:szCs w:val="24"/>
              </w:rPr>
              <w:t xml:space="preserve"> </w:t>
            </w:r>
            <w:r w:rsidRPr="0012760D">
              <w:rPr>
                <w:bCs/>
                <w:sz w:val="24"/>
                <w:szCs w:val="24"/>
              </w:rPr>
              <w:t>appointment</w:t>
            </w:r>
          </w:p>
        </w:tc>
        <w:tc>
          <w:tcPr>
            <w:tcW w:w="1243" w:type="pct"/>
            <w:shd w:val="clear" w:color="auto" w:fill="auto"/>
          </w:tcPr>
          <w:p w:rsidR="001A59B2" w:rsidRPr="0012760D" w:rsidRDefault="001A59B2" w:rsidP="00CA07BB">
            <w:pPr>
              <w:rPr>
                <w:sz w:val="24"/>
                <w:szCs w:val="24"/>
              </w:rPr>
            </w:pPr>
            <w:r w:rsidRPr="0012760D">
              <w:rPr>
                <w:bCs/>
                <w:sz w:val="24"/>
                <w:szCs w:val="24"/>
              </w:rPr>
              <w:t>Meetings attended</w:t>
            </w:r>
          </w:p>
        </w:tc>
      </w:tr>
      <w:tr w:rsidR="001A59B2" w:rsidRPr="0012760D" w:rsidTr="006B246A">
        <w:tblPrEx>
          <w:tblCellMar>
            <w:top w:w="0" w:type="dxa"/>
            <w:bottom w:w="0" w:type="dxa"/>
          </w:tblCellMar>
        </w:tblPrEx>
        <w:tc>
          <w:tcPr>
            <w:tcW w:w="1656" w:type="pct"/>
            <w:shd w:val="clear" w:color="auto" w:fill="auto"/>
          </w:tcPr>
          <w:p w:rsidR="001A59B2" w:rsidRPr="0012760D" w:rsidRDefault="001A59B2" w:rsidP="00CA07BB">
            <w:pPr>
              <w:rPr>
                <w:sz w:val="24"/>
                <w:szCs w:val="24"/>
              </w:rPr>
            </w:pPr>
            <w:r w:rsidRPr="0012760D">
              <w:rPr>
                <w:sz w:val="24"/>
                <w:szCs w:val="24"/>
              </w:rPr>
              <w:t>Ron Lovett, Chair</w:t>
            </w:r>
          </w:p>
        </w:tc>
        <w:tc>
          <w:tcPr>
            <w:tcW w:w="2101" w:type="pct"/>
            <w:shd w:val="clear" w:color="auto" w:fill="auto"/>
          </w:tcPr>
          <w:p w:rsidR="001A59B2" w:rsidRPr="0012760D" w:rsidRDefault="001A59B2" w:rsidP="00CA07BB">
            <w:pPr>
              <w:jc w:val="right"/>
              <w:rPr>
                <w:sz w:val="24"/>
                <w:szCs w:val="24"/>
              </w:rPr>
            </w:pPr>
            <w:r w:rsidRPr="0012760D">
              <w:rPr>
                <w:sz w:val="24"/>
                <w:szCs w:val="24"/>
              </w:rPr>
              <w:t>5</w:t>
            </w:r>
          </w:p>
        </w:tc>
        <w:tc>
          <w:tcPr>
            <w:tcW w:w="1243" w:type="pct"/>
            <w:shd w:val="clear" w:color="auto" w:fill="auto"/>
          </w:tcPr>
          <w:p w:rsidR="001A59B2" w:rsidRPr="0012760D" w:rsidRDefault="001A59B2" w:rsidP="00CA07BB">
            <w:pPr>
              <w:jc w:val="right"/>
              <w:rPr>
                <w:sz w:val="24"/>
                <w:szCs w:val="24"/>
              </w:rPr>
            </w:pPr>
            <w:r w:rsidRPr="0012760D">
              <w:rPr>
                <w:sz w:val="24"/>
                <w:szCs w:val="24"/>
              </w:rPr>
              <w:t>4</w:t>
            </w:r>
          </w:p>
        </w:tc>
      </w:tr>
      <w:tr w:rsidR="001A59B2" w:rsidRPr="0012760D" w:rsidTr="006B246A">
        <w:tblPrEx>
          <w:tblCellMar>
            <w:top w:w="0" w:type="dxa"/>
            <w:bottom w:w="0" w:type="dxa"/>
          </w:tblCellMar>
        </w:tblPrEx>
        <w:tc>
          <w:tcPr>
            <w:tcW w:w="1656" w:type="pct"/>
            <w:shd w:val="clear" w:color="auto" w:fill="auto"/>
          </w:tcPr>
          <w:p w:rsidR="001A59B2" w:rsidRPr="0012760D" w:rsidRDefault="001A59B2" w:rsidP="00CA07BB">
            <w:pPr>
              <w:rPr>
                <w:sz w:val="24"/>
                <w:szCs w:val="24"/>
              </w:rPr>
            </w:pPr>
            <w:r w:rsidRPr="0012760D">
              <w:rPr>
                <w:sz w:val="24"/>
                <w:szCs w:val="24"/>
              </w:rPr>
              <w:t>Cheryl Batagol</w:t>
            </w:r>
          </w:p>
        </w:tc>
        <w:tc>
          <w:tcPr>
            <w:tcW w:w="2101" w:type="pct"/>
            <w:shd w:val="clear" w:color="auto" w:fill="auto"/>
          </w:tcPr>
          <w:p w:rsidR="001A59B2" w:rsidRPr="0012760D" w:rsidRDefault="001A59B2" w:rsidP="00CA07BB">
            <w:pPr>
              <w:jc w:val="right"/>
              <w:rPr>
                <w:sz w:val="24"/>
                <w:szCs w:val="24"/>
              </w:rPr>
            </w:pPr>
            <w:r w:rsidRPr="0012760D">
              <w:rPr>
                <w:sz w:val="24"/>
                <w:szCs w:val="24"/>
              </w:rPr>
              <w:t>5</w:t>
            </w:r>
          </w:p>
        </w:tc>
        <w:tc>
          <w:tcPr>
            <w:tcW w:w="1243" w:type="pct"/>
            <w:shd w:val="clear" w:color="auto" w:fill="auto"/>
          </w:tcPr>
          <w:p w:rsidR="001A59B2" w:rsidRPr="0012760D" w:rsidRDefault="001A59B2" w:rsidP="00CA07BB">
            <w:pPr>
              <w:jc w:val="right"/>
              <w:rPr>
                <w:sz w:val="24"/>
                <w:szCs w:val="24"/>
              </w:rPr>
            </w:pPr>
            <w:r w:rsidRPr="0012760D">
              <w:rPr>
                <w:sz w:val="24"/>
                <w:szCs w:val="24"/>
              </w:rPr>
              <w:t>5</w:t>
            </w:r>
          </w:p>
        </w:tc>
      </w:tr>
      <w:tr w:rsidR="001A59B2" w:rsidRPr="0012760D" w:rsidTr="006B246A">
        <w:tblPrEx>
          <w:tblCellMar>
            <w:top w:w="0" w:type="dxa"/>
            <w:bottom w:w="0" w:type="dxa"/>
          </w:tblCellMar>
        </w:tblPrEx>
        <w:tc>
          <w:tcPr>
            <w:tcW w:w="1656" w:type="pct"/>
            <w:shd w:val="clear" w:color="auto" w:fill="auto"/>
          </w:tcPr>
          <w:p w:rsidR="001A59B2" w:rsidRPr="0012760D" w:rsidRDefault="001A59B2" w:rsidP="00CA07BB">
            <w:pPr>
              <w:rPr>
                <w:sz w:val="24"/>
                <w:szCs w:val="24"/>
              </w:rPr>
            </w:pPr>
            <w:r w:rsidRPr="0012760D">
              <w:rPr>
                <w:sz w:val="24"/>
                <w:szCs w:val="24"/>
              </w:rPr>
              <w:t>Jeannette Lang</w:t>
            </w:r>
          </w:p>
        </w:tc>
        <w:tc>
          <w:tcPr>
            <w:tcW w:w="2101" w:type="pct"/>
            <w:shd w:val="clear" w:color="auto" w:fill="auto"/>
          </w:tcPr>
          <w:p w:rsidR="001A59B2" w:rsidRPr="0012760D" w:rsidRDefault="001A59B2" w:rsidP="00CA07BB">
            <w:pPr>
              <w:jc w:val="right"/>
              <w:rPr>
                <w:sz w:val="24"/>
                <w:szCs w:val="24"/>
              </w:rPr>
            </w:pPr>
            <w:r w:rsidRPr="0012760D">
              <w:rPr>
                <w:sz w:val="24"/>
                <w:szCs w:val="24"/>
              </w:rPr>
              <w:t>3</w:t>
            </w:r>
          </w:p>
        </w:tc>
        <w:tc>
          <w:tcPr>
            <w:tcW w:w="1243" w:type="pct"/>
            <w:shd w:val="clear" w:color="auto" w:fill="auto"/>
          </w:tcPr>
          <w:p w:rsidR="001A59B2" w:rsidRPr="0012760D" w:rsidRDefault="001A59B2" w:rsidP="00CA07BB">
            <w:pPr>
              <w:jc w:val="right"/>
              <w:rPr>
                <w:sz w:val="24"/>
                <w:szCs w:val="24"/>
              </w:rPr>
            </w:pPr>
            <w:r w:rsidRPr="0012760D">
              <w:rPr>
                <w:sz w:val="24"/>
                <w:szCs w:val="24"/>
              </w:rPr>
              <w:t>3</w:t>
            </w:r>
          </w:p>
        </w:tc>
      </w:tr>
    </w:tbl>
    <w:p w:rsidR="001A59B2" w:rsidRDefault="001A59B2" w:rsidP="001A59B2">
      <w:pPr>
        <w:rPr>
          <w:bCs/>
          <w:sz w:val="24"/>
          <w:szCs w:val="24"/>
        </w:rPr>
      </w:pPr>
    </w:p>
    <w:p w:rsidR="006B246A" w:rsidRPr="0012760D" w:rsidRDefault="006B246A" w:rsidP="001A59B2">
      <w:pPr>
        <w:rPr>
          <w:bCs/>
          <w:sz w:val="24"/>
          <w:szCs w:val="24"/>
        </w:rPr>
      </w:pPr>
    </w:p>
    <w:p w:rsidR="001A59B2" w:rsidRDefault="001A59B2" w:rsidP="006B246A">
      <w:pPr>
        <w:pStyle w:val="Heading3"/>
      </w:pPr>
      <w:r w:rsidRPr="0012760D">
        <w:t>Performance and Remuneration Committee</w:t>
      </w:r>
    </w:p>
    <w:p w:rsidR="006B246A" w:rsidRPr="0012760D" w:rsidRDefault="006B246A" w:rsidP="001A59B2">
      <w:pPr>
        <w:rPr>
          <w:sz w:val="24"/>
          <w:szCs w:val="24"/>
        </w:rPr>
      </w:pPr>
    </w:p>
    <w:p w:rsidR="001A59B2" w:rsidRPr="0012760D" w:rsidRDefault="001A59B2" w:rsidP="001A59B2">
      <w:pPr>
        <w:rPr>
          <w:sz w:val="24"/>
          <w:szCs w:val="24"/>
        </w:rPr>
      </w:pPr>
      <w:r w:rsidRPr="0012760D">
        <w:rPr>
          <w:sz w:val="24"/>
          <w:szCs w:val="24"/>
        </w:rPr>
        <w:t>The primary responsibility of the Performance and Remuneration Committee is to assist the board in fulfilling its corporate governance responsibilities through:</w:t>
      </w:r>
    </w:p>
    <w:p w:rsidR="001A59B2" w:rsidRPr="0012760D" w:rsidRDefault="001A59B2" w:rsidP="001A59B2">
      <w:pPr>
        <w:rPr>
          <w:sz w:val="24"/>
          <w:szCs w:val="24"/>
        </w:rPr>
      </w:pPr>
      <w:r w:rsidRPr="0012760D">
        <w:rPr>
          <w:sz w:val="24"/>
          <w:szCs w:val="24"/>
        </w:rPr>
        <w:t>• Chief executive Officer (CEO) recruitment, selection, performance and succession</w:t>
      </w:r>
    </w:p>
    <w:p w:rsidR="001A59B2" w:rsidRPr="0012760D" w:rsidRDefault="001A59B2" w:rsidP="001A59B2">
      <w:pPr>
        <w:rPr>
          <w:sz w:val="24"/>
          <w:szCs w:val="24"/>
        </w:rPr>
      </w:pPr>
      <w:r w:rsidRPr="0012760D">
        <w:rPr>
          <w:sz w:val="24"/>
          <w:szCs w:val="24"/>
        </w:rPr>
        <w:t>• executive performance and succession</w:t>
      </w:r>
    </w:p>
    <w:p w:rsidR="001A59B2" w:rsidRPr="0012760D" w:rsidRDefault="001A59B2" w:rsidP="001A59B2">
      <w:pPr>
        <w:rPr>
          <w:sz w:val="24"/>
          <w:szCs w:val="24"/>
        </w:rPr>
      </w:pPr>
      <w:r w:rsidRPr="0012760D">
        <w:rPr>
          <w:sz w:val="24"/>
          <w:szCs w:val="24"/>
        </w:rPr>
        <w:t>• monitoring and compliance.</w:t>
      </w:r>
    </w:p>
    <w:p w:rsidR="006B246A" w:rsidRDefault="006B246A" w:rsidP="001A59B2">
      <w:pPr>
        <w:rPr>
          <w:sz w:val="24"/>
          <w:szCs w:val="24"/>
        </w:rPr>
      </w:pPr>
    </w:p>
    <w:p w:rsidR="001A59B2" w:rsidRPr="0012760D" w:rsidRDefault="001A59B2" w:rsidP="001A59B2">
      <w:pPr>
        <w:rPr>
          <w:sz w:val="24"/>
          <w:szCs w:val="24"/>
        </w:rPr>
      </w:pPr>
      <w:r w:rsidRPr="0012760D">
        <w:rPr>
          <w:sz w:val="24"/>
          <w:szCs w:val="24"/>
        </w:rPr>
        <w:t xml:space="preserve">The committee comprised three board members: Gillian Sparkes (Chair), Mike Hill </w:t>
      </w:r>
      <w:r w:rsidRPr="0012760D">
        <w:rPr>
          <w:sz w:val="24"/>
          <w:szCs w:val="24"/>
        </w:rPr>
        <w:lastRenderedPageBreak/>
        <w:t>and Ron Lovett.</w:t>
      </w:r>
    </w:p>
    <w:p w:rsidR="001A59B2" w:rsidRDefault="001A59B2" w:rsidP="001A59B2">
      <w:pPr>
        <w:rPr>
          <w:sz w:val="24"/>
          <w:szCs w:val="24"/>
        </w:rPr>
      </w:pPr>
    </w:p>
    <w:p w:rsidR="006B246A" w:rsidRPr="0012760D" w:rsidRDefault="006B246A" w:rsidP="001A59B2">
      <w:pPr>
        <w:rPr>
          <w:sz w:val="24"/>
          <w:szCs w:val="24"/>
        </w:rPr>
      </w:pPr>
    </w:p>
    <w:p w:rsidR="001A59B2" w:rsidRPr="0012760D" w:rsidRDefault="001A59B2" w:rsidP="006B246A">
      <w:pPr>
        <w:pStyle w:val="Heading3"/>
      </w:pPr>
      <w:r w:rsidRPr="0012760D">
        <w:t>Table 10: Performance and Remuneration Committee members</w:t>
      </w:r>
    </w:p>
    <w:p w:rsidR="001A59B2" w:rsidRPr="0012760D" w:rsidRDefault="001A59B2" w:rsidP="001A59B2">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2981"/>
        <w:gridCol w:w="3862"/>
        <w:gridCol w:w="2266"/>
      </w:tblGrid>
      <w:tr w:rsidR="001A59B2" w:rsidRPr="0012760D" w:rsidTr="00CA07BB">
        <w:tblPrEx>
          <w:tblCellMar>
            <w:top w:w="0" w:type="dxa"/>
            <w:bottom w:w="0" w:type="dxa"/>
          </w:tblCellMar>
        </w:tblPrEx>
        <w:tc>
          <w:tcPr>
            <w:tcW w:w="1636" w:type="pct"/>
            <w:shd w:val="clear" w:color="auto" w:fill="auto"/>
          </w:tcPr>
          <w:p w:rsidR="001A59B2" w:rsidRPr="0012760D" w:rsidRDefault="001A59B2" w:rsidP="00CA07BB">
            <w:pPr>
              <w:rPr>
                <w:sz w:val="24"/>
                <w:szCs w:val="24"/>
              </w:rPr>
            </w:pPr>
            <w:r w:rsidRPr="0012760D">
              <w:rPr>
                <w:bCs/>
                <w:sz w:val="24"/>
                <w:szCs w:val="24"/>
              </w:rPr>
              <w:t>Committee member</w:t>
            </w:r>
          </w:p>
        </w:tc>
        <w:tc>
          <w:tcPr>
            <w:tcW w:w="2120" w:type="pct"/>
            <w:shd w:val="clear" w:color="auto" w:fill="auto"/>
          </w:tcPr>
          <w:p w:rsidR="001A59B2" w:rsidRPr="0012760D" w:rsidRDefault="001A59B2" w:rsidP="00CA07BB">
            <w:pPr>
              <w:rPr>
                <w:sz w:val="24"/>
                <w:szCs w:val="24"/>
              </w:rPr>
            </w:pPr>
            <w:r w:rsidRPr="0012760D">
              <w:rPr>
                <w:bCs/>
                <w:sz w:val="24"/>
                <w:szCs w:val="24"/>
              </w:rPr>
              <w:t>Meetings held</w:t>
            </w:r>
            <w:r w:rsidRPr="0012760D">
              <w:rPr>
                <w:sz w:val="24"/>
                <w:szCs w:val="24"/>
              </w:rPr>
              <w:t xml:space="preserve"> </w:t>
            </w:r>
            <w:r w:rsidRPr="0012760D">
              <w:rPr>
                <w:bCs/>
                <w:sz w:val="24"/>
                <w:szCs w:val="24"/>
              </w:rPr>
              <w:t>during</w:t>
            </w:r>
            <w:r w:rsidRPr="0012760D">
              <w:rPr>
                <w:sz w:val="24"/>
                <w:szCs w:val="24"/>
              </w:rPr>
              <w:t xml:space="preserve"> </w:t>
            </w:r>
            <w:r w:rsidRPr="0012760D">
              <w:rPr>
                <w:bCs/>
                <w:sz w:val="24"/>
                <w:szCs w:val="24"/>
              </w:rPr>
              <w:t>appointment</w:t>
            </w:r>
          </w:p>
        </w:tc>
        <w:tc>
          <w:tcPr>
            <w:tcW w:w="1244" w:type="pct"/>
            <w:shd w:val="clear" w:color="auto" w:fill="auto"/>
          </w:tcPr>
          <w:p w:rsidR="001A59B2" w:rsidRPr="0012760D" w:rsidRDefault="001A59B2" w:rsidP="00CA07BB">
            <w:pPr>
              <w:rPr>
                <w:sz w:val="24"/>
                <w:szCs w:val="24"/>
              </w:rPr>
            </w:pPr>
            <w:r w:rsidRPr="0012760D">
              <w:rPr>
                <w:bCs/>
                <w:sz w:val="24"/>
                <w:szCs w:val="24"/>
              </w:rPr>
              <w:t>Meetings attended</w:t>
            </w:r>
          </w:p>
        </w:tc>
      </w:tr>
      <w:tr w:rsidR="001A59B2" w:rsidRPr="0012760D" w:rsidTr="00CA07BB">
        <w:tblPrEx>
          <w:tblCellMar>
            <w:top w:w="0" w:type="dxa"/>
            <w:bottom w:w="0" w:type="dxa"/>
          </w:tblCellMar>
        </w:tblPrEx>
        <w:tc>
          <w:tcPr>
            <w:tcW w:w="1636" w:type="pct"/>
            <w:shd w:val="clear" w:color="auto" w:fill="auto"/>
          </w:tcPr>
          <w:p w:rsidR="001A59B2" w:rsidRPr="0012760D" w:rsidRDefault="001A59B2" w:rsidP="00CA07BB">
            <w:pPr>
              <w:rPr>
                <w:sz w:val="24"/>
                <w:szCs w:val="24"/>
              </w:rPr>
            </w:pPr>
            <w:r w:rsidRPr="0012760D">
              <w:rPr>
                <w:sz w:val="24"/>
                <w:szCs w:val="24"/>
              </w:rPr>
              <w:t>Gillian Sparkes</w:t>
            </w:r>
          </w:p>
        </w:tc>
        <w:tc>
          <w:tcPr>
            <w:tcW w:w="2120" w:type="pct"/>
            <w:shd w:val="clear" w:color="auto" w:fill="auto"/>
          </w:tcPr>
          <w:p w:rsidR="001A59B2" w:rsidRPr="0012760D" w:rsidRDefault="001A59B2" w:rsidP="00CA07BB">
            <w:pPr>
              <w:jc w:val="right"/>
              <w:rPr>
                <w:sz w:val="24"/>
                <w:szCs w:val="24"/>
              </w:rPr>
            </w:pPr>
            <w:r w:rsidRPr="0012760D">
              <w:rPr>
                <w:sz w:val="24"/>
                <w:szCs w:val="24"/>
              </w:rPr>
              <w:t>3</w:t>
            </w:r>
          </w:p>
        </w:tc>
        <w:tc>
          <w:tcPr>
            <w:tcW w:w="1244" w:type="pct"/>
            <w:shd w:val="clear" w:color="auto" w:fill="auto"/>
          </w:tcPr>
          <w:p w:rsidR="001A59B2" w:rsidRPr="0012760D" w:rsidRDefault="001A59B2" w:rsidP="00CA07BB">
            <w:pPr>
              <w:jc w:val="right"/>
              <w:rPr>
                <w:sz w:val="24"/>
                <w:szCs w:val="24"/>
              </w:rPr>
            </w:pPr>
            <w:r w:rsidRPr="0012760D">
              <w:rPr>
                <w:sz w:val="24"/>
                <w:szCs w:val="24"/>
              </w:rPr>
              <w:t>3</w:t>
            </w:r>
          </w:p>
        </w:tc>
      </w:tr>
      <w:tr w:rsidR="001A59B2" w:rsidRPr="0012760D" w:rsidTr="00CA07BB">
        <w:tblPrEx>
          <w:tblCellMar>
            <w:top w:w="0" w:type="dxa"/>
            <w:bottom w:w="0" w:type="dxa"/>
          </w:tblCellMar>
        </w:tblPrEx>
        <w:tc>
          <w:tcPr>
            <w:tcW w:w="1636" w:type="pct"/>
            <w:shd w:val="clear" w:color="auto" w:fill="auto"/>
          </w:tcPr>
          <w:p w:rsidR="001A59B2" w:rsidRPr="0012760D" w:rsidRDefault="001A59B2" w:rsidP="00CA07BB">
            <w:pPr>
              <w:rPr>
                <w:sz w:val="24"/>
                <w:szCs w:val="24"/>
              </w:rPr>
            </w:pPr>
            <w:r w:rsidRPr="0012760D">
              <w:rPr>
                <w:sz w:val="24"/>
                <w:szCs w:val="24"/>
              </w:rPr>
              <w:t>Mike Hill</w:t>
            </w:r>
          </w:p>
        </w:tc>
        <w:tc>
          <w:tcPr>
            <w:tcW w:w="2120" w:type="pct"/>
            <w:shd w:val="clear" w:color="auto" w:fill="auto"/>
          </w:tcPr>
          <w:p w:rsidR="001A59B2" w:rsidRPr="0012760D" w:rsidRDefault="001A59B2" w:rsidP="00CA07BB">
            <w:pPr>
              <w:jc w:val="right"/>
              <w:rPr>
                <w:sz w:val="24"/>
                <w:szCs w:val="24"/>
              </w:rPr>
            </w:pPr>
            <w:r w:rsidRPr="0012760D">
              <w:rPr>
                <w:sz w:val="24"/>
                <w:szCs w:val="24"/>
              </w:rPr>
              <w:t>3</w:t>
            </w:r>
          </w:p>
        </w:tc>
        <w:tc>
          <w:tcPr>
            <w:tcW w:w="1244" w:type="pct"/>
            <w:shd w:val="clear" w:color="auto" w:fill="auto"/>
          </w:tcPr>
          <w:p w:rsidR="001A59B2" w:rsidRPr="0012760D" w:rsidRDefault="001A59B2" w:rsidP="00CA07BB">
            <w:pPr>
              <w:jc w:val="right"/>
              <w:rPr>
                <w:sz w:val="24"/>
                <w:szCs w:val="24"/>
              </w:rPr>
            </w:pPr>
            <w:r w:rsidRPr="0012760D">
              <w:rPr>
                <w:sz w:val="24"/>
                <w:szCs w:val="24"/>
              </w:rPr>
              <w:t>3</w:t>
            </w:r>
          </w:p>
        </w:tc>
      </w:tr>
      <w:tr w:rsidR="001A59B2" w:rsidRPr="0012760D" w:rsidTr="00CA07BB">
        <w:tblPrEx>
          <w:tblCellMar>
            <w:top w:w="0" w:type="dxa"/>
            <w:bottom w:w="0" w:type="dxa"/>
          </w:tblCellMar>
        </w:tblPrEx>
        <w:tc>
          <w:tcPr>
            <w:tcW w:w="1636" w:type="pct"/>
            <w:shd w:val="clear" w:color="auto" w:fill="auto"/>
          </w:tcPr>
          <w:p w:rsidR="001A59B2" w:rsidRPr="0012760D" w:rsidRDefault="001A59B2" w:rsidP="00CA07BB">
            <w:pPr>
              <w:rPr>
                <w:sz w:val="24"/>
                <w:szCs w:val="24"/>
              </w:rPr>
            </w:pPr>
            <w:r w:rsidRPr="0012760D">
              <w:rPr>
                <w:sz w:val="24"/>
                <w:szCs w:val="24"/>
              </w:rPr>
              <w:t>Ron Lovett</w:t>
            </w:r>
          </w:p>
        </w:tc>
        <w:tc>
          <w:tcPr>
            <w:tcW w:w="2120" w:type="pct"/>
            <w:shd w:val="clear" w:color="auto" w:fill="auto"/>
          </w:tcPr>
          <w:p w:rsidR="001A59B2" w:rsidRPr="0012760D" w:rsidRDefault="001A59B2" w:rsidP="00CA07BB">
            <w:pPr>
              <w:jc w:val="right"/>
              <w:rPr>
                <w:sz w:val="24"/>
                <w:szCs w:val="24"/>
              </w:rPr>
            </w:pPr>
            <w:r w:rsidRPr="0012760D">
              <w:rPr>
                <w:sz w:val="24"/>
                <w:szCs w:val="24"/>
              </w:rPr>
              <w:t>3</w:t>
            </w:r>
          </w:p>
        </w:tc>
        <w:tc>
          <w:tcPr>
            <w:tcW w:w="1244" w:type="pct"/>
            <w:shd w:val="clear" w:color="auto" w:fill="auto"/>
          </w:tcPr>
          <w:p w:rsidR="001A59B2" w:rsidRPr="0012760D" w:rsidRDefault="001A59B2" w:rsidP="00CA07BB">
            <w:pPr>
              <w:jc w:val="right"/>
              <w:rPr>
                <w:sz w:val="24"/>
                <w:szCs w:val="24"/>
              </w:rPr>
            </w:pPr>
            <w:r w:rsidRPr="0012760D">
              <w:rPr>
                <w:sz w:val="24"/>
                <w:szCs w:val="24"/>
              </w:rPr>
              <w:t>3</w:t>
            </w:r>
          </w:p>
        </w:tc>
      </w:tr>
    </w:tbl>
    <w:p w:rsidR="001A59B2" w:rsidRPr="0012760D" w:rsidRDefault="001A59B2" w:rsidP="001A59B2">
      <w:pPr>
        <w:rPr>
          <w:sz w:val="24"/>
          <w:szCs w:val="24"/>
        </w:rPr>
      </w:pPr>
    </w:p>
    <w:p w:rsidR="00D4581D" w:rsidRDefault="00D4581D" w:rsidP="00D4581D">
      <w:pPr>
        <w:rPr>
          <w:bCs/>
          <w:sz w:val="24"/>
          <w:szCs w:val="24"/>
        </w:rPr>
      </w:pPr>
      <w:r w:rsidRPr="0012760D">
        <w:rPr>
          <w:bCs/>
          <w:sz w:val="24"/>
          <w:szCs w:val="24"/>
        </w:rPr>
        <w:t>&lt;pp&gt; 66</w:t>
      </w:r>
    </w:p>
    <w:p w:rsidR="006B246A" w:rsidRDefault="006B246A" w:rsidP="00D4581D">
      <w:pPr>
        <w:rPr>
          <w:bCs/>
          <w:sz w:val="24"/>
          <w:szCs w:val="24"/>
        </w:rPr>
      </w:pPr>
    </w:p>
    <w:p w:rsidR="006B246A" w:rsidRPr="0012760D" w:rsidRDefault="006B246A" w:rsidP="00D4581D">
      <w:pPr>
        <w:rPr>
          <w:sz w:val="24"/>
          <w:szCs w:val="24"/>
        </w:rPr>
      </w:pPr>
    </w:p>
    <w:p w:rsidR="00D4581D" w:rsidRPr="0012760D" w:rsidRDefault="00D4581D" w:rsidP="006B246A">
      <w:pPr>
        <w:pStyle w:val="Heading1"/>
      </w:pPr>
      <w:r w:rsidRPr="0012760D">
        <w:t>Appendix 2</w:t>
      </w:r>
      <w:r w:rsidR="006B246A">
        <w:br/>
      </w:r>
      <w:r w:rsidRPr="0012760D">
        <w:t>Greenhouse Gas Inventory Statement</w:t>
      </w:r>
    </w:p>
    <w:p w:rsidR="00D4581D" w:rsidRPr="0012760D" w:rsidRDefault="00D4581D" w:rsidP="00D4581D">
      <w:pPr>
        <w:rPr>
          <w:sz w:val="24"/>
          <w:szCs w:val="24"/>
        </w:rPr>
      </w:pPr>
    </w:p>
    <w:p w:rsidR="00D4581D" w:rsidRPr="0012760D" w:rsidRDefault="00D4581D" w:rsidP="00D4581D">
      <w:pPr>
        <w:rPr>
          <w:sz w:val="24"/>
          <w:szCs w:val="24"/>
        </w:rPr>
      </w:pPr>
      <w:r w:rsidRPr="0012760D">
        <w:rPr>
          <w:sz w:val="24"/>
          <w:szCs w:val="24"/>
        </w:rPr>
        <w:t>Net Balance Management Group Pty Ltd</w:t>
      </w:r>
    </w:p>
    <w:p w:rsidR="00D4581D" w:rsidRPr="0012760D" w:rsidRDefault="00D4581D" w:rsidP="00D4581D">
      <w:pPr>
        <w:rPr>
          <w:sz w:val="24"/>
          <w:szCs w:val="24"/>
        </w:rPr>
      </w:pPr>
      <w:r w:rsidRPr="0012760D">
        <w:rPr>
          <w:sz w:val="24"/>
          <w:szCs w:val="24"/>
        </w:rPr>
        <w:t>ABN 5</w:t>
      </w:r>
      <w:r w:rsidR="00B66707">
        <w:rPr>
          <w:sz w:val="24"/>
          <w:szCs w:val="24"/>
        </w:rPr>
        <w:t xml:space="preserve"> </w:t>
      </w:r>
      <w:r w:rsidRPr="0012760D">
        <w:rPr>
          <w:sz w:val="24"/>
          <w:szCs w:val="24"/>
        </w:rPr>
        <w:t>0 1</w:t>
      </w:r>
      <w:r w:rsidR="00B66707">
        <w:rPr>
          <w:sz w:val="24"/>
          <w:szCs w:val="24"/>
        </w:rPr>
        <w:t xml:space="preserve"> </w:t>
      </w:r>
      <w:r w:rsidRPr="0012760D">
        <w:rPr>
          <w:sz w:val="24"/>
          <w:szCs w:val="24"/>
        </w:rPr>
        <w:t>2</w:t>
      </w:r>
      <w:r w:rsidR="00B66707">
        <w:rPr>
          <w:sz w:val="24"/>
          <w:szCs w:val="24"/>
        </w:rPr>
        <w:t xml:space="preserve"> </w:t>
      </w:r>
      <w:r w:rsidRPr="0012760D">
        <w:rPr>
          <w:sz w:val="24"/>
          <w:szCs w:val="24"/>
        </w:rPr>
        <w:t>1 7</w:t>
      </w:r>
      <w:r w:rsidR="00B66707">
        <w:rPr>
          <w:sz w:val="24"/>
          <w:szCs w:val="24"/>
        </w:rPr>
        <w:t xml:space="preserve"> </w:t>
      </w:r>
      <w:r w:rsidRPr="0012760D">
        <w:rPr>
          <w:sz w:val="24"/>
          <w:szCs w:val="24"/>
        </w:rPr>
        <w:t>0</w:t>
      </w:r>
      <w:r w:rsidR="00B66707">
        <w:rPr>
          <w:sz w:val="24"/>
          <w:szCs w:val="24"/>
        </w:rPr>
        <w:t xml:space="preserve"> </w:t>
      </w:r>
      <w:r w:rsidRPr="0012760D">
        <w:rPr>
          <w:sz w:val="24"/>
          <w:szCs w:val="24"/>
        </w:rPr>
        <w:t>6 0</w:t>
      </w:r>
      <w:r w:rsidR="00B66707">
        <w:rPr>
          <w:sz w:val="24"/>
          <w:szCs w:val="24"/>
        </w:rPr>
        <w:t xml:space="preserve"> </w:t>
      </w:r>
      <w:r w:rsidRPr="0012760D">
        <w:rPr>
          <w:sz w:val="24"/>
          <w:szCs w:val="24"/>
        </w:rPr>
        <w:t>8</w:t>
      </w:r>
      <w:r w:rsidR="00B66707">
        <w:rPr>
          <w:sz w:val="24"/>
          <w:szCs w:val="24"/>
        </w:rPr>
        <w:t xml:space="preserve"> </w:t>
      </w:r>
      <w:r w:rsidRPr="0012760D">
        <w:rPr>
          <w:sz w:val="24"/>
          <w:szCs w:val="24"/>
        </w:rPr>
        <w:t>1</w:t>
      </w:r>
    </w:p>
    <w:p w:rsidR="00D4581D" w:rsidRPr="0012760D" w:rsidRDefault="00D4581D" w:rsidP="00D4581D">
      <w:pPr>
        <w:rPr>
          <w:sz w:val="24"/>
          <w:szCs w:val="24"/>
        </w:rPr>
      </w:pPr>
      <w:r w:rsidRPr="0012760D">
        <w:rPr>
          <w:sz w:val="24"/>
          <w:szCs w:val="24"/>
        </w:rPr>
        <w:t>Level 4, 460 Bourke Street</w:t>
      </w:r>
    </w:p>
    <w:p w:rsidR="00D4581D" w:rsidRPr="0012760D" w:rsidRDefault="00D4581D" w:rsidP="00D4581D">
      <w:pPr>
        <w:rPr>
          <w:sz w:val="24"/>
          <w:szCs w:val="24"/>
        </w:rPr>
      </w:pPr>
      <w:r w:rsidRPr="0012760D">
        <w:rPr>
          <w:sz w:val="24"/>
          <w:szCs w:val="24"/>
        </w:rPr>
        <w:t>Melbourne VIC 3000 Australia</w:t>
      </w:r>
    </w:p>
    <w:p w:rsidR="00D4581D" w:rsidRPr="0012760D" w:rsidRDefault="00D4581D" w:rsidP="00D4581D">
      <w:pPr>
        <w:rPr>
          <w:sz w:val="24"/>
          <w:szCs w:val="24"/>
        </w:rPr>
      </w:pPr>
      <w:r w:rsidRPr="0012760D">
        <w:rPr>
          <w:sz w:val="24"/>
          <w:szCs w:val="24"/>
        </w:rPr>
        <w:t>Telephone +6</w:t>
      </w:r>
      <w:r w:rsidR="00B66707">
        <w:rPr>
          <w:sz w:val="24"/>
          <w:szCs w:val="24"/>
        </w:rPr>
        <w:t xml:space="preserve"> </w:t>
      </w:r>
      <w:r w:rsidRPr="0012760D">
        <w:rPr>
          <w:sz w:val="24"/>
          <w:szCs w:val="24"/>
        </w:rPr>
        <w:t>1</w:t>
      </w:r>
      <w:r w:rsidR="00B66707">
        <w:rPr>
          <w:sz w:val="24"/>
          <w:szCs w:val="24"/>
        </w:rPr>
        <w:t xml:space="preserve"> </w:t>
      </w:r>
      <w:r w:rsidRPr="0012760D">
        <w:rPr>
          <w:sz w:val="24"/>
          <w:szCs w:val="24"/>
        </w:rPr>
        <w:t>3 8</w:t>
      </w:r>
      <w:r w:rsidR="00B66707">
        <w:rPr>
          <w:sz w:val="24"/>
          <w:szCs w:val="24"/>
        </w:rPr>
        <w:t xml:space="preserve"> </w:t>
      </w:r>
      <w:r w:rsidRPr="0012760D">
        <w:rPr>
          <w:sz w:val="24"/>
          <w:szCs w:val="24"/>
        </w:rPr>
        <w:t>6</w:t>
      </w:r>
      <w:r w:rsidR="00B66707">
        <w:rPr>
          <w:sz w:val="24"/>
          <w:szCs w:val="24"/>
        </w:rPr>
        <w:t xml:space="preserve"> </w:t>
      </w:r>
      <w:r w:rsidRPr="0012760D">
        <w:rPr>
          <w:sz w:val="24"/>
          <w:szCs w:val="24"/>
        </w:rPr>
        <w:t>4</w:t>
      </w:r>
      <w:r w:rsidR="00B66707">
        <w:rPr>
          <w:sz w:val="24"/>
          <w:szCs w:val="24"/>
        </w:rPr>
        <w:t xml:space="preserve"> </w:t>
      </w:r>
      <w:r w:rsidRPr="0012760D">
        <w:rPr>
          <w:sz w:val="24"/>
          <w:szCs w:val="24"/>
        </w:rPr>
        <w:t>1</w:t>
      </w:r>
      <w:r w:rsidR="006B246A">
        <w:rPr>
          <w:sz w:val="24"/>
          <w:szCs w:val="24"/>
        </w:rPr>
        <w:t xml:space="preserve"> </w:t>
      </w:r>
      <w:r w:rsidRPr="0012760D">
        <w:rPr>
          <w:sz w:val="24"/>
          <w:szCs w:val="24"/>
        </w:rPr>
        <w:t>6</w:t>
      </w:r>
      <w:r w:rsidR="00B66707">
        <w:rPr>
          <w:sz w:val="24"/>
          <w:szCs w:val="24"/>
        </w:rPr>
        <w:t xml:space="preserve"> </w:t>
      </w:r>
      <w:r w:rsidRPr="0012760D">
        <w:rPr>
          <w:sz w:val="24"/>
          <w:szCs w:val="24"/>
        </w:rPr>
        <w:t>4</w:t>
      </w:r>
      <w:r w:rsidR="00B66707">
        <w:rPr>
          <w:sz w:val="24"/>
          <w:szCs w:val="24"/>
        </w:rPr>
        <w:t xml:space="preserve"> </w:t>
      </w:r>
      <w:r w:rsidRPr="0012760D">
        <w:rPr>
          <w:sz w:val="24"/>
          <w:szCs w:val="24"/>
        </w:rPr>
        <w:t>0</w:t>
      </w:r>
      <w:r w:rsidR="00B66707">
        <w:rPr>
          <w:sz w:val="24"/>
          <w:szCs w:val="24"/>
        </w:rPr>
        <w:t xml:space="preserve"> </w:t>
      </w:r>
      <w:r w:rsidRPr="0012760D">
        <w:rPr>
          <w:sz w:val="24"/>
          <w:szCs w:val="24"/>
        </w:rPr>
        <w:t>0</w:t>
      </w:r>
    </w:p>
    <w:p w:rsidR="00D4581D" w:rsidRPr="0012760D" w:rsidRDefault="00D4581D" w:rsidP="00D4581D">
      <w:pPr>
        <w:rPr>
          <w:sz w:val="24"/>
          <w:szCs w:val="24"/>
        </w:rPr>
      </w:pPr>
      <w:r w:rsidRPr="0012760D">
        <w:rPr>
          <w:sz w:val="24"/>
          <w:szCs w:val="24"/>
        </w:rPr>
        <w:t>Fax +6</w:t>
      </w:r>
      <w:r w:rsidR="00B66707">
        <w:rPr>
          <w:sz w:val="24"/>
          <w:szCs w:val="24"/>
        </w:rPr>
        <w:t xml:space="preserve"> </w:t>
      </w:r>
      <w:r w:rsidRPr="0012760D">
        <w:rPr>
          <w:sz w:val="24"/>
          <w:szCs w:val="24"/>
        </w:rPr>
        <w:t>1</w:t>
      </w:r>
      <w:r w:rsidR="00B66707">
        <w:rPr>
          <w:sz w:val="24"/>
          <w:szCs w:val="24"/>
        </w:rPr>
        <w:t xml:space="preserve"> </w:t>
      </w:r>
      <w:r w:rsidRPr="0012760D">
        <w:rPr>
          <w:sz w:val="24"/>
          <w:szCs w:val="24"/>
        </w:rPr>
        <w:t>3 9</w:t>
      </w:r>
      <w:r w:rsidR="00B66707">
        <w:rPr>
          <w:sz w:val="24"/>
          <w:szCs w:val="24"/>
        </w:rPr>
        <w:t xml:space="preserve"> </w:t>
      </w:r>
      <w:r w:rsidRPr="0012760D">
        <w:rPr>
          <w:sz w:val="24"/>
          <w:szCs w:val="24"/>
        </w:rPr>
        <w:t>6</w:t>
      </w:r>
      <w:r w:rsidR="00B66707">
        <w:rPr>
          <w:sz w:val="24"/>
          <w:szCs w:val="24"/>
        </w:rPr>
        <w:t xml:space="preserve"> </w:t>
      </w:r>
      <w:r w:rsidRPr="0012760D">
        <w:rPr>
          <w:sz w:val="24"/>
          <w:szCs w:val="24"/>
        </w:rPr>
        <w:t>0</w:t>
      </w:r>
      <w:r w:rsidR="00B66707">
        <w:rPr>
          <w:sz w:val="24"/>
          <w:szCs w:val="24"/>
        </w:rPr>
        <w:t xml:space="preserve"> </w:t>
      </w:r>
      <w:r w:rsidRPr="0012760D">
        <w:rPr>
          <w:sz w:val="24"/>
          <w:szCs w:val="24"/>
        </w:rPr>
        <w:t>0 1</w:t>
      </w:r>
      <w:r w:rsidR="00B66707">
        <w:rPr>
          <w:sz w:val="24"/>
          <w:szCs w:val="24"/>
        </w:rPr>
        <w:t xml:space="preserve"> </w:t>
      </w:r>
      <w:r w:rsidRPr="0012760D">
        <w:rPr>
          <w:sz w:val="24"/>
          <w:szCs w:val="24"/>
        </w:rPr>
        <w:t>2</w:t>
      </w:r>
      <w:r w:rsidR="00B66707">
        <w:rPr>
          <w:sz w:val="24"/>
          <w:szCs w:val="24"/>
        </w:rPr>
        <w:t xml:space="preserve"> </w:t>
      </w:r>
      <w:r w:rsidRPr="0012760D">
        <w:rPr>
          <w:sz w:val="24"/>
          <w:szCs w:val="24"/>
        </w:rPr>
        <w:t>9</w:t>
      </w:r>
      <w:r w:rsidR="00B66707">
        <w:rPr>
          <w:sz w:val="24"/>
          <w:szCs w:val="24"/>
        </w:rPr>
        <w:t xml:space="preserve"> </w:t>
      </w:r>
      <w:r w:rsidRPr="0012760D">
        <w:rPr>
          <w:sz w:val="24"/>
          <w:szCs w:val="24"/>
        </w:rPr>
        <w:t>5</w:t>
      </w:r>
    </w:p>
    <w:p w:rsidR="00D4581D" w:rsidRPr="0012760D" w:rsidRDefault="00D4581D" w:rsidP="00D4581D">
      <w:pPr>
        <w:rPr>
          <w:sz w:val="24"/>
          <w:szCs w:val="24"/>
        </w:rPr>
      </w:pPr>
      <w:r w:rsidRPr="0012760D">
        <w:rPr>
          <w:sz w:val="24"/>
          <w:szCs w:val="24"/>
        </w:rPr>
        <w:t>Email info@netba</w:t>
      </w:r>
      <w:hyperlink r:id="rId17" w:history="1">
        <w:r w:rsidRPr="0012760D">
          <w:rPr>
            <w:sz w:val="24"/>
            <w:szCs w:val="24"/>
          </w:rPr>
          <w:t>lance.com</w:t>
        </w:r>
      </w:hyperlink>
    </w:p>
    <w:p w:rsidR="00D4581D" w:rsidRPr="0012760D" w:rsidRDefault="00D4581D" w:rsidP="00D4581D">
      <w:pPr>
        <w:rPr>
          <w:sz w:val="24"/>
          <w:szCs w:val="24"/>
        </w:rPr>
      </w:pPr>
      <w:r w:rsidRPr="0012760D">
        <w:rPr>
          <w:sz w:val="24"/>
          <w:szCs w:val="24"/>
        </w:rPr>
        <w:t>Website netbalance.com</w:t>
      </w:r>
    </w:p>
    <w:p w:rsidR="00D4581D" w:rsidRDefault="00D4581D" w:rsidP="00D4581D">
      <w:pPr>
        <w:rPr>
          <w:sz w:val="24"/>
          <w:szCs w:val="24"/>
        </w:rPr>
      </w:pPr>
    </w:p>
    <w:p w:rsidR="006B246A" w:rsidRPr="0012760D" w:rsidRDefault="006B246A" w:rsidP="00D4581D">
      <w:pPr>
        <w:rPr>
          <w:sz w:val="24"/>
          <w:szCs w:val="24"/>
        </w:rPr>
      </w:pPr>
    </w:p>
    <w:p w:rsidR="00D4581D" w:rsidRPr="0012760D" w:rsidRDefault="00D4581D" w:rsidP="006B246A">
      <w:pPr>
        <w:pStyle w:val="Heading2"/>
      </w:pPr>
      <w:r w:rsidRPr="0012760D">
        <w:t>Independent Verification Statement</w:t>
      </w:r>
    </w:p>
    <w:p w:rsidR="00D4581D" w:rsidRPr="0012760D" w:rsidRDefault="00D4581D" w:rsidP="006B246A">
      <w:pPr>
        <w:pStyle w:val="Heading2"/>
      </w:pPr>
      <w:r w:rsidRPr="0012760D">
        <w:t>Greenhouse Gas Inventory: 2012 to 13</w:t>
      </w:r>
    </w:p>
    <w:p w:rsidR="00D4581D" w:rsidRPr="0012760D" w:rsidRDefault="00D4581D" w:rsidP="00D4581D">
      <w:pPr>
        <w:rPr>
          <w:sz w:val="24"/>
          <w:szCs w:val="24"/>
        </w:rPr>
      </w:pPr>
    </w:p>
    <w:p w:rsidR="00D4581D" w:rsidRDefault="00D4581D" w:rsidP="006B246A">
      <w:pPr>
        <w:pStyle w:val="Heading3"/>
      </w:pPr>
      <w:r w:rsidRPr="0012760D">
        <w:t>To the Board of Directors and the Executive of Sustainability Victoria;</w:t>
      </w:r>
    </w:p>
    <w:p w:rsidR="006B246A" w:rsidRPr="0012760D" w:rsidRDefault="006B246A" w:rsidP="00D4581D">
      <w:pPr>
        <w:rPr>
          <w:sz w:val="24"/>
          <w:szCs w:val="24"/>
        </w:rPr>
      </w:pPr>
    </w:p>
    <w:p w:rsidR="00D4581D" w:rsidRPr="0012760D" w:rsidRDefault="00D4581D" w:rsidP="00D4581D">
      <w:pPr>
        <w:rPr>
          <w:sz w:val="24"/>
          <w:szCs w:val="24"/>
        </w:rPr>
      </w:pPr>
      <w:r w:rsidRPr="0012760D">
        <w:rPr>
          <w:sz w:val="24"/>
          <w:szCs w:val="24"/>
        </w:rPr>
        <w:t>Sustainability Victoria commissioned Net Balance Management Group Pty Ltd (Net Balance) to provide independent verification of the organisation's Greenhouse Gas (GHG) inventory for the period 1 July 2012 to 30 June 2013. Sustainability Victoria was responsible for the preparation of the GHG inventory and this statement represents the verification provider's independent opinion. Net Balance's responsibility in performing our verification activities is to the Board and Executive of Sustainability Victoria alone and in accordance with the terms of reference agreed with them. Other stakeholders should perform their own due diligence before taking any action as a result of this statement.</w:t>
      </w:r>
    </w:p>
    <w:p w:rsidR="00D4581D" w:rsidRDefault="00D4581D" w:rsidP="00D4581D">
      <w:pPr>
        <w:rPr>
          <w:sz w:val="24"/>
          <w:szCs w:val="24"/>
        </w:rPr>
      </w:pPr>
    </w:p>
    <w:p w:rsidR="006B246A" w:rsidRPr="0012760D" w:rsidRDefault="006B246A" w:rsidP="00D4581D">
      <w:pPr>
        <w:rPr>
          <w:sz w:val="24"/>
          <w:szCs w:val="24"/>
        </w:rPr>
      </w:pPr>
    </w:p>
    <w:p w:rsidR="00D4581D" w:rsidRPr="0012760D" w:rsidRDefault="00D4581D" w:rsidP="006B246A">
      <w:pPr>
        <w:pStyle w:val="Heading3"/>
      </w:pPr>
      <w:r w:rsidRPr="0012760D">
        <w:t>Verification objectives</w:t>
      </w:r>
    </w:p>
    <w:p w:rsidR="00D4581D" w:rsidRPr="0012760D" w:rsidRDefault="00D4581D" w:rsidP="00D4581D">
      <w:pPr>
        <w:rPr>
          <w:sz w:val="24"/>
          <w:szCs w:val="24"/>
        </w:rPr>
      </w:pPr>
    </w:p>
    <w:p w:rsidR="00D4581D" w:rsidRPr="0012760D" w:rsidRDefault="00D4581D" w:rsidP="00D4581D">
      <w:pPr>
        <w:rPr>
          <w:sz w:val="24"/>
          <w:szCs w:val="24"/>
        </w:rPr>
      </w:pPr>
      <w:r w:rsidRPr="0012760D">
        <w:rPr>
          <w:sz w:val="24"/>
          <w:szCs w:val="24"/>
        </w:rPr>
        <w:t xml:space="preserve">The objective of the verification process is to provide Sustainability Victoria's Board and Executive, as well as its stakeholders, with an independent opinion on the accuracy of the GHG inventory for the period 1 July 2012 to 30 June 2013, as presented in the organisation's 2012 to 13 Annual Report. This is achieved through a </w:t>
      </w:r>
      <w:r w:rsidRPr="0012760D">
        <w:rPr>
          <w:sz w:val="24"/>
          <w:szCs w:val="24"/>
        </w:rPr>
        <w:lastRenderedPageBreak/>
        <w:t>review of the underlying systems, information and calculations supporting the GHG inventory.</w:t>
      </w:r>
    </w:p>
    <w:p w:rsidR="00D4581D" w:rsidRDefault="00D4581D" w:rsidP="00D4581D">
      <w:pPr>
        <w:rPr>
          <w:sz w:val="24"/>
          <w:szCs w:val="24"/>
        </w:rPr>
      </w:pPr>
    </w:p>
    <w:p w:rsidR="006B246A" w:rsidRPr="0012760D" w:rsidRDefault="006B246A" w:rsidP="00D4581D">
      <w:pPr>
        <w:rPr>
          <w:sz w:val="24"/>
          <w:szCs w:val="24"/>
        </w:rPr>
      </w:pPr>
    </w:p>
    <w:p w:rsidR="00D4581D" w:rsidRPr="0012760D" w:rsidRDefault="00D4581D" w:rsidP="006B246A">
      <w:pPr>
        <w:pStyle w:val="Heading3"/>
      </w:pPr>
      <w:r w:rsidRPr="0012760D">
        <w:t>Verification scope and methodology</w:t>
      </w:r>
    </w:p>
    <w:p w:rsidR="00D4581D" w:rsidRPr="0012760D" w:rsidRDefault="00D4581D" w:rsidP="00D4581D">
      <w:pPr>
        <w:rPr>
          <w:sz w:val="24"/>
          <w:szCs w:val="24"/>
        </w:rPr>
      </w:pPr>
    </w:p>
    <w:p w:rsidR="00D4581D" w:rsidRDefault="00D4581D" w:rsidP="00D4581D">
      <w:pPr>
        <w:rPr>
          <w:sz w:val="24"/>
          <w:szCs w:val="24"/>
        </w:rPr>
      </w:pPr>
      <w:r w:rsidRPr="0012760D">
        <w:rPr>
          <w:sz w:val="24"/>
          <w:szCs w:val="24"/>
        </w:rPr>
        <w:t xml:space="preserve">The verification scope covered Sustainability Victoria's complete GHG inventory, including Scope 1, </w:t>
      </w:r>
      <w:r w:rsidRPr="0012760D">
        <w:rPr>
          <w:i/>
          <w:iCs/>
          <w:sz w:val="24"/>
          <w:szCs w:val="24"/>
        </w:rPr>
        <w:t xml:space="preserve">2 </w:t>
      </w:r>
      <w:r w:rsidRPr="0012760D">
        <w:rPr>
          <w:sz w:val="24"/>
          <w:szCs w:val="24"/>
        </w:rPr>
        <w:t>and 3 emissions, as presented in the "Our office based environmental performance" section of Appendix 7 on page 69 of the Annual Report. As factors contributing to the inventory, total reported tonnes of GHG emissions related to energy, paper and waste associated with Sustainability Victoria's operations were also within the verification scope.</w:t>
      </w:r>
    </w:p>
    <w:p w:rsidR="006B246A" w:rsidRPr="0012760D" w:rsidRDefault="006B246A" w:rsidP="00D4581D">
      <w:pPr>
        <w:rPr>
          <w:sz w:val="24"/>
          <w:szCs w:val="24"/>
        </w:rPr>
      </w:pPr>
    </w:p>
    <w:p w:rsidR="00D4581D" w:rsidRPr="0012760D" w:rsidRDefault="00D4581D" w:rsidP="00D4581D">
      <w:pPr>
        <w:rPr>
          <w:sz w:val="24"/>
          <w:szCs w:val="24"/>
        </w:rPr>
      </w:pPr>
      <w:r w:rsidRPr="0012760D">
        <w:rPr>
          <w:sz w:val="24"/>
          <w:szCs w:val="24"/>
        </w:rPr>
        <w:t>The verification engagement was undertaken during July and August 2013 against the requirements of the GHG Protocol and the ISO 14064 international standard series for the quantification, validation and verification of greenhouse gas emissions. The verification process involved;</w:t>
      </w:r>
    </w:p>
    <w:p w:rsidR="00D4581D" w:rsidRPr="0012760D" w:rsidRDefault="00D4581D" w:rsidP="00D4581D">
      <w:pPr>
        <w:rPr>
          <w:sz w:val="24"/>
          <w:szCs w:val="24"/>
        </w:rPr>
      </w:pPr>
      <w:r w:rsidRPr="0012760D">
        <w:rPr>
          <w:sz w:val="24"/>
          <w:szCs w:val="24"/>
        </w:rPr>
        <w:t>• A review of the GHG inventory contained within the Annual report.</w:t>
      </w:r>
    </w:p>
    <w:p w:rsidR="00D4581D" w:rsidRPr="0012760D" w:rsidRDefault="00D4581D" w:rsidP="00D4581D">
      <w:pPr>
        <w:rPr>
          <w:sz w:val="24"/>
          <w:szCs w:val="24"/>
        </w:rPr>
      </w:pPr>
      <w:r w:rsidRPr="0012760D">
        <w:rPr>
          <w:sz w:val="24"/>
          <w:szCs w:val="24"/>
        </w:rPr>
        <w:t>• Sighting calculation methodologies and re-performing calculations to substantiate the GHG inventory claims made within the Annual Report.</w:t>
      </w:r>
    </w:p>
    <w:p w:rsidR="00D4581D" w:rsidRPr="0012760D" w:rsidRDefault="00D4581D" w:rsidP="00D4581D">
      <w:pPr>
        <w:rPr>
          <w:sz w:val="24"/>
          <w:szCs w:val="24"/>
        </w:rPr>
      </w:pPr>
      <w:r w:rsidRPr="0012760D">
        <w:rPr>
          <w:sz w:val="24"/>
          <w:szCs w:val="24"/>
        </w:rPr>
        <w:t>• An interview with key personnel responsible for calculating the GHG inventory in order to understand data sources, reliability of data, completeness of data and the basis of key assumptions used in reporting,</w:t>
      </w:r>
    </w:p>
    <w:p w:rsidR="00D4581D" w:rsidRPr="0012760D" w:rsidRDefault="00D4581D" w:rsidP="00D4581D">
      <w:pPr>
        <w:rPr>
          <w:sz w:val="24"/>
          <w:szCs w:val="24"/>
        </w:rPr>
      </w:pPr>
      <w:r w:rsidRPr="0012760D">
        <w:rPr>
          <w:sz w:val="24"/>
          <w:szCs w:val="24"/>
        </w:rPr>
        <w:t>• Evaluation of supporting documentary evidence.</w:t>
      </w:r>
    </w:p>
    <w:p w:rsidR="00D4581D" w:rsidRDefault="00D4581D" w:rsidP="00D4581D">
      <w:pPr>
        <w:rPr>
          <w:sz w:val="24"/>
          <w:szCs w:val="24"/>
        </w:rPr>
      </w:pPr>
    </w:p>
    <w:p w:rsidR="006B246A" w:rsidRPr="0012760D" w:rsidRDefault="006B246A" w:rsidP="00D4581D">
      <w:pPr>
        <w:rPr>
          <w:sz w:val="24"/>
          <w:szCs w:val="24"/>
        </w:rPr>
      </w:pPr>
    </w:p>
    <w:p w:rsidR="00D4581D" w:rsidRPr="0012760D" w:rsidRDefault="00D4581D" w:rsidP="006B246A">
      <w:pPr>
        <w:pStyle w:val="Heading3"/>
      </w:pPr>
      <w:r w:rsidRPr="0012760D">
        <w:t>Our competency and independence</w:t>
      </w:r>
    </w:p>
    <w:p w:rsidR="00D4581D" w:rsidRPr="0012760D" w:rsidRDefault="00D4581D" w:rsidP="00D4581D">
      <w:pPr>
        <w:rPr>
          <w:sz w:val="24"/>
          <w:szCs w:val="24"/>
        </w:rPr>
      </w:pPr>
    </w:p>
    <w:p w:rsidR="00D4581D" w:rsidRPr="0012760D" w:rsidRDefault="00D4581D" w:rsidP="00D4581D">
      <w:pPr>
        <w:rPr>
          <w:sz w:val="24"/>
          <w:szCs w:val="24"/>
        </w:rPr>
      </w:pPr>
      <w:r w:rsidRPr="0012760D">
        <w:rPr>
          <w:sz w:val="24"/>
          <w:szCs w:val="24"/>
        </w:rPr>
        <w:t>The verification process was carried out by a team of greenhouse and energy technical specialists. Net Balance was not responsible for the preparation of any part of the GHG inventory. Net Balance confirms that we are not aware of any issue that could impair our objectivity in relation to this engagement.</w:t>
      </w:r>
    </w:p>
    <w:p w:rsidR="00D4581D" w:rsidRDefault="00D4581D" w:rsidP="00D4581D">
      <w:pPr>
        <w:rPr>
          <w:sz w:val="24"/>
          <w:szCs w:val="24"/>
        </w:rPr>
      </w:pPr>
    </w:p>
    <w:p w:rsidR="006B246A" w:rsidRPr="0012760D" w:rsidRDefault="006B246A" w:rsidP="00D4581D">
      <w:pPr>
        <w:rPr>
          <w:sz w:val="24"/>
          <w:szCs w:val="24"/>
        </w:rPr>
      </w:pPr>
    </w:p>
    <w:p w:rsidR="00D4581D" w:rsidRPr="0012760D" w:rsidRDefault="00D4581D" w:rsidP="006B246A">
      <w:pPr>
        <w:pStyle w:val="Heading3"/>
      </w:pPr>
      <w:r w:rsidRPr="0012760D">
        <w:t>Our opinion</w:t>
      </w:r>
    </w:p>
    <w:p w:rsidR="00D4581D" w:rsidRPr="0012760D" w:rsidRDefault="00D4581D" w:rsidP="00D4581D">
      <w:pPr>
        <w:rPr>
          <w:sz w:val="24"/>
          <w:szCs w:val="24"/>
        </w:rPr>
      </w:pPr>
    </w:p>
    <w:p w:rsidR="00D4581D" w:rsidRPr="0012760D" w:rsidRDefault="00D4581D" w:rsidP="00D4581D">
      <w:pPr>
        <w:rPr>
          <w:sz w:val="24"/>
          <w:szCs w:val="24"/>
        </w:rPr>
      </w:pPr>
      <w:r w:rsidRPr="0012760D">
        <w:rPr>
          <w:sz w:val="24"/>
          <w:szCs w:val="24"/>
        </w:rPr>
        <w:t>Based on the verification process and procedures conducted, there is no evidence that the GHG inventory claims made in Sustainability Victoria's Annual Report:</w:t>
      </w:r>
    </w:p>
    <w:p w:rsidR="00D4581D" w:rsidRPr="0012760D" w:rsidRDefault="00D4581D" w:rsidP="00D4581D">
      <w:pPr>
        <w:rPr>
          <w:sz w:val="24"/>
          <w:szCs w:val="24"/>
        </w:rPr>
      </w:pPr>
      <w:r w:rsidRPr="0012760D">
        <w:rPr>
          <w:sz w:val="24"/>
          <w:szCs w:val="24"/>
        </w:rPr>
        <w:t>• are not materially correct and are not a fair representation of data and information, • have not been prepared in accordance with accepted standards and practice.</w:t>
      </w:r>
    </w:p>
    <w:p w:rsidR="00D4581D" w:rsidRPr="0012760D" w:rsidRDefault="00D4581D" w:rsidP="00D4581D">
      <w:pPr>
        <w:rPr>
          <w:sz w:val="24"/>
          <w:szCs w:val="24"/>
        </w:rPr>
      </w:pPr>
    </w:p>
    <w:p w:rsidR="00D4581D" w:rsidRPr="0012760D" w:rsidRDefault="00D4581D" w:rsidP="00D4581D">
      <w:pPr>
        <w:rPr>
          <w:sz w:val="24"/>
          <w:szCs w:val="24"/>
        </w:rPr>
      </w:pPr>
      <w:r w:rsidRPr="0012760D">
        <w:rPr>
          <w:sz w:val="24"/>
          <w:szCs w:val="24"/>
        </w:rPr>
        <w:t>Any errors identified during the verification process were rectified prior to the Annual Report being published.</w:t>
      </w:r>
    </w:p>
    <w:p w:rsidR="00D4581D" w:rsidRPr="0012760D" w:rsidRDefault="00D4581D" w:rsidP="00D4581D">
      <w:pPr>
        <w:rPr>
          <w:sz w:val="24"/>
          <w:szCs w:val="24"/>
        </w:rPr>
      </w:pPr>
    </w:p>
    <w:p w:rsidR="00D4581D" w:rsidRPr="0012760D" w:rsidRDefault="00D4581D" w:rsidP="00D4581D">
      <w:pPr>
        <w:rPr>
          <w:sz w:val="24"/>
          <w:szCs w:val="24"/>
        </w:rPr>
      </w:pPr>
      <w:r w:rsidRPr="0012760D">
        <w:rPr>
          <w:sz w:val="24"/>
          <w:szCs w:val="24"/>
        </w:rPr>
        <w:t>On behalf of the verification team</w:t>
      </w:r>
    </w:p>
    <w:p w:rsidR="00D4581D" w:rsidRPr="0012760D" w:rsidRDefault="00D4581D" w:rsidP="00D4581D">
      <w:pPr>
        <w:rPr>
          <w:sz w:val="24"/>
          <w:szCs w:val="24"/>
        </w:rPr>
      </w:pPr>
      <w:r w:rsidRPr="0012760D">
        <w:rPr>
          <w:sz w:val="24"/>
          <w:szCs w:val="24"/>
        </w:rPr>
        <w:t>29 August 2013</w:t>
      </w:r>
    </w:p>
    <w:p w:rsidR="00D4581D" w:rsidRPr="0012760D" w:rsidRDefault="00D4581D" w:rsidP="00D4581D">
      <w:pPr>
        <w:rPr>
          <w:sz w:val="24"/>
          <w:szCs w:val="24"/>
        </w:rPr>
      </w:pPr>
      <w:r w:rsidRPr="0012760D">
        <w:rPr>
          <w:sz w:val="24"/>
          <w:szCs w:val="24"/>
        </w:rPr>
        <w:t>Melbourne, Australia</w:t>
      </w:r>
    </w:p>
    <w:p w:rsidR="00D4581D" w:rsidRPr="0012760D" w:rsidRDefault="00B66707" w:rsidP="00D4581D">
      <w:pPr>
        <w:rPr>
          <w:sz w:val="24"/>
          <w:szCs w:val="24"/>
        </w:rPr>
      </w:pPr>
      <w:r>
        <w:rPr>
          <w:sz w:val="24"/>
          <w:szCs w:val="24"/>
        </w:rPr>
        <w:t xml:space="preserve">   </w:t>
      </w:r>
    </w:p>
    <w:p w:rsidR="00D4581D" w:rsidRPr="0012760D" w:rsidRDefault="00B66707" w:rsidP="00D4581D">
      <w:pPr>
        <w:rPr>
          <w:sz w:val="24"/>
          <w:szCs w:val="24"/>
        </w:rPr>
      </w:pPr>
      <w:r>
        <w:rPr>
          <w:sz w:val="24"/>
          <w:szCs w:val="24"/>
        </w:rPr>
        <w:t>Terence Jeyaretnam, FI</w:t>
      </w:r>
      <w:r w:rsidR="00D4581D" w:rsidRPr="0012760D">
        <w:rPr>
          <w:sz w:val="24"/>
          <w:szCs w:val="24"/>
        </w:rPr>
        <w:t>EAust</w:t>
      </w:r>
    </w:p>
    <w:p w:rsidR="00D4581D" w:rsidRPr="0012760D" w:rsidRDefault="00D4581D" w:rsidP="00D4581D">
      <w:pPr>
        <w:rPr>
          <w:sz w:val="24"/>
          <w:szCs w:val="24"/>
        </w:rPr>
      </w:pPr>
      <w:r w:rsidRPr="0012760D">
        <w:rPr>
          <w:sz w:val="24"/>
          <w:szCs w:val="24"/>
        </w:rPr>
        <w:t>Director, Net Balance, Lead CSAP (AccountAbility UK)</w:t>
      </w:r>
    </w:p>
    <w:p w:rsidR="00DF2F8B" w:rsidRPr="0012760D" w:rsidRDefault="00DF2F8B" w:rsidP="0078679E">
      <w:pPr>
        <w:rPr>
          <w:sz w:val="24"/>
          <w:szCs w:val="24"/>
        </w:rPr>
        <w:sectPr w:rsidR="00DF2F8B" w:rsidRPr="0012760D" w:rsidSect="003A6A05">
          <w:pgSz w:w="11909" w:h="16834"/>
          <w:pgMar w:top="1440" w:right="1440" w:bottom="1440" w:left="1440" w:header="720" w:footer="720" w:gutter="0"/>
          <w:cols w:space="720"/>
          <w:noEndnote/>
        </w:sectPr>
      </w:pPr>
    </w:p>
    <w:p w:rsidR="00DF2F8B" w:rsidRDefault="00DF2F8B" w:rsidP="00DF2F8B">
      <w:pPr>
        <w:rPr>
          <w:bCs/>
          <w:sz w:val="24"/>
          <w:szCs w:val="24"/>
        </w:rPr>
      </w:pPr>
      <w:r w:rsidRPr="0012760D">
        <w:rPr>
          <w:bCs/>
          <w:sz w:val="24"/>
          <w:szCs w:val="24"/>
        </w:rPr>
        <w:lastRenderedPageBreak/>
        <w:t>&lt;pp&gt; 67</w:t>
      </w:r>
    </w:p>
    <w:p w:rsidR="006B246A" w:rsidRDefault="006B246A" w:rsidP="00DF2F8B">
      <w:pPr>
        <w:rPr>
          <w:bCs/>
          <w:sz w:val="24"/>
          <w:szCs w:val="24"/>
        </w:rPr>
      </w:pPr>
    </w:p>
    <w:p w:rsidR="006B246A" w:rsidRPr="0012760D" w:rsidRDefault="006B246A" w:rsidP="00DF2F8B">
      <w:pPr>
        <w:rPr>
          <w:sz w:val="24"/>
          <w:szCs w:val="24"/>
        </w:rPr>
      </w:pPr>
    </w:p>
    <w:p w:rsidR="00DF2F8B" w:rsidRDefault="00DF2F8B" w:rsidP="006B246A">
      <w:pPr>
        <w:pStyle w:val="Heading1"/>
      </w:pPr>
      <w:r w:rsidRPr="0012760D">
        <w:t>Appendix 3</w:t>
      </w:r>
      <w:r w:rsidR="006B246A">
        <w:br/>
      </w:r>
      <w:r w:rsidRPr="0012760D">
        <w:t>Our Workforce</w:t>
      </w:r>
    </w:p>
    <w:p w:rsidR="006B246A" w:rsidRPr="0012760D" w:rsidRDefault="006B246A" w:rsidP="00DF2F8B">
      <w:pPr>
        <w:rPr>
          <w:sz w:val="24"/>
          <w:szCs w:val="24"/>
        </w:rPr>
      </w:pPr>
    </w:p>
    <w:p w:rsidR="00DF2F8B" w:rsidRPr="0012760D" w:rsidRDefault="00DF2F8B" w:rsidP="00DF2F8B">
      <w:pPr>
        <w:rPr>
          <w:sz w:val="24"/>
          <w:szCs w:val="24"/>
        </w:rPr>
      </w:pPr>
      <w:r w:rsidRPr="0012760D">
        <w:rPr>
          <w:sz w:val="24"/>
          <w:szCs w:val="24"/>
        </w:rPr>
        <w:t>In 2012 to 13, Sustainability Victoria employed 105.7 full-time equivalent (FTE) staff, compared with 113 in 2011 to 12. See below for data on workforce composition, average salaries by gender and Victorian Public Service (VPS) classification.</w:t>
      </w:r>
    </w:p>
    <w:p w:rsidR="00DF2F8B" w:rsidRDefault="00DF2F8B" w:rsidP="00DF2F8B">
      <w:pPr>
        <w:rPr>
          <w:sz w:val="24"/>
          <w:szCs w:val="24"/>
        </w:rPr>
      </w:pPr>
    </w:p>
    <w:p w:rsidR="006B246A" w:rsidRPr="0012760D" w:rsidRDefault="006B246A" w:rsidP="00DF2F8B">
      <w:pPr>
        <w:rPr>
          <w:sz w:val="24"/>
          <w:szCs w:val="24"/>
        </w:rPr>
      </w:pPr>
    </w:p>
    <w:p w:rsidR="00DF2F8B" w:rsidRDefault="00DF2F8B" w:rsidP="006B246A">
      <w:pPr>
        <w:pStyle w:val="Heading2"/>
        <w:rPr>
          <w:vertAlign w:val="superscript"/>
        </w:rPr>
      </w:pPr>
      <w:r w:rsidRPr="0012760D">
        <w:t>Our Workforce</w:t>
      </w:r>
      <w:r w:rsidRPr="0012760D">
        <w:rPr>
          <w:vertAlign w:val="superscript"/>
        </w:rPr>
        <w:t>1</w:t>
      </w:r>
    </w:p>
    <w:p w:rsidR="006B246A" w:rsidRPr="0012760D" w:rsidRDefault="006B246A" w:rsidP="00DF2F8B">
      <w:pPr>
        <w:rPr>
          <w:sz w:val="24"/>
          <w:szCs w:val="24"/>
          <w:vertAlign w:val="superscript"/>
        </w:rPr>
      </w:pPr>
    </w:p>
    <w:p w:rsidR="00DF2F8B" w:rsidRPr="0012760D" w:rsidRDefault="00DF2F8B" w:rsidP="00DF2F8B">
      <w:pPr>
        <w:rPr>
          <w:sz w:val="24"/>
          <w:szCs w:val="24"/>
        </w:rPr>
      </w:pPr>
      <w:r w:rsidRPr="0012760D">
        <w:rPr>
          <w:sz w:val="24"/>
          <w:szCs w:val="24"/>
        </w:rPr>
        <w:t>2013: 105.7</w:t>
      </w:r>
    </w:p>
    <w:p w:rsidR="00DF2F8B" w:rsidRPr="0012760D" w:rsidRDefault="00DF2F8B" w:rsidP="00DF2F8B">
      <w:pPr>
        <w:rPr>
          <w:sz w:val="24"/>
          <w:szCs w:val="24"/>
        </w:rPr>
      </w:pPr>
      <w:r w:rsidRPr="0012760D">
        <w:rPr>
          <w:sz w:val="24"/>
          <w:szCs w:val="24"/>
        </w:rPr>
        <w:t>2012: 113</w:t>
      </w:r>
    </w:p>
    <w:p w:rsidR="00DF2F8B" w:rsidRPr="0012760D" w:rsidRDefault="00DF2F8B" w:rsidP="00DF2F8B">
      <w:pPr>
        <w:rPr>
          <w:sz w:val="24"/>
          <w:szCs w:val="24"/>
        </w:rPr>
      </w:pPr>
      <w:r w:rsidRPr="0012760D">
        <w:rPr>
          <w:sz w:val="24"/>
          <w:szCs w:val="24"/>
        </w:rPr>
        <w:t>2011: 143</w:t>
      </w:r>
    </w:p>
    <w:p w:rsidR="00DF2F8B" w:rsidRPr="0012760D" w:rsidRDefault="00DF2F8B" w:rsidP="00DF2F8B">
      <w:pPr>
        <w:rPr>
          <w:sz w:val="24"/>
          <w:szCs w:val="24"/>
        </w:rPr>
      </w:pPr>
      <w:r w:rsidRPr="0012760D">
        <w:rPr>
          <w:sz w:val="24"/>
          <w:szCs w:val="24"/>
        </w:rPr>
        <w:t>2010: 138</w:t>
      </w:r>
    </w:p>
    <w:p w:rsidR="00DF2F8B" w:rsidRPr="0012760D" w:rsidRDefault="00DF2F8B" w:rsidP="00DF2F8B">
      <w:pPr>
        <w:rPr>
          <w:sz w:val="24"/>
          <w:szCs w:val="24"/>
        </w:rPr>
      </w:pPr>
      <w:r w:rsidRPr="0012760D">
        <w:rPr>
          <w:sz w:val="24"/>
          <w:szCs w:val="24"/>
        </w:rPr>
        <w:t>2009: 134</w:t>
      </w:r>
    </w:p>
    <w:p w:rsidR="00DF2F8B" w:rsidRPr="0012760D" w:rsidRDefault="00DF2F8B" w:rsidP="00DF2F8B">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2167"/>
        <w:gridCol w:w="2835"/>
        <w:gridCol w:w="2551"/>
        <w:gridCol w:w="1277"/>
        <w:gridCol w:w="1277"/>
        <w:gridCol w:w="1134"/>
        <w:gridCol w:w="2793"/>
      </w:tblGrid>
      <w:tr w:rsidR="00DF2F8B" w:rsidRPr="0012760D" w:rsidTr="001B3A3E">
        <w:tblPrEx>
          <w:tblCellMar>
            <w:top w:w="0" w:type="dxa"/>
            <w:bottom w:w="0" w:type="dxa"/>
          </w:tblCellMar>
        </w:tblPrEx>
        <w:tc>
          <w:tcPr>
            <w:tcW w:w="5000" w:type="pct"/>
            <w:gridSpan w:val="7"/>
            <w:shd w:val="clear" w:color="auto" w:fill="auto"/>
          </w:tcPr>
          <w:p w:rsidR="00DF2F8B" w:rsidRPr="0012760D" w:rsidRDefault="00DF2F8B" w:rsidP="001B3A3E">
            <w:pPr>
              <w:rPr>
                <w:sz w:val="24"/>
                <w:szCs w:val="24"/>
              </w:rPr>
            </w:pPr>
            <w:r w:rsidRPr="0012760D">
              <w:rPr>
                <w:bCs/>
                <w:sz w:val="24"/>
                <w:szCs w:val="24"/>
              </w:rPr>
              <w:t>June 2012 to June 2013</w:t>
            </w:r>
          </w:p>
        </w:tc>
      </w:tr>
      <w:tr w:rsidR="00DF2F8B" w:rsidRPr="0012760D" w:rsidTr="001B3A3E">
        <w:tblPrEx>
          <w:tblCellMar>
            <w:top w:w="0" w:type="dxa"/>
            <w:bottom w:w="0" w:type="dxa"/>
          </w:tblCellMar>
        </w:tblPrEx>
        <w:tc>
          <w:tcPr>
            <w:tcW w:w="772" w:type="pct"/>
            <w:shd w:val="clear" w:color="auto" w:fill="auto"/>
          </w:tcPr>
          <w:p w:rsidR="00DF2F8B" w:rsidRPr="0012760D" w:rsidRDefault="00DF2F8B" w:rsidP="001B3A3E">
            <w:pPr>
              <w:rPr>
                <w:sz w:val="24"/>
                <w:szCs w:val="24"/>
              </w:rPr>
            </w:pPr>
          </w:p>
        </w:tc>
        <w:tc>
          <w:tcPr>
            <w:tcW w:w="2374" w:type="pct"/>
            <w:gridSpan w:val="3"/>
            <w:shd w:val="clear" w:color="auto" w:fill="auto"/>
          </w:tcPr>
          <w:p w:rsidR="00DF2F8B" w:rsidRPr="0012760D" w:rsidRDefault="00DF2F8B" w:rsidP="001B3A3E">
            <w:pPr>
              <w:jc w:val="center"/>
              <w:rPr>
                <w:sz w:val="24"/>
                <w:szCs w:val="24"/>
              </w:rPr>
            </w:pPr>
            <w:r w:rsidRPr="0012760D">
              <w:rPr>
                <w:bCs/>
                <w:sz w:val="24"/>
                <w:szCs w:val="24"/>
              </w:rPr>
              <w:t>Ongoing employees</w:t>
            </w:r>
            <w:r w:rsidRPr="0012760D">
              <w:rPr>
                <w:bCs/>
                <w:sz w:val="24"/>
                <w:szCs w:val="24"/>
                <w:vertAlign w:val="superscript"/>
              </w:rPr>
              <w:t>1</w:t>
            </w:r>
          </w:p>
        </w:tc>
        <w:tc>
          <w:tcPr>
            <w:tcW w:w="1854" w:type="pct"/>
            <w:gridSpan w:val="3"/>
            <w:shd w:val="clear" w:color="auto" w:fill="auto"/>
          </w:tcPr>
          <w:p w:rsidR="00DF2F8B" w:rsidRPr="0012760D" w:rsidRDefault="00DF2F8B" w:rsidP="001B3A3E">
            <w:pPr>
              <w:jc w:val="center"/>
              <w:rPr>
                <w:sz w:val="24"/>
                <w:szCs w:val="24"/>
              </w:rPr>
            </w:pPr>
            <w:r w:rsidRPr="0012760D">
              <w:rPr>
                <w:bCs/>
                <w:sz w:val="24"/>
                <w:szCs w:val="24"/>
              </w:rPr>
              <w:t>Fixed term and casual employees</w:t>
            </w:r>
          </w:p>
        </w:tc>
      </w:tr>
      <w:tr w:rsidR="00DF2F8B" w:rsidRPr="0012760D" w:rsidTr="001B3A3E">
        <w:tblPrEx>
          <w:tblCellMar>
            <w:top w:w="0" w:type="dxa"/>
            <w:bottom w:w="0" w:type="dxa"/>
          </w:tblCellMar>
        </w:tblPrEx>
        <w:tc>
          <w:tcPr>
            <w:tcW w:w="772" w:type="pct"/>
            <w:shd w:val="clear" w:color="auto" w:fill="auto"/>
          </w:tcPr>
          <w:p w:rsidR="00DF2F8B" w:rsidRPr="0012760D" w:rsidRDefault="00DF2F8B" w:rsidP="001B3A3E">
            <w:pPr>
              <w:rPr>
                <w:sz w:val="24"/>
                <w:szCs w:val="24"/>
              </w:rPr>
            </w:pPr>
          </w:p>
        </w:tc>
        <w:tc>
          <w:tcPr>
            <w:tcW w:w="1010" w:type="pct"/>
            <w:shd w:val="clear" w:color="auto" w:fill="auto"/>
          </w:tcPr>
          <w:p w:rsidR="00DF2F8B" w:rsidRPr="0012760D" w:rsidRDefault="00DF2F8B" w:rsidP="001B3A3E">
            <w:pPr>
              <w:rPr>
                <w:sz w:val="24"/>
                <w:szCs w:val="24"/>
              </w:rPr>
            </w:pPr>
            <w:r w:rsidRPr="0012760D">
              <w:rPr>
                <w:bCs/>
                <w:sz w:val="24"/>
                <w:szCs w:val="24"/>
              </w:rPr>
              <w:t>Employees (headcount)</w:t>
            </w:r>
          </w:p>
        </w:tc>
        <w:tc>
          <w:tcPr>
            <w:tcW w:w="909" w:type="pct"/>
            <w:shd w:val="clear" w:color="auto" w:fill="auto"/>
          </w:tcPr>
          <w:p w:rsidR="00DF2F8B" w:rsidRPr="0012760D" w:rsidRDefault="00DF2F8B" w:rsidP="001B3A3E">
            <w:pPr>
              <w:rPr>
                <w:sz w:val="24"/>
                <w:szCs w:val="24"/>
              </w:rPr>
            </w:pPr>
            <w:r w:rsidRPr="0012760D">
              <w:rPr>
                <w:bCs/>
                <w:sz w:val="24"/>
                <w:szCs w:val="24"/>
              </w:rPr>
              <w:t>Full-time (headcount)</w:t>
            </w:r>
          </w:p>
        </w:tc>
        <w:tc>
          <w:tcPr>
            <w:tcW w:w="910" w:type="pct"/>
            <w:gridSpan w:val="2"/>
            <w:shd w:val="clear" w:color="auto" w:fill="auto"/>
          </w:tcPr>
          <w:p w:rsidR="00DF2F8B" w:rsidRPr="0012760D" w:rsidRDefault="00DF2F8B" w:rsidP="001B3A3E">
            <w:pPr>
              <w:rPr>
                <w:sz w:val="24"/>
                <w:szCs w:val="24"/>
              </w:rPr>
            </w:pPr>
            <w:r w:rsidRPr="0012760D">
              <w:rPr>
                <w:bCs/>
                <w:sz w:val="24"/>
                <w:szCs w:val="24"/>
              </w:rPr>
              <w:t>Part-time (headcount)</w:t>
            </w:r>
          </w:p>
        </w:tc>
        <w:tc>
          <w:tcPr>
            <w:tcW w:w="404" w:type="pct"/>
            <w:shd w:val="clear" w:color="auto" w:fill="auto"/>
          </w:tcPr>
          <w:p w:rsidR="00DF2F8B" w:rsidRPr="0012760D" w:rsidRDefault="00DF2F8B" w:rsidP="001B3A3E">
            <w:pPr>
              <w:rPr>
                <w:sz w:val="24"/>
                <w:szCs w:val="24"/>
              </w:rPr>
            </w:pPr>
            <w:r w:rsidRPr="0012760D">
              <w:rPr>
                <w:bCs/>
                <w:sz w:val="24"/>
                <w:szCs w:val="24"/>
              </w:rPr>
              <w:t>FTE</w:t>
            </w:r>
            <w:r w:rsidRPr="0012760D">
              <w:rPr>
                <w:bCs/>
                <w:sz w:val="24"/>
                <w:szCs w:val="24"/>
                <w:vertAlign w:val="superscript"/>
              </w:rPr>
              <w:t>2</w:t>
            </w:r>
          </w:p>
        </w:tc>
        <w:tc>
          <w:tcPr>
            <w:tcW w:w="995" w:type="pct"/>
            <w:shd w:val="clear" w:color="auto" w:fill="auto"/>
          </w:tcPr>
          <w:p w:rsidR="00DF2F8B" w:rsidRPr="0012760D" w:rsidRDefault="00DF2F8B" w:rsidP="001B3A3E">
            <w:pPr>
              <w:rPr>
                <w:sz w:val="24"/>
                <w:szCs w:val="24"/>
              </w:rPr>
            </w:pPr>
            <w:r w:rsidRPr="0012760D">
              <w:rPr>
                <w:bCs/>
                <w:sz w:val="24"/>
                <w:szCs w:val="24"/>
              </w:rPr>
              <w:t>FTE</w:t>
            </w:r>
            <w:r w:rsidRPr="0012760D">
              <w:rPr>
                <w:bCs/>
                <w:sz w:val="24"/>
                <w:szCs w:val="24"/>
                <w:vertAlign w:val="superscript"/>
              </w:rPr>
              <w:t>2</w:t>
            </w:r>
          </w:p>
        </w:tc>
      </w:tr>
      <w:tr w:rsidR="00DF2F8B" w:rsidRPr="0012760D" w:rsidTr="001B3A3E">
        <w:tblPrEx>
          <w:tblCellMar>
            <w:top w:w="0" w:type="dxa"/>
            <w:bottom w:w="0" w:type="dxa"/>
          </w:tblCellMar>
        </w:tblPrEx>
        <w:tc>
          <w:tcPr>
            <w:tcW w:w="772" w:type="pct"/>
            <w:shd w:val="clear" w:color="auto" w:fill="auto"/>
          </w:tcPr>
          <w:p w:rsidR="00DF2F8B" w:rsidRPr="0012760D" w:rsidRDefault="00DF2F8B" w:rsidP="001B3A3E">
            <w:pPr>
              <w:rPr>
                <w:sz w:val="24"/>
                <w:szCs w:val="24"/>
              </w:rPr>
            </w:pPr>
            <w:r w:rsidRPr="0012760D">
              <w:rPr>
                <w:bCs/>
                <w:sz w:val="24"/>
                <w:szCs w:val="24"/>
              </w:rPr>
              <w:t xml:space="preserve">June 2013 </w:t>
            </w:r>
          </w:p>
        </w:tc>
        <w:tc>
          <w:tcPr>
            <w:tcW w:w="1010" w:type="pct"/>
            <w:shd w:val="clear" w:color="auto" w:fill="auto"/>
          </w:tcPr>
          <w:p w:rsidR="00DF2F8B" w:rsidRPr="0012760D" w:rsidRDefault="00DF2F8B" w:rsidP="001B3A3E">
            <w:pPr>
              <w:jc w:val="right"/>
              <w:rPr>
                <w:sz w:val="24"/>
                <w:szCs w:val="24"/>
              </w:rPr>
            </w:pPr>
            <w:r w:rsidRPr="0012760D">
              <w:rPr>
                <w:sz w:val="24"/>
                <w:szCs w:val="24"/>
              </w:rPr>
              <w:t xml:space="preserve">95 </w:t>
            </w:r>
          </w:p>
        </w:tc>
        <w:tc>
          <w:tcPr>
            <w:tcW w:w="909" w:type="pct"/>
            <w:shd w:val="clear" w:color="auto" w:fill="auto"/>
          </w:tcPr>
          <w:p w:rsidR="00DF2F8B" w:rsidRPr="0012760D" w:rsidRDefault="00DF2F8B" w:rsidP="001B3A3E">
            <w:pPr>
              <w:jc w:val="right"/>
              <w:rPr>
                <w:sz w:val="24"/>
                <w:szCs w:val="24"/>
              </w:rPr>
            </w:pPr>
            <w:r w:rsidRPr="0012760D">
              <w:rPr>
                <w:sz w:val="24"/>
                <w:szCs w:val="24"/>
              </w:rPr>
              <w:t>78</w:t>
            </w:r>
          </w:p>
        </w:tc>
        <w:tc>
          <w:tcPr>
            <w:tcW w:w="910" w:type="pct"/>
            <w:gridSpan w:val="2"/>
            <w:shd w:val="clear" w:color="auto" w:fill="auto"/>
          </w:tcPr>
          <w:p w:rsidR="00DF2F8B" w:rsidRPr="0012760D" w:rsidRDefault="00DF2F8B" w:rsidP="001B3A3E">
            <w:pPr>
              <w:jc w:val="right"/>
              <w:rPr>
                <w:sz w:val="24"/>
                <w:szCs w:val="24"/>
              </w:rPr>
            </w:pPr>
            <w:r w:rsidRPr="0012760D">
              <w:rPr>
                <w:sz w:val="24"/>
                <w:szCs w:val="24"/>
              </w:rPr>
              <w:t>17</w:t>
            </w:r>
          </w:p>
        </w:tc>
        <w:tc>
          <w:tcPr>
            <w:tcW w:w="404" w:type="pct"/>
            <w:shd w:val="clear" w:color="auto" w:fill="auto"/>
          </w:tcPr>
          <w:p w:rsidR="00DF2F8B" w:rsidRPr="0012760D" w:rsidRDefault="00DF2F8B" w:rsidP="001B3A3E">
            <w:pPr>
              <w:jc w:val="right"/>
              <w:rPr>
                <w:sz w:val="24"/>
                <w:szCs w:val="24"/>
              </w:rPr>
            </w:pPr>
            <w:r w:rsidRPr="0012760D">
              <w:rPr>
                <w:sz w:val="24"/>
                <w:szCs w:val="24"/>
              </w:rPr>
              <w:t>87.9</w:t>
            </w:r>
          </w:p>
        </w:tc>
        <w:tc>
          <w:tcPr>
            <w:tcW w:w="995" w:type="pct"/>
            <w:shd w:val="clear" w:color="auto" w:fill="auto"/>
          </w:tcPr>
          <w:p w:rsidR="00DF2F8B" w:rsidRPr="0012760D" w:rsidRDefault="00DF2F8B" w:rsidP="001B3A3E">
            <w:pPr>
              <w:jc w:val="right"/>
              <w:rPr>
                <w:sz w:val="24"/>
                <w:szCs w:val="24"/>
              </w:rPr>
            </w:pPr>
            <w:r w:rsidRPr="0012760D">
              <w:rPr>
                <w:sz w:val="24"/>
                <w:szCs w:val="24"/>
              </w:rPr>
              <w:t>17.8</w:t>
            </w:r>
          </w:p>
        </w:tc>
      </w:tr>
      <w:tr w:rsidR="00DF2F8B" w:rsidRPr="0012760D" w:rsidTr="001B3A3E">
        <w:tblPrEx>
          <w:tblCellMar>
            <w:top w:w="0" w:type="dxa"/>
            <w:bottom w:w="0" w:type="dxa"/>
          </w:tblCellMar>
        </w:tblPrEx>
        <w:tc>
          <w:tcPr>
            <w:tcW w:w="772" w:type="pct"/>
            <w:shd w:val="clear" w:color="auto" w:fill="auto"/>
          </w:tcPr>
          <w:p w:rsidR="00DF2F8B" w:rsidRPr="0012760D" w:rsidRDefault="00DF2F8B" w:rsidP="001B3A3E">
            <w:pPr>
              <w:rPr>
                <w:bCs/>
                <w:sz w:val="24"/>
                <w:szCs w:val="24"/>
              </w:rPr>
            </w:pPr>
            <w:r w:rsidRPr="0012760D">
              <w:rPr>
                <w:bCs/>
                <w:sz w:val="24"/>
                <w:szCs w:val="24"/>
              </w:rPr>
              <w:t>June 2012</w:t>
            </w:r>
          </w:p>
        </w:tc>
        <w:tc>
          <w:tcPr>
            <w:tcW w:w="1010" w:type="pct"/>
            <w:shd w:val="clear" w:color="auto" w:fill="auto"/>
          </w:tcPr>
          <w:p w:rsidR="00DF2F8B" w:rsidRPr="0012760D" w:rsidRDefault="00DF2F8B" w:rsidP="001B3A3E">
            <w:pPr>
              <w:jc w:val="right"/>
              <w:rPr>
                <w:sz w:val="24"/>
                <w:szCs w:val="24"/>
              </w:rPr>
            </w:pPr>
            <w:r w:rsidRPr="0012760D">
              <w:rPr>
                <w:sz w:val="24"/>
                <w:szCs w:val="24"/>
              </w:rPr>
              <w:t>102</w:t>
            </w:r>
          </w:p>
        </w:tc>
        <w:tc>
          <w:tcPr>
            <w:tcW w:w="909" w:type="pct"/>
            <w:shd w:val="clear" w:color="auto" w:fill="auto"/>
          </w:tcPr>
          <w:p w:rsidR="00DF2F8B" w:rsidRPr="0012760D" w:rsidRDefault="00DF2F8B" w:rsidP="001B3A3E">
            <w:pPr>
              <w:jc w:val="right"/>
              <w:rPr>
                <w:sz w:val="24"/>
                <w:szCs w:val="24"/>
              </w:rPr>
            </w:pPr>
            <w:r w:rsidRPr="0012760D">
              <w:rPr>
                <w:sz w:val="24"/>
                <w:szCs w:val="24"/>
              </w:rPr>
              <w:t>84</w:t>
            </w:r>
          </w:p>
        </w:tc>
        <w:tc>
          <w:tcPr>
            <w:tcW w:w="910" w:type="pct"/>
            <w:gridSpan w:val="2"/>
            <w:shd w:val="clear" w:color="auto" w:fill="auto"/>
          </w:tcPr>
          <w:p w:rsidR="00DF2F8B" w:rsidRPr="0012760D" w:rsidRDefault="00DF2F8B" w:rsidP="001B3A3E">
            <w:pPr>
              <w:jc w:val="right"/>
              <w:rPr>
                <w:sz w:val="24"/>
                <w:szCs w:val="24"/>
              </w:rPr>
            </w:pPr>
            <w:r w:rsidRPr="0012760D">
              <w:rPr>
                <w:sz w:val="24"/>
                <w:szCs w:val="24"/>
              </w:rPr>
              <w:t>18</w:t>
            </w:r>
          </w:p>
        </w:tc>
        <w:tc>
          <w:tcPr>
            <w:tcW w:w="404" w:type="pct"/>
            <w:shd w:val="clear" w:color="auto" w:fill="auto"/>
          </w:tcPr>
          <w:p w:rsidR="00DF2F8B" w:rsidRPr="0012760D" w:rsidRDefault="00DF2F8B" w:rsidP="001B3A3E">
            <w:pPr>
              <w:jc w:val="right"/>
              <w:rPr>
                <w:sz w:val="24"/>
                <w:szCs w:val="24"/>
              </w:rPr>
            </w:pPr>
            <w:r w:rsidRPr="0012760D">
              <w:rPr>
                <w:sz w:val="24"/>
                <w:szCs w:val="24"/>
              </w:rPr>
              <w:t>95</w:t>
            </w:r>
          </w:p>
        </w:tc>
        <w:tc>
          <w:tcPr>
            <w:tcW w:w="995" w:type="pct"/>
            <w:shd w:val="clear" w:color="auto" w:fill="auto"/>
          </w:tcPr>
          <w:p w:rsidR="00DF2F8B" w:rsidRPr="0012760D" w:rsidRDefault="00DF2F8B" w:rsidP="001B3A3E">
            <w:pPr>
              <w:jc w:val="right"/>
              <w:rPr>
                <w:sz w:val="24"/>
                <w:szCs w:val="24"/>
              </w:rPr>
            </w:pPr>
            <w:r w:rsidRPr="0012760D">
              <w:rPr>
                <w:sz w:val="24"/>
                <w:szCs w:val="24"/>
              </w:rPr>
              <w:t>18</w:t>
            </w:r>
          </w:p>
        </w:tc>
      </w:tr>
    </w:tbl>
    <w:p w:rsidR="00DF2F8B" w:rsidRPr="0012760D" w:rsidRDefault="00DF2F8B" w:rsidP="00DF2F8B">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2537"/>
        <w:gridCol w:w="1900"/>
        <w:gridCol w:w="848"/>
        <w:gridCol w:w="980"/>
        <w:gridCol w:w="2024"/>
        <w:gridCol w:w="2408"/>
        <w:gridCol w:w="968"/>
        <w:gridCol w:w="432"/>
        <w:gridCol w:w="1937"/>
      </w:tblGrid>
      <w:tr w:rsidR="00DF2F8B" w:rsidRPr="0012760D" w:rsidTr="001B3A3E">
        <w:tblPrEx>
          <w:tblCellMar>
            <w:top w:w="0" w:type="dxa"/>
            <w:bottom w:w="0" w:type="dxa"/>
          </w:tblCellMar>
        </w:tblPrEx>
        <w:trPr>
          <w:trHeight w:val="302"/>
        </w:trPr>
        <w:tc>
          <w:tcPr>
            <w:tcW w:w="2953" w:type="pct"/>
            <w:gridSpan w:val="5"/>
            <w:shd w:val="clear" w:color="auto" w:fill="auto"/>
          </w:tcPr>
          <w:p w:rsidR="00DF2F8B" w:rsidRPr="0012760D" w:rsidRDefault="00DF2F8B" w:rsidP="001B3A3E">
            <w:pPr>
              <w:jc w:val="center"/>
              <w:rPr>
                <w:sz w:val="24"/>
                <w:szCs w:val="24"/>
              </w:rPr>
            </w:pPr>
            <w:r w:rsidRPr="0012760D">
              <w:rPr>
                <w:bCs/>
                <w:sz w:val="24"/>
                <w:szCs w:val="24"/>
              </w:rPr>
              <w:t>2013</w:t>
            </w:r>
          </w:p>
        </w:tc>
        <w:tc>
          <w:tcPr>
            <w:tcW w:w="2047" w:type="pct"/>
            <w:gridSpan w:val="4"/>
            <w:shd w:val="clear" w:color="auto" w:fill="auto"/>
          </w:tcPr>
          <w:p w:rsidR="00DF2F8B" w:rsidRPr="0012760D" w:rsidRDefault="00DF2F8B" w:rsidP="001B3A3E">
            <w:pPr>
              <w:jc w:val="center"/>
              <w:rPr>
                <w:sz w:val="24"/>
                <w:szCs w:val="24"/>
              </w:rPr>
            </w:pPr>
            <w:r w:rsidRPr="0012760D">
              <w:rPr>
                <w:bCs/>
                <w:sz w:val="24"/>
                <w:szCs w:val="24"/>
              </w:rPr>
              <w:t>2012</w:t>
            </w:r>
          </w:p>
        </w:tc>
      </w:tr>
      <w:tr w:rsidR="00DF2F8B" w:rsidRPr="0012760D" w:rsidTr="001B3A3E">
        <w:tblPrEx>
          <w:tblCellMar>
            <w:top w:w="0" w:type="dxa"/>
            <w:bottom w:w="0" w:type="dxa"/>
          </w:tblCellMar>
        </w:tblPrEx>
        <w:trPr>
          <w:trHeight w:val="456"/>
        </w:trPr>
        <w:tc>
          <w:tcPr>
            <w:tcW w:w="904" w:type="pct"/>
            <w:vMerge w:val="restart"/>
            <w:shd w:val="clear" w:color="auto" w:fill="auto"/>
          </w:tcPr>
          <w:p w:rsidR="00DF2F8B" w:rsidRPr="0012760D" w:rsidRDefault="00DF2F8B" w:rsidP="001B3A3E">
            <w:pPr>
              <w:rPr>
                <w:sz w:val="24"/>
                <w:szCs w:val="24"/>
              </w:rPr>
            </w:pPr>
          </w:p>
        </w:tc>
        <w:tc>
          <w:tcPr>
            <w:tcW w:w="979" w:type="pct"/>
            <w:gridSpan w:val="2"/>
            <w:shd w:val="clear" w:color="auto" w:fill="auto"/>
          </w:tcPr>
          <w:p w:rsidR="00DF2F8B" w:rsidRPr="0012760D" w:rsidRDefault="00DF2F8B" w:rsidP="001B3A3E">
            <w:pPr>
              <w:rPr>
                <w:sz w:val="24"/>
                <w:szCs w:val="24"/>
              </w:rPr>
            </w:pPr>
            <w:r w:rsidRPr="0012760D">
              <w:rPr>
                <w:bCs/>
                <w:sz w:val="24"/>
                <w:szCs w:val="24"/>
              </w:rPr>
              <w:t>Ongoing employees</w:t>
            </w:r>
            <w:r w:rsidRPr="0012760D">
              <w:rPr>
                <w:bCs/>
                <w:sz w:val="24"/>
                <w:szCs w:val="24"/>
                <w:vertAlign w:val="superscript"/>
              </w:rPr>
              <w:t>1</w:t>
            </w:r>
          </w:p>
        </w:tc>
        <w:tc>
          <w:tcPr>
            <w:tcW w:w="1070" w:type="pct"/>
            <w:gridSpan w:val="2"/>
            <w:shd w:val="clear" w:color="auto" w:fill="auto"/>
          </w:tcPr>
          <w:p w:rsidR="00DF2F8B" w:rsidRPr="0012760D" w:rsidRDefault="00DF2F8B" w:rsidP="001B3A3E">
            <w:pPr>
              <w:rPr>
                <w:sz w:val="24"/>
                <w:szCs w:val="24"/>
              </w:rPr>
            </w:pPr>
            <w:r w:rsidRPr="0012760D">
              <w:rPr>
                <w:bCs/>
                <w:sz w:val="24"/>
                <w:szCs w:val="24"/>
              </w:rPr>
              <w:t xml:space="preserve">Fixed-term </w:t>
            </w:r>
            <w:r w:rsidR="00236A13">
              <w:rPr>
                <w:bCs/>
                <w:sz w:val="24"/>
                <w:szCs w:val="24"/>
              </w:rPr>
              <w:t>and</w:t>
            </w:r>
            <w:r w:rsidRPr="0012760D">
              <w:rPr>
                <w:bCs/>
                <w:sz w:val="24"/>
                <w:szCs w:val="24"/>
              </w:rPr>
              <w:t xml:space="preserve"> casual employees</w:t>
            </w:r>
          </w:p>
        </w:tc>
        <w:tc>
          <w:tcPr>
            <w:tcW w:w="1203" w:type="pct"/>
            <w:gridSpan w:val="2"/>
            <w:shd w:val="clear" w:color="auto" w:fill="auto"/>
          </w:tcPr>
          <w:p w:rsidR="00DF2F8B" w:rsidRPr="0012760D" w:rsidRDefault="00DF2F8B" w:rsidP="001B3A3E">
            <w:pPr>
              <w:rPr>
                <w:sz w:val="24"/>
                <w:szCs w:val="24"/>
              </w:rPr>
            </w:pPr>
            <w:r w:rsidRPr="0012760D">
              <w:rPr>
                <w:sz w:val="24"/>
                <w:szCs w:val="24"/>
              </w:rPr>
              <w:t>Ongoing</w:t>
            </w:r>
            <w:r w:rsidRPr="0012760D">
              <w:rPr>
                <w:sz w:val="24"/>
                <w:szCs w:val="24"/>
                <w:vertAlign w:val="superscript"/>
              </w:rPr>
              <w:t>(1)</w:t>
            </w:r>
          </w:p>
        </w:tc>
        <w:tc>
          <w:tcPr>
            <w:tcW w:w="844" w:type="pct"/>
            <w:gridSpan w:val="2"/>
            <w:shd w:val="clear" w:color="auto" w:fill="auto"/>
          </w:tcPr>
          <w:p w:rsidR="00DF2F8B" w:rsidRPr="0012760D" w:rsidRDefault="00DF2F8B" w:rsidP="001B3A3E">
            <w:pPr>
              <w:rPr>
                <w:sz w:val="24"/>
                <w:szCs w:val="24"/>
              </w:rPr>
            </w:pPr>
            <w:r w:rsidRPr="0012760D">
              <w:rPr>
                <w:bCs/>
                <w:sz w:val="24"/>
                <w:szCs w:val="24"/>
              </w:rPr>
              <w:t xml:space="preserve">Fixed term </w:t>
            </w:r>
            <w:r w:rsidR="00236A13">
              <w:rPr>
                <w:bCs/>
                <w:sz w:val="24"/>
                <w:szCs w:val="24"/>
              </w:rPr>
              <w:t>and</w:t>
            </w:r>
            <w:r w:rsidRPr="0012760D">
              <w:rPr>
                <w:bCs/>
                <w:sz w:val="24"/>
                <w:szCs w:val="24"/>
              </w:rPr>
              <w:t xml:space="preserve"> casual employees</w:t>
            </w:r>
          </w:p>
        </w:tc>
      </w:tr>
      <w:tr w:rsidR="00DF2F8B" w:rsidRPr="0012760D" w:rsidTr="001B3A3E">
        <w:tblPrEx>
          <w:tblCellMar>
            <w:top w:w="0" w:type="dxa"/>
            <w:bottom w:w="0" w:type="dxa"/>
          </w:tblCellMar>
        </w:tblPrEx>
        <w:trPr>
          <w:trHeight w:val="552"/>
        </w:trPr>
        <w:tc>
          <w:tcPr>
            <w:tcW w:w="904" w:type="pct"/>
            <w:vMerge/>
            <w:tcBorders>
              <w:bottom w:val="single" w:sz="18" w:space="0" w:color="auto"/>
            </w:tcBorders>
            <w:shd w:val="clear" w:color="auto" w:fill="auto"/>
          </w:tcPr>
          <w:p w:rsidR="00DF2F8B" w:rsidRPr="0012760D" w:rsidRDefault="00DF2F8B" w:rsidP="001B3A3E">
            <w:pPr>
              <w:rPr>
                <w:sz w:val="24"/>
                <w:szCs w:val="24"/>
              </w:rPr>
            </w:pPr>
          </w:p>
        </w:tc>
        <w:tc>
          <w:tcPr>
            <w:tcW w:w="677" w:type="pct"/>
            <w:tcBorders>
              <w:bottom w:val="single" w:sz="18" w:space="0" w:color="auto"/>
            </w:tcBorders>
            <w:shd w:val="clear" w:color="auto" w:fill="auto"/>
          </w:tcPr>
          <w:p w:rsidR="00DF2F8B" w:rsidRPr="0012760D" w:rsidRDefault="00DF2F8B" w:rsidP="001B3A3E">
            <w:pPr>
              <w:rPr>
                <w:sz w:val="24"/>
                <w:szCs w:val="24"/>
              </w:rPr>
            </w:pPr>
            <w:r w:rsidRPr="0012760D">
              <w:rPr>
                <w:bCs/>
                <w:sz w:val="24"/>
                <w:szCs w:val="24"/>
              </w:rPr>
              <w:t>Employees (headcount)</w:t>
            </w:r>
          </w:p>
        </w:tc>
        <w:tc>
          <w:tcPr>
            <w:tcW w:w="651" w:type="pct"/>
            <w:gridSpan w:val="2"/>
            <w:tcBorders>
              <w:bottom w:val="single" w:sz="18" w:space="0" w:color="auto"/>
            </w:tcBorders>
            <w:shd w:val="clear" w:color="auto" w:fill="auto"/>
          </w:tcPr>
          <w:p w:rsidR="00DF2F8B" w:rsidRPr="0012760D" w:rsidRDefault="00DF2F8B" w:rsidP="001B3A3E">
            <w:pPr>
              <w:rPr>
                <w:sz w:val="24"/>
                <w:szCs w:val="24"/>
              </w:rPr>
            </w:pPr>
            <w:r w:rsidRPr="0012760D">
              <w:rPr>
                <w:bCs/>
                <w:sz w:val="24"/>
                <w:szCs w:val="24"/>
              </w:rPr>
              <w:t>FTE</w:t>
            </w:r>
            <w:r w:rsidRPr="0012760D">
              <w:rPr>
                <w:bCs/>
                <w:sz w:val="24"/>
                <w:szCs w:val="24"/>
                <w:vertAlign w:val="superscript"/>
              </w:rPr>
              <w:t>2</w:t>
            </w:r>
          </w:p>
        </w:tc>
        <w:tc>
          <w:tcPr>
            <w:tcW w:w="721" w:type="pct"/>
            <w:tcBorders>
              <w:bottom w:val="single" w:sz="18" w:space="0" w:color="auto"/>
            </w:tcBorders>
            <w:shd w:val="clear" w:color="auto" w:fill="auto"/>
          </w:tcPr>
          <w:p w:rsidR="00DF2F8B" w:rsidRPr="0012760D" w:rsidRDefault="00DF2F8B" w:rsidP="001B3A3E">
            <w:pPr>
              <w:rPr>
                <w:sz w:val="24"/>
                <w:szCs w:val="24"/>
              </w:rPr>
            </w:pPr>
            <w:r w:rsidRPr="0012760D">
              <w:rPr>
                <w:bCs/>
                <w:sz w:val="24"/>
                <w:szCs w:val="24"/>
              </w:rPr>
              <w:t>FTE</w:t>
            </w:r>
            <w:r w:rsidRPr="0012760D">
              <w:rPr>
                <w:bCs/>
                <w:sz w:val="24"/>
                <w:szCs w:val="24"/>
                <w:vertAlign w:val="superscript"/>
              </w:rPr>
              <w:t>2</w:t>
            </w:r>
          </w:p>
        </w:tc>
        <w:tc>
          <w:tcPr>
            <w:tcW w:w="858" w:type="pct"/>
            <w:tcBorders>
              <w:bottom w:val="single" w:sz="18" w:space="0" w:color="auto"/>
            </w:tcBorders>
            <w:shd w:val="clear" w:color="auto" w:fill="auto"/>
          </w:tcPr>
          <w:p w:rsidR="00DF2F8B" w:rsidRPr="0012760D" w:rsidRDefault="00DF2F8B" w:rsidP="001B3A3E">
            <w:pPr>
              <w:rPr>
                <w:sz w:val="24"/>
                <w:szCs w:val="24"/>
              </w:rPr>
            </w:pPr>
            <w:r w:rsidRPr="0012760D">
              <w:rPr>
                <w:bCs/>
                <w:sz w:val="24"/>
                <w:szCs w:val="24"/>
              </w:rPr>
              <w:t>Employees (headcount)</w:t>
            </w:r>
          </w:p>
        </w:tc>
        <w:tc>
          <w:tcPr>
            <w:tcW w:w="499" w:type="pct"/>
            <w:gridSpan w:val="2"/>
            <w:tcBorders>
              <w:bottom w:val="single" w:sz="18" w:space="0" w:color="auto"/>
            </w:tcBorders>
            <w:shd w:val="clear" w:color="auto" w:fill="auto"/>
          </w:tcPr>
          <w:p w:rsidR="00DF2F8B" w:rsidRPr="0012760D" w:rsidRDefault="00DF2F8B" w:rsidP="001B3A3E">
            <w:pPr>
              <w:rPr>
                <w:sz w:val="24"/>
                <w:szCs w:val="24"/>
              </w:rPr>
            </w:pPr>
            <w:r w:rsidRPr="0012760D">
              <w:rPr>
                <w:bCs/>
                <w:sz w:val="24"/>
                <w:szCs w:val="24"/>
              </w:rPr>
              <w:t>FTE</w:t>
            </w:r>
            <w:r w:rsidRPr="0012760D">
              <w:rPr>
                <w:bCs/>
                <w:sz w:val="24"/>
                <w:szCs w:val="24"/>
                <w:vertAlign w:val="superscript"/>
              </w:rPr>
              <w:t>2</w:t>
            </w:r>
          </w:p>
        </w:tc>
        <w:tc>
          <w:tcPr>
            <w:tcW w:w="690" w:type="pct"/>
            <w:tcBorders>
              <w:bottom w:val="single" w:sz="18" w:space="0" w:color="auto"/>
            </w:tcBorders>
            <w:shd w:val="clear" w:color="auto" w:fill="auto"/>
          </w:tcPr>
          <w:p w:rsidR="00DF2F8B" w:rsidRPr="0012760D" w:rsidRDefault="00DF2F8B" w:rsidP="001B3A3E">
            <w:pPr>
              <w:rPr>
                <w:sz w:val="24"/>
                <w:szCs w:val="24"/>
              </w:rPr>
            </w:pPr>
            <w:r w:rsidRPr="0012760D">
              <w:rPr>
                <w:bCs/>
                <w:sz w:val="24"/>
                <w:szCs w:val="24"/>
              </w:rPr>
              <w:t>FTE</w:t>
            </w:r>
            <w:r w:rsidRPr="0012760D">
              <w:rPr>
                <w:bCs/>
                <w:sz w:val="24"/>
                <w:szCs w:val="24"/>
                <w:vertAlign w:val="superscript"/>
              </w:rPr>
              <w:t>2</w:t>
            </w:r>
          </w:p>
        </w:tc>
      </w:tr>
      <w:tr w:rsidR="00DF2F8B" w:rsidRPr="0012760D" w:rsidTr="001B3A3E">
        <w:tblPrEx>
          <w:tblCellMar>
            <w:top w:w="0" w:type="dxa"/>
            <w:bottom w:w="0" w:type="dxa"/>
          </w:tblCellMar>
        </w:tblPrEx>
        <w:trPr>
          <w:trHeight w:val="259"/>
        </w:trPr>
        <w:tc>
          <w:tcPr>
            <w:tcW w:w="5000" w:type="pct"/>
            <w:gridSpan w:val="9"/>
            <w:shd w:val="clear" w:color="auto" w:fill="auto"/>
          </w:tcPr>
          <w:p w:rsidR="00DF2F8B" w:rsidRPr="0012760D" w:rsidRDefault="00DF2F8B" w:rsidP="001B3A3E">
            <w:pPr>
              <w:rPr>
                <w:sz w:val="24"/>
                <w:szCs w:val="24"/>
              </w:rPr>
            </w:pPr>
            <w:r w:rsidRPr="0012760D">
              <w:rPr>
                <w:bCs/>
                <w:sz w:val="24"/>
                <w:szCs w:val="24"/>
              </w:rPr>
              <w:lastRenderedPageBreak/>
              <w:t>Gender</w:t>
            </w:r>
          </w:p>
        </w:tc>
      </w:tr>
      <w:tr w:rsidR="00DF2F8B" w:rsidRPr="0012760D" w:rsidTr="001B3A3E">
        <w:tblPrEx>
          <w:tblCellMar>
            <w:top w:w="0" w:type="dxa"/>
            <w:bottom w:w="0" w:type="dxa"/>
          </w:tblCellMar>
        </w:tblPrEx>
        <w:trPr>
          <w:trHeight w:val="250"/>
        </w:trPr>
        <w:tc>
          <w:tcPr>
            <w:tcW w:w="904" w:type="pct"/>
            <w:shd w:val="clear" w:color="auto" w:fill="auto"/>
          </w:tcPr>
          <w:p w:rsidR="00DF2F8B" w:rsidRPr="0012760D" w:rsidRDefault="00DF2F8B" w:rsidP="001B3A3E">
            <w:pPr>
              <w:rPr>
                <w:sz w:val="24"/>
                <w:szCs w:val="24"/>
              </w:rPr>
            </w:pPr>
            <w:r w:rsidRPr="0012760D">
              <w:rPr>
                <w:sz w:val="24"/>
                <w:szCs w:val="24"/>
              </w:rPr>
              <w:t>Male</w:t>
            </w:r>
          </w:p>
        </w:tc>
        <w:tc>
          <w:tcPr>
            <w:tcW w:w="677" w:type="pct"/>
            <w:shd w:val="clear" w:color="auto" w:fill="auto"/>
          </w:tcPr>
          <w:p w:rsidR="00DF2F8B" w:rsidRPr="0012760D" w:rsidRDefault="00DF2F8B" w:rsidP="001B3A3E">
            <w:pPr>
              <w:jc w:val="right"/>
              <w:rPr>
                <w:sz w:val="24"/>
                <w:szCs w:val="24"/>
              </w:rPr>
            </w:pPr>
            <w:r w:rsidRPr="0012760D">
              <w:rPr>
                <w:sz w:val="24"/>
                <w:szCs w:val="24"/>
              </w:rPr>
              <w:t>40</w:t>
            </w:r>
          </w:p>
        </w:tc>
        <w:tc>
          <w:tcPr>
            <w:tcW w:w="651" w:type="pct"/>
            <w:gridSpan w:val="2"/>
            <w:shd w:val="clear" w:color="auto" w:fill="auto"/>
          </w:tcPr>
          <w:p w:rsidR="00DF2F8B" w:rsidRPr="0012760D" w:rsidRDefault="00DF2F8B" w:rsidP="001B3A3E">
            <w:pPr>
              <w:jc w:val="right"/>
              <w:rPr>
                <w:sz w:val="24"/>
                <w:szCs w:val="24"/>
              </w:rPr>
            </w:pPr>
            <w:r w:rsidRPr="0012760D">
              <w:rPr>
                <w:sz w:val="24"/>
                <w:szCs w:val="24"/>
              </w:rPr>
              <w:t>39.4</w:t>
            </w:r>
          </w:p>
        </w:tc>
        <w:tc>
          <w:tcPr>
            <w:tcW w:w="721" w:type="pct"/>
            <w:shd w:val="clear" w:color="auto" w:fill="auto"/>
          </w:tcPr>
          <w:p w:rsidR="00DF2F8B" w:rsidRPr="0012760D" w:rsidRDefault="00DF2F8B" w:rsidP="001B3A3E">
            <w:pPr>
              <w:jc w:val="right"/>
              <w:rPr>
                <w:sz w:val="24"/>
                <w:szCs w:val="24"/>
              </w:rPr>
            </w:pPr>
            <w:r w:rsidRPr="0012760D">
              <w:rPr>
                <w:sz w:val="24"/>
                <w:szCs w:val="24"/>
              </w:rPr>
              <w:t>6</w:t>
            </w:r>
          </w:p>
        </w:tc>
        <w:tc>
          <w:tcPr>
            <w:tcW w:w="858" w:type="pct"/>
            <w:shd w:val="clear" w:color="auto" w:fill="auto"/>
          </w:tcPr>
          <w:p w:rsidR="00DF2F8B" w:rsidRPr="0012760D" w:rsidRDefault="00DF2F8B" w:rsidP="001B3A3E">
            <w:pPr>
              <w:jc w:val="right"/>
              <w:rPr>
                <w:sz w:val="24"/>
                <w:szCs w:val="24"/>
              </w:rPr>
            </w:pPr>
            <w:r w:rsidRPr="0012760D">
              <w:rPr>
                <w:sz w:val="24"/>
                <w:szCs w:val="24"/>
              </w:rPr>
              <w:t>42</w:t>
            </w:r>
          </w:p>
        </w:tc>
        <w:tc>
          <w:tcPr>
            <w:tcW w:w="499" w:type="pct"/>
            <w:gridSpan w:val="2"/>
            <w:shd w:val="clear" w:color="auto" w:fill="auto"/>
          </w:tcPr>
          <w:p w:rsidR="00DF2F8B" w:rsidRPr="0012760D" w:rsidRDefault="00DF2F8B" w:rsidP="001B3A3E">
            <w:pPr>
              <w:jc w:val="right"/>
              <w:rPr>
                <w:sz w:val="24"/>
                <w:szCs w:val="24"/>
              </w:rPr>
            </w:pPr>
            <w:r w:rsidRPr="0012760D">
              <w:rPr>
                <w:sz w:val="24"/>
                <w:szCs w:val="24"/>
              </w:rPr>
              <w:t>41</w:t>
            </w:r>
          </w:p>
        </w:tc>
        <w:tc>
          <w:tcPr>
            <w:tcW w:w="690" w:type="pct"/>
            <w:shd w:val="clear" w:color="auto" w:fill="auto"/>
          </w:tcPr>
          <w:p w:rsidR="00DF2F8B" w:rsidRPr="0012760D" w:rsidRDefault="00DF2F8B" w:rsidP="001B3A3E">
            <w:pPr>
              <w:jc w:val="right"/>
              <w:rPr>
                <w:sz w:val="24"/>
                <w:szCs w:val="24"/>
              </w:rPr>
            </w:pPr>
            <w:r w:rsidRPr="0012760D">
              <w:rPr>
                <w:sz w:val="24"/>
                <w:szCs w:val="24"/>
              </w:rPr>
              <w:t>6</w:t>
            </w:r>
          </w:p>
        </w:tc>
      </w:tr>
      <w:tr w:rsidR="00DF2F8B" w:rsidRPr="0012760D" w:rsidTr="001B3A3E">
        <w:tblPrEx>
          <w:tblCellMar>
            <w:top w:w="0" w:type="dxa"/>
            <w:bottom w:w="0" w:type="dxa"/>
          </w:tblCellMar>
        </w:tblPrEx>
        <w:trPr>
          <w:trHeight w:val="269"/>
        </w:trPr>
        <w:tc>
          <w:tcPr>
            <w:tcW w:w="904" w:type="pct"/>
            <w:shd w:val="clear" w:color="auto" w:fill="auto"/>
          </w:tcPr>
          <w:p w:rsidR="00DF2F8B" w:rsidRPr="0012760D" w:rsidRDefault="00DF2F8B" w:rsidP="001B3A3E">
            <w:pPr>
              <w:rPr>
                <w:sz w:val="24"/>
                <w:szCs w:val="24"/>
              </w:rPr>
            </w:pPr>
            <w:r w:rsidRPr="0012760D">
              <w:rPr>
                <w:sz w:val="24"/>
                <w:szCs w:val="24"/>
              </w:rPr>
              <w:t>Female</w:t>
            </w:r>
          </w:p>
        </w:tc>
        <w:tc>
          <w:tcPr>
            <w:tcW w:w="677" w:type="pct"/>
            <w:shd w:val="clear" w:color="auto" w:fill="auto"/>
          </w:tcPr>
          <w:p w:rsidR="00DF2F8B" w:rsidRPr="0012760D" w:rsidRDefault="00DF2F8B" w:rsidP="001B3A3E">
            <w:pPr>
              <w:jc w:val="right"/>
              <w:rPr>
                <w:sz w:val="24"/>
                <w:szCs w:val="24"/>
              </w:rPr>
            </w:pPr>
            <w:r w:rsidRPr="0012760D">
              <w:rPr>
                <w:sz w:val="24"/>
                <w:szCs w:val="24"/>
              </w:rPr>
              <w:t>55</w:t>
            </w:r>
          </w:p>
        </w:tc>
        <w:tc>
          <w:tcPr>
            <w:tcW w:w="651" w:type="pct"/>
            <w:gridSpan w:val="2"/>
            <w:shd w:val="clear" w:color="auto" w:fill="auto"/>
          </w:tcPr>
          <w:p w:rsidR="00DF2F8B" w:rsidRPr="0012760D" w:rsidRDefault="00DF2F8B" w:rsidP="001B3A3E">
            <w:pPr>
              <w:jc w:val="right"/>
              <w:rPr>
                <w:sz w:val="24"/>
                <w:szCs w:val="24"/>
              </w:rPr>
            </w:pPr>
            <w:r w:rsidRPr="0012760D">
              <w:rPr>
                <w:sz w:val="24"/>
                <w:szCs w:val="24"/>
              </w:rPr>
              <w:t>48.5</w:t>
            </w:r>
          </w:p>
        </w:tc>
        <w:tc>
          <w:tcPr>
            <w:tcW w:w="721" w:type="pct"/>
            <w:shd w:val="clear" w:color="auto" w:fill="auto"/>
          </w:tcPr>
          <w:p w:rsidR="00DF2F8B" w:rsidRPr="0012760D" w:rsidRDefault="00DF2F8B" w:rsidP="001B3A3E">
            <w:pPr>
              <w:jc w:val="right"/>
              <w:rPr>
                <w:sz w:val="24"/>
                <w:szCs w:val="24"/>
              </w:rPr>
            </w:pPr>
            <w:r w:rsidRPr="0012760D">
              <w:rPr>
                <w:sz w:val="24"/>
                <w:szCs w:val="24"/>
              </w:rPr>
              <w:t>11.8</w:t>
            </w:r>
          </w:p>
        </w:tc>
        <w:tc>
          <w:tcPr>
            <w:tcW w:w="858" w:type="pct"/>
            <w:shd w:val="clear" w:color="auto" w:fill="auto"/>
          </w:tcPr>
          <w:p w:rsidR="00DF2F8B" w:rsidRPr="0012760D" w:rsidRDefault="00DF2F8B" w:rsidP="001B3A3E">
            <w:pPr>
              <w:jc w:val="right"/>
              <w:rPr>
                <w:sz w:val="24"/>
                <w:szCs w:val="24"/>
              </w:rPr>
            </w:pPr>
            <w:r w:rsidRPr="0012760D">
              <w:rPr>
                <w:sz w:val="24"/>
                <w:szCs w:val="24"/>
              </w:rPr>
              <w:t>59</w:t>
            </w:r>
          </w:p>
        </w:tc>
        <w:tc>
          <w:tcPr>
            <w:tcW w:w="499" w:type="pct"/>
            <w:gridSpan w:val="2"/>
            <w:shd w:val="clear" w:color="auto" w:fill="auto"/>
          </w:tcPr>
          <w:p w:rsidR="00DF2F8B" w:rsidRPr="0012760D" w:rsidRDefault="00DF2F8B" w:rsidP="001B3A3E">
            <w:pPr>
              <w:jc w:val="right"/>
              <w:rPr>
                <w:sz w:val="24"/>
                <w:szCs w:val="24"/>
              </w:rPr>
            </w:pPr>
            <w:r w:rsidRPr="0012760D">
              <w:rPr>
                <w:sz w:val="24"/>
                <w:szCs w:val="24"/>
              </w:rPr>
              <w:t>53</w:t>
            </w:r>
          </w:p>
        </w:tc>
        <w:tc>
          <w:tcPr>
            <w:tcW w:w="690" w:type="pct"/>
            <w:shd w:val="clear" w:color="auto" w:fill="auto"/>
          </w:tcPr>
          <w:p w:rsidR="00DF2F8B" w:rsidRPr="0012760D" w:rsidRDefault="00DF2F8B" w:rsidP="001B3A3E">
            <w:pPr>
              <w:jc w:val="right"/>
              <w:rPr>
                <w:sz w:val="24"/>
                <w:szCs w:val="24"/>
              </w:rPr>
            </w:pPr>
            <w:r w:rsidRPr="0012760D">
              <w:rPr>
                <w:sz w:val="24"/>
                <w:szCs w:val="24"/>
              </w:rPr>
              <w:t>12</w:t>
            </w:r>
          </w:p>
        </w:tc>
      </w:tr>
      <w:tr w:rsidR="00DF2F8B" w:rsidRPr="0012760D" w:rsidTr="001B3A3E">
        <w:tblPrEx>
          <w:tblCellMar>
            <w:top w:w="0" w:type="dxa"/>
            <w:bottom w:w="0" w:type="dxa"/>
          </w:tblCellMar>
        </w:tblPrEx>
        <w:trPr>
          <w:trHeight w:val="250"/>
        </w:trPr>
        <w:tc>
          <w:tcPr>
            <w:tcW w:w="5000" w:type="pct"/>
            <w:gridSpan w:val="9"/>
            <w:shd w:val="clear" w:color="auto" w:fill="auto"/>
          </w:tcPr>
          <w:p w:rsidR="00DF2F8B" w:rsidRPr="0012760D" w:rsidRDefault="00DF2F8B" w:rsidP="001B3A3E">
            <w:pPr>
              <w:rPr>
                <w:sz w:val="24"/>
                <w:szCs w:val="24"/>
              </w:rPr>
            </w:pPr>
            <w:r w:rsidRPr="0012760D">
              <w:rPr>
                <w:bCs/>
                <w:sz w:val="24"/>
                <w:szCs w:val="24"/>
              </w:rPr>
              <w:t>Total Age</w:t>
            </w:r>
          </w:p>
        </w:tc>
      </w:tr>
      <w:tr w:rsidR="00DF2F8B" w:rsidRPr="0012760D" w:rsidTr="001B3A3E">
        <w:tblPrEx>
          <w:tblCellMar>
            <w:top w:w="0" w:type="dxa"/>
            <w:bottom w:w="0" w:type="dxa"/>
          </w:tblCellMar>
        </w:tblPrEx>
        <w:trPr>
          <w:trHeight w:val="283"/>
        </w:trPr>
        <w:tc>
          <w:tcPr>
            <w:tcW w:w="904" w:type="pct"/>
            <w:shd w:val="clear" w:color="auto" w:fill="auto"/>
          </w:tcPr>
          <w:p w:rsidR="00DF2F8B" w:rsidRPr="0012760D" w:rsidRDefault="00DF2F8B" w:rsidP="001B3A3E">
            <w:pPr>
              <w:rPr>
                <w:sz w:val="24"/>
                <w:szCs w:val="24"/>
              </w:rPr>
            </w:pPr>
            <w:r w:rsidRPr="0012760D">
              <w:rPr>
                <w:sz w:val="24"/>
                <w:szCs w:val="24"/>
              </w:rPr>
              <w:t>Under 25</w:t>
            </w:r>
          </w:p>
        </w:tc>
        <w:tc>
          <w:tcPr>
            <w:tcW w:w="677" w:type="pct"/>
            <w:shd w:val="clear" w:color="auto" w:fill="auto"/>
          </w:tcPr>
          <w:p w:rsidR="00DF2F8B" w:rsidRPr="0012760D" w:rsidRDefault="00DF2F8B" w:rsidP="001B3A3E">
            <w:pPr>
              <w:jc w:val="right"/>
              <w:rPr>
                <w:sz w:val="24"/>
                <w:szCs w:val="24"/>
              </w:rPr>
            </w:pPr>
            <w:r w:rsidRPr="0012760D">
              <w:rPr>
                <w:sz w:val="24"/>
                <w:szCs w:val="24"/>
              </w:rPr>
              <w:t>0</w:t>
            </w:r>
          </w:p>
        </w:tc>
        <w:tc>
          <w:tcPr>
            <w:tcW w:w="651" w:type="pct"/>
            <w:gridSpan w:val="2"/>
            <w:shd w:val="clear" w:color="auto" w:fill="auto"/>
          </w:tcPr>
          <w:p w:rsidR="00DF2F8B" w:rsidRPr="0012760D" w:rsidRDefault="00DF2F8B" w:rsidP="001B3A3E">
            <w:pPr>
              <w:jc w:val="right"/>
              <w:rPr>
                <w:sz w:val="24"/>
                <w:szCs w:val="24"/>
              </w:rPr>
            </w:pPr>
            <w:r w:rsidRPr="0012760D">
              <w:rPr>
                <w:sz w:val="24"/>
                <w:szCs w:val="24"/>
              </w:rPr>
              <w:t>0</w:t>
            </w:r>
          </w:p>
        </w:tc>
        <w:tc>
          <w:tcPr>
            <w:tcW w:w="721" w:type="pct"/>
            <w:shd w:val="clear" w:color="auto" w:fill="auto"/>
          </w:tcPr>
          <w:p w:rsidR="00DF2F8B" w:rsidRPr="0012760D" w:rsidRDefault="00DF2F8B" w:rsidP="001B3A3E">
            <w:pPr>
              <w:jc w:val="right"/>
              <w:rPr>
                <w:sz w:val="24"/>
                <w:szCs w:val="24"/>
              </w:rPr>
            </w:pPr>
            <w:r w:rsidRPr="0012760D">
              <w:rPr>
                <w:sz w:val="24"/>
                <w:szCs w:val="24"/>
              </w:rPr>
              <w:t>0</w:t>
            </w:r>
          </w:p>
        </w:tc>
        <w:tc>
          <w:tcPr>
            <w:tcW w:w="858" w:type="pct"/>
            <w:shd w:val="clear" w:color="auto" w:fill="auto"/>
          </w:tcPr>
          <w:p w:rsidR="00DF2F8B" w:rsidRPr="0012760D" w:rsidRDefault="00DF2F8B" w:rsidP="001B3A3E">
            <w:pPr>
              <w:jc w:val="right"/>
              <w:rPr>
                <w:sz w:val="24"/>
                <w:szCs w:val="24"/>
              </w:rPr>
            </w:pPr>
            <w:r w:rsidRPr="0012760D">
              <w:rPr>
                <w:sz w:val="24"/>
                <w:szCs w:val="24"/>
              </w:rPr>
              <w:t>0</w:t>
            </w:r>
          </w:p>
        </w:tc>
        <w:tc>
          <w:tcPr>
            <w:tcW w:w="499" w:type="pct"/>
            <w:gridSpan w:val="2"/>
            <w:shd w:val="clear" w:color="auto" w:fill="auto"/>
          </w:tcPr>
          <w:p w:rsidR="00DF2F8B" w:rsidRPr="0012760D" w:rsidRDefault="00DF2F8B" w:rsidP="001B3A3E">
            <w:pPr>
              <w:jc w:val="right"/>
              <w:rPr>
                <w:sz w:val="24"/>
                <w:szCs w:val="24"/>
              </w:rPr>
            </w:pPr>
            <w:r w:rsidRPr="0012760D">
              <w:rPr>
                <w:sz w:val="24"/>
                <w:szCs w:val="24"/>
              </w:rPr>
              <w:t>0</w:t>
            </w:r>
          </w:p>
        </w:tc>
        <w:tc>
          <w:tcPr>
            <w:tcW w:w="690" w:type="pct"/>
            <w:shd w:val="clear" w:color="auto" w:fill="auto"/>
          </w:tcPr>
          <w:p w:rsidR="00DF2F8B" w:rsidRPr="0012760D" w:rsidRDefault="00DF2F8B" w:rsidP="001B3A3E">
            <w:pPr>
              <w:jc w:val="right"/>
              <w:rPr>
                <w:sz w:val="24"/>
                <w:szCs w:val="24"/>
              </w:rPr>
            </w:pPr>
            <w:r w:rsidRPr="0012760D">
              <w:rPr>
                <w:sz w:val="24"/>
                <w:szCs w:val="24"/>
              </w:rPr>
              <w:t>0</w:t>
            </w:r>
          </w:p>
        </w:tc>
      </w:tr>
      <w:tr w:rsidR="00DF2F8B" w:rsidRPr="0012760D" w:rsidTr="001B3A3E">
        <w:tblPrEx>
          <w:tblCellMar>
            <w:top w:w="0" w:type="dxa"/>
            <w:bottom w:w="0" w:type="dxa"/>
          </w:tblCellMar>
        </w:tblPrEx>
        <w:trPr>
          <w:trHeight w:val="288"/>
        </w:trPr>
        <w:tc>
          <w:tcPr>
            <w:tcW w:w="904" w:type="pct"/>
            <w:shd w:val="clear" w:color="auto" w:fill="auto"/>
          </w:tcPr>
          <w:p w:rsidR="00DF2F8B" w:rsidRPr="0012760D" w:rsidRDefault="00DF2F8B" w:rsidP="001B3A3E">
            <w:pPr>
              <w:rPr>
                <w:sz w:val="24"/>
                <w:szCs w:val="24"/>
              </w:rPr>
            </w:pPr>
            <w:r w:rsidRPr="0012760D">
              <w:rPr>
                <w:sz w:val="24"/>
                <w:szCs w:val="24"/>
              </w:rPr>
              <w:t>25 to 34</w:t>
            </w:r>
          </w:p>
        </w:tc>
        <w:tc>
          <w:tcPr>
            <w:tcW w:w="677" w:type="pct"/>
            <w:shd w:val="clear" w:color="auto" w:fill="auto"/>
          </w:tcPr>
          <w:p w:rsidR="00DF2F8B" w:rsidRPr="0012760D" w:rsidRDefault="00DF2F8B" w:rsidP="001B3A3E">
            <w:pPr>
              <w:jc w:val="right"/>
              <w:rPr>
                <w:sz w:val="24"/>
                <w:szCs w:val="24"/>
              </w:rPr>
            </w:pPr>
            <w:r w:rsidRPr="0012760D">
              <w:rPr>
                <w:sz w:val="24"/>
                <w:szCs w:val="24"/>
              </w:rPr>
              <w:t>20</w:t>
            </w:r>
          </w:p>
        </w:tc>
        <w:tc>
          <w:tcPr>
            <w:tcW w:w="651" w:type="pct"/>
            <w:gridSpan w:val="2"/>
            <w:shd w:val="clear" w:color="auto" w:fill="auto"/>
          </w:tcPr>
          <w:p w:rsidR="00DF2F8B" w:rsidRPr="0012760D" w:rsidRDefault="00DF2F8B" w:rsidP="001B3A3E">
            <w:pPr>
              <w:jc w:val="right"/>
              <w:rPr>
                <w:sz w:val="24"/>
                <w:szCs w:val="24"/>
              </w:rPr>
            </w:pPr>
            <w:r w:rsidRPr="0012760D">
              <w:rPr>
                <w:sz w:val="24"/>
                <w:szCs w:val="24"/>
              </w:rPr>
              <w:t>19.8</w:t>
            </w:r>
          </w:p>
        </w:tc>
        <w:tc>
          <w:tcPr>
            <w:tcW w:w="721" w:type="pct"/>
            <w:shd w:val="clear" w:color="auto" w:fill="auto"/>
          </w:tcPr>
          <w:p w:rsidR="00DF2F8B" w:rsidRPr="0012760D" w:rsidRDefault="00DF2F8B" w:rsidP="001B3A3E">
            <w:pPr>
              <w:jc w:val="right"/>
              <w:rPr>
                <w:sz w:val="24"/>
                <w:szCs w:val="24"/>
              </w:rPr>
            </w:pPr>
            <w:r w:rsidRPr="0012760D">
              <w:rPr>
                <w:sz w:val="24"/>
                <w:szCs w:val="24"/>
              </w:rPr>
              <w:t>5.8</w:t>
            </w:r>
          </w:p>
        </w:tc>
        <w:tc>
          <w:tcPr>
            <w:tcW w:w="858" w:type="pct"/>
            <w:shd w:val="clear" w:color="auto" w:fill="auto"/>
          </w:tcPr>
          <w:p w:rsidR="00DF2F8B" w:rsidRPr="0012760D" w:rsidRDefault="00DF2F8B" w:rsidP="001B3A3E">
            <w:pPr>
              <w:jc w:val="right"/>
              <w:rPr>
                <w:sz w:val="24"/>
                <w:szCs w:val="24"/>
              </w:rPr>
            </w:pPr>
            <w:r w:rsidRPr="0012760D">
              <w:rPr>
                <w:sz w:val="24"/>
                <w:szCs w:val="24"/>
              </w:rPr>
              <w:t>24</w:t>
            </w:r>
          </w:p>
        </w:tc>
        <w:tc>
          <w:tcPr>
            <w:tcW w:w="499" w:type="pct"/>
            <w:gridSpan w:val="2"/>
            <w:shd w:val="clear" w:color="auto" w:fill="auto"/>
          </w:tcPr>
          <w:p w:rsidR="00DF2F8B" w:rsidRPr="0012760D" w:rsidRDefault="00DF2F8B" w:rsidP="001B3A3E">
            <w:pPr>
              <w:jc w:val="right"/>
              <w:rPr>
                <w:sz w:val="24"/>
                <w:szCs w:val="24"/>
              </w:rPr>
            </w:pPr>
            <w:r w:rsidRPr="0012760D">
              <w:rPr>
                <w:sz w:val="24"/>
                <w:szCs w:val="24"/>
              </w:rPr>
              <w:t>23</w:t>
            </w:r>
          </w:p>
        </w:tc>
        <w:tc>
          <w:tcPr>
            <w:tcW w:w="690" w:type="pct"/>
            <w:shd w:val="clear" w:color="auto" w:fill="auto"/>
          </w:tcPr>
          <w:p w:rsidR="00DF2F8B" w:rsidRPr="0012760D" w:rsidRDefault="00DF2F8B" w:rsidP="001B3A3E">
            <w:pPr>
              <w:jc w:val="right"/>
              <w:rPr>
                <w:sz w:val="24"/>
                <w:szCs w:val="24"/>
              </w:rPr>
            </w:pPr>
            <w:r w:rsidRPr="0012760D">
              <w:rPr>
                <w:sz w:val="24"/>
                <w:szCs w:val="24"/>
              </w:rPr>
              <w:t>7</w:t>
            </w:r>
          </w:p>
        </w:tc>
      </w:tr>
      <w:tr w:rsidR="00DF2F8B" w:rsidRPr="0012760D" w:rsidTr="001B3A3E">
        <w:tblPrEx>
          <w:tblCellMar>
            <w:top w:w="0" w:type="dxa"/>
            <w:bottom w:w="0" w:type="dxa"/>
          </w:tblCellMar>
        </w:tblPrEx>
        <w:trPr>
          <w:trHeight w:val="269"/>
        </w:trPr>
        <w:tc>
          <w:tcPr>
            <w:tcW w:w="904" w:type="pct"/>
            <w:shd w:val="clear" w:color="auto" w:fill="auto"/>
          </w:tcPr>
          <w:p w:rsidR="00DF2F8B" w:rsidRPr="0012760D" w:rsidRDefault="00DF2F8B" w:rsidP="001B3A3E">
            <w:pPr>
              <w:rPr>
                <w:sz w:val="24"/>
                <w:szCs w:val="24"/>
              </w:rPr>
            </w:pPr>
            <w:r w:rsidRPr="0012760D">
              <w:rPr>
                <w:sz w:val="24"/>
                <w:szCs w:val="24"/>
              </w:rPr>
              <w:t>35 to 44</w:t>
            </w:r>
          </w:p>
        </w:tc>
        <w:tc>
          <w:tcPr>
            <w:tcW w:w="677" w:type="pct"/>
            <w:shd w:val="clear" w:color="auto" w:fill="auto"/>
          </w:tcPr>
          <w:p w:rsidR="00DF2F8B" w:rsidRPr="0012760D" w:rsidRDefault="00DF2F8B" w:rsidP="001B3A3E">
            <w:pPr>
              <w:jc w:val="right"/>
              <w:rPr>
                <w:sz w:val="24"/>
                <w:szCs w:val="24"/>
              </w:rPr>
            </w:pPr>
            <w:r w:rsidRPr="0012760D">
              <w:rPr>
                <w:sz w:val="24"/>
                <w:szCs w:val="24"/>
              </w:rPr>
              <w:t>36</w:t>
            </w:r>
          </w:p>
        </w:tc>
        <w:tc>
          <w:tcPr>
            <w:tcW w:w="651" w:type="pct"/>
            <w:gridSpan w:val="2"/>
            <w:shd w:val="clear" w:color="auto" w:fill="auto"/>
          </w:tcPr>
          <w:p w:rsidR="00DF2F8B" w:rsidRPr="0012760D" w:rsidRDefault="00DF2F8B" w:rsidP="001B3A3E">
            <w:pPr>
              <w:jc w:val="right"/>
              <w:rPr>
                <w:sz w:val="24"/>
                <w:szCs w:val="24"/>
              </w:rPr>
            </w:pPr>
            <w:r w:rsidRPr="0012760D">
              <w:rPr>
                <w:sz w:val="24"/>
                <w:szCs w:val="24"/>
              </w:rPr>
              <w:t>31.3</w:t>
            </w:r>
          </w:p>
        </w:tc>
        <w:tc>
          <w:tcPr>
            <w:tcW w:w="721" w:type="pct"/>
            <w:shd w:val="clear" w:color="auto" w:fill="auto"/>
          </w:tcPr>
          <w:p w:rsidR="00DF2F8B" w:rsidRPr="0012760D" w:rsidRDefault="00DF2F8B" w:rsidP="001B3A3E">
            <w:pPr>
              <w:jc w:val="right"/>
              <w:rPr>
                <w:sz w:val="24"/>
                <w:szCs w:val="24"/>
              </w:rPr>
            </w:pPr>
            <w:r w:rsidRPr="0012760D">
              <w:rPr>
                <w:sz w:val="24"/>
                <w:szCs w:val="24"/>
              </w:rPr>
              <w:t>8</w:t>
            </w:r>
          </w:p>
        </w:tc>
        <w:tc>
          <w:tcPr>
            <w:tcW w:w="858" w:type="pct"/>
            <w:shd w:val="clear" w:color="auto" w:fill="auto"/>
          </w:tcPr>
          <w:p w:rsidR="00DF2F8B" w:rsidRPr="0012760D" w:rsidRDefault="00DF2F8B" w:rsidP="001B3A3E">
            <w:pPr>
              <w:jc w:val="right"/>
              <w:rPr>
                <w:sz w:val="24"/>
                <w:szCs w:val="24"/>
              </w:rPr>
            </w:pPr>
            <w:r w:rsidRPr="0012760D">
              <w:rPr>
                <w:sz w:val="24"/>
                <w:szCs w:val="24"/>
              </w:rPr>
              <w:t>37</w:t>
            </w:r>
          </w:p>
        </w:tc>
        <w:tc>
          <w:tcPr>
            <w:tcW w:w="499" w:type="pct"/>
            <w:gridSpan w:val="2"/>
            <w:shd w:val="clear" w:color="auto" w:fill="auto"/>
          </w:tcPr>
          <w:p w:rsidR="00DF2F8B" w:rsidRPr="0012760D" w:rsidRDefault="00DF2F8B" w:rsidP="001B3A3E">
            <w:pPr>
              <w:jc w:val="right"/>
              <w:rPr>
                <w:sz w:val="24"/>
                <w:szCs w:val="24"/>
              </w:rPr>
            </w:pPr>
            <w:r w:rsidRPr="0012760D">
              <w:rPr>
                <w:sz w:val="24"/>
                <w:szCs w:val="24"/>
              </w:rPr>
              <w:t>33</w:t>
            </w:r>
          </w:p>
        </w:tc>
        <w:tc>
          <w:tcPr>
            <w:tcW w:w="690" w:type="pct"/>
            <w:shd w:val="clear" w:color="auto" w:fill="auto"/>
          </w:tcPr>
          <w:p w:rsidR="00DF2F8B" w:rsidRPr="0012760D" w:rsidRDefault="00DF2F8B" w:rsidP="001B3A3E">
            <w:pPr>
              <w:jc w:val="right"/>
              <w:rPr>
                <w:sz w:val="24"/>
                <w:szCs w:val="24"/>
              </w:rPr>
            </w:pPr>
            <w:r w:rsidRPr="0012760D">
              <w:rPr>
                <w:sz w:val="24"/>
                <w:szCs w:val="24"/>
              </w:rPr>
              <w:t>7</w:t>
            </w:r>
          </w:p>
        </w:tc>
      </w:tr>
      <w:tr w:rsidR="00DF2F8B" w:rsidRPr="0012760D" w:rsidTr="001B3A3E">
        <w:tblPrEx>
          <w:tblCellMar>
            <w:top w:w="0" w:type="dxa"/>
            <w:bottom w:w="0" w:type="dxa"/>
          </w:tblCellMar>
        </w:tblPrEx>
        <w:trPr>
          <w:trHeight w:val="264"/>
        </w:trPr>
        <w:tc>
          <w:tcPr>
            <w:tcW w:w="904" w:type="pct"/>
            <w:shd w:val="clear" w:color="auto" w:fill="auto"/>
          </w:tcPr>
          <w:p w:rsidR="00DF2F8B" w:rsidRPr="0012760D" w:rsidRDefault="00DF2F8B" w:rsidP="001B3A3E">
            <w:pPr>
              <w:rPr>
                <w:sz w:val="24"/>
                <w:szCs w:val="24"/>
              </w:rPr>
            </w:pPr>
            <w:r w:rsidRPr="0012760D">
              <w:rPr>
                <w:sz w:val="24"/>
                <w:szCs w:val="24"/>
              </w:rPr>
              <w:t>45 to 54</w:t>
            </w:r>
          </w:p>
        </w:tc>
        <w:tc>
          <w:tcPr>
            <w:tcW w:w="677" w:type="pct"/>
            <w:shd w:val="clear" w:color="auto" w:fill="auto"/>
          </w:tcPr>
          <w:p w:rsidR="00DF2F8B" w:rsidRPr="0012760D" w:rsidRDefault="00DF2F8B" w:rsidP="001B3A3E">
            <w:pPr>
              <w:jc w:val="right"/>
              <w:rPr>
                <w:sz w:val="24"/>
                <w:szCs w:val="24"/>
              </w:rPr>
            </w:pPr>
            <w:r w:rsidRPr="0012760D">
              <w:rPr>
                <w:sz w:val="24"/>
                <w:szCs w:val="24"/>
              </w:rPr>
              <w:t>22</w:t>
            </w:r>
          </w:p>
        </w:tc>
        <w:tc>
          <w:tcPr>
            <w:tcW w:w="651" w:type="pct"/>
            <w:gridSpan w:val="2"/>
            <w:shd w:val="clear" w:color="auto" w:fill="auto"/>
          </w:tcPr>
          <w:p w:rsidR="00DF2F8B" w:rsidRPr="0012760D" w:rsidRDefault="00DF2F8B" w:rsidP="001B3A3E">
            <w:pPr>
              <w:jc w:val="right"/>
              <w:rPr>
                <w:sz w:val="24"/>
                <w:szCs w:val="24"/>
              </w:rPr>
            </w:pPr>
            <w:r w:rsidRPr="0012760D">
              <w:rPr>
                <w:sz w:val="24"/>
                <w:szCs w:val="24"/>
              </w:rPr>
              <w:t>20.8</w:t>
            </w:r>
          </w:p>
        </w:tc>
        <w:tc>
          <w:tcPr>
            <w:tcW w:w="721" w:type="pct"/>
            <w:shd w:val="clear" w:color="auto" w:fill="auto"/>
          </w:tcPr>
          <w:p w:rsidR="00DF2F8B" w:rsidRPr="0012760D" w:rsidRDefault="00DF2F8B" w:rsidP="001B3A3E">
            <w:pPr>
              <w:jc w:val="right"/>
              <w:rPr>
                <w:sz w:val="24"/>
                <w:szCs w:val="24"/>
              </w:rPr>
            </w:pPr>
            <w:r w:rsidRPr="0012760D">
              <w:rPr>
                <w:sz w:val="24"/>
                <w:szCs w:val="24"/>
              </w:rPr>
              <w:t>1</w:t>
            </w:r>
          </w:p>
        </w:tc>
        <w:tc>
          <w:tcPr>
            <w:tcW w:w="858" w:type="pct"/>
            <w:shd w:val="clear" w:color="auto" w:fill="auto"/>
          </w:tcPr>
          <w:p w:rsidR="00DF2F8B" w:rsidRPr="0012760D" w:rsidRDefault="00DF2F8B" w:rsidP="001B3A3E">
            <w:pPr>
              <w:jc w:val="right"/>
              <w:rPr>
                <w:sz w:val="24"/>
                <w:szCs w:val="24"/>
              </w:rPr>
            </w:pPr>
            <w:r w:rsidRPr="0012760D">
              <w:rPr>
                <w:sz w:val="24"/>
                <w:szCs w:val="24"/>
              </w:rPr>
              <w:t>25</w:t>
            </w:r>
          </w:p>
        </w:tc>
        <w:tc>
          <w:tcPr>
            <w:tcW w:w="499" w:type="pct"/>
            <w:gridSpan w:val="2"/>
            <w:shd w:val="clear" w:color="auto" w:fill="auto"/>
          </w:tcPr>
          <w:p w:rsidR="00DF2F8B" w:rsidRPr="0012760D" w:rsidRDefault="00DF2F8B" w:rsidP="001B3A3E">
            <w:pPr>
              <w:jc w:val="right"/>
              <w:rPr>
                <w:sz w:val="24"/>
                <w:szCs w:val="24"/>
              </w:rPr>
            </w:pPr>
            <w:r w:rsidRPr="0012760D">
              <w:rPr>
                <w:sz w:val="24"/>
                <w:szCs w:val="24"/>
              </w:rPr>
              <w:t>24</w:t>
            </w:r>
          </w:p>
        </w:tc>
        <w:tc>
          <w:tcPr>
            <w:tcW w:w="690" w:type="pct"/>
            <w:shd w:val="clear" w:color="auto" w:fill="auto"/>
          </w:tcPr>
          <w:p w:rsidR="00DF2F8B" w:rsidRPr="0012760D" w:rsidRDefault="00DF2F8B" w:rsidP="001B3A3E">
            <w:pPr>
              <w:jc w:val="right"/>
              <w:rPr>
                <w:sz w:val="24"/>
                <w:szCs w:val="24"/>
              </w:rPr>
            </w:pPr>
            <w:r w:rsidRPr="0012760D">
              <w:rPr>
                <w:sz w:val="24"/>
                <w:szCs w:val="24"/>
              </w:rPr>
              <w:t>1</w:t>
            </w:r>
          </w:p>
        </w:tc>
      </w:tr>
      <w:tr w:rsidR="00DF2F8B" w:rsidRPr="0012760D" w:rsidTr="001B3A3E">
        <w:tblPrEx>
          <w:tblCellMar>
            <w:top w:w="0" w:type="dxa"/>
            <w:bottom w:w="0" w:type="dxa"/>
          </w:tblCellMar>
        </w:tblPrEx>
        <w:trPr>
          <w:trHeight w:val="269"/>
        </w:trPr>
        <w:tc>
          <w:tcPr>
            <w:tcW w:w="904" w:type="pct"/>
            <w:shd w:val="clear" w:color="auto" w:fill="auto"/>
          </w:tcPr>
          <w:p w:rsidR="00DF2F8B" w:rsidRPr="0012760D" w:rsidRDefault="00DF2F8B" w:rsidP="001B3A3E">
            <w:pPr>
              <w:rPr>
                <w:sz w:val="24"/>
                <w:szCs w:val="24"/>
              </w:rPr>
            </w:pPr>
            <w:r w:rsidRPr="0012760D">
              <w:rPr>
                <w:sz w:val="24"/>
                <w:szCs w:val="24"/>
              </w:rPr>
              <w:t>55 to 64</w:t>
            </w:r>
          </w:p>
        </w:tc>
        <w:tc>
          <w:tcPr>
            <w:tcW w:w="677" w:type="pct"/>
            <w:shd w:val="clear" w:color="auto" w:fill="auto"/>
          </w:tcPr>
          <w:p w:rsidR="00DF2F8B" w:rsidRPr="0012760D" w:rsidRDefault="00DF2F8B" w:rsidP="001B3A3E">
            <w:pPr>
              <w:jc w:val="right"/>
              <w:rPr>
                <w:sz w:val="24"/>
                <w:szCs w:val="24"/>
              </w:rPr>
            </w:pPr>
            <w:r w:rsidRPr="0012760D">
              <w:rPr>
                <w:sz w:val="24"/>
                <w:szCs w:val="24"/>
              </w:rPr>
              <w:t>15</w:t>
            </w:r>
          </w:p>
        </w:tc>
        <w:tc>
          <w:tcPr>
            <w:tcW w:w="651" w:type="pct"/>
            <w:gridSpan w:val="2"/>
            <w:shd w:val="clear" w:color="auto" w:fill="auto"/>
          </w:tcPr>
          <w:p w:rsidR="00DF2F8B" w:rsidRPr="0012760D" w:rsidRDefault="00DF2F8B" w:rsidP="001B3A3E">
            <w:pPr>
              <w:jc w:val="right"/>
              <w:rPr>
                <w:sz w:val="24"/>
                <w:szCs w:val="24"/>
              </w:rPr>
            </w:pPr>
            <w:r w:rsidRPr="0012760D">
              <w:rPr>
                <w:sz w:val="24"/>
                <w:szCs w:val="24"/>
              </w:rPr>
              <w:t>14.4</w:t>
            </w:r>
          </w:p>
        </w:tc>
        <w:tc>
          <w:tcPr>
            <w:tcW w:w="721" w:type="pct"/>
            <w:shd w:val="clear" w:color="auto" w:fill="auto"/>
          </w:tcPr>
          <w:p w:rsidR="00DF2F8B" w:rsidRPr="0012760D" w:rsidRDefault="00DF2F8B" w:rsidP="001B3A3E">
            <w:pPr>
              <w:jc w:val="right"/>
              <w:rPr>
                <w:sz w:val="24"/>
                <w:szCs w:val="24"/>
              </w:rPr>
            </w:pPr>
            <w:r w:rsidRPr="0012760D">
              <w:rPr>
                <w:sz w:val="24"/>
                <w:szCs w:val="24"/>
              </w:rPr>
              <w:t>3</w:t>
            </w:r>
          </w:p>
        </w:tc>
        <w:tc>
          <w:tcPr>
            <w:tcW w:w="858" w:type="pct"/>
            <w:shd w:val="clear" w:color="auto" w:fill="auto"/>
          </w:tcPr>
          <w:p w:rsidR="00DF2F8B" w:rsidRPr="0012760D" w:rsidRDefault="00DF2F8B" w:rsidP="001B3A3E">
            <w:pPr>
              <w:jc w:val="right"/>
              <w:rPr>
                <w:sz w:val="24"/>
                <w:szCs w:val="24"/>
              </w:rPr>
            </w:pPr>
            <w:r w:rsidRPr="0012760D">
              <w:rPr>
                <w:sz w:val="24"/>
                <w:szCs w:val="24"/>
              </w:rPr>
              <w:t>14</w:t>
            </w:r>
          </w:p>
        </w:tc>
        <w:tc>
          <w:tcPr>
            <w:tcW w:w="499" w:type="pct"/>
            <w:gridSpan w:val="2"/>
            <w:shd w:val="clear" w:color="auto" w:fill="auto"/>
          </w:tcPr>
          <w:p w:rsidR="00DF2F8B" w:rsidRPr="0012760D" w:rsidRDefault="00DF2F8B" w:rsidP="001B3A3E">
            <w:pPr>
              <w:jc w:val="right"/>
              <w:rPr>
                <w:sz w:val="24"/>
                <w:szCs w:val="24"/>
              </w:rPr>
            </w:pPr>
            <w:r w:rsidRPr="0012760D">
              <w:rPr>
                <w:sz w:val="24"/>
                <w:szCs w:val="24"/>
              </w:rPr>
              <w:t>13</w:t>
            </w:r>
          </w:p>
        </w:tc>
        <w:tc>
          <w:tcPr>
            <w:tcW w:w="690" w:type="pct"/>
            <w:shd w:val="clear" w:color="auto" w:fill="auto"/>
          </w:tcPr>
          <w:p w:rsidR="00DF2F8B" w:rsidRPr="0012760D" w:rsidRDefault="00DF2F8B" w:rsidP="001B3A3E">
            <w:pPr>
              <w:jc w:val="right"/>
              <w:rPr>
                <w:sz w:val="24"/>
                <w:szCs w:val="24"/>
              </w:rPr>
            </w:pPr>
            <w:r w:rsidRPr="0012760D">
              <w:rPr>
                <w:sz w:val="24"/>
                <w:szCs w:val="24"/>
              </w:rPr>
              <w:t>2</w:t>
            </w:r>
          </w:p>
        </w:tc>
      </w:tr>
      <w:tr w:rsidR="00DF2F8B" w:rsidRPr="0012760D" w:rsidTr="001B3A3E">
        <w:tblPrEx>
          <w:tblCellMar>
            <w:top w:w="0" w:type="dxa"/>
            <w:bottom w:w="0" w:type="dxa"/>
          </w:tblCellMar>
        </w:tblPrEx>
        <w:trPr>
          <w:trHeight w:val="269"/>
        </w:trPr>
        <w:tc>
          <w:tcPr>
            <w:tcW w:w="904" w:type="pct"/>
            <w:shd w:val="clear" w:color="auto" w:fill="auto"/>
          </w:tcPr>
          <w:p w:rsidR="00DF2F8B" w:rsidRPr="0012760D" w:rsidRDefault="00DF2F8B" w:rsidP="001B3A3E">
            <w:pPr>
              <w:rPr>
                <w:sz w:val="24"/>
                <w:szCs w:val="24"/>
              </w:rPr>
            </w:pPr>
            <w:r w:rsidRPr="0012760D">
              <w:rPr>
                <w:sz w:val="24"/>
                <w:szCs w:val="24"/>
              </w:rPr>
              <w:t>Over 64</w:t>
            </w:r>
          </w:p>
        </w:tc>
        <w:tc>
          <w:tcPr>
            <w:tcW w:w="677" w:type="pct"/>
            <w:shd w:val="clear" w:color="auto" w:fill="auto"/>
          </w:tcPr>
          <w:p w:rsidR="00DF2F8B" w:rsidRPr="0012760D" w:rsidRDefault="00DF2F8B" w:rsidP="001B3A3E">
            <w:pPr>
              <w:jc w:val="right"/>
              <w:rPr>
                <w:sz w:val="24"/>
                <w:szCs w:val="24"/>
              </w:rPr>
            </w:pPr>
            <w:r w:rsidRPr="0012760D">
              <w:rPr>
                <w:sz w:val="24"/>
                <w:szCs w:val="24"/>
              </w:rPr>
              <w:t>2</w:t>
            </w:r>
          </w:p>
        </w:tc>
        <w:tc>
          <w:tcPr>
            <w:tcW w:w="651" w:type="pct"/>
            <w:gridSpan w:val="2"/>
            <w:shd w:val="clear" w:color="auto" w:fill="auto"/>
          </w:tcPr>
          <w:p w:rsidR="00DF2F8B" w:rsidRPr="0012760D" w:rsidRDefault="00DF2F8B" w:rsidP="001B3A3E">
            <w:pPr>
              <w:jc w:val="right"/>
              <w:rPr>
                <w:sz w:val="24"/>
                <w:szCs w:val="24"/>
              </w:rPr>
            </w:pPr>
            <w:r w:rsidRPr="0012760D">
              <w:rPr>
                <w:sz w:val="24"/>
                <w:szCs w:val="24"/>
              </w:rPr>
              <w:t>1.6</w:t>
            </w:r>
          </w:p>
        </w:tc>
        <w:tc>
          <w:tcPr>
            <w:tcW w:w="721" w:type="pct"/>
            <w:shd w:val="clear" w:color="auto" w:fill="auto"/>
          </w:tcPr>
          <w:p w:rsidR="00DF2F8B" w:rsidRPr="0012760D" w:rsidRDefault="00DF2F8B" w:rsidP="001B3A3E">
            <w:pPr>
              <w:jc w:val="right"/>
              <w:rPr>
                <w:sz w:val="24"/>
                <w:szCs w:val="24"/>
              </w:rPr>
            </w:pPr>
            <w:r w:rsidRPr="0012760D">
              <w:rPr>
                <w:sz w:val="24"/>
                <w:szCs w:val="24"/>
              </w:rPr>
              <w:t>0</w:t>
            </w:r>
          </w:p>
        </w:tc>
        <w:tc>
          <w:tcPr>
            <w:tcW w:w="858" w:type="pct"/>
            <w:shd w:val="clear" w:color="auto" w:fill="auto"/>
          </w:tcPr>
          <w:p w:rsidR="00DF2F8B" w:rsidRPr="0012760D" w:rsidRDefault="00DF2F8B" w:rsidP="001B3A3E">
            <w:pPr>
              <w:jc w:val="right"/>
              <w:rPr>
                <w:sz w:val="24"/>
                <w:szCs w:val="24"/>
              </w:rPr>
            </w:pPr>
            <w:r w:rsidRPr="0012760D">
              <w:rPr>
                <w:sz w:val="24"/>
                <w:szCs w:val="24"/>
              </w:rPr>
              <w:t>1</w:t>
            </w:r>
          </w:p>
        </w:tc>
        <w:tc>
          <w:tcPr>
            <w:tcW w:w="499" w:type="pct"/>
            <w:gridSpan w:val="2"/>
            <w:shd w:val="clear" w:color="auto" w:fill="auto"/>
          </w:tcPr>
          <w:p w:rsidR="00DF2F8B" w:rsidRPr="0012760D" w:rsidRDefault="00DF2F8B" w:rsidP="001B3A3E">
            <w:pPr>
              <w:jc w:val="right"/>
              <w:rPr>
                <w:sz w:val="24"/>
                <w:szCs w:val="24"/>
              </w:rPr>
            </w:pPr>
            <w:r w:rsidRPr="0012760D">
              <w:rPr>
                <w:sz w:val="24"/>
                <w:szCs w:val="24"/>
              </w:rPr>
              <w:t>1</w:t>
            </w:r>
          </w:p>
        </w:tc>
        <w:tc>
          <w:tcPr>
            <w:tcW w:w="690" w:type="pct"/>
            <w:shd w:val="clear" w:color="auto" w:fill="auto"/>
          </w:tcPr>
          <w:p w:rsidR="00DF2F8B" w:rsidRPr="0012760D" w:rsidRDefault="00DF2F8B" w:rsidP="001B3A3E">
            <w:pPr>
              <w:jc w:val="right"/>
              <w:rPr>
                <w:sz w:val="24"/>
                <w:szCs w:val="24"/>
              </w:rPr>
            </w:pPr>
            <w:r w:rsidRPr="0012760D">
              <w:rPr>
                <w:sz w:val="24"/>
                <w:szCs w:val="24"/>
              </w:rPr>
              <w:t>1</w:t>
            </w:r>
          </w:p>
        </w:tc>
      </w:tr>
      <w:tr w:rsidR="00DF2F8B" w:rsidRPr="0012760D" w:rsidTr="001B3A3E">
        <w:tblPrEx>
          <w:tblCellMar>
            <w:top w:w="0" w:type="dxa"/>
            <w:bottom w:w="0" w:type="dxa"/>
          </w:tblCellMar>
        </w:tblPrEx>
        <w:trPr>
          <w:trHeight w:val="240"/>
        </w:trPr>
        <w:tc>
          <w:tcPr>
            <w:tcW w:w="5000" w:type="pct"/>
            <w:gridSpan w:val="9"/>
            <w:shd w:val="clear" w:color="auto" w:fill="auto"/>
          </w:tcPr>
          <w:p w:rsidR="00DF2F8B" w:rsidRPr="0012760D" w:rsidRDefault="00DF2F8B" w:rsidP="001B3A3E">
            <w:pPr>
              <w:rPr>
                <w:sz w:val="24"/>
                <w:szCs w:val="24"/>
              </w:rPr>
            </w:pPr>
            <w:r w:rsidRPr="0012760D">
              <w:rPr>
                <w:bCs/>
                <w:sz w:val="24"/>
                <w:szCs w:val="24"/>
              </w:rPr>
              <w:t>Total Classification</w:t>
            </w:r>
          </w:p>
        </w:tc>
      </w:tr>
      <w:tr w:rsidR="00DF2F8B" w:rsidRPr="0012760D" w:rsidTr="001B3A3E">
        <w:tblPrEx>
          <w:tblCellMar>
            <w:top w:w="0" w:type="dxa"/>
            <w:bottom w:w="0" w:type="dxa"/>
          </w:tblCellMar>
        </w:tblPrEx>
        <w:trPr>
          <w:trHeight w:val="264"/>
        </w:trPr>
        <w:tc>
          <w:tcPr>
            <w:tcW w:w="904" w:type="pct"/>
            <w:shd w:val="clear" w:color="auto" w:fill="auto"/>
          </w:tcPr>
          <w:p w:rsidR="00DF2F8B" w:rsidRPr="0012760D" w:rsidRDefault="00DF2F8B" w:rsidP="001B3A3E">
            <w:pPr>
              <w:rPr>
                <w:sz w:val="24"/>
                <w:szCs w:val="24"/>
              </w:rPr>
            </w:pPr>
            <w:r w:rsidRPr="0012760D">
              <w:rPr>
                <w:sz w:val="24"/>
                <w:szCs w:val="24"/>
              </w:rPr>
              <w:t>VPS 1</w:t>
            </w:r>
          </w:p>
        </w:tc>
        <w:tc>
          <w:tcPr>
            <w:tcW w:w="677" w:type="pct"/>
            <w:shd w:val="clear" w:color="auto" w:fill="auto"/>
          </w:tcPr>
          <w:p w:rsidR="00DF2F8B" w:rsidRPr="0012760D" w:rsidRDefault="00DF2F8B" w:rsidP="001B3A3E">
            <w:pPr>
              <w:jc w:val="right"/>
              <w:rPr>
                <w:sz w:val="24"/>
                <w:szCs w:val="24"/>
              </w:rPr>
            </w:pPr>
            <w:r w:rsidRPr="0012760D">
              <w:rPr>
                <w:sz w:val="24"/>
                <w:szCs w:val="24"/>
              </w:rPr>
              <w:t>0</w:t>
            </w:r>
          </w:p>
        </w:tc>
        <w:tc>
          <w:tcPr>
            <w:tcW w:w="651" w:type="pct"/>
            <w:gridSpan w:val="2"/>
            <w:shd w:val="clear" w:color="auto" w:fill="auto"/>
          </w:tcPr>
          <w:p w:rsidR="00DF2F8B" w:rsidRPr="0012760D" w:rsidRDefault="00DF2F8B" w:rsidP="001B3A3E">
            <w:pPr>
              <w:jc w:val="right"/>
              <w:rPr>
                <w:sz w:val="24"/>
                <w:szCs w:val="24"/>
              </w:rPr>
            </w:pPr>
            <w:r w:rsidRPr="0012760D">
              <w:rPr>
                <w:sz w:val="24"/>
                <w:szCs w:val="24"/>
              </w:rPr>
              <w:t>0</w:t>
            </w:r>
          </w:p>
        </w:tc>
        <w:tc>
          <w:tcPr>
            <w:tcW w:w="721" w:type="pct"/>
            <w:shd w:val="clear" w:color="auto" w:fill="auto"/>
          </w:tcPr>
          <w:p w:rsidR="00DF2F8B" w:rsidRPr="0012760D" w:rsidRDefault="00DF2F8B" w:rsidP="001B3A3E">
            <w:pPr>
              <w:jc w:val="right"/>
              <w:rPr>
                <w:sz w:val="24"/>
                <w:szCs w:val="24"/>
              </w:rPr>
            </w:pPr>
            <w:r w:rsidRPr="0012760D">
              <w:rPr>
                <w:sz w:val="24"/>
                <w:szCs w:val="24"/>
              </w:rPr>
              <w:t>0</w:t>
            </w:r>
          </w:p>
        </w:tc>
        <w:tc>
          <w:tcPr>
            <w:tcW w:w="858" w:type="pct"/>
            <w:shd w:val="clear" w:color="auto" w:fill="auto"/>
          </w:tcPr>
          <w:p w:rsidR="00DF2F8B" w:rsidRPr="0012760D" w:rsidRDefault="00DF2F8B" w:rsidP="001B3A3E">
            <w:pPr>
              <w:jc w:val="right"/>
              <w:rPr>
                <w:sz w:val="24"/>
                <w:szCs w:val="24"/>
              </w:rPr>
            </w:pPr>
            <w:r w:rsidRPr="0012760D">
              <w:rPr>
                <w:sz w:val="24"/>
                <w:szCs w:val="24"/>
              </w:rPr>
              <w:t>0</w:t>
            </w:r>
          </w:p>
        </w:tc>
        <w:tc>
          <w:tcPr>
            <w:tcW w:w="499" w:type="pct"/>
            <w:gridSpan w:val="2"/>
            <w:shd w:val="clear" w:color="auto" w:fill="auto"/>
          </w:tcPr>
          <w:p w:rsidR="00DF2F8B" w:rsidRPr="0012760D" w:rsidRDefault="00DF2F8B" w:rsidP="001B3A3E">
            <w:pPr>
              <w:jc w:val="right"/>
              <w:rPr>
                <w:sz w:val="24"/>
                <w:szCs w:val="24"/>
              </w:rPr>
            </w:pPr>
            <w:r w:rsidRPr="0012760D">
              <w:rPr>
                <w:sz w:val="24"/>
                <w:szCs w:val="24"/>
              </w:rPr>
              <w:t>0</w:t>
            </w:r>
          </w:p>
        </w:tc>
        <w:tc>
          <w:tcPr>
            <w:tcW w:w="690" w:type="pct"/>
            <w:shd w:val="clear" w:color="auto" w:fill="auto"/>
          </w:tcPr>
          <w:p w:rsidR="00DF2F8B" w:rsidRPr="0012760D" w:rsidRDefault="00DF2F8B" w:rsidP="001B3A3E">
            <w:pPr>
              <w:jc w:val="right"/>
              <w:rPr>
                <w:sz w:val="24"/>
                <w:szCs w:val="24"/>
              </w:rPr>
            </w:pPr>
            <w:r w:rsidRPr="0012760D">
              <w:rPr>
                <w:sz w:val="24"/>
                <w:szCs w:val="24"/>
              </w:rPr>
              <w:t>0</w:t>
            </w:r>
          </w:p>
        </w:tc>
      </w:tr>
      <w:tr w:rsidR="00DF2F8B" w:rsidRPr="0012760D" w:rsidTr="001B3A3E">
        <w:tblPrEx>
          <w:tblCellMar>
            <w:top w:w="0" w:type="dxa"/>
            <w:bottom w:w="0" w:type="dxa"/>
          </w:tblCellMar>
        </w:tblPrEx>
        <w:trPr>
          <w:trHeight w:val="269"/>
        </w:trPr>
        <w:tc>
          <w:tcPr>
            <w:tcW w:w="904" w:type="pct"/>
            <w:shd w:val="clear" w:color="auto" w:fill="auto"/>
          </w:tcPr>
          <w:p w:rsidR="00DF2F8B" w:rsidRPr="0012760D" w:rsidRDefault="00DF2F8B" w:rsidP="001B3A3E">
            <w:pPr>
              <w:rPr>
                <w:sz w:val="24"/>
                <w:szCs w:val="24"/>
              </w:rPr>
            </w:pPr>
            <w:r w:rsidRPr="0012760D">
              <w:rPr>
                <w:sz w:val="24"/>
                <w:szCs w:val="24"/>
              </w:rPr>
              <w:t>VPS 2</w:t>
            </w:r>
          </w:p>
        </w:tc>
        <w:tc>
          <w:tcPr>
            <w:tcW w:w="677" w:type="pct"/>
            <w:shd w:val="clear" w:color="auto" w:fill="auto"/>
          </w:tcPr>
          <w:p w:rsidR="00DF2F8B" w:rsidRPr="0012760D" w:rsidRDefault="00DF2F8B" w:rsidP="001B3A3E">
            <w:pPr>
              <w:jc w:val="right"/>
              <w:rPr>
                <w:sz w:val="24"/>
                <w:szCs w:val="24"/>
              </w:rPr>
            </w:pPr>
            <w:r w:rsidRPr="0012760D">
              <w:rPr>
                <w:sz w:val="24"/>
                <w:szCs w:val="24"/>
              </w:rPr>
              <w:t>0</w:t>
            </w:r>
          </w:p>
        </w:tc>
        <w:tc>
          <w:tcPr>
            <w:tcW w:w="651" w:type="pct"/>
            <w:gridSpan w:val="2"/>
            <w:shd w:val="clear" w:color="auto" w:fill="auto"/>
          </w:tcPr>
          <w:p w:rsidR="00DF2F8B" w:rsidRPr="0012760D" w:rsidRDefault="00DF2F8B" w:rsidP="001B3A3E">
            <w:pPr>
              <w:jc w:val="right"/>
              <w:rPr>
                <w:sz w:val="24"/>
                <w:szCs w:val="24"/>
              </w:rPr>
            </w:pPr>
            <w:r w:rsidRPr="0012760D">
              <w:rPr>
                <w:sz w:val="24"/>
                <w:szCs w:val="24"/>
              </w:rPr>
              <w:t>0</w:t>
            </w:r>
          </w:p>
        </w:tc>
        <w:tc>
          <w:tcPr>
            <w:tcW w:w="721" w:type="pct"/>
            <w:shd w:val="clear" w:color="auto" w:fill="auto"/>
          </w:tcPr>
          <w:p w:rsidR="00DF2F8B" w:rsidRPr="0012760D" w:rsidRDefault="00DF2F8B" w:rsidP="001B3A3E">
            <w:pPr>
              <w:jc w:val="right"/>
              <w:rPr>
                <w:sz w:val="24"/>
                <w:szCs w:val="24"/>
              </w:rPr>
            </w:pPr>
            <w:r w:rsidRPr="0012760D">
              <w:rPr>
                <w:sz w:val="24"/>
                <w:szCs w:val="24"/>
              </w:rPr>
              <w:t>0</w:t>
            </w:r>
          </w:p>
        </w:tc>
        <w:tc>
          <w:tcPr>
            <w:tcW w:w="858" w:type="pct"/>
            <w:shd w:val="clear" w:color="auto" w:fill="auto"/>
          </w:tcPr>
          <w:p w:rsidR="00DF2F8B" w:rsidRPr="0012760D" w:rsidRDefault="00DF2F8B" w:rsidP="001B3A3E">
            <w:pPr>
              <w:jc w:val="right"/>
              <w:rPr>
                <w:sz w:val="24"/>
                <w:szCs w:val="24"/>
              </w:rPr>
            </w:pPr>
            <w:r w:rsidRPr="0012760D">
              <w:rPr>
                <w:sz w:val="24"/>
                <w:szCs w:val="24"/>
              </w:rPr>
              <w:t>1</w:t>
            </w:r>
          </w:p>
        </w:tc>
        <w:tc>
          <w:tcPr>
            <w:tcW w:w="499" w:type="pct"/>
            <w:gridSpan w:val="2"/>
            <w:shd w:val="clear" w:color="auto" w:fill="auto"/>
          </w:tcPr>
          <w:p w:rsidR="00DF2F8B" w:rsidRPr="0012760D" w:rsidRDefault="00DF2F8B" w:rsidP="001B3A3E">
            <w:pPr>
              <w:jc w:val="right"/>
              <w:rPr>
                <w:sz w:val="24"/>
                <w:szCs w:val="24"/>
              </w:rPr>
            </w:pPr>
            <w:r w:rsidRPr="0012760D">
              <w:rPr>
                <w:sz w:val="24"/>
                <w:szCs w:val="24"/>
              </w:rPr>
              <w:t>1</w:t>
            </w:r>
          </w:p>
        </w:tc>
        <w:tc>
          <w:tcPr>
            <w:tcW w:w="690" w:type="pct"/>
            <w:shd w:val="clear" w:color="auto" w:fill="auto"/>
          </w:tcPr>
          <w:p w:rsidR="00DF2F8B" w:rsidRPr="0012760D" w:rsidRDefault="00DF2F8B" w:rsidP="001B3A3E">
            <w:pPr>
              <w:jc w:val="right"/>
              <w:rPr>
                <w:sz w:val="24"/>
                <w:szCs w:val="24"/>
              </w:rPr>
            </w:pPr>
            <w:r w:rsidRPr="0012760D">
              <w:rPr>
                <w:sz w:val="24"/>
                <w:szCs w:val="24"/>
              </w:rPr>
              <w:t>0</w:t>
            </w:r>
          </w:p>
        </w:tc>
      </w:tr>
      <w:tr w:rsidR="00DF2F8B" w:rsidRPr="0012760D" w:rsidTr="001B3A3E">
        <w:tblPrEx>
          <w:tblCellMar>
            <w:top w:w="0" w:type="dxa"/>
            <w:bottom w:w="0" w:type="dxa"/>
          </w:tblCellMar>
        </w:tblPrEx>
        <w:trPr>
          <w:trHeight w:val="269"/>
        </w:trPr>
        <w:tc>
          <w:tcPr>
            <w:tcW w:w="904" w:type="pct"/>
            <w:shd w:val="clear" w:color="auto" w:fill="auto"/>
          </w:tcPr>
          <w:p w:rsidR="00DF2F8B" w:rsidRPr="0012760D" w:rsidRDefault="00DF2F8B" w:rsidP="001B3A3E">
            <w:pPr>
              <w:rPr>
                <w:sz w:val="24"/>
                <w:szCs w:val="24"/>
              </w:rPr>
            </w:pPr>
            <w:r w:rsidRPr="0012760D">
              <w:rPr>
                <w:sz w:val="24"/>
                <w:szCs w:val="24"/>
              </w:rPr>
              <w:t>VPS 3</w:t>
            </w:r>
          </w:p>
        </w:tc>
        <w:tc>
          <w:tcPr>
            <w:tcW w:w="677" w:type="pct"/>
            <w:shd w:val="clear" w:color="auto" w:fill="auto"/>
          </w:tcPr>
          <w:p w:rsidR="00DF2F8B" w:rsidRPr="0012760D" w:rsidRDefault="00DF2F8B" w:rsidP="001B3A3E">
            <w:pPr>
              <w:jc w:val="right"/>
              <w:rPr>
                <w:sz w:val="24"/>
                <w:szCs w:val="24"/>
              </w:rPr>
            </w:pPr>
            <w:r w:rsidRPr="0012760D">
              <w:rPr>
                <w:sz w:val="24"/>
                <w:szCs w:val="24"/>
              </w:rPr>
              <w:t>5</w:t>
            </w:r>
          </w:p>
        </w:tc>
        <w:tc>
          <w:tcPr>
            <w:tcW w:w="651" w:type="pct"/>
            <w:gridSpan w:val="2"/>
            <w:shd w:val="clear" w:color="auto" w:fill="auto"/>
          </w:tcPr>
          <w:p w:rsidR="00DF2F8B" w:rsidRPr="0012760D" w:rsidRDefault="00DF2F8B" w:rsidP="001B3A3E">
            <w:pPr>
              <w:jc w:val="right"/>
              <w:rPr>
                <w:sz w:val="24"/>
                <w:szCs w:val="24"/>
              </w:rPr>
            </w:pPr>
            <w:r w:rsidRPr="0012760D">
              <w:rPr>
                <w:sz w:val="24"/>
                <w:szCs w:val="24"/>
              </w:rPr>
              <w:t>5</w:t>
            </w:r>
          </w:p>
        </w:tc>
        <w:tc>
          <w:tcPr>
            <w:tcW w:w="721" w:type="pct"/>
            <w:shd w:val="clear" w:color="auto" w:fill="auto"/>
          </w:tcPr>
          <w:p w:rsidR="00DF2F8B" w:rsidRPr="0012760D" w:rsidRDefault="00DF2F8B" w:rsidP="001B3A3E">
            <w:pPr>
              <w:jc w:val="right"/>
              <w:rPr>
                <w:sz w:val="24"/>
                <w:szCs w:val="24"/>
              </w:rPr>
            </w:pPr>
            <w:r w:rsidRPr="0012760D">
              <w:rPr>
                <w:sz w:val="24"/>
                <w:szCs w:val="24"/>
              </w:rPr>
              <w:t>2</w:t>
            </w:r>
          </w:p>
        </w:tc>
        <w:tc>
          <w:tcPr>
            <w:tcW w:w="858" w:type="pct"/>
            <w:shd w:val="clear" w:color="auto" w:fill="auto"/>
          </w:tcPr>
          <w:p w:rsidR="00DF2F8B" w:rsidRPr="0012760D" w:rsidRDefault="00DF2F8B" w:rsidP="001B3A3E">
            <w:pPr>
              <w:jc w:val="right"/>
              <w:rPr>
                <w:sz w:val="24"/>
                <w:szCs w:val="24"/>
              </w:rPr>
            </w:pPr>
            <w:r w:rsidRPr="0012760D">
              <w:rPr>
                <w:sz w:val="24"/>
                <w:szCs w:val="24"/>
              </w:rPr>
              <w:t>9</w:t>
            </w:r>
          </w:p>
        </w:tc>
        <w:tc>
          <w:tcPr>
            <w:tcW w:w="499" w:type="pct"/>
            <w:gridSpan w:val="2"/>
            <w:shd w:val="clear" w:color="auto" w:fill="auto"/>
          </w:tcPr>
          <w:p w:rsidR="00DF2F8B" w:rsidRPr="0012760D" w:rsidRDefault="00DF2F8B" w:rsidP="001B3A3E">
            <w:pPr>
              <w:jc w:val="right"/>
              <w:rPr>
                <w:sz w:val="24"/>
                <w:szCs w:val="24"/>
              </w:rPr>
            </w:pPr>
            <w:r w:rsidRPr="0012760D">
              <w:rPr>
                <w:sz w:val="24"/>
                <w:szCs w:val="24"/>
              </w:rPr>
              <w:t>8</w:t>
            </w:r>
          </w:p>
        </w:tc>
        <w:tc>
          <w:tcPr>
            <w:tcW w:w="690" w:type="pct"/>
            <w:shd w:val="clear" w:color="auto" w:fill="auto"/>
          </w:tcPr>
          <w:p w:rsidR="00DF2F8B" w:rsidRPr="0012760D" w:rsidRDefault="00DF2F8B" w:rsidP="001B3A3E">
            <w:pPr>
              <w:jc w:val="right"/>
              <w:rPr>
                <w:sz w:val="24"/>
                <w:szCs w:val="24"/>
              </w:rPr>
            </w:pPr>
            <w:r w:rsidRPr="0012760D">
              <w:rPr>
                <w:sz w:val="24"/>
                <w:szCs w:val="24"/>
              </w:rPr>
              <w:t>1</w:t>
            </w:r>
          </w:p>
        </w:tc>
      </w:tr>
      <w:tr w:rsidR="00DF2F8B" w:rsidRPr="0012760D" w:rsidTr="001B3A3E">
        <w:tblPrEx>
          <w:tblCellMar>
            <w:top w:w="0" w:type="dxa"/>
            <w:bottom w:w="0" w:type="dxa"/>
          </w:tblCellMar>
        </w:tblPrEx>
        <w:trPr>
          <w:trHeight w:val="269"/>
        </w:trPr>
        <w:tc>
          <w:tcPr>
            <w:tcW w:w="904" w:type="pct"/>
            <w:shd w:val="clear" w:color="auto" w:fill="auto"/>
          </w:tcPr>
          <w:p w:rsidR="00DF2F8B" w:rsidRPr="0012760D" w:rsidRDefault="00DF2F8B" w:rsidP="001B3A3E">
            <w:pPr>
              <w:rPr>
                <w:sz w:val="24"/>
                <w:szCs w:val="24"/>
              </w:rPr>
            </w:pPr>
            <w:r w:rsidRPr="0012760D">
              <w:rPr>
                <w:sz w:val="24"/>
                <w:szCs w:val="24"/>
              </w:rPr>
              <w:t>VPS 4</w:t>
            </w:r>
          </w:p>
        </w:tc>
        <w:tc>
          <w:tcPr>
            <w:tcW w:w="677" w:type="pct"/>
            <w:shd w:val="clear" w:color="auto" w:fill="auto"/>
          </w:tcPr>
          <w:p w:rsidR="00DF2F8B" w:rsidRPr="0012760D" w:rsidRDefault="00DF2F8B" w:rsidP="001B3A3E">
            <w:pPr>
              <w:jc w:val="right"/>
              <w:rPr>
                <w:sz w:val="24"/>
                <w:szCs w:val="24"/>
              </w:rPr>
            </w:pPr>
            <w:r w:rsidRPr="0012760D">
              <w:rPr>
                <w:sz w:val="24"/>
                <w:szCs w:val="24"/>
              </w:rPr>
              <w:t>33</w:t>
            </w:r>
          </w:p>
        </w:tc>
        <w:tc>
          <w:tcPr>
            <w:tcW w:w="651" w:type="pct"/>
            <w:gridSpan w:val="2"/>
            <w:shd w:val="clear" w:color="auto" w:fill="auto"/>
          </w:tcPr>
          <w:p w:rsidR="00DF2F8B" w:rsidRPr="0012760D" w:rsidRDefault="00DF2F8B" w:rsidP="001B3A3E">
            <w:pPr>
              <w:jc w:val="right"/>
              <w:rPr>
                <w:sz w:val="24"/>
                <w:szCs w:val="24"/>
              </w:rPr>
            </w:pPr>
            <w:r w:rsidRPr="0012760D">
              <w:rPr>
                <w:sz w:val="24"/>
                <w:szCs w:val="24"/>
              </w:rPr>
              <w:t>29.2</w:t>
            </w:r>
          </w:p>
        </w:tc>
        <w:tc>
          <w:tcPr>
            <w:tcW w:w="721" w:type="pct"/>
            <w:shd w:val="clear" w:color="auto" w:fill="auto"/>
          </w:tcPr>
          <w:p w:rsidR="00DF2F8B" w:rsidRPr="0012760D" w:rsidRDefault="00DF2F8B" w:rsidP="001B3A3E">
            <w:pPr>
              <w:jc w:val="right"/>
              <w:rPr>
                <w:sz w:val="24"/>
                <w:szCs w:val="24"/>
              </w:rPr>
            </w:pPr>
            <w:r w:rsidRPr="0012760D">
              <w:rPr>
                <w:sz w:val="24"/>
                <w:szCs w:val="24"/>
              </w:rPr>
              <w:t>2</w:t>
            </w:r>
          </w:p>
        </w:tc>
        <w:tc>
          <w:tcPr>
            <w:tcW w:w="858" w:type="pct"/>
            <w:shd w:val="clear" w:color="auto" w:fill="auto"/>
          </w:tcPr>
          <w:p w:rsidR="00DF2F8B" w:rsidRPr="0012760D" w:rsidRDefault="00DF2F8B" w:rsidP="001B3A3E">
            <w:pPr>
              <w:jc w:val="right"/>
              <w:rPr>
                <w:sz w:val="24"/>
                <w:szCs w:val="24"/>
              </w:rPr>
            </w:pPr>
            <w:r w:rsidRPr="0012760D">
              <w:rPr>
                <w:sz w:val="24"/>
                <w:szCs w:val="24"/>
              </w:rPr>
              <w:t>31</w:t>
            </w:r>
          </w:p>
        </w:tc>
        <w:tc>
          <w:tcPr>
            <w:tcW w:w="499" w:type="pct"/>
            <w:gridSpan w:val="2"/>
            <w:shd w:val="clear" w:color="auto" w:fill="auto"/>
          </w:tcPr>
          <w:p w:rsidR="00DF2F8B" w:rsidRPr="0012760D" w:rsidRDefault="00DF2F8B" w:rsidP="001B3A3E">
            <w:pPr>
              <w:jc w:val="right"/>
              <w:rPr>
                <w:sz w:val="24"/>
                <w:szCs w:val="24"/>
              </w:rPr>
            </w:pPr>
            <w:r w:rsidRPr="0012760D">
              <w:rPr>
                <w:sz w:val="24"/>
                <w:szCs w:val="24"/>
              </w:rPr>
              <w:t>27</w:t>
            </w:r>
          </w:p>
        </w:tc>
        <w:tc>
          <w:tcPr>
            <w:tcW w:w="690" w:type="pct"/>
            <w:shd w:val="clear" w:color="auto" w:fill="auto"/>
          </w:tcPr>
          <w:p w:rsidR="00DF2F8B" w:rsidRPr="0012760D" w:rsidRDefault="00DF2F8B" w:rsidP="001B3A3E">
            <w:pPr>
              <w:jc w:val="right"/>
              <w:rPr>
                <w:sz w:val="24"/>
                <w:szCs w:val="24"/>
              </w:rPr>
            </w:pPr>
            <w:r w:rsidRPr="0012760D">
              <w:rPr>
                <w:sz w:val="24"/>
                <w:szCs w:val="24"/>
              </w:rPr>
              <w:t>8</w:t>
            </w:r>
          </w:p>
        </w:tc>
      </w:tr>
      <w:tr w:rsidR="00DF2F8B" w:rsidRPr="0012760D" w:rsidTr="001B3A3E">
        <w:tblPrEx>
          <w:tblCellMar>
            <w:top w:w="0" w:type="dxa"/>
            <w:bottom w:w="0" w:type="dxa"/>
          </w:tblCellMar>
        </w:tblPrEx>
        <w:trPr>
          <w:trHeight w:val="264"/>
        </w:trPr>
        <w:tc>
          <w:tcPr>
            <w:tcW w:w="904" w:type="pct"/>
            <w:shd w:val="clear" w:color="auto" w:fill="auto"/>
          </w:tcPr>
          <w:p w:rsidR="00DF2F8B" w:rsidRPr="0012760D" w:rsidRDefault="00DF2F8B" w:rsidP="001B3A3E">
            <w:pPr>
              <w:rPr>
                <w:sz w:val="24"/>
                <w:szCs w:val="24"/>
              </w:rPr>
            </w:pPr>
            <w:r w:rsidRPr="0012760D">
              <w:rPr>
                <w:sz w:val="24"/>
                <w:szCs w:val="24"/>
              </w:rPr>
              <w:t>VPS 5</w:t>
            </w:r>
          </w:p>
        </w:tc>
        <w:tc>
          <w:tcPr>
            <w:tcW w:w="677" w:type="pct"/>
            <w:shd w:val="clear" w:color="auto" w:fill="auto"/>
          </w:tcPr>
          <w:p w:rsidR="00DF2F8B" w:rsidRPr="0012760D" w:rsidRDefault="00DF2F8B" w:rsidP="001B3A3E">
            <w:pPr>
              <w:jc w:val="right"/>
              <w:rPr>
                <w:sz w:val="24"/>
                <w:szCs w:val="24"/>
              </w:rPr>
            </w:pPr>
            <w:r w:rsidRPr="0012760D">
              <w:rPr>
                <w:sz w:val="24"/>
                <w:szCs w:val="24"/>
              </w:rPr>
              <w:t>38</w:t>
            </w:r>
          </w:p>
        </w:tc>
        <w:tc>
          <w:tcPr>
            <w:tcW w:w="651" w:type="pct"/>
            <w:gridSpan w:val="2"/>
            <w:shd w:val="clear" w:color="auto" w:fill="auto"/>
          </w:tcPr>
          <w:p w:rsidR="00DF2F8B" w:rsidRPr="0012760D" w:rsidRDefault="00DF2F8B" w:rsidP="001B3A3E">
            <w:pPr>
              <w:jc w:val="right"/>
              <w:rPr>
                <w:sz w:val="24"/>
                <w:szCs w:val="24"/>
              </w:rPr>
            </w:pPr>
            <w:r w:rsidRPr="0012760D">
              <w:rPr>
                <w:sz w:val="24"/>
                <w:szCs w:val="24"/>
              </w:rPr>
              <w:t>34.7</w:t>
            </w:r>
          </w:p>
        </w:tc>
        <w:tc>
          <w:tcPr>
            <w:tcW w:w="721" w:type="pct"/>
            <w:shd w:val="clear" w:color="auto" w:fill="auto"/>
          </w:tcPr>
          <w:p w:rsidR="00DF2F8B" w:rsidRPr="0012760D" w:rsidRDefault="00DF2F8B" w:rsidP="001B3A3E">
            <w:pPr>
              <w:jc w:val="right"/>
              <w:rPr>
                <w:sz w:val="24"/>
                <w:szCs w:val="24"/>
              </w:rPr>
            </w:pPr>
            <w:r w:rsidRPr="0012760D">
              <w:rPr>
                <w:sz w:val="24"/>
                <w:szCs w:val="24"/>
              </w:rPr>
              <w:t>10.8</w:t>
            </w:r>
          </w:p>
        </w:tc>
        <w:tc>
          <w:tcPr>
            <w:tcW w:w="858" w:type="pct"/>
            <w:shd w:val="clear" w:color="auto" w:fill="auto"/>
          </w:tcPr>
          <w:p w:rsidR="00DF2F8B" w:rsidRPr="0012760D" w:rsidRDefault="00DF2F8B" w:rsidP="001B3A3E">
            <w:pPr>
              <w:jc w:val="right"/>
              <w:rPr>
                <w:sz w:val="24"/>
                <w:szCs w:val="24"/>
              </w:rPr>
            </w:pPr>
            <w:r w:rsidRPr="0012760D">
              <w:rPr>
                <w:sz w:val="24"/>
                <w:szCs w:val="24"/>
              </w:rPr>
              <w:t>36</w:t>
            </w:r>
          </w:p>
        </w:tc>
        <w:tc>
          <w:tcPr>
            <w:tcW w:w="499" w:type="pct"/>
            <w:gridSpan w:val="2"/>
            <w:shd w:val="clear" w:color="auto" w:fill="auto"/>
          </w:tcPr>
          <w:p w:rsidR="00DF2F8B" w:rsidRPr="0012760D" w:rsidRDefault="00DF2F8B" w:rsidP="001B3A3E">
            <w:pPr>
              <w:jc w:val="right"/>
              <w:rPr>
                <w:sz w:val="24"/>
                <w:szCs w:val="24"/>
              </w:rPr>
            </w:pPr>
            <w:r w:rsidRPr="0012760D">
              <w:rPr>
                <w:sz w:val="24"/>
                <w:szCs w:val="24"/>
              </w:rPr>
              <w:t>34</w:t>
            </w:r>
          </w:p>
        </w:tc>
        <w:tc>
          <w:tcPr>
            <w:tcW w:w="690" w:type="pct"/>
            <w:shd w:val="clear" w:color="auto" w:fill="auto"/>
          </w:tcPr>
          <w:p w:rsidR="00DF2F8B" w:rsidRPr="0012760D" w:rsidRDefault="00DF2F8B" w:rsidP="001B3A3E">
            <w:pPr>
              <w:jc w:val="right"/>
              <w:rPr>
                <w:sz w:val="24"/>
                <w:szCs w:val="24"/>
              </w:rPr>
            </w:pPr>
            <w:r w:rsidRPr="0012760D">
              <w:rPr>
                <w:sz w:val="24"/>
                <w:szCs w:val="24"/>
              </w:rPr>
              <w:t>6</w:t>
            </w:r>
          </w:p>
        </w:tc>
      </w:tr>
      <w:tr w:rsidR="00DF2F8B" w:rsidRPr="0012760D" w:rsidTr="001B3A3E">
        <w:tblPrEx>
          <w:tblCellMar>
            <w:top w:w="0" w:type="dxa"/>
            <w:bottom w:w="0" w:type="dxa"/>
          </w:tblCellMar>
        </w:tblPrEx>
        <w:trPr>
          <w:trHeight w:val="269"/>
        </w:trPr>
        <w:tc>
          <w:tcPr>
            <w:tcW w:w="904" w:type="pct"/>
            <w:shd w:val="clear" w:color="auto" w:fill="auto"/>
          </w:tcPr>
          <w:p w:rsidR="00DF2F8B" w:rsidRPr="0012760D" w:rsidRDefault="00DF2F8B" w:rsidP="001B3A3E">
            <w:pPr>
              <w:rPr>
                <w:sz w:val="24"/>
                <w:szCs w:val="24"/>
              </w:rPr>
            </w:pPr>
            <w:r w:rsidRPr="0012760D">
              <w:rPr>
                <w:sz w:val="24"/>
                <w:szCs w:val="24"/>
              </w:rPr>
              <w:t>VPS 6</w:t>
            </w:r>
          </w:p>
        </w:tc>
        <w:tc>
          <w:tcPr>
            <w:tcW w:w="677" w:type="pct"/>
            <w:shd w:val="clear" w:color="auto" w:fill="auto"/>
          </w:tcPr>
          <w:p w:rsidR="00DF2F8B" w:rsidRPr="0012760D" w:rsidRDefault="00DF2F8B" w:rsidP="001B3A3E">
            <w:pPr>
              <w:jc w:val="right"/>
              <w:rPr>
                <w:sz w:val="24"/>
                <w:szCs w:val="24"/>
              </w:rPr>
            </w:pPr>
            <w:r w:rsidRPr="0012760D">
              <w:rPr>
                <w:sz w:val="24"/>
                <w:szCs w:val="24"/>
              </w:rPr>
              <w:t>14</w:t>
            </w:r>
          </w:p>
        </w:tc>
        <w:tc>
          <w:tcPr>
            <w:tcW w:w="651" w:type="pct"/>
            <w:gridSpan w:val="2"/>
            <w:shd w:val="clear" w:color="auto" w:fill="auto"/>
          </w:tcPr>
          <w:p w:rsidR="00DF2F8B" w:rsidRPr="0012760D" w:rsidRDefault="00DF2F8B" w:rsidP="001B3A3E">
            <w:pPr>
              <w:jc w:val="right"/>
              <w:rPr>
                <w:sz w:val="24"/>
                <w:szCs w:val="24"/>
              </w:rPr>
            </w:pPr>
            <w:r w:rsidRPr="0012760D">
              <w:rPr>
                <w:sz w:val="24"/>
                <w:szCs w:val="24"/>
              </w:rPr>
              <w:t>14</w:t>
            </w:r>
          </w:p>
        </w:tc>
        <w:tc>
          <w:tcPr>
            <w:tcW w:w="721" w:type="pct"/>
            <w:shd w:val="clear" w:color="auto" w:fill="auto"/>
          </w:tcPr>
          <w:p w:rsidR="00DF2F8B" w:rsidRPr="0012760D" w:rsidRDefault="00DF2F8B" w:rsidP="001B3A3E">
            <w:pPr>
              <w:jc w:val="right"/>
              <w:rPr>
                <w:sz w:val="24"/>
                <w:szCs w:val="24"/>
              </w:rPr>
            </w:pPr>
            <w:r w:rsidRPr="0012760D">
              <w:rPr>
                <w:sz w:val="24"/>
                <w:szCs w:val="24"/>
              </w:rPr>
              <w:t>3</w:t>
            </w:r>
          </w:p>
        </w:tc>
        <w:tc>
          <w:tcPr>
            <w:tcW w:w="858" w:type="pct"/>
            <w:shd w:val="clear" w:color="auto" w:fill="auto"/>
          </w:tcPr>
          <w:p w:rsidR="00DF2F8B" w:rsidRPr="0012760D" w:rsidRDefault="00DF2F8B" w:rsidP="001B3A3E">
            <w:pPr>
              <w:jc w:val="right"/>
              <w:rPr>
                <w:sz w:val="24"/>
                <w:szCs w:val="24"/>
              </w:rPr>
            </w:pPr>
            <w:r w:rsidRPr="0012760D">
              <w:rPr>
                <w:sz w:val="24"/>
                <w:szCs w:val="24"/>
              </w:rPr>
              <w:t>21</w:t>
            </w:r>
          </w:p>
        </w:tc>
        <w:tc>
          <w:tcPr>
            <w:tcW w:w="499" w:type="pct"/>
            <w:gridSpan w:val="2"/>
            <w:shd w:val="clear" w:color="auto" w:fill="auto"/>
          </w:tcPr>
          <w:p w:rsidR="00DF2F8B" w:rsidRPr="0012760D" w:rsidRDefault="00DF2F8B" w:rsidP="001B3A3E">
            <w:pPr>
              <w:jc w:val="right"/>
              <w:rPr>
                <w:sz w:val="24"/>
                <w:szCs w:val="24"/>
              </w:rPr>
            </w:pPr>
            <w:r w:rsidRPr="0012760D">
              <w:rPr>
                <w:sz w:val="24"/>
                <w:szCs w:val="24"/>
              </w:rPr>
              <w:t>21</w:t>
            </w:r>
          </w:p>
        </w:tc>
        <w:tc>
          <w:tcPr>
            <w:tcW w:w="690" w:type="pct"/>
            <w:shd w:val="clear" w:color="auto" w:fill="auto"/>
          </w:tcPr>
          <w:p w:rsidR="00DF2F8B" w:rsidRPr="0012760D" w:rsidRDefault="00DF2F8B" w:rsidP="001B3A3E">
            <w:pPr>
              <w:jc w:val="right"/>
              <w:rPr>
                <w:sz w:val="24"/>
                <w:szCs w:val="24"/>
              </w:rPr>
            </w:pPr>
            <w:r w:rsidRPr="0012760D">
              <w:rPr>
                <w:sz w:val="24"/>
                <w:szCs w:val="24"/>
              </w:rPr>
              <w:t>2</w:t>
            </w:r>
          </w:p>
        </w:tc>
      </w:tr>
      <w:tr w:rsidR="00DF2F8B" w:rsidRPr="0012760D" w:rsidTr="001B3A3E">
        <w:tblPrEx>
          <w:tblCellMar>
            <w:top w:w="0" w:type="dxa"/>
            <w:bottom w:w="0" w:type="dxa"/>
          </w:tblCellMar>
        </w:tblPrEx>
        <w:trPr>
          <w:trHeight w:val="274"/>
        </w:trPr>
        <w:tc>
          <w:tcPr>
            <w:tcW w:w="904" w:type="pct"/>
            <w:shd w:val="clear" w:color="auto" w:fill="auto"/>
          </w:tcPr>
          <w:p w:rsidR="00DF2F8B" w:rsidRPr="0012760D" w:rsidRDefault="00DF2F8B" w:rsidP="001B3A3E">
            <w:pPr>
              <w:rPr>
                <w:sz w:val="24"/>
                <w:szCs w:val="24"/>
              </w:rPr>
            </w:pPr>
            <w:r w:rsidRPr="0012760D">
              <w:rPr>
                <w:sz w:val="24"/>
                <w:szCs w:val="24"/>
              </w:rPr>
              <w:t>STS</w:t>
            </w:r>
          </w:p>
        </w:tc>
        <w:tc>
          <w:tcPr>
            <w:tcW w:w="677" w:type="pct"/>
            <w:shd w:val="clear" w:color="auto" w:fill="auto"/>
          </w:tcPr>
          <w:p w:rsidR="00DF2F8B" w:rsidRPr="0012760D" w:rsidRDefault="00DF2F8B" w:rsidP="001B3A3E">
            <w:pPr>
              <w:jc w:val="right"/>
              <w:rPr>
                <w:sz w:val="24"/>
                <w:szCs w:val="24"/>
              </w:rPr>
            </w:pPr>
            <w:r w:rsidRPr="0012760D">
              <w:rPr>
                <w:sz w:val="24"/>
                <w:szCs w:val="24"/>
              </w:rPr>
              <w:t>0</w:t>
            </w:r>
          </w:p>
        </w:tc>
        <w:tc>
          <w:tcPr>
            <w:tcW w:w="651" w:type="pct"/>
            <w:gridSpan w:val="2"/>
            <w:shd w:val="clear" w:color="auto" w:fill="auto"/>
          </w:tcPr>
          <w:p w:rsidR="00DF2F8B" w:rsidRPr="0012760D" w:rsidRDefault="00DF2F8B" w:rsidP="001B3A3E">
            <w:pPr>
              <w:jc w:val="right"/>
              <w:rPr>
                <w:sz w:val="24"/>
                <w:szCs w:val="24"/>
              </w:rPr>
            </w:pPr>
            <w:r w:rsidRPr="0012760D">
              <w:rPr>
                <w:sz w:val="24"/>
                <w:szCs w:val="24"/>
              </w:rPr>
              <w:t>0</w:t>
            </w:r>
          </w:p>
        </w:tc>
        <w:tc>
          <w:tcPr>
            <w:tcW w:w="721" w:type="pct"/>
            <w:shd w:val="clear" w:color="auto" w:fill="auto"/>
          </w:tcPr>
          <w:p w:rsidR="00DF2F8B" w:rsidRPr="0012760D" w:rsidRDefault="00DF2F8B" w:rsidP="001B3A3E">
            <w:pPr>
              <w:jc w:val="right"/>
              <w:rPr>
                <w:sz w:val="24"/>
                <w:szCs w:val="24"/>
              </w:rPr>
            </w:pPr>
            <w:r w:rsidRPr="0012760D">
              <w:rPr>
                <w:sz w:val="24"/>
                <w:szCs w:val="24"/>
              </w:rPr>
              <w:t>0</w:t>
            </w:r>
          </w:p>
        </w:tc>
        <w:tc>
          <w:tcPr>
            <w:tcW w:w="858" w:type="pct"/>
            <w:shd w:val="clear" w:color="auto" w:fill="auto"/>
          </w:tcPr>
          <w:p w:rsidR="00DF2F8B" w:rsidRPr="0012760D" w:rsidRDefault="00DF2F8B" w:rsidP="001B3A3E">
            <w:pPr>
              <w:jc w:val="right"/>
              <w:rPr>
                <w:sz w:val="24"/>
                <w:szCs w:val="24"/>
              </w:rPr>
            </w:pPr>
            <w:r w:rsidRPr="0012760D">
              <w:rPr>
                <w:sz w:val="24"/>
                <w:szCs w:val="24"/>
              </w:rPr>
              <w:t>2</w:t>
            </w:r>
          </w:p>
        </w:tc>
        <w:tc>
          <w:tcPr>
            <w:tcW w:w="499" w:type="pct"/>
            <w:gridSpan w:val="2"/>
            <w:shd w:val="clear" w:color="auto" w:fill="auto"/>
          </w:tcPr>
          <w:p w:rsidR="00DF2F8B" w:rsidRPr="0012760D" w:rsidRDefault="00DF2F8B" w:rsidP="001B3A3E">
            <w:pPr>
              <w:jc w:val="right"/>
              <w:rPr>
                <w:sz w:val="24"/>
                <w:szCs w:val="24"/>
              </w:rPr>
            </w:pPr>
            <w:r w:rsidRPr="0012760D">
              <w:rPr>
                <w:sz w:val="24"/>
                <w:szCs w:val="24"/>
              </w:rPr>
              <w:t>2</w:t>
            </w:r>
          </w:p>
        </w:tc>
        <w:tc>
          <w:tcPr>
            <w:tcW w:w="690" w:type="pct"/>
            <w:shd w:val="clear" w:color="auto" w:fill="auto"/>
          </w:tcPr>
          <w:p w:rsidR="00DF2F8B" w:rsidRPr="0012760D" w:rsidRDefault="00DF2F8B" w:rsidP="001B3A3E">
            <w:pPr>
              <w:jc w:val="right"/>
              <w:rPr>
                <w:sz w:val="24"/>
                <w:szCs w:val="24"/>
              </w:rPr>
            </w:pPr>
            <w:r w:rsidRPr="0012760D">
              <w:rPr>
                <w:sz w:val="24"/>
                <w:szCs w:val="24"/>
              </w:rPr>
              <w:t>0</w:t>
            </w:r>
          </w:p>
        </w:tc>
      </w:tr>
      <w:tr w:rsidR="00DF2F8B" w:rsidRPr="0012760D" w:rsidTr="001B3A3E">
        <w:tblPrEx>
          <w:tblCellMar>
            <w:top w:w="0" w:type="dxa"/>
            <w:bottom w:w="0" w:type="dxa"/>
          </w:tblCellMar>
        </w:tblPrEx>
        <w:trPr>
          <w:trHeight w:val="283"/>
        </w:trPr>
        <w:tc>
          <w:tcPr>
            <w:tcW w:w="904" w:type="pct"/>
            <w:shd w:val="clear" w:color="auto" w:fill="auto"/>
          </w:tcPr>
          <w:p w:rsidR="00DF2F8B" w:rsidRPr="0012760D" w:rsidRDefault="00DF2F8B" w:rsidP="001B3A3E">
            <w:pPr>
              <w:rPr>
                <w:sz w:val="24"/>
                <w:szCs w:val="24"/>
              </w:rPr>
            </w:pPr>
            <w:r w:rsidRPr="0012760D">
              <w:rPr>
                <w:sz w:val="24"/>
                <w:szCs w:val="24"/>
              </w:rPr>
              <w:t>Executive</w:t>
            </w:r>
          </w:p>
        </w:tc>
        <w:tc>
          <w:tcPr>
            <w:tcW w:w="677" w:type="pct"/>
            <w:shd w:val="clear" w:color="auto" w:fill="auto"/>
          </w:tcPr>
          <w:p w:rsidR="00DF2F8B" w:rsidRPr="0012760D" w:rsidRDefault="00DF2F8B" w:rsidP="001B3A3E">
            <w:pPr>
              <w:jc w:val="right"/>
              <w:rPr>
                <w:sz w:val="24"/>
                <w:szCs w:val="24"/>
              </w:rPr>
            </w:pPr>
            <w:r w:rsidRPr="0012760D">
              <w:rPr>
                <w:sz w:val="24"/>
                <w:szCs w:val="24"/>
              </w:rPr>
              <w:t>5</w:t>
            </w:r>
          </w:p>
        </w:tc>
        <w:tc>
          <w:tcPr>
            <w:tcW w:w="651" w:type="pct"/>
            <w:gridSpan w:val="2"/>
            <w:shd w:val="clear" w:color="auto" w:fill="auto"/>
          </w:tcPr>
          <w:p w:rsidR="00DF2F8B" w:rsidRPr="0012760D" w:rsidRDefault="00DF2F8B" w:rsidP="001B3A3E">
            <w:pPr>
              <w:jc w:val="right"/>
              <w:rPr>
                <w:sz w:val="24"/>
                <w:szCs w:val="24"/>
              </w:rPr>
            </w:pPr>
            <w:r w:rsidRPr="0012760D">
              <w:rPr>
                <w:sz w:val="24"/>
                <w:szCs w:val="24"/>
              </w:rPr>
              <w:t>5</w:t>
            </w:r>
          </w:p>
        </w:tc>
        <w:tc>
          <w:tcPr>
            <w:tcW w:w="721" w:type="pct"/>
            <w:shd w:val="clear" w:color="auto" w:fill="auto"/>
          </w:tcPr>
          <w:p w:rsidR="00DF2F8B" w:rsidRPr="0012760D" w:rsidRDefault="00DF2F8B" w:rsidP="001B3A3E">
            <w:pPr>
              <w:jc w:val="right"/>
              <w:rPr>
                <w:sz w:val="24"/>
                <w:szCs w:val="24"/>
              </w:rPr>
            </w:pPr>
            <w:r w:rsidRPr="0012760D">
              <w:rPr>
                <w:sz w:val="24"/>
                <w:szCs w:val="24"/>
              </w:rPr>
              <w:t>0</w:t>
            </w:r>
          </w:p>
        </w:tc>
        <w:tc>
          <w:tcPr>
            <w:tcW w:w="858" w:type="pct"/>
            <w:shd w:val="clear" w:color="auto" w:fill="auto"/>
          </w:tcPr>
          <w:p w:rsidR="00DF2F8B" w:rsidRPr="0012760D" w:rsidRDefault="00DF2F8B" w:rsidP="001B3A3E">
            <w:pPr>
              <w:jc w:val="right"/>
              <w:rPr>
                <w:sz w:val="24"/>
                <w:szCs w:val="24"/>
              </w:rPr>
            </w:pPr>
            <w:r w:rsidRPr="0012760D">
              <w:rPr>
                <w:sz w:val="24"/>
                <w:szCs w:val="24"/>
              </w:rPr>
              <w:t>2</w:t>
            </w:r>
          </w:p>
        </w:tc>
        <w:tc>
          <w:tcPr>
            <w:tcW w:w="499" w:type="pct"/>
            <w:gridSpan w:val="2"/>
            <w:shd w:val="clear" w:color="auto" w:fill="auto"/>
          </w:tcPr>
          <w:p w:rsidR="00DF2F8B" w:rsidRPr="0012760D" w:rsidRDefault="00DF2F8B" w:rsidP="001B3A3E">
            <w:pPr>
              <w:jc w:val="right"/>
              <w:rPr>
                <w:sz w:val="24"/>
                <w:szCs w:val="24"/>
              </w:rPr>
            </w:pPr>
            <w:r w:rsidRPr="0012760D">
              <w:rPr>
                <w:sz w:val="24"/>
                <w:szCs w:val="24"/>
              </w:rPr>
              <w:t>2</w:t>
            </w:r>
          </w:p>
        </w:tc>
        <w:tc>
          <w:tcPr>
            <w:tcW w:w="690" w:type="pct"/>
            <w:shd w:val="clear" w:color="auto" w:fill="auto"/>
          </w:tcPr>
          <w:p w:rsidR="00DF2F8B" w:rsidRPr="0012760D" w:rsidRDefault="00DF2F8B" w:rsidP="001B3A3E">
            <w:pPr>
              <w:jc w:val="right"/>
              <w:rPr>
                <w:sz w:val="24"/>
                <w:szCs w:val="24"/>
              </w:rPr>
            </w:pPr>
            <w:r w:rsidRPr="0012760D">
              <w:rPr>
                <w:sz w:val="24"/>
                <w:szCs w:val="24"/>
              </w:rPr>
              <w:t>1</w:t>
            </w:r>
          </w:p>
        </w:tc>
      </w:tr>
      <w:tr w:rsidR="00DF2F8B" w:rsidRPr="0012760D" w:rsidTr="001B3A3E">
        <w:tblPrEx>
          <w:tblCellMar>
            <w:top w:w="0" w:type="dxa"/>
            <w:bottom w:w="0" w:type="dxa"/>
          </w:tblCellMar>
        </w:tblPrEx>
        <w:trPr>
          <w:trHeight w:val="269"/>
        </w:trPr>
        <w:tc>
          <w:tcPr>
            <w:tcW w:w="904" w:type="pct"/>
            <w:shd w:val="clear" w:color="auto" w:fill="auto"/>
          </w:tcPr>
          <w:p w:rsidR="00DF2F8B" w:rsidRPr="0012760D" w:rsidRDefault="00DF2F8B" w:rsidP="001B3A3E">
            <w:pPr>
              <w:rPr>
                <w:sz w:val="24"/>
                <w:szCs w:val="24"/>
              </w:rPr>
            </w:pPr>
            <w:r w:rsidRPr="0012760D">
              <w:rPr>
                <w:bCs/>
                <w:sz w:val="24"/>
                <w:szCs w:val="24"/>
              </w:rPr>
              <w:t>Total</w:t>
            </w:r>
          </w:p>
        </w:tc>
        <w:tc>
          <w:tcPr>
            <w:tcW w:w="677" w:type="pct"/>
            <w:shd w:val="clear" w:color="auto" w:fill="auto"/>
          </w:tcPr>
          <w:p w:rsidR="00DF2F8B" w:rsidRPr="0012760D" w:rsidRDefault="00DF2F8B" w:rsidP="001B3A3E">
            <w:pPr>
              <w:jc w:val="right"/>
              <w:rPr>
                <w:sz w:val="24"/>
                <w:szCs w:val="24"/>
              </w:rPr>
            </w:pPr>
            <w:r w:rsidRPr="0012760D">
              <w:rPr>
                <w:bCs/>
                <w:sz w:val="24"/>
                <w:szCs w:val="24"/>
              </w:rPr>
              <w:t>95</w:t>
            </w:r>
          </w:p>
        </w:tc>
        <w:tc>
          <w:tcPr>
            <w:tcW w:w="651" w:type="pct"/>
            <w:gridSpan w:val="2"/>
            <w:shd w:val="clear" w:color="auto" w:fill="auto"/>
          </w:tcPr>
          <w:p w:rsidR="00DF2F8B" w:rsidRPr="0012760D" w:rsidRDefault="00DF2F8B" w:rsidP="001B3A3E">
            <w:pPr>
              <w:jc w:val="right"/>
              <w:rPr>
                <w:sz w:val="24"/>
                <w:szCs w:val="24"/>
              </w:rPr>
            </w:pPr>
            <w:r w:rsidRPr="0012760D">
              <w:rPr>
                <w:bCs/>
                <w:sz w:val="24"/>
                <w:szCs w:val="24"/>
              </w:rPr>
              <w:t>87.9</w:t>
            </w:r>
          </w:p>
        </w:tc>
        <w:tc>
          <w:tcPr>
            <w:tcW w:w="721" w:type="pct"/>
            <w:shd w:val="clear" w:color="auto" w:fill="auto"/>
          </w:tcPr>
          <w:p w:rsidR="00DF2F8B" w:rsidRPr="0012760D" w:rsidRDefault="00DF2F8B" w:rsidP="001B3A3E">
            <w:pPr>
              <w:jc w:val="right"/>
              <w:rPr>
                <w:sz w:val="24"/>
                <w:szCs w:val="24"/>
              </w:rPr>
            </w:pPr>
            <w:r w:rsidRPr="0012760D">
              <w:rPr>
                <w:bCs/>
                <w:sz w:val="24"/>
                <w:szCs w:val="24"/>
              </w:rPr>
              <w:t>17.8</w:t>
            </w:r>
          </w:p>
        </w:tc>
        <w:tc>
          <w:tcPr>
            <w:tcW w:w="858" w:type="pct"/>
            <w:shd w:val="clear" w:color="auto" w:fill="auto"/>
          </w:tcPr>
          <w:p w:rsidR="00DF2F8B" w:rsidRPr="0012760D" w:rsidRDefault="00DF2F8B" w:rsidP="001B3A3E">
            <w:pPr>
              <w:jc w:val="right"/>
              <w:rPr>
                <w:sz w:val="24"/>
                <w:szCs w:val="24"/>
              </w:rPr>
            </w:pPr>
            <w:r w:rsidRPr="0012760D">
              <w:rPr>
                <w:bCs/>
                <w:sz w:val="24"/>
                <w:szCs w:val="24"/>
              </w:rPr>
              <w:t>102</w:t>
            </w:r>
          </w:p>
        </w:tc>
        <w:tc>
          <w:tcPr>
            <w:tcW w:w="499" w:type="pct"/>
            <w:gridSpan w:val="2"/>
            <w:shd w:val="clear" w:color="auto" w:fill="auto"/>
          </w:tcPr>
          <w:p w:rsidR="00DF2F8B" w:rsidRPr="0012760D" w:rsidRDefault="00DF2F8B" w:rsidP="001B3A3E">
            <w:pPr>
              <w:jc w:val="right"/>
              <w:rPr>
                <w:sz w:val="24"/>
                <w:szCs w:val="24"/>
              </w:rPr>
            </w:pPr>
            <w:r w:rsidRPr="0012760D">
              <w:rPr>
                <w:bCs/>
                <w:sz w:val="24"/>
                <w:szCs w:val="24"/>
              </w:rPr>
              <w:t>95</w:t>
            </w:r>
          </w:p>
        </w:tc>
        <w:tc>
          <w:tcPr>
            <w:tcW w:w="690" w:type="pct"/>
            <w:shd w:val="clear" w:color="auto" w:fill="auto"/>
          </w:tcPr>
          <w:p w:rsidR="00DF2F8B" w:rsidRPr="0012760D" w:rsidRDefault="00DF2F8B" w:rsidP="001B3A3E">
            <w:pPr>
              <w:jc w:val="right"/>
              <w:rPr>
                <w:sz w:val="24"/>
                <w:szCs w:val="24"/>
              </w:rPr>
            </w:pPr>
            <w:r w:rsidRPr="0012760D">
              <w:rPr>
                <w:bCs/>
                <w:sz w:val="24"/>
                <w:szCs w:val="24"/>
              </w:rPr>
              <w:t>18</w:t>
            </w:r>
          </w:p>
        </w:tc>
      </w:tr>
    </w:tbl>
    <w:p w:rsidR="00DF2F8B" w:rsidRDefault="00DF2F8B" w:rsidP="00DF2F8B">
      <w:pPr>
        <w:rPr>
          <w:bCs/>
          <w:sz w:val="24"/>
          <w:szCs w:val="24"/>
        </w:rPr>
      </w:pPr>
    </w:p>
    <w:p w:rsidR="006B246A" w:rsidRPr="0012760D" w:rsidRDefault="006B246A" w:rsidP="00DF2F8B">
      <w:pPr>
        <w:rPr>
          <w:bCs/>
          <w:sz w:val="24"/>
          <w:szCs w:val="24"/>
        </w:rPr>
      </w:pPr>
    </w:p>
    <w:p w:rsidR="00DF2F8B" w:rsidRDefault="00DF2F8B" w:rsidP="006B246A">
      <w:pPr>
        <w:pStyle w:val="Heading3"/>
      </w:pPr>
      <w:r w:rsidRPr="0012760D">
        <w:t>Notes:</w:t>
      </w:r>
    </w:p>
    <w:p w:rsidR="006B246A" w:rsidRPr="0012760D" w:rsidRDefault="006B246A" w:rsidP="00DF2F8B">
      <w:pPr>
        <w:rPr>
          <w:sz w:val="24"/>
          <w:szCs w:val="24"/>
        </w:rPr>
      </w:pPr>
    </w:p>
    <w:p w:rsidR="00DF2F8B" w:rsidRPr="0012760D" w:rsidRDefault="00DF2F8B" w:rsidP="00DF2F8B">
      <w:pPr>
        <w:rPr>
          <w:sz w:val="24"/>
          <w:szCs w:val="24"/>
        </w:rPr>
      </w:pPr>
      <w:r w:rsidRPr="0012760D">
        <w:rPr>
          <w:sz w:val="24"/>
          <w:szCs w:val="24"/>
        </w:rPr>
        <w:t>1. Ongoing employees includes people engaged in an open-ended contract of employment and executives engaged on a standard executive contract who were active in the last full pay period of June.</w:t>
      </w:r>
    </w:p>
    <w:p w:rsidR="00DF2F8B" w:rsidRDefault="00DF2F8B" w:rsidP="00DF2F8B">
      <w:pPr>
        <w:rPr>
          <w:sz w:val="24"/>
          <w:szCs w:val="24"/>
        </w:rPr>
      </w:pPr>
      <w:r w:rsidRPr="0012760D">
        <w:rPr>
          <w:sz w:val="24"/>
          <w:szCs w:val="24"/>
        </w:rPr>
        <w:t>2. FTE means full-time staff equivalent.</w:t>
      </w:r>
    </w:p>
    <w:p w:rsidR="006B246A" w:rsidRDefault="006B246A" w:rsidP="00DF2F8B">
      <w:pPr>
        <w:rPr>
          <w:sz w:val="24"/>
          <w:szCs w:val="24"/>
        </w:rPr>
      </w:pPr>
    </w:p>
    <w:p w:rsidR="006B246A" w:rsidRPr="0012760D" w:rsidRDefault="006B246A" w:rsidP="00DF2F8B">
      <w:pPr>
        <w:rPr>
          <w:sz w:val="24"/>
          <w:szCs w:val="24"/>
        </w:rPr>
      </w:pPr>
    </w:p>
    <w:p w:rsidR="00DF2F8B" w:rsidRDefault="00DF2F8B" w:rsidP="006B246A">
      <w:pPr>
        <w:pStyle w:val="Heading3"/>
      </w:pPr>
      <w:r w:rsidRPr="0012760D">
        <w:lastRenderedPageBreak/>
        <w:t>Further notes:</w:t>
      </w:r>
    </w:p>
    <w:p w:rsidR="006B246A" w:rsidRPr="0012760D" w:rsidRDefault="006B246A" w:rsidP="00DF2F8B">
      <w:pPr>
        <w:rPr>
          <w:sz w:val="24"/>
          <w:szCs w:val="24"/>
        </w:rPr>
      </w:pPr>
    </w:p>
    <w:p w:rsidR="00DF2F8B" w:rsidRPr="0012760D" w:rsidRDefault="00DF2F8B" w:rsidP="00DF2F8B">
      <w:pPr>
        <w:rPr>
          <w:sz w:val="24"/>
          <w:szCs w:val="24"/>
        </w:rPr>
      </w:pPr>
      <w:r w:rsidRPr="0012760D">
        <w:rPr>
          <w:sz w:val="24"/>
          <w:szCs w:val="24"/>
        </w:rPr>
        <w:t>All figures reflect employment levels during the last full pay period in June of each year. Excluded are those on leave without pay or absent on secondment, external contractors/consultants, and temporary staff employed by employment agencies. Figures shown in workforce data staffing trends are FTEs as opposed to headcount, which has been reported in previous years.</w:t>
      </w:r>
    </w:p>
    <w:p w:rsidR="00DE3AF2" w:rsidRPr="0012760D" w:rsidRDefault="00DE3AF2" w:rsidP="0078679E">
      <w:pPr>
        <w:rPr>
          <w:sz w:val="24"/>
          <w:szCs w:val="24"/>
        </w:rPr>
        <w:sectPr w:rsidR="00DE3AF2" w:rsidRPr="0012760D" w:rsidSect="00DF2F8B">
          <w:pgSz w:w="16834" w:h="11909" w:orient="landscape"/>
          <w:pgMar w:top="1440" w:right="1440" w:bottom="1440" w:left="1440" w:header="720" w:footer="720" w:gutter="0"/>
          <w:cols w:space="720"/>
          <w:noEndnote/>
          <w:docGrid w:linePitch="272"/>
        </w:sectPr>
      </w:pPr>
    </w:p>
    <w:p w:rsidR="00DE3AF2" w:rsidRDefault="00DE3AF2" w:rsidP="00DE3AF2">
      <w:pPr>
        <w:rPr>
          <w:bCs/>
          <w:sz w:val="24"/>
          <w:szCs w:val="24"/>
          <w:lang w:val="en-US"/>
        </w:rPr>
      </w:pPr>
      <w:r w:rsidRPr="0012760D">
        <w:rPr>
          <w:bCs/>
          <w:sz w:val="24"/>
          <w:szCs w:val="24"/>
          <w:lang w:val="en-US"/>
        </w:rPr>
        <w:lastRenderedPageBreak/>
        <w:t>&lt;pp&gt; 68</w:t>
      </w:r>
    </w:p>
    <w:p w:rsidR="006B246A" w:rsidRDefault="006B246A" w:rsidP="00DE3AF2">
      <w:pPr>
        <w:rPr>
          <w:bCs/>
          <w:sz w:val="24"/>
          <w:szCs w:val="24"/>
          <w:lang w:val="en-US"/>
        </w:rPr>
      </w:pPr>
    </w:p>
    <w:p w:rsidR="006B246A" w:rsidRPr="0012760D" w:rsidRDefault="006B246A" w:rsidP="00DE3AF2">
      <w:pPr>
        <w:rPr>
          <w:sz w:val="24"/>
          <w:szCs w:val="24"/>
        </w:rPr>
      </w:pPr>
    </w:p>
    <w:p w:rsidR="00DE3AF2" w:rsidRDefault="00DE3AF2" w:rsidP="006B246A">
      <w:pPr>
        <w:pStyle w:val="Heading1"/>
        <w:rPr>
          <w:lang w:val="en-US"/>
        </w:rPr>
      </w:pPr>
      <w:r w:rsidRPr="0012760D">
        <w:rPr>
          <w:lang w:val="en-US"/>
        </w:rPr>
        <w:t>Appendix 4</w:t>
      </w:r>
      <w:r w:rsidR="006B246A">
        <w:rPr>
          <w:lang w:val="en-US"/>
        </w:rPr>
        <w:br/>
      </w:r>
      <w:r w:rsidRPr="0012760D">
        <w:rPr>
          <w:lang w:val="en-US"/>
        </w:rPr>
        <w:t>Our Executive Officers</w:t>
      </w:r>
    </w:p>
    <w:p w:rsidR="006B246A" w:rsidRPr="0012760D" w:rsidRDefault="006B246A" w:rsidP="00DE3AF2">
      <w:pPr>
        <w:rPr>
          <w:sz w:val="24"/>
          <w:szCs w:val="24"/>
        </w:rPr>
      </w:pPr>
    </w:p>
    <w:p w:rsidR="00DE3AF2" w:rsidRDefault="00DE3AF2" w:rsidP="00DE3AF2">
      <w:pPr>
        <w:rPr>
          <w:sz w:val="24"/>
          <w:szCs w:val="24"/>
          <w:lang w:val="en-US"/>
        </w:rPr>
      </w:pPr>
      <w:r w:rsidRPr="0012760D">
        <w:rPr>
          <w:sz w:val="24"/>
          <w:szCs w:val="24"/>
          <w:lang w:val="en-US"/>
        </w:rPr>
        <w:t xml:space="preserve">An executive officer (EO) is a person employed as a head or other executive under Part 3, Division 5 of the </w:t>
      </w:r>
      <w:r w:rsidRPr="0012760D">
        <w:rPr>
          <w:i/>
          <w:iCs/>
          <w:sz w:val="24"/>
          <w:szCs w:val="24"/>
          <w:lang w:val="en-US"/>
        </w:rPr>
        <w:t>Public Administration Act 2004</w:t>
      </w:r>
      <w:r w:rsidRPr="0012760D">
        <w:rPr>
          <w:sz w:val="24"/>
          <w:szCs w:val="24"/>
          <w:lang w:val="en-US"/>
        </w:rPr>
        <w:t>.</w:t>
      </w:r>
    </w:p>
    <w:p w:rsidR="006B246A" w:rsidRPr="0012760D" w:rsidRDefault="006B246A" w:rsidP="00DE3AF2">
      <w:pPr>
        <w:rPr>
          <w:sz w:val="24"/>
          <w:szCs w:val="24"/>
        </w:rPr>
      </w:pPr>
    </w:p>
    <w:p w:rsidR="00DE3AF2" w:rsidRPr="0012760D" w:rsidRDefault="00DE3AF2" w:rsidP="00DE3AF2">
      <w:pPr>
        <w:rPr>
          <w:sz w:val="24"/>
          <w:szCs w:val="24"/>
          <w:lang w:val="en-US"/>
        </w:rPr>
      </w:pPr>
      <w:r w:rsidRPr="0012760D">
        <w:rPr>
          <w:sz w:val="24"/>
          <w:szCs w:val="24"/>
          <w:lang w:val="en-US"/>
        </w:rPr>
        <w:t>We employed three EOs in 2012 to 13. Responsible for ongoing functions or outputs, all executive positions are classified as fixed term and ongoing. The following table details our EO positions by gender.</w:t>
      </w:r>
    </w:p>
    <w:p w:rsidR="00DE3AF2" w:rsidRDefault="00DE3AF2" w:rsidP="00DE3AF2">
      <w:pPr>
        <w:rPr>
          <w:sz w:val="24"/>
          <w:szCs w:val="24"/>
        </w:rPr>
      </w:pPr>
    </w:p>
    <w:p w:rsidR="006B246A" w:rsidRPr="0012760D" w:rsidRDefault="006B246A" w:rsidP="00DE3AF2">
      <w:pPr>
        <w:rPr>
          <w:sz w:val="24"/>
          <w:szCs w:val="24"/>
        </w:rPr>
      </w:pPr>
    </w:p>
    <w:p w:rsidR="00DE3AF2" w:rsidRPr="0012760D" w:rsidRDefault="00DE3AF2" w:rsidP="006B246A">
      <w:pPr>
        <w:pStyle w:val="Heading2"/>
        <w:rPr>
          <w:lang w:val="en-US"/>
        </w:rPr>
      </w:pPr>
      <w:r w:rsidRPr="0012760D">
        <w:rPr>
          <w:lang w:val="en-US"/>
        </w:rPr>
        <w:t>Breakdown of executive officers into gender</w:t>
      </w:r>
    </w:p>
    <w:p w:rsidR="00DE3AF2" w:rsidRPr="0012760D" w:rsidRDefault="00DE3AF2" w:rsidP="00DE3AF2">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1387"/>
        <w:gridCol w:w="1877"/>
        <w:gridCol w:w="1417"/>
        <w:gridCol w:w="1614"/>
        <w:gridCol w:w="1499"/>
        <w:gridCol w:w="1315"/>
      </w:tblGrid>
      <w:tr w:rsidR="00DE3AF2" w:rsidRPr="0012760D" w:rsidTr="006B246A">
        <w:tblPrEx>
          <w:tblCellMar>
            <w:top w:w="0" w:type="dxa"/>
            <w:bottom w:w="0" w:type="dxa"/>
          </w:tblCellMar>
        </w:tblPrEx>
        <w:tc>
          <w:tcPr>
            <w:tcW w:w="761" w:type="pct"/>
            <w:shd w:val="clear" w:color="auto" w:fill="auto"/>
          </w:tcPr>
          <w:p w:rsidR="00DE3AF2" w:rsidRPr="0012760D" w:rsidRDefault="00DE3AF2" w:rsidP="001B3A3E">
            <w:pPr>
              <w:rPr>
                <w:sz w:val="24"/>
                <w:szCs w:val="24"/>
              </w:rPr>
            </w:pPr>
          </w:p>
        </w:tc>
        <w:tc>
          <w:tcPr>
            <w:tcW w:w="4239" w:type="pct"/>
            <w:gridSpan w:val="5"/>
            <w:shd w:val="clear" w:color="auto" w:fill="auto"/>
          </w:tcPr>
          <w:p w:rsidR="00DE3AF2" w:rsidRPr="0012760D" w:rsidRDefault="00DE3AF2" w:rsidP="001B3A3E">
            <w:pPr>
              <w:jc w:val="center"/>
              <w:rPr>
                <w:sz w:val="24"/>
                <w:szCs w:val="24"/>
              </w:rPr>
            </w:pPr>
            <w:r w:rsidRPr="0012760D">
              <w:rPr>
                <w:bCs/>
                <w:sz w:val="24"/>
                <w:szCs w:val="24"/>
                <w:lang w:val="en-US"/>
              </w:rPr>
              <w:t>Ongoing</w:t>
            </w:r>
          </w:p>
        </w:tc>
      </w:tr>
      <w:tr w:rsidR="00DE3AF2" w:rsidRPr="0012760D" w:rsidTr="006B246A">
        <w:tblPrEx>
          <w:tblCellMar>
            <w:top w:w="0" w:type="dxa"/>
            <w:bottom w:w="0" w:type="dxa"/>
          </w:tblCellMar>
        </w:tblPrEx>
        <w:tc>
          <w:tcPr>
            <w:tcW w:w="761" w:type="pct"/>
            <w:shd w:val="clear" w:color="auto" w:fill="auto"/>
          </w:tcPr>
          <w:p w:rsidR="00DE3AF2" w:rsidRPr="0012760D" w:rsidRDefault="00DE3AF2" w:rsidP="001B3A3E">
            <w:pPr>
              <w:rPr>
                <w:sz w:val="24"/>
                <w:szCs w:val="24"/>
              </w:rPr>
            </w:pPr>
          </w:p>
        </w:tc>
        <w:tc>
          <w:tcPr>
            <w:tcW w:w="1808" w:type="pct"/>
            <w:gridSpan w:val="2"/>
            <w:shd w:val="clear" w:color="auto" w:fill="auto"/>
          </w:tcPr>
          <w:p w:rsidR="00DE3AF2" w:rsidRPr="0012760D" w:rsidRDefault="00DE3AF2" w:rsidP="001B3A3E">
            <w:pPr>
              <w:jc w:val="center"/>
              <w:rPr>
                <w:sz w:val="24"/>
                <w:szCs w:val="24"/>
              </w:rPr>
            </w:pPr>
            <w:r w:rsidRPr="0012760D">
              <w:rPr>
                <w:bCs/>
                <w:sz w:val="24"/>
                <w:szCs w:val="24"/>
                <w:lang w:val="en-US"/>
              </w:rPr>
              <w:t>Male</w:t>
            </w:r>
          </w:p>
        </w:tc>
        <w:tc>
          <w:tcPr>
            <w:tcW w:w="1709" w:type="pct"/>
            <w:gridSpan w:val="2"/>
            <w:shd w:val="clear" w:color="auto" w:fill="auto"/>
          </w:tcPr>
          <w:p w:rsidR="00DE3AF2" w:rsidRPr="0012760D" w:rsidRDefault="00DE3AF2" w:rsidP="001B3A3E">
            <w:pPr>
              <w:jc w:val="center"/>
              <w:rPr>
                <w:sz w:val="24"/>
                <w:szCs w:val="24"/>
              </w:rPr>
            </w:pPr>
            <w:r w:rsidRPr="0012760D">
              <w:rPr>
                <w:bCs/>
                <w:sz w:val="24"/>
                <w:szCs w:val="24"/>
                <w:lang w:val="en-US"/>
              </w:rPr>
              <w:t>Female</w:t>
            </w:r>
          </w:p>
        </w:tc>
        <w:tc>
          <w:tcPr>
            <w:tcW w:w="721" w:type="pct"/>
            <w:shd w:val="clear" w:color="auto" w:fill="auto"/>
          </w:tcPr>
          <w:p w:rsidR="00DE3AF2" w:rsidRPr="0012760D" w:rsidRDefault="00DE3AF2" w:rsidP="001B3A3E">
            <w:pPr>
              <w:rPr>
                <w:sz w:val="24"/>
                <w:szCs w:val="24"/>
              </w:rPr>
            </w:pPr>
            <w:r w:rsidRPr="0012760D">
              <w:rPr>
                <w:bCs/>
                <w:sz w:val="24"/>
                <w:szCs w:val="24"/>
                <w:lang w:val="en-US"/>
              </w:rPr>
              <w:t>Vacancies</w:t>
            </w:r>
          </w:p>
        </w:tc>
      </w:tr>
      <w:tr w:rsidR="00DE3AF2" w:rsidRPr="0012760D" w:rsidTr="006B246A">
        <w:tblPrEx>
          <w:tblCellMar>
            <w:top w:w="0" w:type="dxa"/>
            <w:bottom w:w="0" w:type="dxa"/>
          </w:tblCellMar>
        </w:tblPrEx>
        <w:tc>
          <w:tcPr>
            <w:tcW w:w="761" w:type="pct"/>
            <w:shd w:val="clear" w:color="auto" w:fill="auto"/>
          </w:tcPr>
          <w:p w:rsidR="00DE3AF2" w:rsidRPr="0012760D" w:rsidRDefault="00DE3AF2" w:rsidP="001B3A3E">
            <w:pPr>
              <w:rPr>
                <w:sz w:val="24"/>
                <w:szCs w:val="24"/>
              </w:rPr>
            </w:pPr>
            <w:r w:rsidRPr="0012760D">
              <w:rPr>
                <w:bCs/>
                <w:sz w:val="24"/>
                <w:szCs w:val="24"/>
                <w:lang w:val="en-US"/>
              </w:rPr>
              <w:t>Class</w:t>
            </w:r>
          </w:p>
        </w:tc>
        <w:tc>
          <w:tcPr>
            <w:tcW w:w="1030" w:type="pct"/>
            <w:shd w:val="clear" w:color="auto" w:fill="auto"/>
          </w:tcPr>
          <w:p w:rsidR="00DE3AF2" w:rsidRPr="0012760D" w:rsidRDefault="00DE3AF2" w:rsidP="001B3A3E">
            <w:pPr>
              <w:rPr>
                <w:sz w:val="24"/>
                <w:szCs w:val="24"/>
              </w:rPr>
            </w:pPr>
            <w:r w:rsidRPr="0012760D">
              <w:rPr>
                <w:bCs/>
                <w:sz w:val="24"/>
                <w:szCs w:val="24"/>
                <w:lang w:val="en-US"/>
              </w:rPr>
              <w:t>Number</w:t>
            </w:r>
          </w:p>
        </w:tc>
        <w:tc>
          <w:tcPr>
            <w:tcW w:w="778" w:type="pct"/>
            <w:shd w:val="clear" w:color="auto" w:fill="auto"/>
          </w:tcPr>
          <w:p w:rsidR="00DE3AF2" w:rsidRPr="0012760D" w:rsidRDefault="00DE3AF2" w:rsidP="001B3A3E">
            <w:pPr>
              <w:rPr>
                <w:sz w:val="24"/>
                <w:szCs w:val="24"/>
              </w:rPr>
            </w:pPr>
            <w:r w:rsidRPr="0012760D">
              <w:rPr>
                <w:bCs/>
                <w:sz w:val="24"/>
                <w:szCs w:val="24"/>
                <w:lang w:val="en-US"/>
              </w:rPr>
              <w:t>Variation</w:t>
            </w:r>
            <w:r w:rsidRPr="0012760D">
              <w:rPr>
                <w:bCs/>
                <w:sz w:val="24"/>
                <w:szCs w:val="24"/>
                <w:vertAlign w:val="superscript"/>
                <w:lang w:val="en-US"/>
              </w:rPr>
              <w:t>1</w:t>
            </w:r>
          </w:p>
        </w:tc>
        <w:tc>
          <w:tcPr>
            <w:tcW w:w="886" w:type="pct"/>
            <w:shd w:val="clear" w:color="auto" w:fill="auto"/>
          </w:tcPr>
          <w:p w:rsidR="00DE3AF2" w:rsidRPr="0012760D" w:rsidRDefault="00DE3AF2" w:rsidP="001B3A3E">
            <w:pPr>
              <w:rPr>
                <w:sz w:val="24"/>
                <w:szCs w:val="24"/>
              </w:rPr>
            </w:pPr>
            <w:r w:rsidRPr="0012760D">
              <w:rPr>
                <w:bCs/>
                <w:sz w:val="24"/>
                <w:szCs w:val="24"/>
                <w:lang w:val="en-US"/>
              </w:rPr>
              <w:t>Number</w:t>
            </w:r>
          </w:p>
        </w:tc>
        <w:tc>
          <w:tcPr>
            <w:tcW w:w="823" w:type="pct"/>
            <w:shd w:val="clear" w:color="auto" w:fill="auto"/>
          </w:tcPr>
          <w:p w:rsidR="00DE3AF2" w:rsidRPr="0012760D" w:rsidRDefault="00DE3AF2" w:rsidP="001B3A3E">
            <w:pPr>
              <w:rPr>
                <w:sz w:val="24"/>
                <w:szCs w:val="24"/>
              </w:rPr>
            </w:pPr>
            <w:r w:rsidRPr="0012760D">
              <w:rPr>
                <w:bCs/>
                <w:sz w:val="24"/>
                <w:szCs w:val="24"/>
                <w:lang w:val="en-US"/>
              </w:rPr>
              <w:t>Variation</w:t>
            </w:r>
            <w:r w:rsidRPr="0012760D">
              <w:rPr>
                <w:bCs/>
                <w:sz w:val="24"/>
                <w:szCs w:val="24"/>
                <w:vertAlign w:val="superscript"/>
                <w:lang w:val="en-US"/>
              </w:rPr>
              <w:t>1</w:t>
            </w:r>
          </w:p>
        </w:tc>
        <w:tc>
          <w:tcPr>
            <w:tcW w:w="721" w:type="pct"/>
            <w:shd w:val="clear" w:color="auto" w:fill="auto"/>
          </w:tcPr>
          <w:p w:rsidR="00DE3AF2" w:rsidRPr="0012760D" w:rsidRDefault="00DE3AF2" w:rsidP="001B3A3E">
            <w:pPr>
              <w:rPr>
                <w:sz w:val="24"/>
                <w:szCs w:val="24"/>
              </w:rPr>
            </w:pPr>
            <w:r w:rsidRPr="0012760D">
              <w:rPr>
                <w:bCs/>
                <w:sz w:val="24"/>
                <w:szCs w:val="24"/>
                <w:lang w:val="en-US"/>
              </w:rPr>
              <w:t>Number</w:t>
            </w:r>
          </w:p>
        </w:tc>
      </w:tr>
      <w:tr w:rsidR="00DE3AF2" w:rsidRPr="0012760D" w:rsidTr="006B246A">
        <w:tblPrEx>
          <w:tblCellMar>
            <w:top w:w="0" w:type="dxa"/>
            <w:bottom w:w="0" w:type="dxa"/>
          </w:tblCellMar>
        </w:tblPrEx>
        <w:tc>
          <w:tcPr>
            <w:tcW w:w="761" w:type="pct"/>
            <w:shd w:val="clear" w:color="auto" w:fill="auto"/>
          </w:tcPr>
          <w:p w:rsidR="00DE3AF2" w:rsidRPr="0012760D" w:rsidRDefault="00DE3AF2" w:rsidP="001B3A3E">
            <w:pPr>
              <w:rPr>
                <w:sz w:val="24"/>
                <w:szCs w:val="24"/>
              </w:rPr>
            </w:pPr>
            <w:r w:rsidRPr="0012760D">
              <w:rPr>
                <w:sz w:val="24"/>
                <w:szCs w:val="24"/>
                <w:lang w:val="en-US"/>
              </w:rPr>
              <w:t>EO-1</w:t>
            </w:r>
          </w:p>
        </w:tc>
        <w:tc>
          <w:tcPr>
            <w:tcW w:w="1030" w:type="pct"/>
            <w:shd w:val="clear" w:color="auto" w:fill="auto"/>
          </w:tcPr>
          <w:p w:rsidR="00DE3AF2" w:rsidRPr="0012760D" w:rsidRDefault="00DE3AF2" w:rsidP="001B3A3E">
            <w:pPr>
              <w:jc w:val="right"/>
              <w:rPr>
                <w:sz w:val="24"/>
                <w:szCs w:val="24"/>
              </w:rPr>
            </w:pPr>
            <w:r w:rsidRPr="0012760D">
              <w:rPr>
                <w:sz w:val="24"/>
                <w:szCs w:val="24"/>
                <w:lang w:val="en-US"/>
              </w:rPr>
              <w:t>0</w:t>
            </w:r>
          </w:p>
        </w:tc>
        <w:tc>
          <w:tcPr>
            <w:tcW w:w="778" w:type="pct"/>
            <w:shd w:val="clear" w:color="auto" w:fill="auto"/>
          </w:tcPr>
          <w:p w:rsidR="00DE3AF2" w:rsidRPr="0012760D" w:rsidRDefault="00DE3AF2" w:rsidP="001B3A3E">
            <w:pPr>
              <w:jc w:val="right"/>
              <w:rPr>
                <w:sz w:val="24"/>
                <w:szCs w:val="24"/>
              </w:rPr>
            </w:pPr>
            <w:r w:rsidRPr="0012760D">
              <w:rPr>
                <w:sz w:val="24"/>
                <w:szCs w:val="24"/>
                <w:lang w:val="en-US"/>
              </w:rPr>
              <w:t>0</w:t>
            </w:r>
          </w:p>
        </w:tc>
        <w:tc>
          <w:tcPr>
            <w:tcW w:w="886" w:type="pct"/>
            <w:shd w:val="clear" w:color="auto" w:fill="auto"/>
          </w:tcPr>
          <w:p w:rsidR="00DE3AF2" w:rsidRPr="0012760D" w:rsidRDefault="00DE3AF2" w:rsidP="001B3A3E">
            <w:pPr>
              <w:jc w:val="right"/>
              <w:rPr>
                <w:sz w:val="24"/>
                <w:szCs w:val="24"/>
              </w:rPr>
            </w:pPr>
            <w:r w:rsidRPr="0012760D">
              <w:rPr>
                <w:sz w:val="24"/>
                <w:szCs w:val="24"/>
                <w:lang w:val="en-US"/>
              </w:rPr>
              <w:t>0</w:t>
            </w:r>
          </w:p>
        </w:tc>
        <w:tc>
          <w:tcPr>
            <w:tcW w:w="823" w:type="pct"/>
            <w:shd w:val="clear" w:color="auto" w:fill="auto"/>
          </w:tcPr>
          <w:p w:rsidR="00DE3AF2" w:rsidRPr="0012760D" w:rsidRDefault="00DE3AF2" w:rsidP="001B3A3E">
            <w:pPr>
              <w:jc w:val="right"/>
              <w:rPr>
                <w:sz w:val="24"/>
                <w:szCs w:val="24"/>
              </w:rPr>
            </w:pPr>
            <w:r w:rsidRPr="0012760D">
              <w:rPr>
                <w:sz w:val="24"/>
                <w:szCs w:val="24"/>
                <w:lang w:val="en-US"/>
              </w:rPr>
              <w:t>0</w:t>
            </w:r>
          </w:p>
        </w:tc>
        <w:tc>
          <w:tcPr>
            <w:tcW w:w="721" w:type="pct"/>
            <w:shd w:val="clear" w:color="auto" w:fill="auto"/>
          </w:tcPr>
          <w:p w:rsidR="00DE3AF2" w:rsidRPr="0012760D" w:rsidRDefault="00DE3AF2" w:rsidP="001B3A3E">
            <w:pPr>
              <w:jc w:val="right"/>
              <w:rPr>
                <w:sz w:val="24"/>
                <w:szCs w:val="24"/>
              </w:rPr>
            </w:pPr>
            <w:r w:rsidRPr="0012760D">
              <w:rPr>
                <w:sz w:val="24"/>
                <w:szCs w:val="24"/>
                <w:lang w:val="en-US"/>
              </w:rPr>
              <w:t>0</w:t>
            </w:r>
          </w:p>
        </w:tc>
      </w:tr>
      <w:tr w:rsidR="00DE3AF2" w:rsidRPr="0012760D" w:rsidTr="006B246A">
        <w:tblPrEx>
          <w:tblCellMar>
            <w:top w:w="0" w:type="dxa"/>
            <w:bottom w:w="0" w:type="dxa"/>
          </w:tblCellMar>
        </w:tblPrEx>
        <w:tc>
          <w:tcPr>
            <w:tcW w:w="761" w:type="pct"/>
            <w:shd w:val="clear" w:color="auto" w:fill="auto"/>
          </w:tcPr>
          <w:p w:rsidR="00DE3AF2" w:rsidRPr="0012760D" w:rsidRDefault="00DE3AF2" w:rsidP="001B3A3E">
            <w:pPr>
              <w:rPr>
                <w:sz w:val="24"/>
                <w:szCs w:val="24"/>
              </w:rPr>
            </w:pPr>
            <w:r w:rsidRPr="0012760D">
              <w:rPr>
                <w:sz w:val="24"/>
                <w:szCs w:val="24"/>
                <w:lang w:val="en-US"/>
              </w:rPr>
              <w:t>EO-2</w:t>
            </w:r>
          </w:p>
        </w:tc>
        <w:tc>
          <w:tcPr>
            <w:tcW w:w="1030" w:type="pct"/>
            <w:shd w:val="clear" w:color="auto" w:fill="auto"/>
          </w:tcPr>
          <w:p w:rsidR="00DE3AF2" w:rsidRPr="0012760D" w:rsidRDefault="00DE3AF2" w:rsidP="001B3A3E">
            <w:pPr>
              <w:jc w:val="right"/>
              <w:rPr>
                <w:sz w:val="24"/>
                <w:szCs w:val="24"/>
              </w:rPr>
            </w:pPr>
            <w:r w:rsidRPr="0012760D">
              <w:rPr>
                <w:sz w:val="24"/>
                <w:szCs w:val="24"/>
                <w:lang w:val="en-US"/>
              </w:rPr>
              <w:t>1</w:t>
            </w:r>
          </w:p>
        </w:tc>
        <w:tc>
          <w:tcPr>
            <w:tcW w:w="778" w:type="pct"/>
            <w:shd w:val="clear" w:color="auto" w:fill="auto"/>
          </w:tcPr>
          <w:p w:rsidR="00DE3AF2" w:rsidRPr="0012760D" w:rsidRDefault="00DE3AF2" w:rsidP="001B3A3E">
            <w:pPr>
              <w:jc w:val="right"/>
              <w:rPr>
                <w:sz w:val="24"/>
                <w:szCs w:val="24"/>
              </w:rPr>
            </w:pPr>
            <w:r w:rsidRPr="0012760D">
              <w:rPr>
                <w:sz w:val="24"/>
                <w:szCs w:val="24"/>
                <w:lang w:val="en-US"/>
              </w:rPr>
              <w:t>1</w:t>
            </w:r>
          </w:p>
        </w:tc>
        <w:tc>
          <w:tcPr>
            <w:tcW w:w="886" w:type="pct"/>
            <w:shd w:val="clear" w:color="auto" w:fill="auto"/>
          </w:tcPr>
          <w:p w:rsidR="00DE3AF2" w:rsidRPr="0012760D" w:rsidRDefault="00DE3AF2" w:rsidP="001B3A3E">
            <w:pPr>
              <w:jc w:val="right"/>
              <w:rPr>
                <w:sz w:val="24"/>
                <w:szCs w:val="24"/>
              </w:rPr>
            </w:pPr>
            <w:r w:rsidRPr="0012760D">
              <w:rPr>
                <w:sz w:val="24"/>
                <w:szCs w:val="24"/>
                <w:lang w:val="en-US"/>
              </w:rPr>
              <w:t>0</w:t>
            </w:r>
          </w:p>
        </w:tc>
        <w:tc>
          <w:tcPr>
            <w:tcW w:w="823" w:type="pct"/>
            <w:shd w:val="clear" w:color="auto" w:fill="auto"/>
          </w:tcPr>
          <w:p w:rsidR="00DE3AF2" w:rsidRPr="0012760D" w:rsidRDefault="00DE3AF2" w:rsidP="001B3A3E">
            <w:pPr>
              <w:jc w:val="right"/>
              <w:rPr>
                <w:sz w:val="24"/>
                <w:szCs w:val="24"/>
              </w:rPr>
            </w:pPr>
            <w:r w:rsidRPr="0012760D">
              <w:rPr>
                <w:sz w:val="24"/>
                <w:szCs w:val="24"/>
                <w:lang w:val="en-US"/>
              </w:rPr>
              <w:t>0</w:t>
            </w:r>
          </w:p>
        </w:tc>
        <w:tc>
          <w:tcPr>
            <w:tcW w:w="721" w:type="pct"/>
            <w:shd w:val="clear" w:color="auto" w:fill="auto"/>
          </w:tcPr>
          <w:p w:rsidR="00DE3AF2" w:rsidRPr="0012760D" w:rsidRDefault="00DE3AF2" w:rsidP="001B3A3E">
            <w:pPr>
              <w:jc w:val="right"/>
              <w:rPr>
                <w:sz w:val="24"/>
                <w:szCs w:val="24"/>
              </w:rPr>
            </w:pPr>
            <w:r w:rsidRPr="0012760D">
              <w:rPr>
                <w:sz w:val="24"/>
                <w:szCs w:val="24"/>
                <w:lang w:val="en-US"/>
              </w:rPr>
              <w:t>0</w:t>
            </w:r>
          </w:p>
        </w:tc>
      </w:tr>
      <w:tr w:rsidR="00DE3AF2" w:rsidRPr="0012760D" w:rsidTr="006B246A">
        <w:tblPrEx>
          <w:tblCellMar>
            <w:top w:w="0" w:type="dxa"/>
            <w:bottom w:w="0" w:type="dxa"/>
          </w:tblCellMar>
        </w:tblPrEx>
        <w:tc>
          <w:tcPr>
            <w:tcW w:w="761" w:type="pct"/>
            <w:shd w:val="clear" w:color="auto" w:fill="auto"/>
          </w:tcPr>
          <w:p w:rsidR="00DE3AF2" w:rsidRPr="0012760D" w:rsidRDefault="00DE3AF2" w:rsidP="001B3A3E">
            <w:pPr>
              <w:rPr>
                <w:sz w:val="24"/>
                <w:szCs w:val="24"/>
              </w:rPr>
            </w:pPr>
            <w:r w:rsidRPr="0012760D">
              <w:rPr>
                <w:sz w:val="24"/>
                <w:szCs w:val="24"/>
                <w:lang w:val="en-US"/>
              </w:rPr>
              <w:t>EO-3</w:t>
            </w:r>
          </w:p>
        </w:tc>
        <w:tc>
          <w:tcPr>
            <w:tcW w:w="1030" w:type="pct"/>
            <w:shd w:val="clear" w:color="auto" w:fill="auto"/>
          </w:tcPr>
          <w:p w:rsidR="00DE3AF2" w:rsidRPr="0012760D" w:rsidRDefault="00DE3AF2" w:rsidP="001B3A3E">
            <w:pPr>
              <w:jc w:val="right"/>
              <w:rPr>
                <w:sz w:val="24"/>
                <w:szCs w:val="24"/>
              </w:rPr>
            </w:pPr>
            <w:r w:rsidRPr="0012760D">
              <w:rPr>
                <w:sz w:val="24"/>
                <w:szCs w:val="24"/>
                <w:lang w:val="en-US"/>
              </w:rPr>
              <w:t>2</w:t>
            </w:r>
          </w:p>
        </w:tc>
        <w:tc>
          <w:tcPr>
            <w:tcW w:w="778" w:type="pct"/>
            <w:shd w:val="clear" w:color="auto" w:fill="auto"/>
          </w:tcPr>
          <w:p w:rsidR="00DE3AF2" w:rsidRPr="0012760D" w:rsidRDefault="00DE3AF2" w:rsidP="001B3A3E">
            <w:pPr>
              <w:jc w:val="right"/>
              <w:rPr>
                <w:sz w:val="24"/>
                <w:szCs w:val="24"/>
              </w:rPr>
            </w:pPr>
            <w:r w:rsidRPr="0012760D">
              <w:rPr>
                <w:sz w:val="24"/>
                <w:szCs w:val="24"/>
                <w:lang w:val="en-US"/>
              </w:rPr>
              <w:t>2</w:t>
            </w:r>
          </w:p>
        </w:tc>
        <w:tc>
          <w:tcPr>
            <w:tcW w:w="886" w:type="pct"/>
            <w:shd w:val="clear" w:color="auto" w:fill="auto"/>
          </w:tcPr>
          <w:p w:rsidR="00DE3AF2" w:rsidRPr="0012760D" w:rsidRDefault="00DE3AF2" w:rsidP="001B3A3E">
            <w:pPr>
              <w:jc w:val="right"/>
              <w:rPr>
                <w:sz w:val="24"/>
                <w:szCs w:val="24"/>
              </w:rPr>
            </w:pPr>
            <w:r w:rsidRPr="0012760D">
              <w:rPr>
                <w:sz w:val="24"/>
                <w:szCs w:val="24"/>
                <w:lang w:val="en-US"/>
              </w:rPr>
              <w:t>2</w:t>
            </w:r>
          </w:p>
        </w:tc>
        <w:tc>
          <w:tcPr>
            <w:tcW w:w="823" w:type="pct"/>
            <w:shd w:val="clear" w:color="auto" w:fill="auto"/>
          </w:tcPr>
          <w:p w:rsidR="00DE3AF2" w:rsidRPr="0012760D" w:rsidRDefault="00DE3AF2" w:rsidP="001B3A3E">
            <w:pPr>
              <w:jc w:val="right"/>
              <w:rPr>
                <w:sz w:val="24"/>
                <w:szCs w:val="24"/>
              </w:rPr>
            </w:pPr>
            <w:r w:rsidRPr="0012760D">
              <w:rPr>
                <w:sz w:val="24"/>
                <w:szCs w:val="24"/>
                <w:lang w:val="en-US"/>
              </w:rPr>
              <w:t>1</w:t>
            </w:r>
          </w:p>
        </w:tc>
        <w:tc>
          <w:tcPr>
            <w:tcW w:w="721" w:type="pct"/>
            <w:shd w:val="clear" w:color="auto" w:fill="auto"/>
          </w:tcPr>
          <w:p w:rsidR="00DE3AF2" w:rsidRPr="0012760D" w:rsidRDefault="00DE3AF2" w:rsidP="001B3A3E">
            <w:pPr>
              <w:jc w:val="right"/>
              <w:rPr>
                <w:sz w:val="24"/>
                <w:szCs w:val="24"/>
              </w:rPr>
            </w:pPr>
            <w:r w:rsidRPr="0012760D">
              <w:rPr>
                <w:sz w:val="24"/>
                <w:szCs w:val="24"/>
                <w:lang w:val="en-US"/>
              </w:rPr>
              <w:t>0</w:t>
            </w:r>
          </w:p>
        </w:tc>
      </w:tr>
      <w:tr w:rsidR="00DE3AF2" w:rsidRPr="0012760D" w:rsidTr="006B246A">
        <w:tblPrEx>
          <w:tblCellMar>
            <w:top w:w="0" w:type="dxa"/>
            <w:bottom w:w="0" w:type="dxa"/>
          </w:tblCellMar>
        </w:tblPrEx>
        <w:tc>
          <w:tcPr>
            <w:tcW w:w="761" w:type="pct"/>
            <w:shd w:val="clear" w:color="auto" w:fill="auto"/>
          </w:tcPr>
          <w:p w:rsidR="00DE3AF2" w:rsidRPr="0012760D" w:rsidRDefault="00DE3AF2" w:rsidP="001B3A3E">
            <w:pPr>
              <w:rPr>
                <w:sz w:val="24"/>
                <w:szCs w:val="24"/>
              </w:rPr>
            </w:pPr>
            <w:r w:rsidRPr="0012760D">
              <w:rPr>
                <w:bCs/>
                <w:sz w:val="24"/>
                <w:szCs w:val="24"/>
                <w:lang w:val="en-US"/>
              </w:rPr>
              <w:t>Total</w:t>
            </w:r>
          </w:p>
        </w:tc>
        <w:tc>
          <w:tcPr>
            <w:tcW w:w="1030" w:type="pct"/>
            <w:shd w:val="clear" w:color="auto" w:fill="auto"/>
          </w:tcPr>
          <w:p w:rsidR="00DE3AF2" w:rsidRPr="0012760D" w:rsidRDefault="00DE3AF2" w:rsidP="001B3A3E">
            <w:pPr>
              <w:jc w:val="right"/>
              <w:rPr>
                <w:sz w:val="24"/>
                <w:szCs w:val="24"/>
              </w:rPr>
            </w:pPr>
            <w:r w:rsidRPr="0012760D">
              <w:rPr>
                <w:bCs/>
                <w:sz w:val="24"/>
                <w:szCs w:val="24"/>
                <w:lang w:val="en-US"/>
              </w:rPr>
              <w:t>3</w:t>
            </w:r>
          </w:p>
        </w:tc>
        <w:tc>
          <w:tcPr>
            <w:tcW w:w="778" w:type="pct"/>
            <w:shd w:val="clear" w:color="auto" w:fill="auto"/>
          </w:tcPr>
          <w:p w:rsidR="00DE3AF2" w:rsidRPr="0012760D" w:rsidRDefault="00DE3AF2" w:rsidP="001B3A3E">
            <w:pPr>
              <w:jc w:val="right"/>
              <w:rPr>
                <w:sz w:val="24"/>
                <w:szCs w:val="24"/>
              </w:rPr>
            </w:pPr>
            <w:r w:rsidRPr="0012760D">
              <w:rPr>
                <w:bCs/>
                <w:sz w:val="24"/>
                <w:szCs w:val="24"/>
                <w:lang w:val="en-US"/>
              </w:rPr>
              <w:t>1</w:t>
            </w:r>
          </w:p>
        </w:tc>
        <w:tc>
          <w:tcPr>
            <w:tcW w:w="886" w:type="pct"/>
            <w:shd w:val="clear" w:color="auto" w:fill="auto"/>
          </w:tcPr>
          <w:p w:rsidR="00DE3AF2" w:rsidRPr="0012760D" w:rsidRDefault="00DE3AF2" w:rsidP="001B3A3E">
            <w:pPr>
              <w:jc w:val="right"/>
              <w:rPr>
                <w:sz w:val="24"/>
                <w:szCs w:val="24"/>
              </w:rPr>
            </w:pPr>
            <w:r w:rsidRPr="0012760D">
              <w:rPr>
                <w:bCs/>
                <w:sz w:val="24"/>
                <w:szCs w:val="24"/>
                <w:lang w:val="en-US"/>
              </w:rPr>
              <w:t>2</w:t>
            </w:r>
          </w:p>
        </w:tc>
        <w:tc>
          <w:tcPr>
            <w:tcW w:w="823" w:type="pct"/>
            <w:shd w:val="clear" w:color="auto" w:fill="auto"/>
          </w:tcPr>
          <w:p w:rsidR="00DE3AF2" w:rsidRPr="0012760D" w:rsidRDefault="00DE3AF2" w:rsidP="001B3A3E">
            <w:pPr>
              <w:jc w:val="right"/>
              <w:rPr>
                <w:sz w:val="24"/>
                <w:szCs w:val="24"/>
              </w:rPr>
            </w:pPr>
            <w:r w:rsidRPr="0012760D">
              <w:rPr>
                <w:bCs/>
                <w:sz w:val="24"/>
                <w:szCs w:val="24"/>
                <w:lang w:val="en-US"/>
              </w:rPr>
              <w:t>1</w:t>
            </w:r>
          </w:p>
        </w:tc>
        <w:tc>
          <w:tcPr>
            <w:tcW w:w="721" w:type="pct"/>
            <w:shd w:val="clear" w:color="auto" w:fill="auto"/>
          </w:tcPr>
          <w:p w:rsidR="00DE3AF2" w:rsidRPr="0012760D" w:rsidRDefault="00DE3AF2" w:rsidP="001B3A3E">
            <w:pPr>
              <w:jc w:val="right"/>
              <w:rPr>
                <w:sz w:val="24"/>
                <w:szCs w:val="24"/>
              </w:rPr>
            </w:pPr>
            <w:r w:rsidRPr="0012760D">
              <w:rPr>
                <w:bCs/>
                <w:sz w:val="24"/>
                <w:szCs w:val="24"/>
                <w:lang w:val="en-US"/>
              </w:rPr>
              <w:t>0</w:t>
            </w:r>
          </w:p>
        </w:tc>
      </w:tr>
    </w:tbl>
    <w:p w:rsidR="00DE3AF2" w:rsidRPr="0012760D" w:rsidRDefault="00DE3AF2" w:rsidP="00DE3AF2">
      <w:pPr>
        <w:rPr>
          <w:sz w:val="24"/>
          <w:szCs w:val="24"/>
          <w:lang w:val="en-US"/>
        </w:rPr>
      </w:pPr>
    </w:p>
    <w:p w:rsidR="00DE3AF2" w:rsidRPr="0012760D" w:rsidRDefault="00DE3AF2" w:rsidP="00DE3AF2">
      <w:pPr>
        <w:rPr>
          <w:sz w:val="24"/>
          <w:szCs w:val="24"/>
        </w:rPr>
      </w:pPr>
      <w:r w:rsidRPr="0012760D">
        <w:rPr>
          <w:sz w:val="24"/>
          <w:szCs w:val="24"/>
          <w:lang w:val="en-US"/>
        </w:rPr>
        <w:t>1. Variation from previous reporting period.</w:t>
      </w:r>
    </w:p>
    <w:p w:rsidR="00CC75F2" w:rsidRDefault="00CC75F2" w:rsidP="00CC75F2">
      <w:pPr>
        <w:rPr>
          <w:bCs/>
          <w:sz w:val="24"/>
          <w:szCs w:val="24"/>
        </w:rPr>
      </w:pPr>
      <w:r w:rsidRPr="0012760D">
        <w:rPr>
          <w:bCs/>
          <w:sz w:val="24"/>
          <w:szCs w:val="24"/>
        </w:rPr>
        <w:t>&lt;pp&gt; 69</w:t>
      </w:r>
    </w:p>
    <w:p w:rsidR="006B246A" w:rsidRDefault="006B246A" w:rsidP="00CC75F2">
      <w:pPr>
        <w:rPr>
          <w:bCs/>
          <w:sz w:val="24"/>
          <w:szCs w:val="24"/>
        </w:rPr>
      </w:pPr>
    </w:p>
    <w:p w:rsidR="006B246A" w:rsidRPr="0012760D" w:rsidRDefault="006B246A" w:rsidP="00CC75F2">
      <w:pPr>
        <w:rPr>
          <w:sz w:val="24"/>
          <w:szCs w:val="24"/>
        </w:rPr>
      </w:pPr>
    </w:p>
    <w:p w:rsidR="00CC75F2" w:rsidRDefault="00CC75F2" w:rsidP="006B246A">
      <w:pPr>
        <w:pStyle w:val="Heading1"/>
      </w:pPr>
      <w:r w:rsidRPr="0012760D">
        <w:t>Appendix 5</w:t>
      </w:r>
      <w:r w:rsidR="006B246A">
        <w:br/>
      </w:r>
      <w:r w:rsidRPr="0012760D">
        <w:t xml:space="preserve">Occupational Health </w:t>
      </w:r>
      <w:r w:rsidR="00236A13">
        <w:t>and</w:t>
      </w:r>
      <w:r w:rsidRPr="0012760D">
        <w:t xml:space="preserve"> Safety Statement</w:t>
      </w:r>
    </w:p>
    <w:p w:rsidR="006B246A" w:rsidRPr="0012760D" w:rsidRDefault="006B246A" w:rsidP="00CC75F2">
      <w:pPr>
        <w:rPr>
          <w:sz w:val="24"/>
          <w:szCs w:val="24"/>
        </w:rPr>
      </w:pPr>
    </w:p>
    <w:p w:rsidR="00CC75F2" w:rsidRDefault="00CC75F2" w:rsidP="006B246A">
      <w:pPr>
        <w:pStyle w:val="Heading2"/>
      </w:pPr>
      <w:r w:rsidRPr="0012760D">
        <w:t xml:space="preserve">Health, Safety </w:t>
      </w:r>
      <w:r w:rsidR="00236A13">
        <w:t>and</w:t>
      </w:r>
      <w:r w:rsidRPr="0012760D">
        <w:t xml:space="preserve"> Wellbeing Policy Statement</w:t>
      </w:r>
    </w:p>
    <w:p w:rsidR="006B246A" w:rsidRPr="0012760D" w:rsidRDefault="006B246A" w:rsidP="00CC75F2">
      <w:pPr>
        <w:rPr>
          <w:sz w:val="24"/>
          <w:szCs w:val="24"/>
        </w:rPr>
      </w:pPr>
    </w:p>
    <w:p w:rsidR="00CC75F2" w:rsidRDefault="00CC75F2" w:rsidP="00CC75F2">
      <w:pPr>
        <w:rPr>
          <w:sz w:val="24"/>
          <w:szCs w:val="24"/>
        </w:rPr>
      </w:pPr>
      <w:r w:rsidRPr="0012760D">
        <w:rPr>
          <w:sz w:val="24"/>
          <w:szCs w:val="24"/>
        </w:rPr>
        <w:t>Sustainability Victoria (SV) is an agency of the Victorian Government enacted to drive integrated waste management and resource efficiency in Victoria. Our people are fundamental to our success; we strive to integrate health, safety and wellbeing into all aspects of our activities to provide our employees with a positive, healthy and safe working environment.</w:t>
      </w:r>
    </w:p>
    <w:p w:rsidR="006B246A" w:rsidRPr="0012760D" w:rsidRDefault="006B246A" w:rsidP="00CC75F2">
      <w:pPr>
        <w:rPr>
          <w:sz w:val="24"/>
          <w:szCs w:val="24"/>
        </w:rPr>
      </w:pPr>
    </w:p>
    <w:p w:rsidR="00CC75F2" w:rsidRDefault="00CC75F2" w:rsidP="00CC75F2">
      <w:pPr>
        <w:rPr>
          <w:sz w:val="24"/>
          <w:szCs w:val="24"/>
        </w:rPr>
      </w:pPr>
      <w:r w:rsidRPr="0012760D">
        <w:rPr>
          <w:sz w:val="24"/>
          <w:szCs w:val="24"/>
        </w:rPr>
        <w:t>Our board, CEO, Directors and Leaders are committed to providing and promoting a healthy workplace and safe systems of work.</w:t>
      </w:r>
    </w:p>
    <w:p w:rsidR="006B246A" w:rsidRPr="0012760D" w:rsidRDefault="006B246A" w:rsidP="00CC75F2">
      <w:pPr>
        <w:rPr>
          <w:sz w:val="24"/>
          <w:szCs w:val="24"/>
        </w:rPr>
      </w:pPr>
    </w:p>
    <w:p w:rsidR="00CC75F2" w:rsidRDefault="00CC75F2" w:rsidP="00CC75F2">
      <w:pPr>
        <w:rPr>
          <w:sz w:val="24"/>
          <w:szCs w:val="24"/>
        </w:rPr>
      </w:pPr>
      <w:r w:rsidRPr="0012760D">
        <w:rPr>
          <w:sz w:val="24"/>
          <w:szCs w:val="24"/>
        </w:rPr>
        <w:t>Health, safety and wellbeing (HS</w:t>
      </w:r>
      <w:r w:rsidR="00236A13">
        <w:rPr>
          <w:sz w:val="24"/>
          <w:szCs w:val="24"/>
        </w:rPr>
        <w:t>and</w:t>
      </w:r>
      <w:r w:rsidRPr="0012760D">
        <w:rPr>
          <w:sz w:val="24"/>
          <w:szCs w:val="24"/>
        </w:rPr>
        <w:t>W) is an integral part of business within SV and is the responsibility of every employee. SV recognises that the involvement of everyone is essential in establishing and maintaining positive, healthy and safe working environments and procedures.</w:t>
      </w:r>
    </w:p>
    <w:p w:rsidR="006B246A" w:rsidRPr="0012760D" w:rsidRDefault="006B246A" w:rsidP="00CC75F2">
      <w:pPr>
        <w:rPr>
          <w:sz w:val="24"/>
          <w:szCs w:val="24"/>
        </w:rPr>
      </w:pPr>
    </w:p>
    <w:p w:rsidR="00CC75F2" w:rsidRPr="0012760D" w:rsidRDefault="00CC75F2" w:rsidP="00CC75F2">
      <w:pPr>
        <w:rPr>
          <w:sz w:val="24"/>
          <w:szCs w:val="24"/>
        </w:rPr>
      </w:pPr>
      <w:r w:rsidRPr="0012760D">
        <w:rPr>
          <w:sz w:val="24"/>
          <w:szCs w:val="24"/>
        </w:rPr>
        <w:lastRenderedPageBreak/>
        <w:t>SV is committed to ensuring that our employees leave the workplace in the same condition or better as when they arrived, with a focus on zero harm. SV will lead and engage our people with supportive, evidence-based health, safety and wellbeing programs by:</w:t>
      </w:r>
    </w:p>
    <w:p w:rsidR="00CC75F2" w:rsidRPr="0012760D" w:rsidRDefault="00B45AD2" w:rsidP="00CC75F2">
      <w:pPr>
        <w:rPr>
          <w:sz w:val="24"/>
          <w:szCs w:val="24"/>
        </w:rPr>
      </w:pPr>
      <w:r w:rsidRPr="0012760D">
        <w:rPr>
          <w:sz w:val="24"/>
          <w:szCs w:val="24"/>
        </w:rPr>
        <w:t xml:space="preserve">• </w:t>
      </w:r>
      <w:r w:rsidR="00CC75F2" w:rsidRPr="0012760D">
        <w:rPr>
          <w:sz w:val="24"/>
          <w:szCs w:val="24"/>
        </w:rPr>
        <w:t>establishing and supporting a trusting and encouraging culture where health, safety and wellbeing is a primary consideration in everything we do and how we do it</w:t>
      </w:r>
    </w:p>
    <w:p w:rsidR="00CC75F2" w:rsidRPr="0012760D" w:rsidRDefault="00B45AD2" w:rsidP="00CC75F2">
      <w:pPr>
        <w:rPr>
          <w:sz w:val="24"/>
          <w:szCs w:val="24"/>
        </w:rPr>
      </w:pPr>
      <w:r w:rsidRPr="0012760D">
        <w:rPr>
          <w:sz w:val="24"/>
          <w:szCs w:val="24"/>
        </w:rPr>
        <w:t xml:space="preserve">• </w:t>
      </w:r>
      <w:r w:rsidR="00CC75F2" w:rsidRPr="0012760D">
        <w:rPr>
          <w:sz w:val="24"/>
          <w:szCs w:val="24"/>
        </w:rPr>
        <w:t>developing capabilities in first-class health, safety and wellbeing, giving employees the confidence and skills to proactively recognise and respond to health, safety and wellbeing issues and risks beyond the workplace and SV</w:t>
      </w:r>
    </w:p>
    <w:p w:rsidR="00CC75F2" w:rsidRPr="0012760D" w:rsidRDefault="00B45AD2" w:rsidP="00CC75F2">
      <w:pPr>
        <w:rPr>
          <w:sz w:val="24"/>
          <w:szCs w:val="24"/>
        </w:rPr>
      </w:pPr>
      <w:r w:rsidRPr="0012760D">
        <w:rPr>
          <w:sz w:val="24"/>
          <w:szCs w:val="24"/>
        </w:rPr>
        <w:t xml:space="preserve">• </w:t>
      </w:r>
      <w:r w:rsidR="00CC75F2" w:rsidRPr="0012760D">
        <w:rPr>
          <w:sz w:val="24"/>
          <w:szCs w:val="24"/>
        </w:rPr>
        <w:t>complying with relevant health and safety legislation and other requirements placed upon SV or to which we subscribe by:</w:t>
      </w:r>
    </w:p>
    <w:p w:rsidR="00CC75F2" w:rsidRPr="0012760D" w:rsidRDefault="00CC75F2" w:rsidP="00CC75F2">
      <w:pPr>
        <w:rPr>
          <w:sz w:val="24"/>
          <w:szCs w:val="24"/>
        </w:rPr>
      </w:pPr>
      <w:r w:rsidRPr="0012760D">
        <w:rPr>
          <w:sz w:val="24"/>
          <w:szCs w:val="24"/>
        </w:rPr>
        <w:t>- promoting and maximising the importance of workplace wellbeing with recognition and practical intervention strategies to proactively respond to psychological health risks</w:t>
      </w:r>
    </w:p>
    <w:p w:rsidR="00CC75F2" w:rsidRPr="0012760D" w:rsidRDefault="00CC75F2" w:rsidP="00CC75F2">
      <w:pPr>
        <w:rPr>
          <w:sz w:val="24"/>
          <w:szCs w:val="24"/>
        </w:rPr>
      </w:pPr>
      <w:r w:rsidRPr="0012760D">
        <w:rPr>
          <w:sz w:val="24"/>
          <w:szCs w:val="24"/>
        </w:rPr>
        <w:t>- refining the risk management process and ensuring consistency with the nature of workplace activities and scale of HS</w:t>
      </w:r>
      <w:r w:rsidR="00236A13">
        <w:rPr>
          <w:sz w:val="24"/>
          <w:szCs w:val="24"/>
        </w:rPr>
        <w:t>and</w:t>
      </w:r>
      <w:r w:rsidRPr="0012760D">
        <w:rPr>
          <w:sz w:val="24"/>
          <w:szCs w:val="24"/>
        </w:rPr>
        <w:t>W risks</w:t>
      </w:r>
    </w:p>
    <w:p w:rsidR="00CC75F2" w:rsidRPr="0012760D" w:rsidRDefault="00CC75F2" w:rsidP="00CC75F2">
      <w:pPr>
        <w:rPr>
          <w:sz w:val="24"/>
          <w:szCs w:val="24"/>
        </w:rPr>
      </w:pPr>
      <w:r w:rsidRPr="0012760D">
        <w:rPr>
          <w:sz w:val="24"/>
          <w:szCs w:val="24"/>
        </w:rPr>
        <w:t>- establishing measurable objectives and targets for health, safety and wellbeing to ensure continuous improvement aimed at elimination of work-related illness and injury</w:t>
      </w:r>
    </w:p>
    <w:p w:rsidR="00CC75F2" w:rsidRPr="0012760D" w:rsidRDefault="00CC75F2" w:rsidP="00CC75F2">
      <w:pPr>
        <w:rPr>
          <w:sz w:val="24"/>
          <w:szCs w:val="24"/>
        </w:rPr>
      </w:pPr>
      <w:r w:rsidRPr="0012760D">
        <w:rPr>
          <w:sz w:val="24"/>
          <w:szCs w:val="24"/>
        </w:rPr>
        <w:t>- providing appropriate HS</w:t>
      </w:r>
      <w:r w:rsidR="00236A13">
        <w:rPr>
          <w:sz w:val="24"/>
          <w:szCs w:val="24"/>
        </w:rPr>
        <w:t>and</w:t>
      </w:r>
      <w:r w:rsidRPr="0012760D">
        <w:rPr>
          <w:sz w:val="24"/>
          <w:szCs w:val="24"/>
        </w:rPr>
        <w:t>W training to all employees</w:t>
      </w:r>
    </w:p>
    <w:p w:rsidR="00CC75F2" w:rsidRPr="0012760D" w:rsidRDefault="00CC75F2" w:rsidP="00CC75F2">
      <w:pPr>
        <w:rPr>
          <w:sz w:val="24"/>
          <w:szCs w:val="24"/>
        </w:rPr>
      </w:pPr>
      <w:r w:rsidRPr="0012760D">
        <w:rPr>
          <w:sz w:val="24"/>
          <w:szCs w:val="24"/>
        </w:rPr>
        <w:t>- maintaining due consultation to ensure that all employees are included in the decision-making processes impacting on HS</w:t>
      </w:r>
      <w:r w:rsidR="00236A13">
        <w:rPr>
          <w:sz w:val="24"/>
          <w:szCs w:val="24"/>
        </w:rPr>
        <w:t>and</w:t>
      </w:r>
      <w:r w:rsidRPr="0012760D">
        <w:rPr>
          <w:sz w:val="24"/>
          <w:szCs w:val="24"/>
        </w:rPr>
        <w:t>W</w:t>
      </w:r>
    </w:p>
    <w:p w:rsidR="00CC75F2" w:rsidRPr="0012760D" w:rsidRDefault="00CC75F2" w:rsidP="00CC75F2">
      <w:pPr>
        <w:rPr>
          <w:sz w:val="24"/>
          <w:szCs w:val="24"/>
        </w:rPr>
      </w:pPr>
      <w:r w:rsidRPr="0012760D">
        <w:rPr>
          <w:sz w:val="24"/>
          <w:szCs w:val="24"/>
        </w:rPr>
        <w:t>- disseminating HS</w:t>
      </w:r>
      <w:r w:rsidR="00236A13">
        <w:rPr>
          <w:sz w:val="24"/>
          <w:szCs w:val="24"/>
        </w:rPr>
        <w:t>and</w:t>
      </w:r>
      <w:r w:rsidRPr="0012760D">
        <w:rPr>
          <w:sz w:val="24"/>
          <w:szCs w:val="24"/>
        </w:rPr>
        <w:t>W information to all employees, contractors, labour hire employees and visitors to the workplace</w:t>
      </w:r>
    </w:p>
    <w:p w:rsidR="00CC75F2" w:rsidRPr="0012760D" w:rsidRDefault="006B246A" w:rsidP="00CC75F2">
      <w:pPr>
        <w:rPr>
          <w:sz w:val="24"/>
          <w:szCs w:val="24"/>
        </w:rPr>
      </w:pPr>
      <w:r>
        <w:rPr>
          <w:sz w:val="24"/>
          <w:szCs w:val="24"/>
        </w:rPr>
        <w:t xml:space="preserve">- </w:t>
      </w:r>
      <w:r w:rsidR="00CC75F2" w:rsidRPr="0012760D">
        <w:rPr>
          <w:sz w:val="24"/>
          <w:szCs w:val="24"/>
        </w:rPr>
        <w:t>implementing HS</w:t>
      </w:r>
      <w:r w:rsidR="00236A13">
        <w:rPr>
          <w:sz w:val="24"/>
          <w:szCs w:val="24"/>
        </w:rPr>
        <w:t>and</w:t>
      </w:r>
      <w:r w:rsidR="00CC75F2" w:rsidRPr="0012760D">
        <w:rPr>
          <w:sz w:val="24"/>
          <w:szCs w:val="24"/>
        </w:rPr>
        <w:t>W procedures at all SV work sites.</w:t>
      </w:r>
    </w:p>
    <w:p w:rsidR="006B246A" w:rsidRDefault="006B246A" w:rsidP="00CC75F2">
      <w:pPr>
        <w:rPr>
          <w:sz w:val="24"/>
          <w:szCs w:val="24"/>
        </w:rPr>
      </w:pPr>
    </w:p>
    <w:p w:rsidR="00CC75F2" w:rsidRPr="0012760D" w:rsidRDefault="00CC75F2" w:rsidP="00CC75F2">
      <w:pPr>
        <w:rPr>
          <w:sz w:val="24"/>
          <w:szCs w:val="24"/>
        </w:rPr>
      </w:pPr>
      <w:r w:rsidRPr="0012760D">
        <w:rPr>
          <w:sz w:val="24"/>
          <w:szCs w:val="24"/>
        </w:rPr>
        <w:t>All employees are required to:</w:t>
      </w:r>
    </w:p>
    <w:p w:rsidR="00CC75F2" w:rsidRPr="0012760D" w:rsidRDefault="00B45AD2" w:rsidP="00CC75F2">
      <w:pPr>
        <w:rPr>
          <w:sz w:val="24"/>
          <w:szCs w:val="24"/>
        </w:rPr>
      </w:pPr>
      <w:r w:rsidRPr="0012760D">
        <w:rPr>
          <w:sz w:val="24"/>
          <w:szCs w:val="24"/>
        </w:rPr>
        <w:t xml:space="preserve">• </w:t>
      </w:r>
      <w:r w:rsidR="00CC75F2" w:rsidRPr="0012760D">
        <w:rPr>
          <w:sz w:val="24"/>
          <w:szCs w:val="24"/>
        </w:rPr>
        <w:t>take such reasonable care as they are capable for their own HS</w:t>
      </w:r>
      <w:r w:rsidR="00236A13">
        <w:rPr>
          <w:sz w:val="24"/>
          <w:szCs w:val="24"/>
        </w:rPr>
        <w:t>and</w:t>
      </w:r>
      <w:r w:rsidR="00CC75F2" w:rsidRPr="0012760D">
        <w:rPr>
          <w:sz w:val="24"/>
          <w:szCs w:val="24"/>
        </w:rPr>
        <w:t>W and that of others who may be affected by their actions (or lack of actions) at work</w:t>
      </w:r>
    </w:p>
    <w:p w:rsidR="00CC75F2" w:rsidRPr="0012760D" w:rsidRDefault="00B45AD2" w:rsidP="00CC75F2">
      <w:pPr>
        <w:rPr>
          <w:sz w:val="24"/>
          <w:szCs w:val="24"/>
        </w:rPr>
      </w:pPr>
      <w:r w:rsidRPr="0012760D">
        <w:rPr>
          <w:sz w:val="24"/>
          <w:szCs w:val="24"/>
        </w:rPr>
        <w:t xml:space="preserve">• </w:t>
      </w:r>
      <w:r w:rsidR="00CC75F2" w:rsidRPr="0012760D">
        <w:rPr>
          <w:sz w:val="24"/>
          <w:szCs w:val="24"/>
        </w:rPr>
        <w:t>cooperate with SV’s efforts to meet its responsibilities by following the systems and procedures of work necessary for safe and healthy operations and participating in all appropriate training</w:t>
      </w:r>
    </w:p>
    <w:p w:rsidR="00CC75F2" w:rsidRPr="0012760D" w:rsidRDefault="00B45AD2" w:rsidP="00CC75F2">
      <w:pPr>
        <w:rPr>
          <w:sz w:val="24"/>
          <w:szCs w:val="24"/>
        </w:rPr>
      </w:pPr>
      <w:r w:rsidRPr="0012760D">
        <w:rPr>
          <w:sz w:val="24"/>
          <w:szCs w:val="24"/>
        </w:rPr>
        <w:t xml:space="preserve">• </w:t>
      </w:r>
      <w:r w:rsidR="00CC75F2" w:rsidRPr="0012760D">
        <w:rPr>
          <w:sz w:val="24"/>
          <w:szCs w:val="24"/>
        </w:rPr>
        <w:t>support workplace wellbeing and mental health through raising risk factors or issues to emphasise a positive and safe work environment</w:t>
      </w:r>
    </w:p>
    <w:p w:rsidR="00CC75F2" w:rsidRPr="0012760D" w:rsidRDefault="00B45AD2" w:rsidP="00CC75F2">
      <w:pPr>
        <w:rPr>
          <w:sz w:val="24"/>
          <w:szCs w:val="24"/>
        </w:rPr>
      </w:pPr>
      <w:r w:rsidRPr="0012760D">
        <w:rPr>
          <w:sz w:val="24"/>
          <w:szCs w:val="24"/>
        </w:rPr>
        <w:t xml:space="preserve">• </w:t>
      </w:r>
      <w:r w:rsidR="00CC75F2" w:rsidRPr="0012760D">
        <w:rPr>
          <w:sz w:val="24"/>
          <w:szCs w:val="24"/>
        </w:rPr>
        <w:t>work safely and observe all occupational health and safety (OH</w:t>
      </w:r>
      <w:r w:rsidR="00236A13">
        <w:rPr>
          <w:sz w:val="24"/>
          <w:szCs w:val="24"/>
        </w:rPr>
        <w:t>and</w:t>
      </w:r>
      <w:r w:rsidR="00CC75F2" w:rsidRPr="0012760D">
        <w:rPr>
          <w:sz w:val="24"/>
          <w:szCs w:val="24"/>
        </w:rPr>
        <w:t>S) procedures and safe work instructions</w:t>
      </w:r>
    </w:p>
    <w:p w:rsidR="00CC75F2" w:rsidRPr="0012760D" w:rsidRDefault="00B45AD2" w:rsidP="00CC75F2">
      <w:pPr>
        <w:rPr>
          <w:sz w:val="24"/>
          <w:szCs w:val="24"/>
        </w:rPr>
      </w:pPr>
      <w:r w:rsidRPr="0012760D">
        <w:rPr>
          <w:sz w:val="24"/>
          <w:szCs w:val="24"/>
        </w:rPr>
        <w:t xml:space="preserve">• </w:t>
      </w:r>
      <w:r w:rsidR="00CC75F2" w:rsidRPr="0012760D">
        <w:rPr>
          <w:sz w:val="24"/>
          <w:szCs w:val="24"/>
        </w:rPr>
        <w:t>report hazards, risks, incidents, near misses and OH</w:t>
      </w:r>
      <w:r w:rsidR="00236A13">
        <w:rPr>
          <w:sz w:val="24"/>
          <w:szCs w:val="24"/>
        </w:rPr>
        <w:t>and</w:t>
      </w:r>
      <w:r w:rsidR="00CC75F2" w:rsidRPr="0012760D">
        <w:rPr>
          <w:sz w:val="24"/>
          <w:szCs w:val="24"/>
        </w:rPr>
        <w:t>S concerns of which they are aware.</w:t>
      </w:r>
    </w:p>
    <w:p w:rsidR="00CC75F2" w:rsidRPr="0012760D" w:rsidRDefault="00CC75F2" w:rsidP="00CC75F2">
      <w:pPr>
        <w:rPr>
          <w:sz w:val="24"/>
          <w:szCs w:val="24"/>
        </w:rPr>
      </w:pPr>
    </w:p>
    <w:p w:rsidR="00CC75F2" w:rsidRPr="0012760D" w:rsidRDefault="00CC75F2" w:rsidP="00CC75F2">
      <w:pPr>
        <w:rPr>
          <w:sz w:val="24"/>
          <w:szCs w:val="24"/>
        </w:rPr>
      </w:pPr>
      <w:r w:rsidRPr="0012760D">
        <w:rPr>
          <w:sz w:val="24"/>
          <w:szCs w:val="24"/>
        </w:rPr>
        <w:t>SV recognises that these policy objectives can best be achieved through effective consultation, communication and cooperation between all employees, working together.</w:t>
      </w:r>
    </w:p>
    <w:p w:rsidR="00CC75F2" w:rsidRPr="0012760D" w:rsidRDefault="00CC75F2" w:rsidP="00CC75F2">
      <w:pPr>
        <w:rPr>
          <w:sz w:val="24"/>
          <w:szCs w:val="24"/>
        </w:rPr>
      </w:pPr>
    </w:p>
    <w:p w:rsidR="00CC75F2" w:rsidRPr="0012760D" w:rsidRDefault="00CC75F2" w:rsidP="00CC75F2">
      <w:pPr>
        <w:rPr>
          <w:sz w:val="24"/>
          <w:szCs w:val="24"/>
        </w:rPr>
      </w:pPr>
      <w:r w:rsidRPr="0012760D">
        <w:rPr>
          <w:sz w:val="24"/>
          <w:szCs w:val="24"/>
        </w:rPr>
        <w:t>We will actively monitor and review our performance to ensure that we succeed in meeting our health, safety and wellbeing objectives and as far as possible mitigate potential HS</w:t>
      </w:r>
      <w:r w:rsidR="00236A13">
        <w:rPr>
          <w:sz w:val="24"/>
          <w:szCs w:val="24"/>
        </w:rPr>
        <w:t>and</w:t>
      </w:r>
      <w:r w:rsidRPr="0012760D">
        <w:rPr>
          <w:sz w:val="24"/>
          <w:szCs w:val="24"/>
        </w:rPr>
        <w:t>W risk.</w:t>
      </w:r>
    </w:p>
    <w:p w:rsidR="00CC75F2" w:rsidRPr="0012760D" w:rsidRDefault="00CC75F2" w:rsidP="00CC75F2">
      <w:pPr>
        <w:rPr>
          <w:sz w:val="24"/>
          <w:szCs w:val="24"/>
        </w:rPr>
      </w:pPr>
    </w:p>
    <w:p w:rsidR="00CC75F2" w:rsidRPr="0012760D" w:rsidRDefault="00CC75F2" w:rsidP="00CC75F2">
      <w:pPr>
        <w:rPr>
          <w:sz w:val="24"/>
          <w:szCs w:val="24"/>
        </w:rPr>
      </w:pPr>
      <w:r w:rsidRPr="0012760D">
        <w:rPr>
          <w:sz w:val="24"/>
          <w:szCs w:val="24"/>
        </w:rPr>
        <w:t>We encourage all employees to be aware and take care of their HS</w:t>
      </w:r>
      <w:r w:rsidR="00236A13">
        <w:rPr>
          <w:sz w:val="24"/>
          <w:szCs w:val="24"/>
        </w:rPr>
        <w:t>and</w:t>
      </w:r>
      <w:r w:rsidRPr="0012760D">
        <w:rPr>
          <w:sz w:val="24"/>
          <w:szCs w:val="24"/>
        </w:rPr>
        <w:t>W at SV and beyond.</w:t>
      </w:r>
    </w:p>
    <w:p w:rsidR="00EB3B18" w:rsidRDefault="00EB3B18" w:rsidP="00EB3B18">
      <w:pPr>
        <w:rPr>
          <w:bCs/>
          <w:sz w:val="24"/>
          <w:szCs w:val="24"/>
          <w:lang w:val="en-US"/>
        </w:rPr>
      </w:pPr>
      <w:r w:rsidRPr="0012760D">
        <w:rPr>
          <w:bCs/>
          <w:sz w:val="24"/>
          <w:szCs w:val="24"/>
          <w:lang w:val="en-US"/>
        </w:rPr>
        <w:t>&lt;pp&gt; 70</w:t>
      </w:r>
    </w:p>
    <w:p w:rsidR="006B246A" w:rsidRDefault="006B246A" w:rsidP="00EB3B18">
      <w:pPr>
        <w:rPr>
          <w:bCs/>
          <w:sz w:val="24"/>
          <w:szCs w:val="24"/>
          <w:lang w:val="en-US"/>
        </w:rPr>
      </w:pPr>
    </w:p>
    <w:p w:rsidR="006B246A" w:rsidRPr="0012760D" w:rsidRDefault="006B246A" w:rsidP="00EB3B18">
      <w:pPr>
        <w:rPr>
          <w:sz w:val="24"/>
          <w:szCs w:val="24"/>
        </w:rPr>
      </w:pPr>
    </w:p>
    <w:p w:rsidR="00EB3B18" w:rsidRPr="0012760D" w:rsidRDefault="00EB3B18" w:rsidP="006B246A">
      <w:pPr>
        <w:pStyle w:val="Heading1"/>
      </w:pPr>
      <w:r w:rsidRPr="0012760D">
        <w:rPr>
          <w:lang w:val="en-US"/>
        </w:rPr>
        <w:t>Appendix 6</w:t>
      </w:r>
      <w:r w:rsidR="006B246A">
        <w:rPr>
          <w:lang w:val="en-US"/>
        </w:rPr>
        <w:br/>
      </w:r>
      <w:r w:rsidRPr="0012760D">
        <w:rPr>
          <w:lang w:val="en-US"/>
        </w:rPr>
        <w:t xml:space="preserve">Occupational Health </w:t>
      </w:r>
      <w:r w:rsidR="00236A13">
        <w:rPr>
          <w:lang w:val="en-US"/>
        </w:rPr>
        <w:t>and</w:t>
      </w:r>
      <w:r w:rsidRPr="0012760D">
        <w:rPr>
          <w:lang w:val="en-US"/>
        </w:rPr>
        <w:t xml:space="preserve"> Safety Performance</w:t>
      </w:r>
    </w:p>
    <w:p w:rsidR="006B246A" w:rsidRDefault="006B246A" w:rsidP="00EB3B18">
      <w:pPr>
        <w:rPr>
          <w:sz w:val="24"/>
          <w:szCs w:val="24"/>
          <w:lang w:val="en-US"/>
        </w:rPr>
      </w:pPr>
    </w:p>
    <w:p w:rsidR="006B246A" w:rsidRPr="006B246A" w:rsidRDefault="00EB3B18" w:rsidP="00EB3B18">
      <w:pPr>
        <w:rPr>
          <w:sz w:val="24"/>
          <w:szCs w:val="24"/>
          <w:lang w:val="en-US"/>
        </w:rPr>
      </w:pPr>
      <w:r w:rsidRPr="0012760D">
        <w:rPr>
          <w:sz w:val="24"/>
          <w:szCs w:val="24"/>
          <w:lang w:val="en-US"/>
        </w:rPr>
        <w:t>In 2012 to 13, we recorded:</w:t>
      </w:r>
    </w:p>
    <w:p w:rsidR="00EB3B18" w:rsidRPr="0012760D" w:rsidRDefault="00EB3B18" w:rsidP="00EB3B18">
      <w:pPr>
        <w:rPr>
          <w:sz w:val="24"/>
          <w:szCs w:val="24"/>
        </w:rPr>
      </w:pPr>
      <w:r w:rsidRPr="0012760D">
        <w:rPr>
          <w:sz w:val="24"/>
          <w:szCs w:val="24"/>
          <w:lang w:val="en-US"/>
        </w:rPr>
        <w:t>• zero days lost to industrial action</w:t>
      </w:r>
    </w:p>
    <w:p w:rsidR="00EB3B18" w:rsidRPr="0012760D" w:rsidRDefault="00EB3B18" w:rsidP="00EB3B18">
      <w:pPr>
        <w:rPr>
          <w:sz w:val="24"/>
          <w:szCs w:val="24"/>
        </w:rPr>
      </w:pPr>
      <w:r w:rsidRPr="0012760D">
        <w:rPr>
          <w:sz w:val="24"/>
          <w:szCs w:val="24"/>
          <w:lang w:val="en-US"/>
        </w:rPr>
        <w:t>• one formal written complaint (investigated and not substantiated)</w:t>
      </w:r>
    </w:p>
    <w:p w:rsidR="00EB3B18" w:rsidRPr="0012760D" w:rsidRDefault="00EB3B18" w:rsidP="00EB3B18">
      <w:pPr>
        <w:rPr>
          <w:sz w:val="24"/>
          <w:szCs w:val="24"/>
        </w:rPr>
      </w:pPr>
      <w:r w:rsidRPr="0012760D">
        <w:rPr>
          <w:sz w:val="24"/>
          <w:szCs w:val="24"/>
          <w:lang w:val="en-US"/>
        </w:rPr>
        <w:t>• no equal opportunity, bullying or harassment complaints</w:t>
      </w:r>
    </w:p>
    <w:p w:rsidR="00EB3B18" w:rsidRPr="0012760D" w:rsidRDefault="00EB3B18" w:rsidP="00EB3B18">
      <w:pPr>
        <w:rPr>
          <w:sz w:val="24"/>
          <w:szCs w:val="24"/>
        </w:rPr>
      </w:pPr>
      <w:r w:rsidRPr="0012760D">
        <w:rPr>
          <w:sz w:val="24"/>
          <w:szCs w:val="24"/>
          <w:lang w:val="en-US"/>
        </w:rPr>
        <w:t>• 3.5 days of lost time due to injury</w:t>
      </w:r>
    </w:p>
    <w:p w:rsidR="00EB3B18" w:rsidRPr="0012760D" w:rsidRDefault="00EB3B18" w:rsidP="00EB3B18">
      <w:pPr>
        <w:rPr>
          <w:sz w:val="24"/>
          <w:szCs w:val="24"/>
        </w:rPr>
      </w:pPr>
      <w:r w:rsidRPr="0012760D">
        <w:rPr>
          <w:sz w:val="24"/>
          <w:szCs w:val="24"/>
          <w:lang w:val="en-US"/>
        </w:rPr>
        <w:t>• two worker’s injury claims for minor injuries</w:t>
      </w:r>
    </w:p>
    <w:p w:rsidR="00EB3B18" w:rsidRPr="0012760D" w:rsidRDefault="00EB3B18" w:rsidP="00EB3B18">
      <w:pPr>
        <w:rPr>
          <w:sz w:val="24"/>
          <w:szCs w:val="24"/>
        </w:rPr>
      </w:pPr>
      <w:r w:rsidRPr="0012760D">
        <w:rPr>
          <w:sz w:val="24"/>
          <w:szCs w:val="24"/>
          <w:lang w:val="en-US"/>
        </w:rPr>
        <w:t>• absenteeism (average days lost) of 8.8 days per employee</w:t>
      </w:r>
    </w:p>
    <w:p w:rsidR="00EB3B18" w:rsidRPr="0012760D" w:rsidRDefault="00EB3B18" w:rsidP="00EB3B18">
      <w:pPr>
        <w:rPr>
          <w:sz w:val="24"/>
          <w:szCs w:val="24"/>
        </w:rPr>
      </w:pPr>
      <w:r w:rsidRPr="0012760D">
        <w:rPr>
          <w:sz w:val="24"/>
          <w:szCs w:val="24"/>
          <w:lang w:val="en-US"/>
        </w:rPr>
        <w:t>• an average of 17.7 training hours per employee</w:t>
      </w:r>
    </w:p>
    <w:p w:rsidR="00EB3B18" w:rsidRPr="0012760D" w:rsidRDefault="00EB3B18" w:rsidP="00EB3B18">
      <w:pPr>
        <w:rPr>
          <w:sz w:val="24"/>
          <w:szCs w:val="24"/>
        </w:rPr>
      </w:pPr>
      <w:r w:rsidRPr="0012760D">
        <w:rPr>
          <w:sz w:val="24"/>
          <w:szCs w:val="24"/>
          <w:lang w:val="en-US"/>
        </w:rPr>
        <w:t>• a decrease in staff turnover to 13.6% (from 18.4% in 2011 to 12).</w:t>
      </w:r>
    </w:p>
    <w:p w:rsidR="00EB3B18" w:rsidRPr="0012760D" w:rsidRDefault="00EB3B18" w:rsidP="00EB3B18">
      <w:pPr>
        <w:rPr>
          <w:bCs/>
          <w:sz w:val="24"/>
          <w:szCs w:val="24"/>
          <w:lang w:val="en-US"/>
        </w:rPr>
      </w:pPr>
      <w:r w:rsidRPr="0012760D">
        <w:rPr>
          <w:bCs/>
          <w:sz w:val="24"/>
          <w:szCs w:val="24"/>
          <w:lang w:val="en-US"/>
        </w:rPr>
        <w:t>performance against health, safety and wellbeing (HS</w:t>
      </w:r>
      <w:r w:rsidR="00236A13">
        <w:rPr>
          <w:bCs/>
          <w:sz w:val="24"/>
          <w:szCs w:val="24"/>
          <w:lang w:val="en-US"/>
        </w:rPr>
        <w:t>and</w:t>
      </w:r>
      <w:r w:rsidRPr="0012760D">
        <w:rPr>
          <w:bCs/>
          <w:sz w:val="24"/>
          <w:szCs w:val="24"/>
          <w:lang w:val="en-US"/>
        </w:rPr>
        <w:t>W) management measures</w:t>
      </w:r>
    </w:p>
    <w:p w:rsidR="00EB3B18" w:rsidRPr="0012760D" w:rsidRDefault="00EB3B18" w:rsidP="00EB3B18">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1573"/>
        <w:gridCol w:w="3635"/>
        <w:gridCol w:w="1273"/>
        <w:gridCol w:w="1273"/>
        <w:gridCol w:w="1355"/>
      </w:tblGrid>
      <w:tr w:rsidR="00EB3B18" w:rsidRPr="0012760D" w:rsidTr="001B3A3E">
        <w:tblPrEx>
          <w:tblCellMar>
            <w:top w:w="0" w:type="dxa"/>
            <w:bottom w:w="0" w:type="dxa"/>
          </w:tblCellMar>
        </w:tblPrEx>
        <w:trPr>
          <w:trHeight w:val="230"/>
        </w:trPr>
        <w:tc>
          <w:tcPr>
            <w:tcW w:w="863" w:type="pct"/>
            <w:shd w:val="clear" w:color="auto" w:fill="auto"/>
          </w:tcPr>
          <w:p w:rsidR="00EB3B18" w:rsidRPr="0012760D" w:rsidRDefault="00EB3B18" w:rsidP="001B3A3E">
            <w:pPr>
              <w:rPr>
                <w:sz w:val="24"/>
                <w:szCs w:val="24"/>
              </w:rPr>
            </w:pPr>
            <w:r w:rsidRPr="0012760D">
              <w:rPr>
                <w:bCs/>
                <w:sz w:val="24"/>
                <w:szCs w:val="24"/>
                <w:lang w:val="en-US"/>
              </w:rPr>
              <w:t>Measure</w:t>
            </w:r>
          </w:p>
        </w:tc>
        <w:tc>
          <w:tcPr>
            <w:tcW w:w="1995" w:type="pct"/>
            <w:shd w:val="clear" w:color="auto" w:fill="auto"/>
          </w:tcPr>
          <w:p w:rsidR="00EB3B18" w:rsidRPr="0012760D" w:rsidRDefault="00EB3B18" w:rsidP="001B3A3E">
            <w:pPr>
              <w:rPr>
                <w:sz w:val="24"/>
                <w:szCs w:val="24"/>
              </w:rPr>
            </w:pPr>
            <w:r w:rsidRPr="0012760D">
              <w:rPr>
                <w:bCs/>
                <w:sz w:val="24"/>
                <w:szCs w:val="24"/>
                <w:lang w:val="en-US"/>
              </w:rPr>
              <w:t>KPI</w:t>
            </w:r>
          </w:p>
        </w:tc>
        <w:tc>
          <w:tcPr>
            <w:tcW w:w="698" w:type="pct"/>
            <w:shd w:val="clear" w:color="auto" w:fill="auto"/>
          </w:tcPr>
          <w:p w:rsidR="00EB3B18" w:rsidRPr="0012760D" w:rsidRDefault="00EB3B18" w:rsidP="001B3A3E">
            <w:pPr>
              <w:rPr>
                <w:sz w:val="24"/>
                <w:szCs w:val="24"/>
              </w:rPr>
            </w:pPr>
            <w:r w:rsidRPr="0012760D">
              <w:rPr>
                <w:bCs/>
                <w:sz w:val="24"/>
                <w:szCs w:val="24"/>
                <w:lang w:val="en-US"/>
              </w:rPr>
              <w:t>2012 to 13</w:t>
            </w:r>
          </w:p>
        </w:tc>
        <w:tc>
          <w:tcPr>
            <w:tcW w:w="699" w:type="pct"/>
            <w:shd w:val="clear" w:color="auto" w:fill="auto"/>
          </w:tcPr>
          <w:p w:rsidR="00EB3B18" w:rsidRPr="0012760D" w:rsidRDefault="00EB3B18" w:rsidP="001B3A3E">
            <w:pPr>
              <w:rPr>
                <w:sz w:val="24"/>
                <w:szCs w:val="24"/>
              </w:rPr>
            </w:pPr>
            <w:r w:rsidRPr="0012760D">
              <w:rPr>
                <w:bCs/>
                <w:sz w:val="24"/>
                <w:szCs w:val="24"/>
                <w:lang w:val="en-US"/>
              </w:rPr>
              <w:t>2011 to 12</w:t>
            </w:r>
          </w:p>
        </w:tc>
        <w:tc>
          <w:tcPr>
            <w:tcW w:w="744" w:type="pct"/>
            <w:shd w:val="clear" w:color="auto" w:fill="auto"/>
          </w:tcPr>
          <w:p w:rsidR="00EB3B18" w:rsidRPr="0012760D" w:rsidRDefault="00EB3B18" w:rsidP="001B3A3E">
            <w:pPr>
              <w:rPr>
                <w:sz w:val="24"/>
                <w:szCs w:val="24"/>
              </w:rPr>
            </w:pPr>
            <w:r w:rsidRPr="0012760D">
              <w:rPr>
                <w:bCs/>
                <w:sz w:val="24"/>
                <w:szCs w:val="24"/>
                <w:lang w:val="en-US"/>
              </w:rPr>
              <w:t>2010 to 11</w:t>
            </w:r>
          </w:p>
        </w:tc>
      </w:tr>
      <w:tr w:rsidR="00EB3B18" w:rsidRPr="0012760D" w:rsidTr="001B3A3E">
        <w:tblPrEx>
          <w:tblCellMar>
            <w:top w:w="0" w:type="dxa"/>
            <w:bottom w:w="0" w:type="dxa"/>
          </w:tblCellMar>
        </w:tblPrEx>
        <w:trPr>
          <w:trHeight w:val="293"/>
        </w:trPr>
        <w:tc>
          <w:tcPr>
            <w:tcW w:w="863" w:type="pct"/>
            <w:vMerge w:val="restart"/>
            <w:shd w:val="clear" w:color="auto" w:fill="auto"/>
          </w:tcPr>
          <w:p w:rsidR="00EB3B18" w:rsidRPr="0012760D" w:rsidRDefault="00EB3B18" w:rsidP="001B3A3E">
            <w:pPr>
              <w:rPr>
                <w:sz w:val="24"/>
                <w:szCs w:val="24"/>
              </w:rPr>
            </w:pPr>
            <w:r w:rsidRPr="0012760D">
              <w:rPr>
                <w:sz w:val="24"/>
                <w:szCs w:val="24"/>
                <w:lang w:val="en-US"/>
              </w:rPr>
              <w:t>Incidents</w:t>
            </w:r>
          </w:p>
        </w:tc>
        <w:tc>
          <w:tcPr>
            <w:tcW w:w="1995" w:type="pct"/>
            <w:shd w:val="clear" w:color="auto" w:fill="auto"/>
          </w:tcPr>
          <w:p w:rsidR="00EB3B18" w:rsidRPr="0012760D" w:rsidRDefault="00EB3B18" w:rsidP="001B3A3E">
            <w:pPr>
              <w:rPr>
                <w:sz w:val="24"/>
                <w:szCs w:val="24"/>
              </w:rPr>
            </w:pPr>
            <w:r w:rsidRPr="0012760D">
              <w:rPr>
                <w:sz w:val="24"/>
                <w:szCs w:val="24"/>
                <w:lang w:val="en-US"/>
              </w:rPr>
              <w:t>Number of incidents</w:t>
            </w:r>
          </w:p>
        </w:tc>
        <w:tc>
          <w:tcPr>
            <w:tcW w:w="698" w:type="pct"/>
            <w:shd w:val="clear" w:color="auto" w:fill="auto"/>
          </w:tcPr>
          <w:p w:rsidR="00EB3B18" w:rsidRPr="0012760D" w:rsidRDefault="00EB3B18" w:rsidP="001B3A3E">
            <w:pPr>
              <w:jc w:val="right"/>
              <w:rPr>
                <w:sz w:val="24"/>
                <w:szCs w:val="24"/>
              </w:rPr>
            </w:pPr>
            <w:r w:rsidRPr="0012760D">
              <w:rPr>
                <w:sz w:val="24"/>
                <w:szCs w:val="24"/>
                <w:lang w:val="en-US"/>
              </w:rPr>
              <w:t>13</w:t>
            </w:r>
          </w:p>
        </w:tc>
        <w:tc>
          <w:tcPr>
            <w:tcW w:w="699" w:type="pct"/>
            <w:shd w:val="clear" w:color="auto" w:fill="auto"/>
          </w:tcPr>
          <w:p w:rsidR="00EB3B18" w:rsidRPr="0012760D" w:rsidRDefault="00EB3B18" w:rsidP="001B3A3E">
            <w:pPr>
              <w:jc w:val="right"/>
              <w:rPr>
                <w:sz w:val="24"/>
                <w:szCs w:val="24"/>
              </w:rPr>
            </w:pPr>
            <w:r w:rsidRPr="0012760D">
              <w:rPr>
                <w:sz w:val="24"/>
                <w:szCs w:val="24"/>
                <w:lang w:val="en-US"/>
              </w:rPr>
              <w:t>8</w:t>
            </w:r>
          </w:p>
        </w:tc>
        <w:tc>
          <w:tcPr>
            <w:tcW w:w="744" w:type="pct"/>
            <w:shd w:val="clear" w:color="auto" w:fill="auto"/>
          </w:tcPr>
          <w:p w:rsidR="00EB3B18" w:rsidRPr="0012760D" w:rsidRDefault="00EB3B18" w:rsidP="001B3A3E">
            <w:pPr>
              <w:jc w:val="right"/>
              <w:rPr>
                <w:sz w:val="24"/>
                <w:szCs w:val="24"/>
              </w:rPr>
            </w:pPr>
            <w:r w:rsidRPr="0012760D">
              <w:rPr>
                <w:sz w:val="24"/>
                <w:szCs w:val="24"/>
                <w:lang w:val="en-US"/>
              </w:rPr>
              <w:t>10</w:t>
            </w:r>
          </w:p>
        </w:tc>
      </w:tr>
      <w:tr w:rsidR="00EB3B18" w:rsidRPr="0012760D" w:rsidTr="001B3A3E">
        <w:tblPrEx>
          <w:tblCellMar>
            <w:top w:w="0" w:type="dxa"/>
            <w:bottom w:w="0" w:type="dxa"/>
          </w:tblCellMar>
        </w:tblPrEx>
        <w:trPr>
          <w:trHeight w:val="278"/>
        </w:trPr>
        <w:tc>
          <w:tcPr>
            <w:tcW w:w="863" w:type="pct"/>
            <w:vMerge/>
            <w:shd w:val="clear" w:color="auto" w:fill="auto"/>
          </w:tcPr>
          <w:p w:rsidR="00EB3B18" w:rsidRPr="0012760D" w:rsidRDefault="00EB3B18" w:rsidP="001B3A3E">
            <w:pPr>
              <w:rPr>
                <w:sz w:val="24"/>
                <w:szCs w:val="24"/>
              </w:rPr>
            </w:pPr>
          </w:p>
        </w:tc>
        <w:tc>
          <w:tcPr>
            <w:tcW w:w="1995" w:type="pct"/>
            <w:shd w:val="clear" w:color="auto" w:fill="auto"/>
          </w:tcPr>
          <w:p w:rsidR="00EB3B18" w:rsidRPr="0012760D" w:rsidRDefault="00EB3B18" w:rsidP="001B3A3E">
            <w:pPr>
              <w:rPr>
                <w:sz w:val="24"/>
                <w:szCs w:val="24"/>
              </w:rPr>
            </w:pPr>
            <w:r w:rsidRPr="0012760D">
              <w:rPr>
                <w:sz w:val="24"/>
                <w:szCs w:val="24"/>
                <w:lang w:val="en-US"/>
              </w:rPr>
              <w:t>Rate per 100 FTE</w:t>
            </w:r>
          </w:p>
        </w:tc>
        <w:tc>
          <w:tcPr>
            <w:tcW w:w="698" w:type="pct"/>
            <w:shd w:val="clear" w:color="auto" w:fill="auto"/>
          </w:tcPr>
          <w:p w:rsidR="00EB3B18" w:rsidRPr="0012760D" w:rsidRDefault="00EB3B18" w:rsidP="001B3A3E">
            <w:pPr>
              <w:jc w:val="right"/>
              <w:rPr>
                <w:sz w:val="24"/>
                <w:szCs w:val="24"/>
              </w:rPr>
            </w:pPr>
            <w:r w:rsidRPr="0012760D">
              <w:rPr>
                <w:sz w:val="24"/>
                <w:szCs w:val="24"/>
                <w:lang w:val="en-US"/>
              </w:rPr>
              <w:t>7.10</w:t>
            </w:r>
          </w:p>
        </w:tc>
        <w:tc>
          <w:tcPr>
            <w:tcW w:w="699" w:type="pct"/>
            <w:shd w:val="clear" w:color="auto" w:fill="auto"/>
          </w:tcPr>
          <w:p w:rsidR="00EB3B18" w:rsidRPr="0012760D" w:rsidRDefault="00EB3B18" w:rsidP="001B3A3E">
            <w:pPr>
              <w:jc w:val="right"/>
              <w:rPr>
                <w:sz w:val="24"/>
                <w:szCs w:val="24"/>
              </w:rPr>
            </w:pPr>
            <w:r w:rsidRPr="0012760D">
              <w:rPr>
                <w:sz w:val="24"/>
                <w:szCs w:val="24"/>
                <w:lang w:val="en-US"/>
              </w:rPr>
              <w:t>7.20</w:t>
            </w:r>
          </w:p>
        </w:tc>
        <w:tc>
          <w:tcPr>
            <w:tcW w:w="744" w:type="pct"/>
            <w:shd w:val="clear" w:color="auto" w:fill="auto"/>
          </w:tcPr>
          <w:p w:rsidR="00EB3B18" w:rsidRPr="0012760D" w:rsidRDefault="00EB3B18" w:rsidP="001B3A3E">
            <w:pPr>
              <w:jc w:val="right"/>
              <w:rPr>
                <w:sz w:val="24"/>
                <w:szCs w:val="24"/>
              </w:rPr>
            </w:pPr>
            <w:r w:rsidRPr="0012760D">
              <w:rPr>
                <w:sz w:val="24"/>
                <w:szCs w:val="24"/>
                <w:lang w:val="en-US"/>
              </w:rPr>
              <w:t>7.10</w:t>
            </w:r>
          </w:p>
        </w:tc>
      </w:tr>
      <w:tr w:rsidR="00EB3B18" w:rsidRPr="0012760D" w:rsidTr="001B3A3E">
        <w:tblPrEx>
          <w:tblCellMar>
            <w:top w:w="0" w:type="dxa"/>
            <w:bottom w:w="0" w:type="dxa"/>
          </w:tblCellMar>
        </w:tblPrEx>
        <w:trPr>
          <w:trHeight w:val="269"/>
        </w:trPr>
        <w:tc>
          <w:tcPr>
            <w:tcW w:w="863" w:type="pct"/>
            <w:vMerge/>
            <w:shd w:val="clear" w:color="auto" w:fill="auto"/>
          </w:tcPr>
          <w:p w:rsidR="00EB3B18" w:rsidRPr="0012760D" w:rsidRDefault="00EB3B18" w:rsidP="001B3A3E">
            <w:pPr>
              <w:rPr>
                <w:sz w:val="24"/>
                <w:szCs w:val="24"/>
              </w:rPr>
            </w:pPr>
          </w:p>
        </w:tc>
        <w:tc>
          <w:tcPr>
            <w:tcW w:w="1995" w:type="pct"/>
            <w:shd w:val="clear" w:color="auto" w:fill="auto"/>
          </w:tcPr>
          <w:p w:rsidR="00EB3B18" w:rsidRPr="0012760D" w:rsidRDefault="00EB3B18" w:rsidP="001B3A3E">
            <w:pPr>
              <w:rPr>
                <w:sz w:val="24"/>
                <w:szCs w:val="24"/>
              </w:rPr>
            </w:pPr>
            <w:r w:rsidRPr="0012760D">
              <w:rPr>
                <w:sz w:val="24"/>
                <w:szCs w:val="24"/>
                <w:lang w:val="en-US"/>
              </w:rPr>
              <w:t>Average time lost per occurrence</w:t>
            </w:r>
          </w:p>
        </w:tc>
        <w:tc>
          <w:tcPr>
            <w:tcW w:w="698" w:type="pct"/>
            <w:shd w:val="clear" w:color="auto" w:fill="auto"/>
          </w:tcPr>
          <w:p w:rsidR="00EB3B18" w:rsidRPr="0012760D" w:rsidRDefault="00EB3B18" w:rsidP="001B3A3E">
            <w:pPr>
              <w:jc w:val="right"/>
              <w:rPr>
                <w:sz w:val="24"/>
                <w:szCs w:val="24"/>
              </w:rPr>
            </w:pPr>
            <w:r w:rsidRPr="0012760D">
              <w:rPr>
                <w:sz w:val="24"/>
                <w:szCs w:val="24"/>
                <w:lang w:val="en-US"/>
              </w:rPr>
              <w:t>0.4</w:t>
            </w:r>
          </w:p>
        </w:tc>
        <w:tc>
          <w:tcPr>
            <w:tcW w:w="699" w:type="pct"/>
            <w:shd w:val="clear" w:color="auto" w:fill="auto"/>
          </w:tcPr>
          <w:p w:rsidR="00EB3B18" w:rsidRPr="0012760D" w:rsidRDefault="00EB3B18" w:rsidP="001B3A3E">
            <w:pPr>
              <w:jc w:val="right"/>
              <w:rPr>
                <w:sz w:val="24"/>
                <w:szCs w:val="24"/>
              </w:rPr>
            </w:pPr>
            <w:r w:rsidRPr="0012760D">
              <w:rPr>
                <w:sz w:val="24"/>
                <w:szCs w:val="24"/>
                <w:lang w:val="en-US"/>
              </w:rPr>
              <w:t>0</w:t>
            </w:r>
          </w:p>
        </w:tc>
        <w:tc>
          <w:tcPr>
            <w:tcW w:w="744" w:type="pct"/>
            <w:shd w:val="clear" w:color="auto" w:fill="auto"/>
          </w:tcPr>
          <w:p w:rsidR="00EB3B18" w:rsidRPr="0012760D" w:rsidRDefault="00EB3B18" w:rsidP="001B3A3E">
            <w:pPr>
              <w:jc w:val="right"/>
              <w:rPr>
                <w:sz w:val="24"/>
                <w:szCs w:val="24"/>
              </w:rPr>
            </w:pPr>
            <w:r w:rsidRPr="0012760D">
              <w:rPr>
                <w:sz w:val="24"/>
                <w:szCs w:val="24"/>
                <w:lang w:val="en-US"/>
              </w:rPr>
              <w:t>0</w:t>
            </w:r>
          </w:p>
        </w:tc>
      </w:tr>
      <w:tr w:rsidR="00EB3B18" w:rsidRPr="0012760D" w:rsidTr="001B3A3E">
        <w:tblPrEx>
          <w:tblCellMar>
            <w:top w:w="0" w:type="dxa"/>
            <w:bottom w:w="0" w:type="dxa"/>
          </w:tblCellMar>
        </w:tblPrEx>
        <w:trPr>
          <w:trHeight w:val="264"/>
        </w:trPr>
        <w:tc>
          <w:tcPr>
            <w:tcW w:w="863" w:type="pct"/>
            <w:shd w:val="clear" w:color="auto" w:fill="auto"/>
          </w:tcPr>
          <w:p w:rsidR="00EB3B18" w:rsidRPr="0012760D" w:rsidRDefault="00EB3B18" w:rsidP="001B3A3E">
            <w:pPr>
              <w:rPr>
                <w:sz w:val="24"/>
                <w:szCs w:val="24"/>
              </w:rPr>
            </w:pPr>
            <w:r w:rsidRPr="0012760D">
              <w:rPr>
                <w:sz w:val="24"/>
                <w:szCs w:val="24"/>
                <w:lang w:val="en-US"/>
              </w:rPr>
              <w:t>Claims</w:t>
            </w:r>
          </w:p>
        </w:tc>
        <w:tc>
          <w:tcPr>
            <w:tcW w:w="1995" w:type="pct"/>
            <w:shd w:val="clear" w:color="auto" w:fill="auto"/>
          </w:tcPr>
          <w:p w:rsidR="00EB3B18" w:rsidRPr="0012760D" w:rsidRDefault="00EB3B18" w:rsidP="001B3A3E">
            <w:pPr>
              <w:rPr>
                <w:sz w:val="24"/>
                <w:szCs w:val="24"/>
              </w:rPr>
            </w:pPr>
            <w:r w:rsidRPr="0012760D">
              <w:rPr>
                <w:sz w:val="24"/>
                <w:szCs w:val="24"/>
                <w:lang w:val="en-US"/>
              </w:rPr>
              <w:t>Number of standard claims</w:t>
            </w:r>
            <w:r w:rsidRPr="0012760D">
              <w:rPr>
                <w:sz w:val="24"/>
                <w:szCs w:val="24"/>
                <w:vertAlign w:val="superscript"/>
                <w:lang w:val="en-US"/>
              </w:rPr>
              <w:t>1</w:t>
            </w:r>
          </w:p>
        </w:tc>
        <w:tc>
          <w:tcPr>
            <w:tcW w:w="698" w:type="pct"/>
            <w:shd w:val="clear" w:color="auto" w:fill="auto"/>
          </w:tcPr>
          <w:p w:rsidR="00EB3B18" w:rsidRPr="0012760D" w:rsidRDefault="00EB3B18" w:rsidP="001B3A3E">
            <w:pPr>
              <w:jc w:val="right"/>
              <w:rPr>
                <w:sz w:val="24"/>
                <w:szCs w:val="24"/>
              </w:rPr>
            </w:pPr>
            <w:r w:rsidRPr="0012760D">
              <w:rPr>
                <w:sz w:val="24"/>
                <w:szCs w:val="24"/>
                <w:lang w:val="en-US"/>
              </w:rPr>
              <w:t>2</w:t>
            </w:r>
          </w:p>
        </w:tc>
        <w:tc>
          <w:tcPr>
            <w:tcW w:w="699" w:type="pct"/>
            <w:shd w:val="clear" w:color="auto" w:fill="auto"/>
          </w:tcPr>
          <w:p w:rsidR="00EB3B18" w:rsidRPr="0012760D" w:rsidRDefault="00EB3B18" w:rsidP="001B3A3E">
            <w:pPr>
              <w:jc w:val="right"/>
              <w:rPr>
                <w:sz w:val="24"/>
                <w:szCs w:val="24"/>
              </w:rPr>
            </w:pPr>
            <w:r w:rsidRPr="0012760D">
              <w:rPr>
                <w:sz w:val="24"/>
                <w:szCs w:val="24"/>
                <w:lang w:val="en-US"/>
              </w:rPr>
              <w:t>0</w:t>
            </w:r>
          </w:p>
        </w:tc>
        <w:tc>
          <w:tcPr>
            <w:tcW w:w="744" w:type="pct"/>
            <w:shd w:val="clear" w:color="auto" w:fill="auto"/>
          </w:tcPr>
          <w:p w:rsidR="00EB3B18" w:rsidRPr="0012760D" w:rsidRDefault="00EB3B18" w:rsidP="001B3A3E">
            <w:pPr>
              <w:jc w:val="right"/>
              <w:rPr>
                <w:sz w:val="24"/>
                <w:szCs w:val="24"/>
              </w:rPr>
            </w:pPr>
            <w:r w:rsidRPr="0012760D">
              <w:rPr>
                <w:sz w:val="24"/>
                <w:szCs w:val="24"/>
                <w:lang w:val="en-US"/>
              </w:rPr>
              <w:t>0</w:t>
            </w:r>
          </w:p>
        </w:tc>
      </w:tr>
      <w:tr w:rsidR="00EB3B18" w:rsidRPr="0012760D" w:rsidTr="001B3A3E">
        <w:tblPrEx>
          <w:tblCellMar>
            <w:top w:w="0" w:type="dxa"/>
            <w:bottom w:w="0" w:type="dxa"/>
          </w:tblCellMar>
        </w:tblPrEx>
        <w:trPr>
          <w:trHeight w:val="686"/>
        </w:trPr>
        <w:tc>
          <w:tcPr>
            <w:tcW w:w="863" w:type="pct"/>
            <w:shd w:val="clear" w:color="auto" w:fill="auto"/>
          </w:tcPr>
          <w:p w:rsidR="00EB3B18" w:rsidRPr="0012760D" w:rsidRDefault="00EB3B18" w:rsidP="001B3A3E">
            <w:pPr>
              <w:rPr>
                <w:sz w:val="24"/>
                <w:szCs w:val="24"/>
              </w:rPr>
            </w:pPr>
            <w:r w:rsidRPr="0012760D">
              <w:rPr>
                <w:sz w:val="24"/>
                <w:szCs w:val="24"/>
                <w:lang w:val="en-US"/>
              </w:rPr>
              <w:t>Management commitment</w:t>
            </w:r>
          </w:p>
        </w:tc>
        <w:tc>
          <w:tcPr>
            <w:tcW w:w="1995" w:type="pct"/>
            <w:shd w:val="clear" w:color="auto" w:fill="auto"/>
          </w:tcPr>
          <w:p w:rsidR="00EB3B18" w:rsidRPr="0012760D" w:rsidRDefault="00EB3B18" w:rsidP="001B3A3E">
            <w:pPr>
              <w:rPr>
                <w:sz w:val="24"/>
                <w:szCs w:val="24"/>
              </w:rPr>
            </w:pPr>
            <w:r w:rsidRPr="0012760D">
              <w:rPr>
                <w:sz w:val="24"/>
                <w:szCs w:val="24"/>
                <w:lang w:val="en-US"/>
              </w:rPr>
              <w:t>Evidence of OH</w:t>
            </w:r>
            <w:r w:rsidR="00236A13">
              <w:rPr>
                <w:sz w:val="24"/>
                <w:szCs w:val="24"/>
                <w:lang w:val="en-US"/>
              </w:rPr>
              <w:t>and</w:t>
            </w:r>
            <w:r w:rsidRPr="0012760D">
              <w:rPr>
                <w:sz w:val="24"/>
                <w:szCs w:val="24"/>
                <w:lang w:val="en-US"/>
              </w:rPr>
              <w:t>S policy statement, OH</w:t>
            </w:r>
            <w:r w:rsidR="00236A13">
              <w:rPr>
                <w:sz w:val="24"/>
                <w:szCs w:val="24"/>
                <w:lang w:val="en-US"/>
              </w:rPr>
              <w:t>and</w:t>
            </w:r>
            <w:r w:rsidRPr="0012760D">
              <w:rPr>
                <w:sz w:val="24"/>
                <w:szCs w:val="24"/>
                <w:lang w:val="en-US"/>
              </w:rPr>
              <w:t>S objectives, regular reporting to senior management of OH</w:t>
            </w:r>
            <w:r w:rsidR="00236A13">
              <w:rPr>
                <w:sz w:val="24"/>
                <w:szCs w:val="24"/>
                <w:lang w:val="en-US"/>
              </w:rPr>
              <w:t>and</w:t>
            </w:r>
            <w:r w:rsidRPr="0012760D">
              <w:rPr>
                <w:sz w:val="24"/>
                <w:szCs w:val="24"/>
                <w:lang w:val="en-US"/>
              </w:rPr>
              <w:t>S, and OH</w:t>
            </w:r>
            <w:r w:rsidR="00236A13">
              <w:rPr>
                <w:sz w:val="24"/>
                <w:szCs w:val="24"/>
                <w:lang w:val="en-US"/>
              </w:rPr>
              <w:t>and</w:t>
            </w:r>
            <w:r w:rsidRPr="0012760D">
              <w:rPr>
                <w:sz w:val="24"/>
                <w:szCs w:val="24"/>
                <w:lang w:val="en-US"/>
              </w:rPr>
              <w:t>S plans.</w:t>
            </w:r>
          </w:p>
        </w:tc>
        <w:tc>
          <w:tcPr>
            <w:tcW w:w="698" w:type="pct"/>
            <w:shd w:val="clear" w:color="auto" w:fill="auto"/>
          </w:tcPr>
          <w:p w:rsidR="00EB3B18" w:rsidRPr="0012760D" w:rsidRDefault="00EB3B18" w:rsidP="001B3A3E">
            <w:pPr>
              <w:rPr>
                <w:sz w:val="24"/>
                <w:szCs w:val="24"/>
              </w:rPr>
            </w:pPr>
            <w:r w:rsidRPr="0012760D">
              <w:rPr>
                <w:sz w:val="24"/>
                <w:szCs w:val="24"/>
                <w:lang w:val="en-US"/>
              </w:rPr>
              <w:t>Completed</w:t>
            </w:r>
          </w:p>
        </w:tc>
        <w:tc>
          <w:tcPr>
            <w:tcW w:w="699" w:type="pct"/>
            <w:shd w:val="clear" w:color="auto" w:fill="auto"/>
          </w:tcPr>
          <w:p w:rsidR="00EB3B18" w:rsidRPr="0012760D" w:rsidRDefault="00EB3B18" w:rsidP="001B3A3E">
            <w:pPr>
              <w:rPr>
                <w:sz w:val="24"/>
                <w:szCs w:val="24"/>
              </w:rPr>
            </w:pPr>
            <w:r w:rsidRPr="0012760D">
              <w:rPr>
                <w:sz w:val="24"/>
                <w:szCs w:val="24"/>
                <w:lang w:val="en-US"/>
              </w:rPr>
              <w:t>Completed</w:t>
            </w:r>
          </w:p>
        </w:tc>
        <w:tc>
          <w:tcPr>
            <w:tcW w:w="744" w:type="pct"/>
            <w:shd w:val="clear" w:color="auto" w:fill="auto"/>
          </w:tcPr>
          <w:p w:rsidR="00EB3B18" w:rsidRPr="0012760D" w:rsidRDefault="00EB3B18" w:rsidP="001B3A3E">
            <w:pPr>
              <w:rPr>
                <w:sz w:val="24"/>
                <w:szCs w:val="24"/>
              </w:rPr>
            </w:pPr>
            <w:r w:rsidRPr="0012760D">
              <w:rPr>
                <w:sz w:val="24"/>
                <w:szCs w:val="24"/>
                <w:lang w:val="en-US"/>
              </w:rPr>
              <w:t>Completed</w:t>
            </w:r>
          </w:p>
        </w:tc>
      </w:tr>
      <w:tr w:rsidR="00EB3B18" w:rsidRPr="0012760D" w:rsidTr="001B3A3E">
        <w:tblPrEx>
          <w:tblCellMar>
            <w:top w:w="0" w:type="dxa"/>
            <w:bottom w:w="0" w:type="dxa"/>
          </w:tblCellMar>
        </w:tblPrEx>
        <w:trPr>
          <w:trHeight w:val="446"/>
        </w:trPr>
        <w:tc>
          <w:tcPr>
            <w:tcW w:w="863" w:type="pct"/>
            <w:shd w:val="clear" w:color="auto" w:fill="auto"/>
          </w:tcPr>
          <w:p w:rsidR="00EB3B18" w:rsidRPr="0012760D" w:rsidRDefault="00EB3B18" w:rsidP="001B3A3E">
            <w:pPr>
              <w:rPr>
                <w:sz w:val="24"/>
                <w:szCs w:val="24"/>
              </w:rPr>
            </w:pPr>
            <w:r w:rsidRPr="0012760D">
              <w:rPr>
                <w:sz w:val="24"/>
                <w:szCs w:val="24"/>
                <w:lang w:val="en-US"/>
              </w:rPr>
              <w:t>Risk management</w:t>
            </w:r>
          </w:p>
        </w:tc>
        <w:tc>
          <w:tcPr>
            <w:tcW w:w="1995" w:type="pct"/>
            <w:shd w:val="clear" w:color="auto" w:fill="auto"/>
          </w:tcPr>
          <w:p w:rsidR="00EB3B18" w:rsidRPr="0012760D" w:rsidRDefault="00EB3B18" w:rsidP="001B3A3E">
            <w:pPr>
              <w:rPr>
                <w:sz w:val="24"/>
                <w:szCs w:val="24"/>
              </w:rPr>
            </w:pPr>
            <w:r w:rsidRPr="0012760D">
              <w:rPr>
                <w:sz w:val="24"/>
                <w:szCs w:val="24"/>
                <w:lang w:val="en-US"/>
              </w:rPr>
              <w:t>Percentage of internal audits/inspections conducted as planned.</w:t>
            </w:r>
          </w:p>
        </w:tc>
        <w:tc>
          <w:tcPr>
            <w:tcW w:w="698" w:type="pct"/>
            <w:shd w:val="clear" w:color="auto" w:fill="auto"/>
          </w:tcPr>
          <w:p w:rsidR="00EB3B18" w:rsidRPr="0012760D" w:rsidRDefault="00EB3B18" w:rsidP="001B3A3E">
            <w:pPr>
              <w:jc w:val="right"/>
              <w:rPr>
                <w:sz w:val="24"/>
                <w:szCs w:val="24"/>
              </w:rPr>
            </w:pPr>
            <w:r w:rsidRPr="0012760D">
              <w:rPr>
                <w:sz w:val="24"/>
                <w:szCs w:val="24"/>
                <w:lang w:val="en-US"/>
              </w:rPr>
              <w:t>100%</w:t>
            </w:r>
          </w:p>
        </w:tc>
        <w:tc>
          <w:tcPr>
            <w:tcW w:w="699" w:type="pct"/>
            <w:shd w:val="clear" w:color="auto" w:fill="auto"/>
          </w:tcPr>
          <w:p w:rsidR="00EB3B18" w:rsidRPr="0012760D" w:rsidRDefault="00EB3B18" w:rsidP="001B3A3E">
            <w:pPr>
              <w:jc w:val="right"/>
              <w:rPr>
                <w:sz w:val="24"/>
                <w:szCs w:val="24"/>
              </w:rPr>
            </w:pPr>
            <w:r w:rsidRPr="0012760D">
              <w:rPr>
                <w:sz w:val="24"/>
                <w:szCs w:val="24"/>
                <w:lang w:val="en-US"/>
              </w:rPr>
              <w:t>100%</w:t>
            </w:r>
          </w:p>
        </w:tc>
        <w:tc>
          <w:tcPr>
            <w:tcW w:w="744" w:type="pct"/>
            <w:shd w:val="clear" w:color="auto" w:fill="auto"/>
          </w:tcPr>
          <w:p w:rsidR="00EB3B18" w:rsidRPr="0012760D" w:rsidRDefault="00EB3B18" w:rsidP="001B3A3E">
            <w:pPr>
              <w:jc w:val="right"/>
              <w:rPr>
                <w:sz w:val="24"/>
                <w:szCs w:val="24"/>
              </w:rPr>
            </w:pPr>
            <w:r w:rsidRPr="0012760D">
              <w:rPr>
                <w:sz w:val="24"/>
                <w:szCs w:val="24"/>
                <w:lang w:val="en-US"/>
              </w:rPr>
              <w:t>100%</w:t>
            </w:r>
          </w:p>
        </w:tc>
      </w:tr>
    </w:tbl>
    <w:p w:rsidR="00EB3B18" w:rsidRPr="0012760D" w:rsidRDefault="00EB3B18" w:rsidP="00EB3B18">
      <w:pPr>
        <w:rPr>
          <w:sz w:val="24"/>
          <w:szCs w:val="24"/>
          <w:lang w:val="en-US"/>
        </w:rPr>
      </w:pPr>
    </w:p>
    <w:p w:rsidR="00EB3B18" w:rsidRPr="0012760D" w:rsidRDefault="00EB3B18" w:rsidP="00EB3B18">
      <w:pPr>
        <w:rPr>
          <w:sz w:val="24"/>
          <w:szCs w:val="24"/>
        </w:rPr>
      </w:pPr>
      <w:r w:rsidRPr="0012760D">
        <w:rPr>
          <w:sz w:val="24"/>
          <w:szCs w:val="24"/>
          <w:lang w:val="en-US"/>
        </w:rPr>
        <w:t>1. Data sourced from Victorian WorkCover Authority (VWA).</w:t>
      </w:r>
    </w:p>
    <w:p w:rsidR="00FA5443" w:rsidRPr="0012760D" w:rsidRDefault="00FA5443" w:rsidP="0078679E">
      <w:pPr>
        <w:rPr>
          <w:sz w:val="24"/>
          <w:szCs w:val="24"/>
        </w:rPr>
        <w:sectPr w:rsidR="00FA5443" w:rsidRPr="0012760D" w:rsidSect="00DE3AF2">
          <w:pgSz w:w="11909" w:h="16834"/>
          <w:pgMar w:top="1440" w:right="1440" w:bottom="1440" w:left="1440" w:header="720" w:footer="720" w:gutter="0"/>
          <w:cols w:space="720"/>
          <w:noEndnote/>
        </w:sectPr>
      </w:pPr>
    </w:p>
    <w:p w:rsidR="004F6170" w:rsidRDefault="004F6170" w:rsidP="004F6170">
      <w:pPr>
        <w:rPr>
          <w:bCs/>
          <w:sz w:val="24"/>
          <w:szCs w:val="24"/>
        </w:rPr>
      </w:pPr>
      <w:r w:rsidRPr="0012760D">
        <w:rPr>
          <w:bCs/>
          <w:sz w:val="24"/>
          <w:szCs w:val="24"/>
        </w:rPr>
        <w:lastRenderedPageBreak/>
        <w:t>&lt;pp&gt; 71</w:t>
      </w:r>
    </w:p>
    <w:p w:rsidR="006B246A" w:rsidRDefault="006B246A" w:rsidP="004F6170">
      <w:pPr>
        <w:rPr>
          <w:bCs/>
          <w:sz w:val="24"/>
          <w:szCs w:val="24"/>
        </w:rPr>
      </w:pPr>
    </w:p>
    <w:p w:rsidR="006B246A" w:rsidRPr="0012760D" w:rsidRDefault="006B246A" w:rsidP="004F6170">
      <w:pPr>
        <w:rPr>
          <w:sz w:val="24"/>
          <w:szCs w:val="24"/>
        </w:rPr>
      </w:pPr>
    </w:p>
    <w:p w:rsidR="004F6170" w:rsidRDefault="004F6170" w:rsidP="006B246A">
      <w:pPr>
        <w:pStyle w:val="Heading1"/>
      </w:pPr>
      <w:r w:rsidRPr="0012760D">
        <w:t>Appendix 7</w:t>
      </w:r>
      <w:r w:rsidR="006B246A">
        <w:br/>
      </w:r>
      <w:r w:rsidRPr="0012760D">
        <w:t>Our Office-Based Environmental Performance</w:t>
      </w:r>
    </w:p>
    <w:p w:rsidR="006B246A" w:rsidRPr="0012760D" w:rsidRDefault="006B246A" w:rsidP="004F6170">
      <w:pPr>
        <w:rPr>
          <w:sz w:val="24"/>
          <w:szCs w:val="24"/>
        </w:rPr>
      </w:pPr>
    </w:p>
    <w:p w:rsidR="004F6170" w:rsidRDefault="004F6170" w:rsidP="004F6170">
      <w:pPr>
        <w:rPr>
          <w:sz w:val="24"/>
          <w:szCs w:val="24"/>
        </w:rPr>
      </w:pPr>
      <w:r w:rsidRPr="0012760D">
        <w:rPr>
          <w:sz w:val="24"/>
          <w:szCs w:val="24"/>
        </w:rPr>
        <w:t>We continued our focus on improving operational sustainability through our environmental management system (EMS). We measured resource use and set annual targets, and in 2012 to 13 continued to maintain ISO 14001 certification for our EMS.</w:t>
      </w:r>
    </w:p>
    <w:p w:rsidR="006B246A" w:rsidRPr="0012760D" w:rsidRDefault="006B246A" w:rsidP="004F6170">
      <w:pPr>
        <w:rPr>
          <w:sz w:val="24"/>
          <w:szCs w:val="24"/>
        </w:rPr>
      </w:pPr>
    </w:p>
    <w:p w:rsidR="004F6170" w:rsidRDefault="004F6170" w:rsidP="004F6170">
      <w:pPr>
        <w:rPr>
          <w:sz w:val="24"/>
          <w:szCs w:val="24"/>
        </w:rPr>
      </w:pPr>
      <w:r w:rsidRPr="0012760D">
        <w:rPr>
          <w:sz w:val="24"/>
          <w:szCs w:val="24"/>
        </w:rPr>
        <w:t>Performance results compared to last year were mixed, with electricity use, potable water use and vehicle emissions increasing, and paper use decreasing. during 2012 to 13, the Urban Workshop blackwater treatment facility was not operational, resulting in an increase in potable water use. An increase in vehicle emissions was predominantly due to an increase in kilometres travelled, which reflects our greater regional focus. Figures based on activity per employee were also affected by current staff numbers (103 FTE) compared to the previous year (128 FTE).</w:t>
      </w:r>
    </w:p>
    <w:p w:rsidR="006B246A" w:rsidRPr="0012760D" w:rsidRDefault="006B246A" w:rsidP="004F6170">
      <w:pPr>
        <w:rPr>
          <w:sz w:val="24"/>
          <w:szCs w:val="24"/>
        </w:rPr>
      </w:pPr>
    </w:p>
    <w:p w:rsidR="004F6170" w:rsidRPr="0012760D" w:rsidRDefault="004F6170" w:rsidP="004F6170">
      <w:pPr>
        <w:rPr>
          <w:sz w:val="24"/>
          <w:szCs w:val="24"/>
        </w:rPr>
      </w:pPr>
      <w:r w:rsidRPr="0012760D">
        <w:rPr>
          <w:sz w:val="24"/>
          <w:szCs w:val="24"/>
        </w:rPr>
        <w:t>In 2012 to 13, emissions from staff commuting to and from work were included. The inclusion of these data led to an increase of nearly 27% in the organisation's total GHG emissions.</w:t>
      </w:r>
    </w:p>
    <w:p w:rsidR="004F6170" w:rsidRPr="0012760D" w:rsidRDefault="004F6170" w:rsidP="004F6170">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2015"/>
        <w:gridCol w:w="3388"/>
        <w:gridCol w:w="2010"/>
        <w:gridCol w:w="1252"/>
        <w:gridCol w:w="1302"/>
        <w:gridCol w:w="1328"/>
        <w:gridCol w:w="1246"/>
        <w:gridCol w:w="1493"/>
      </w:tblGrid>
      <w:tr w:rsidR="004F6170" w:rsidRPr="0012760D" w:rsidTr="00B66707">
        <w:tblPrEx>
          <w:tblCellMar>
            <w:top w:w="0" w:type="dxa"/>
            <w:bottom w:w="0" w:type="dxa"/>
          </w:tblCellMar>
        </w:tblPrEx>
        <w:tc>
          <w:tcPr>
            <w:tcW w:w="718" w:type="pct"/>
            <w:shd w:val="clear" w:color="auto" w:fill="auto"/>
          </w:tcPr>
          <w:p w:rsidR="004F6170" w:rsidRPr="0012760D" w:rsidRDefault="004F6170" w:rsidP="006B246A">
            <w:pPr>
              <w:rPr>
                <w:sz w:val="24"/>
                <w:szCs w:val="24"/>
              </w:rPr>
            </w:pPr>
            <w:r w:rsidRPr="0012760D">
              <w:rPr>
                <w:bCs/>
                <w:sz w:val="24"/>
                <w:szCs w:val="24"/>
              </w:rPr>
              <w:t>Environmental</w:t>
            </w:r>
            <w:r w:rsidR="006B246A">
              <w:rPr>
                <w:bCs/>
                <w:sz w:val="24"/>
                <w:szCs w:val="24"/>
              </w:rPr>
              <w:t xml:space="preserve"> </w:t>
            </w:r>
            <w:r w:rsidRPr="0012760D">
              <w:rPr>
                <w:bCs/>
                <w:sz w:val="24"/>
                <w:szCs w:val="24"/>
              </w:rPr>
              <w:t>Aspect</w:t>
            </w:r>
            <w:r w:rsidRPr="0012760D">
              <w:rPr>
                <w:bCs/>
                <w:sz w:val="24"/>
                <w:szCs w:val="24"/>
                <w:vertAlign w:val="superscript"/>
              </w:rPr>
              <w:t>1</w:t>
            </w:r>
          </w:p>
        </w:tc>
        <w:tc>
          <w:tcPr>
            <w:tcW w:w="1207" w:type="pct"/>
            <w:shd w:val="clear" w:color="auto" w:fill="auto"/>
          </w:tcPr>
          <w:p w:rsidR="004F6170" w:rsidRPr="0012760D" w:rsidRDefault="004F6170" w:rsidP="001B3A3E">
            <w:pPr>
              <w:rPr>
                <w:sz w:val="24"/>
                <w:szCs w:val="24"/>
              </w:rPr>
            </w:pPr>
            <w:r w:rsidRPr="0012760D">
              <w:rPr>
                <w:bCs/>
                <w:sz w:val="24"/>
                <w:szCs w:val="24"/>
              </w:rPr>
              <w:t>Description</w:t>
            </w:r>
          </w:p>
        </w:tc>
        <w:tc>
          <w:tcPr>
            <w:tcW w:w="716" w:type="pct"/>
            <w:shd w:val="clear" w:color="auto" w:fill="auto"/>
          </w:tcPr>
          <w:p w:rsidR="004F6170" w:rsidRPr="0012760D" w:rsidRDefault="004F6170" w:rsidP="001B3A3E">
            <w:pPr>
              <w:rPr>
                <w:sz w:val="24"/>
                <w:szCs w:val="24"/>
              </w:rPr>
            </w:pPr>
            <w:r w:rsidRPr="0012760D">
              <w:rPr>
                <w:bCs/>
                <w:sz w:val="24"/>
                <w:szCs w:val="24"/>
              </w:rPr>
              <w:t>Unit of Measure</w:t>
            </w:r>
          </w:p>
        </w:tc>
        <w:tc>
          <w:tcPr>
            <w:tcW w:w="446" w:type="pct"/>
            <w:shd w:val="clear" w:color="auto" w:fill="auto"/>
          </w:tcPr>
          <w:p w:rsidR="004F6170" w:rsidRPr="0012760D" w:rsidRDefault="004F6170" w:rsidP="001B3A3E">
            <w:pPr>
              <w:rPr>
                <w:sz w:val="24"/>
                <w:szCs w:val="24"/>
              </w:rPr>
            </w:pPr>
            <w:r w:rsidRPr="0012760D">
              <w:rPr>
                <w:bCs/>
                <w:sz w:val="24"/>
                <w:szCs w:val="24"/>
              </w:rPr>
              <w:t>2008 to 09</w:t>
            </w:r>
          </w:p>
        </w:tc>
        <w:tc>
          <w:tcPr>
            <w:tcW w:w="464" w:type="pct"/>
            <w:shd w:val="clear" w:color="auto" w:fill="auto"/>
          </w:tcPr>
          <w:p w:rsidR="004F6170" w:rsidRPr="0012760D" w:rsidRDefault="004F6170" w:rsidP="001B3A3E">
            <w:pPr>
              <w:rPr>
                <w:sz w:val="24"/>
                <w:szCs w:val="24"/>
              </w:rPr>
            </w:pPr>
            <w:r w:rsidRPr="0012760D">
              <w:rPr>
                <w:bCs/>
                <w:sz w:val="24"/>
                <w:szCs w:val="24"/>
              </w:rPr>
              <w:t>2009 to 10</w:t>
            </w:r>
          </w:p>
        </w:tc>
        <w:tc>
          <w:tcPr>
            <w:tcW w:w="473" w:type="pct"/>
            <w:shd w:val="clear" w:color="auto" w:fill="auto"/>
          </w:tcPr>
          <w:p w:rsidR="004F6170" w:rsidRPr="0012760D" w:rsidRDefault="004F6170" w:rsidP="001B3A3E">
            <w:pPr>
              <w:rPr>
                <w:sz w:val="24"/>
                <w:szCs w:val="24"/>
              </w:rPr>
            </w:pPr>
            <w:r w:rsidRPr="0012760D">
              <w:rPr>
                <w:bCs/>
                <w:sz w:val="24"/>
                <w:szCs w:val="24"/>
              </w:rPr>
              <w:t>2010 to 11</w:t>
            </w:r>
          </w:p>
        </w:tc>
        <w:tc>
          <w:tcPr>
            <w:tcW w:w="444" w:type="pct"/>
            <w:shd w:val="clear" w:color="auto" w:fill="auto"/>
          </w:tcPr>
          <w:p w:rsidR="004F6170" w:rsidRPr="0012760D" w:rsidRDefault="004F6170" w:rsidP="001B3A3E">
            <w:pPr>
              <w:rPr>
                <w:sz w:val="24"/>
                <w:szCs w:val="24"/>
              </w:rPr>
            </w:pPr>
            <w:r w:rsidRPr="0012760D">
              <w:rPr>
                <w:bCs/>
                <w:sz w:val="24"/>
                <w:szCs w:val="24"/>
              </w:rPr>
              <w:t>2011 to 12</w:t>
            </w:r>
          </w:p>
        </w:tc>
        <w:tc>
          <w:tcPr>
            <w:tcW w:w="532" w:type="pct"/>
            <w:shd w:val="clear" w:color="auto" w:fill="auto"/>
          </w:tcPr>
          <w:p w:rsidR="004F6170" w:rsidRPr="0012760D" w:rsidRDefault="004F6170" w:rsidP="001B3A3E">
            <w:pPr>
              <w:rPr>
                <w:sz w:val="24"/>
                <w:szCs w:val="24"/>
              </w:rPr>
            </w:pPr>
            <w:r w:rsidRPr="0012760D">
              <w:rPr>
                <w:bCs/>
                <w:sz w:val="24"/>
                <w:szCs w:val="24"/>
              </w:rPr>
              <w:t>2012 to 13</w:t>
            </w:r>
          </w:p>
        </w:tc>
      </w:tr>
      <w:tr w:rsidR="00B93117" w:rsidRPr="0012760D" w:rsidTr="00B66707">
        <w:tblPrEx>
          <w:tblCellMar>
            <w:top w:w="0" w:type="dxa"/>
            <w:bottom w:w="0" w:type="dxa"/>
          </w:tblCellMar>
        </w:tblPrEx>
        <w:tc>
          <w:tcPr>
            <w:tcW w:w="718" w:type="pct"/>
            <w:vMerge w:val="restart"/>
            <w:shd w:val="clear" w:color="auto" w:fill="auto"/>
          </w:tcPr>
          <w:p w:rsidR="00B93117" w:rsidRPr="0012760D" w:rsidRDefault="00B93117" w:rsidP="001B3A3E">
            <w:pPr>
              <w:rPr>
                <w:sz w:val="24"/>
                <w:szCs w:val="24"/>
              </w:rPr>
            </w:pPr>
            <w:r w:rsidRPr="0012760D">
              <w:rPr>
                <w:bCs/>
                <w:sz w:val="24"/>
                <w:szCs w:val="24"/>
              </w:rPr>
              <w:t>Energy</w:t>
            </w:r>
          </w:p>
        </w:tc>
        <w:tc>
          <w:tcPr>
            <w:tcW w:w="1207" w:type="pct"/>
            <w:shd w:val="clear" w:color="auto" w:fill="auto"/>
          </w:tcPr>
          <w:p w:rsidR="00B93117" w:rsidRPr="0012760D" w:rsidRDefault="00B93117" w:rsidP="001B3A3E">
            <w:pPr>
              <w:rPr>
                <w:sz w:val="24"/>
                <w:szCs w:val="24"/>
              </w:rPr>
            </w:pPr>
            <w:r w:rsidRPr="0012760D">
              <w:rPr>
                <w:sz w:val="24"/>
                <w:szCs w:val="24"/>
              </w:rPr>
              <w:t>Office tenant light and power (OTLP) use per THC</w:t>
            </w:r>
            <w:r w:rsidRPr="0012760D">
              <w:rPr>
                <w:sz w:val="24"/>
                <w:szCs w:val="24"/>
                <w:vertAlign w:val="superscript"/>
              </w:rPr>
              <w:t>2</w:t>
            </w:r>
          </w:p>
        </w:tc>
        <w:tc>
          <w:tcPr>
            <w:tcW w:w="716" w:type="pct"/>
            <w:shd w:val="clear" w:color="auto" w:fill="auto"/>
          </w:tcPr>
          <w:p w:rsidR="00B93117" w:rsidRPr="0012760D" w:rsidRDefault="00B93117" w:rsidP="001B3A3E">
            <w:pPr>
              <w:rPr>
                <w:sz w:val="24"/>
                <w:szCs w:val="24"/>
              </w:rPr>
            </w:pPr>
            <w:r w:rsidRPr="0012760D">
              <w:rPr>
                <w:sz w:val="24"/>
                <w:szCs w:val="24"/>
              </w:rPr>
              <w:t>Megajoules per THC</w:t>
            </w:r>
          </w:p>
        </w:tc>
        <w:tc>
          <w:tcPr>
            <w:tcW w:w="446" w:type="pct"/>
            <w:shd w:val="clear" w:color="auto" w:fill="auto"/>
          </w:tcPr>
          <w:p w:rsidR="00B93117" w:rsidRPr="0012760D" w:rsidRDefault="00B93117" w:rsidP="001B3A3E">
            <w:pPr>
              <w:jc w:val="right"/>
              <w:rPr>
                <w:sz w:val="24"/>
                <w:szCs w:val="24"/>
              </w:rPr>
            </w:pPr>
            <w:r w:rsidRPr="0012760D">
              <w:rPr>
                <w:sz w:val="24"/>
                <w:szCs w:val="24"/>
              </w:rPr>
              <w:t>3,108</w:t>
            </w:r>
          </w:p>
        </w:tc>
        <w:tc>
          <w:tcPr>
            <w:tcW w:w="464" w:type="pct"/>
            <w:shd w:val="clear" w:color="auto" w:fill="auto"/>
          </w:tcPr>
          <w:p w:rsidR="00B93117" w:rsidRPr="0012760D" w:rsidRDefault="00B93117" w:rsidP="001B3A3E">
            <w:pPr>
              <w:jc w:val="right"/>
              <w:rPr>
                <w:sz w:val="24"/>
                <w:szCs w:val="24"/>
              </w:rPr>
            </w:pPr>
            <w:r w:rsidRPr="0012760D">
              <w:rPr>
                <w:sz w:val="24"/>
                <w:szCs w:val="24"/>
              </w:rPr>
              <w:t>3,174</w:t>
            </w:r>
          </w:p>
        </w:tc>
        <w:tc>
          <w:tcPr>
            <w:tcW w:w="473" w:type="pct"/>
            <w:shd w:val="clear" w:color="auto" w:fill="auto"/>
          </w:tcPr>
          <w:p w:rsidR="00B93117" w:rsidRPr="0012760D" w:rsidRDefault="00B93117" w:rsidP="001B3A3E">
            <w:pPr>
              <w:jc w:val="right"/>
              <w:rPr>
                <w:sz w:val="24"/>
                <w:szCs w:val="24"/>
              </w:rPr>
            </w:pPr>
            <w:r w:rsidRPr="0012760D">
              <w:rPr>
                <w:sz w:val="24"/>
                <w:szCs w:val="24"/>
              </w:rPr>
              <w:t>3,064</w:t>
            </w:r>
          </w:p>
        </w:tc>
        <w:tc>
          <w:tcPr>
            <w:tcW w:w="444" w:type="pct"/>
            <w:shd w:val="clear" w:color="auto" w:fill="auto"/>
          </w:tcPr>
          <w:p w:rsidR="00B93117" w:rsidRPr="0012760D" w:rsidRDefault="00B93117" w:rsidP="001B3A3E">
            <w:pPr>
              <w:jc w:val="right"/>
              <w:rPr>
                <w:sz w:val="24"/>
                <w:szCs w:val="24"/>
              </w:rPr>
            </w:pPr>
            <w:r w:rsidRPr="0012760D">
              <w:rPr>
                <w:sz w:val="24"/>
                <w:szCs w:val="24"/>
              </w:rPr>
              <w:t>3,608</w:t>
            </w:r>
          </w:p>
        </w:tc>
        <w:tc>
          <w:tcPr>
            <w:tcW w:w="532" w:type="pct"/>
            <w:shd w:val="clear" w:color="auto" w:fill="auto"/>
          </w:tcPr>
          <w:p w:rsidR="00B93117" w:rsidRPr="0012760D" w:rsidRDefault="00B93117" w:rsidP="001B3A3E">
            <w:pPr>
              <w:jc w:val="right"/>
              <w:rPr>
                <w:sz w:val="24"/>
                <w:szCs w:val="24"/>
              </w:rPr>
            </w:pPr>
            <w:r w:rsidRPr="0012760D">
              <w:rPr>
                <w:sz w:val="24"/>
                <w:szCs w:val="24"/>
              </w:rPr>
              <w:t>4,600</w:t>
            </w:r>
          </w:p>
        </w:tc>
      </w:tr>
      <w:tr w:rsidR="00B93117" w:rsidRPr="0012760D" w:rsidTr="00B66707">
        <w:tblPrEx>
          <w:tblCellMar>
            <w:top w:w="0" w:type="dxa"/>
            <w:bottom w:w="0" w:type="dxa"/>
          </w:tblCellMar>
        </w:tblPrEx>
        <w:tc>
          <w:tcPr>
            <w:tcW w:w="718" w:type="pct"/>
            <w:vMerge/>
            <w:shd w:val="clear" w:color="auto" w:fill="auto"/>
          </w:tcPr>
          <w:p w:rsidR="00B93117" w:rsidRPr="0012760D" w:rsidRDefault="00B93117" w:rsidP="001B3A3E">
            <w:pPr>
              <w:rPr>
                <w:sz w:val="24"/>
                <w:szCs w:val="24"/>
              </w:rPr>
            </w:pPr>
          </w:p>
        </w:tc>
        <w:tc>
          <w:tcPr>
            <w:tcW w:w="1207" w:type="pct"/>
            <w:shd w:val="clear" w:color="auto" w:fill="auto"/>
          </w:tcPr>
          <w:p w:rsidR="00B93117" w:rsidRPr="0012760D" w:rsidRDefault="00B93117" w:rsidP="001B3A3E">
            <w:pPr>
              <w:rPr>
                <w:sz w:val="24"/>
                <w:szCs w:val="24"/>
              </w:rPr>
            </w:pPr>
            <w:r w:rsidRPr="0012760D">
              <w:rPr>
                <w:sz w:val="24"/>
                <w:szCs w:val="24"/>
              </w:rPr>
              <w:t>Office tenant light and power use per FTE</w:t>
            </w:r>
            <w:r w:rsidRPr="0012760D">
              <w:rPr>
                <w:sz w:val="24"/>
                <w:szCs w:val="24"/>
                <w:vertAlign w:val="superscript"/>
              </w:rPr>
              <w:t>3</w:t>
            </w:r>
          </w:p>
        </w:tc>
        <w:tc>
          <w:tcPr>
            <w:tcW w:w="716" w:type="pct"/>
            <w:shd w:val="clear" w:color="auto" w:fill="auto"/>
          </w:tcPr>
          <w:p w:rsidR="00B93117" w:rsidRPr="0012760D" w:rsidRDefault="00B93117" w:rsidP="001B3A3E">
            <w:pPr>
              <w:rPr>
                <w:sz w:val="24"/>
                <w:szCs w:val="24"/>
              </w:rPr>
            </w:pPr>
            <w:r w:rsidRPr="0012760D">
              <w:rPr>
                <w:sz w:val="24"/>
                <w:szCs w:val="24"/>
              </w:rPr>
              <w:t>Megajoules per FTE</w:t>
            </w:r>
          </w:p>
        </w:tc>
        <w:tc>
          <w:tcPr>
            <w:tcW w:w="446" w:type="pct"/>
            <w:shd w:val="clear" w:color="auto" w:fill="auto"/>
          </w:tcPr>
          <w:p w:rsidR="00B93117" w:rsidRPr="0012760D" w:rsidRDefault="00B93117" w:rsidP="001B3A3E">
            <w:pPr>
              <w:jc w:val="right"/>
              <w:rPr>
                <w:sz w:val="24"/>
                <w:szCs w:val="24"/>
              </w:rPr>
            </w:pPr>
            <w:r w:rsidRPr="0012760D">
              <w:rPr>
                <w:sz w:val="24"/>
                <w:szCs w:val="24"/>
              </w:rPr>
              <w:t>3,344</w:t>
            </w:r>
          </w:p>
        </w:tc>
        <w:tc>
          <w:tcPr>
            <w:tcW w:w="464" w:type="pct"/>
            <w:shd w:val="clear" w:color="auto" w:fill="auto"/>
          </w:tcPr>
          <w:p w:rsidR="00B93117" w:rsidRPr="0012760D" w:rsidRDefault="00B93117" w:rsidP="001B3A3E">
            <w:pPr>
              <w:jc w:val="right"/>
              <w:rPr>
                <w:sz w:val="24"/>
                <w:szCs w:val="24"/>
              </w:rPr>
            </w:pPr>
            <w:r w:rsidRPr="0012760D">
              <w:rPr>
                <w:sz w:val="24"/>
                <w:szCs w:val="24"/>
              </w:rPr>
              <w:t>3,416</w:t>
            </w:r>
          </w:p>
        </w:tc>
        <w:tc>
          <w:tcPr>
            <w:tcW w:w="473" w:type="pct"/>
            <w:shd w:val="clear" w:color="auto" w:fill="auto"/>
          </w:tcPr>
          <w:p w:rsidR="00B93117" w:rsidRPr="0012760D" w:rsidRDefault="00B93117" w:rsidP="001B3A3E">
            <w:pPr>
              <w:jc w:val="right"/>
              <w:rPr>
                <w:sz w:val="24"/>
                <w:szCs w:val="24"/>
              </w:rPr>
            </w:pPr>
            <w:r w:rsidRPr="0012760D">
              <w:rPr>
                <w:sz w:val="24"/>
                <w:szCs w:val="24"/>
              </w:rPr>
              <w:t>3,040</w:t>
            </w:r>
          </w:p>
        </w:tc>
        <w:tc>
          <w:tcPr>
            <w:tcW w:w="444" w:type="pct"/>
            <w:shd w:val="clear" w:color="auto" w:fill="auto"/>
          </w:tcPr>
          <w:p w:rsidR="00B93117" w:rsidRPr="0012760D" w:rsidRDefault="00B93117" w:rsidP="001B3A3E">
            <w:pPr>
              <w:jc w:val="right"/>
              <w:rPr>
                <w:sz w:val="24"/>
                <w:szCs w:val="24"/>
              </w:rPr>
            </w:pPr>
            <w:r w:rsidRPr="0012760D">
              <w:rPr>
                <w:sz w:val="24"/>
                <w:szCs w:val="24"/>
              </w:rPr>
              <w:t>3,869</w:t>
            </w:r>
          </w:p>
        </w:tc>
        <w:tc>
          <w:tcPr>
            <w:tcW w:w="532" w:type="pct"/>
            <w:shd w:val="clear" w:color="auto" w:fill="auto"/>
          </w:tcPr>
          <w:p w:rsidR="00B93117" w:rsidRPr="0012760D" w:rsidRDefault="00B93117" w:rsidP="001B3A3E">
            <w:pPr>
              <w:jc w:val="right"/>
              <w:rPr>
                <w:sz w:val="24"/>
                <w:szCs w:val="24"/>
              </w:rPr>
            </w:pPr>
            <w:r w:rsidRPr="0012760D">
              <w:rPr>
                <w:sz w:val="24"/>
                <w:szCs w:val="24"/>
              </w:rPr>
              <w:t>4,868</w:t>
            </w:r>
          </w:p>
        </w:tc>
      </w:tr>
      <w:tr w:rsidR="00B93117" w:rsidRPr="0012760D" w:rsidTr="00B66707">
        <w:tblPrEx>
          <w:tblCellMar>
            <w:top w:w="0" w:type="dxa"/>
            <w:bottom w:w="0" w:type="dxa"/>
          </w:tblCellMar>
        </w:tblPrEx>
        <w:tc>
          <w:tcPr>
            <w:tcW w:w="718" w:type="pct"/>
            <w:vMerge/>
            <w:shd w:val="clear" w:color="auto" w:fill="auto"/>
          </w:tcPr>
          <w:p w:rsidR="00B93117" w:rsidRPr="0012760D" w:rsidRDefault="00B93117" w:rsidP="001B3A3E">
            <w:pPr>
              <w:rPr>
                <w:sz w:val="24"/>
                <w:szCs w:val="24"/>
              </w:rPr>
            </w:pPr>
          </w:p>
        </w:tc>
        <w:tc>
          <w:tcPr>
            <w:tcW w:w="1207" w:type="pct"/>
            <w:shd w:val="clear" w:color="auto" w:fill="auto"/>
          </w:tcPr>
          <w:p w:rsidR="00B93117" w:rsidRPr="0012760D" w:rsidRDefault="00B93117" w:rsidP="001B3A3E">
            <w:pPr>
              <w:rPr>
                <w:sz w:val="24"/>
                <w:szCs w:val="24"/>
              </w:rPr>
            </w:pPr>
            <w:r w:rsidRPr="0012760D">
              <w:rPr>
                <w:sz w:val="24"/>
                <w:szCs w:val="24"/>
              </w:rPr>
              <w:t>Total electricity use OTLP</w:t>
            </w:r>
          </w:p>
        </w:tc>
        <w:tc>
          <w:tcPr>
            <w:tcW w:w="716" w:type="pct"/>
            <w:shd w:val="clear" w:color="auto" w:fill="auto"/>
          </w:tcPr>
          <w:p w:rsidR="00B93117" w:rsidRPr="0012760D" w:rsidRDefault="00B93117" w:rsidP="001B3A3E">
            <w:pPr>
              <w:rPr>
                <w:sz w:val="24"/>
                <w:szCs w:val="24"/>
              </w:rPr>
            </w:pPr>
            <w:r w:rsidRPr="0012760D">
              <w:rPr>
                <w:sz w:val="24"/>
                <w:szCs w:val="24"/>
              </w:rPr>
              <w:t>Megajoules</w:t>
            </w:r>
          </w:p>
        </w:tc>
        <w:tc>
          <w:tcPr>
            <w:tcW w:w="446" w:type="pct"/>
            <w:shd w:val="clear" w:color="auto" w:fill="auto"/>
          </w:tcPr>
          <w:p w:rsidR="00B93117" w:rsidRPr="0012760D" w:rsidRDefault="00B93117" w:rsidP="001B3A3E">
            <w:pPr>
              <w:jc w:val="right"/>
              <w:rPr>
                <w:sz w:val="24"/>
                <w:szCs w:val="24"/>
              </w:rPr>
            </w:pPr>
            <w:r w:rsidRPr="0012760D">
              <w:rPr>
                <w:sz w:val="24"/>
                <w:szCs w:val="24"/>
              </w:rPr>
              <w:t>448,046</w:t>
            </w:r>
          </w:p>
        </w:tc>
        <w:tc>
          <w:tcPr>
            <w:tcW w:w="464" w:type="pct"/>
            <w:shd w:val="clear" w:color="auto" w:fill="auto"/>
          </w:tcPr>
          <w:p w:rsidR="00B93117" w:rsidRPr="0012760D" w:rsidRDefault="00B93117" w:rsidP="001B3A3E">
            <w:pPr>
              <w:jc w:val="right"/>
              <w:rPr>
                <w:sz w:val="24"/>
                <w:szCs w:val="24"/>
              </w:rPr>
            </w:pPr>
            <w:r w:rsidRPr="0012760D">
              <w:rPr>
                <w:sz w:val="24"/>
                <w:szCs w:val="24"/>
              </w:rPr>
              <w:t>470,688</w:t>
            </w:r>
          </w:p>
        </w:tc>
        <w:tc>
          <w:tcPr>
            <w:tcW w:w="473" w:type="pct"/>
            <w:shd w:val="clear" w:color="auto" w:fill="auto"/>
          </w:tcPr>
          <w:p w:rsidR="00B93117" w:rsidRPr="0012760D" w:rsidRDefault="00B93117" w:rsidP="001B3A3E">
            <w:pPr>
              <w:jc w:val="right"/>
              <w:rPr>
                <w:sz w:val="24"/>
                <w:szCs w:val="24"/>
              </w:rPr>
            </w:pPr>
            <w:r w:rsidRPr="0012760D">
              <w:rPr>
                <w:sz w:val="24"/>
                <w:szCs w:val="24"/>
              </w:rPr>
              <w:t>474,930</w:t>
            </w:r>
          </w:p>
        </w:tc>
        <w:tc>
          <w:tcPr>
            <w:tcW w:w="444" w:type="pct"/>
            <w:shd w:val="clear" w:color="auto" w:fill="auto"/>
          </w:tcPr>
          <w:p w:rsidR="00B93117" w:rsidRPr="0012760D" w:rsidRDefault="00B93117" w:rsidP="001B3A3E">
            <w:pPr>
              <w:jc w:val="right"/>
              <w:rPr>
                <w:sz w:val="24"/>
                <w:szCs w:val="24"/>
              </w:rPr>
            </w:pPr>
            <w:r w:rsidRPr="0012760D">
              <w:rPr>
                <w:sz w:val="24"/>
                <w:szCs w:val="24"/>
              </w:rPr>
              <w:t>494,311</w:t>
            </w:r>
          </w:p>
        </w:tc>
        <w:tc>
          <w:tcPr>
            <w:tcW w:w="532" w:type="pct"/>
            <w:shd w:val="clear" w:color="auto" w:fill="auto"/>
          </w:tcPr>
          <w:p w:rsidR="00B93117" w:rsidRPr="0012760D" w:rsidRDefault="00B93117" w:rsidP="001B3A3E">
            <w:pPr>
              <w:jc w:val="right"/>
              <w:rPr>
                <w:sz w:val="24"/>
                <w:szCs w:val="24"/>
              </w:rPr>
            </w:pPr>
            <w:r w:rsidRPr="0012760D">
              <w:rPr>
                <w:sz w:val="24"/>
                <w:szCs w:val="24"/>
              </w:rPr>
              <w:t>501,358</w:t>
            </w:r>
          </w:p>
        </w:tc>
      </w:tr>
      <w:tr w:rsidR="00B93117" w:rsidRPr="0012760D" w:rsidTr="00B66707">
        <w:tblPrEx>
          <w:tblCellMar>
            <w:top w:w="0" w:type="dxa"/>
            <w:bottom w:w="0" w:type="dxa"/>
          </w:tblCellMar>
        </w:tblPrEx>
        <w:tc>
          <w:tcPr>
            <w:tcW w:w="718" w:type="pct"/>
            <w:vMerge/>
            <w:shd w:val="clear" w:color="auto" w:fill="auto"/>
          </w:tcPr>
          <w:p w:rsidR="00B93117" w:rsidRPr="0012760D" w:rsidRDefault="00B93117" w:rsidP="001B3A3E">
            <w:pPr>
              <w:rPr>
                <w:sz w:val="24"/>
                <w:szCs w:val="24"/>
              </w:rPr>
            </w:pPr>
          </w:p>
        </w:tc>
        <w:tc>
          <w:tcPr>
            <w:tcW w:w="1207" w:type="pct"/>
            <w:shd w:val="clear" w:color="auto" w:fill="auto"/>
          </w:tcPr>
          <w:p w:rsidR="00B93117" w:rsidRPr="0012760D" w:rsidRDefault="00B93117" w:rsidP="001B3A3E">
            <w:pPr>
              <w:rPr>
                <w:sz w:val="24"/>
                <w:szCs w:val="24"/>
              </w:rPr>
            </w:pPr>
            <w:r w:rsidRPr="0012760D">
              <w:rPr>
                <w:sz w:val="24"/>
                <w:szCs w:val="24"/>
              </w:rPr>
              <w:t>Use per square metre of office space</w:t>
            </w:r>
          </w:p>
        </w:tc>
        <w:tc>
          <w:tcPr>
            <w:tcW w:w="716" w:type="pct"/>
            <w:shd w:val="clear" w:color="auto" w:fill="auto"/>
          </w:tcPr>
          <w:p w:rsidR="00B93117" w:rsidRPr="0012760D" w:rsidRDefault="00B93117" w:rsidP="001B3A3E">
            <w:pPr>
              <w:rPr>
                <w:sz w:val="24"/>
                <w:szCs w:val="24"/>
              </w:rPr>
            </w:pPr>
            <w:r w:rsidRPr="0012760D">
              <w:rPr>
                <w:sz w:val="24"/>
                <w:szCs w:val="24"/>
              </w:rPr>
              <w:t>Megajoules per m</w:t>
            </w:r>
            <w:r w:rsidRPr="0012760D">
              <w:rPr>
                <w:sz w:val="24"/>
                <w:szCs w:val="24"/>
                <w:vertAlign w:val="superscript"/>
              </w:rPr>
              <w:t>2</w:t>
            </w:r>
          </w:p>
        </w:tc>
        <w:tc>
          <w:tcPr>
            <w:tcW w:w="446" w:type="pct"/>
            <w:shd w:val="clear" w:color="auto" w:fill="auto"/>
          </w:tcPr>
          <w:p w:rsidR="00B93117" w:rsidRPr="0012760D" w:rsidRDefault="00B93117" w:rsidP="001B3A3E">
            <w:pPr>
              <w:jc w:val="right"/>
              <w:rPr>
                <w:sz w:val="24"/>
                <w:szCs w:val="24"/>
              </w:rPr>
            </w:pPr>
            <w:r w:rsidRPr="0012760D">
              <w:rPr>
                <w:sz w:val="24"/>
                <w:szCs w:val="24"/>
              </w:rPr>
              <w:t>230</w:t>
            </w:r>
          </w:p>
        </w:tc>
        <w:tc>
          <w:tcPr>
            <w:tcW w:w="464" w:type="pct"/>
            <w:shd w:val="clear" w:color="auto" w:fill="auto"/>
          </w:tcPr>
          <w:p w:rsidR="00B93117" w:rsidRPr="0012760D" w:rsidRDefault="00B93117" w:rsidP="001B3A3E">
            <w:pPr>
              <w:jc w:val="right"/>
              <w:rPr>
                <w:sz w:val="24"/>
                <w:szCs w:val="24"/>
              </w:rPr>
            </w:pPr>
            <w:r w:rsidRPr="0012760D">
              <w:rPr>
                <w:sz w:val="24"/>
                <w:szCs w:val="24"/>
              </w:rPr>
              <w:t>248</w:t>
            </w:r>
          </w:p>
        </w:tc>
        <w:tc>
          <w:tcPr>
            <w:tcW w:w="473" w:type="pct"/>
            <w:shd w:val="clear" w:color="auto" w:fill="auto"/>
          </w:tcPr>
          <w:p w:rsidR="00B93117" w:rsidRPr="0012760D" w:rsidRDefault="00B93117" w:rsidP="001B3A3E">
            <w:pPr>
              <w:jc w:val="right"/>
              <w:rPr>
                <w:sz w:val="24"/>
                <w:szCs w:val="24"/>
              </w:rPr>
            </w:pPr>
            <w:r w:rsidRPr="0012760D">
              <w:rPr>
                <w:sz w:val="24"/>
                <w:szCs w:val="24"/>
              </w:rPr>
              <w:t>245</w:t>
            </w:r>
          </w:p>
        </w:tc>
        <w:tc>
          <w:tcPr>
            <w:tcW w:w="444" w:type="pct"/>
            <w:shd w:val="clear" w:color="auto" w:fill="auto"/>
          </w:tcPr>
          <w:p w:rsidR="00B93117" w:rsidRPr="0012760D" w:rsidRDefault="00B93117" w:rsidP="001B3A3E">
            <w:pPr>
              <w:jc w:val="right"/>
              <w:rPr>
                <w:sz w:val="24"/>
                <w:szCs w:val="24"/>
              </w:rPr>
            </w:pPr>
            <w:r w:rsidRPr="0012760D">
              <w:rPr>
                <w:sz w:val="24"/>
                <w:szCs w:val="24"/>
              </w:rPr>
              <w:t>255</w:t>
            </w:r>
          </w:p>
        </w:tc>
        <w:tc>
          <w:tcPr>
            <w:tcW w:w="532" w:type="pct"/>
            <w:shd w:val="clear" w:color="auto" w:fill="auto"/>
          </w:tcPr>
          <w:p w:rsidR="00B93117" w:rsidRPr="0012760D" w:rsidRDefault="00B93117" w:rsidP="001B3A3E">
            <w:pPr>
              <w:jc w:val="right"/>
              <w:rPr>
                <w:sz w:val="24"/>
                <w:szCs w:val="24"/>
              </w:rPr>
            </w:pPr>
            <w:r w:rsidRPr="0012760D">
              <w:rPr>
                <w:sz w:val="24"/>
                <w:szCs w:val="24"/>
              </w:rPr>
              <w:t>258</w:t>
            </w:r>
          </w:p>
        </w:tc>
      </w:tr>
      <w:tr w:rsidR="00B93117" w:rsidRPr="0012760D" w:rsidTr="00B66707">
        <w:tblPrEx>
          <w:tblCellMar>
            <w:top w:w="0" w:type="dxa"/>
            <w:bottom w:w="0" w:type="dxa"/>
          </w:tblCellMar>
        </w:tblPrEx>
        <w:tc>
          <w:tcPr>
            <w:tcW w:w="718" w:type="pct"/>
            <w:vMerge/>
            <w:shd w:val="clear" w:color="auto" w:fill="auto"/>
          </w:tcPr>
          <w:p w:rsidR="00B93117" w:rsidRPr="0012760D" w:rsidRDefault="00B93117" w:rsidP="001B3A3E">
            <w:pPr>
              <w:rPr>
                <w:sz w:val="24"/>
                <w:szCs w:val="24"/>
              </w:rPr>
            </w:pPr>
          </w:p>
        </w:tc>
        <w:tc>
          <w:tcPr>
            <w:tcW w:w="1207" w:type="pct"/>
            <w:shd w:val="clear" w:color="auto" w:fill="auto"/>
          </w:tcPr>
          <w:p w:rsidR="00B93117" w:rsidRPr="0012760D" w:rsidRDefault="00B93117" w:rsidP="001B3A3E">
            <w:pPr>
              <w:rPr>
                <w:sz w:val="24"/>
                <w:szCs w:val="24"/>
              </w:rPr>
            </w:pPr>
            <w:r w:rsidRPr="0012760D">
              <w:rPr>
                <w:sz w:val="24"/>
                <w:szCs w:val="24"/>
              </w:rPr>
              <w:t>Total Green Power</w:t>
            </w:r>
          </w:p>
        </w:tc>
        <w:tc>
          <w:tcPr>
            <w:tcW w:w="716" w:type="pct"/>
            <w:shd w:val="clear" w:color="auto" w:fill="auto"/>
          </w:tcPr>
          <w:p w:rsidR="00B93117" w:rsidRPr="0012760D" w:rsidRDefault="00B93117" w:rsidP="001B3A3E">
            <w:pPr>
              <w:rPr>
                <w:sz w:val="24"/>
                <w:szCs w:val="24"/>
              </w:rPr>
            </w:pPr>
            <w:r w:rsidRPr="0012760D">
              <w:rPr>
                <w:sz w:val="24"/>
                <w:szCs w:val="24"/>
              </w:rPr>
              <w:t>%</w:t>
            </w:r>
          </w:p>
        </w:tc>
        <w:tc>
          <w:tcPr>
            <w:tcW w:w="446" w:type="pct"/>
            <w:shd w:val="clear" w:color="auto" w:fill="auto"/>
          </w:tcPr>
          <w:p w:rsidR="00B93117" w:rsidRPr="0012760D" w:rsidRDefault="00B93117" w:rsidP="001B3A3E">
            <w:pPr>
              <w:jc w:val="right"/>
              <w:rPr>
                <w:sz w:val="24"/>
                <w:szCs w:val="24"/>
              </w:rPr>
            </w:pPr>
            <w:r w:rsidRPr="0012760D">
              <w:rPr>
                <w:sz w:val="24"/>
                <w:szCs w:val="24"/>
              </w:rPr>
              <w:t>100%</w:t>
            </w:r>
          </w:p>
        </w:tc>
        <w:tc>
          <w:tcPr>
            <w:tcW w:w="464" w:type="pct"/>
            <w:shd w:val="clear" w:color="auto" w:fill="auto"/>
          </w:tcPr>
          <w:p w:rsidR="00B93117" w:rsidRPr="0012760D" w:rsidRDefault="00B93117" w:rsidP="001B3A3E">
            <w:pPr>
              <w:jc w:val="right"/>
              <w:rPr>
                <w:sz w:val="24"/>
                <w:szCs w:val="24"/>
              </w:rPr>
            </w:pPr>
            <w:r w:rsidRPr="0012760D">
              <w:rPr>
                <w:sz w:val="24"/>
                <w:szCs w:val="24"/>
              </w:rPr>
              <w:t>100%</w:t>
            </w:r>
          </w:p>
        </w:tc>
        <w:tc>
          <w:tcPr>
            <w:tcW w:w="473" w:type="pct"/>
            <w:shd w:val="clear" w:color="auto" w:fill="auto"/>
          </w:tcPr>
          <w:p w:rsidR="00B93117" w:rsidRPr="0012760D" w:rsidRDefault="00B93117" w:rsidP="001B3A3E">
            <w:pPr>
              <w:jc w:val="right"/>
              <w:rPr>
                <w:sz w:val="24"/>
                <w:szCs w:val="24"/>
              </w:rPr>
            </w:pPr>
            <w:r w:rsidRPr="0012760D">
              <w:rPr>
                <w:sz w:val="24"/>
                <w:szCs w:val="24"/>
              </w:rPr>
              <w:t>100%</w:t>
            </w:r>
          </w:p>
        </w:tc>
        <w:tc>
          <w:tcPr>
            <w:tcW w:w="444" w:type="pct"/>
            <w:shd w:val="clear" w:color="auto" w:fill="auto"/>
          </w:tcPr>
          <w:p w:rsidR="00B93117" w:rsidRPr="0012760D" w:rsidRDefault="00B93117" w:rsidP="001B3A3E">
            <w:pPr>
              <w:jc w:val="right"/>
              <w:rPr>
                <w:sz w:val="24"/>
                <w:szCs w:val="24"/>
              </w:rPr>
            </w:pPr>
            <w:r w:rsidRPr="0012760D">
              <w:rPr>
                <w:sz w:val="24"/>
                <w:szCs w:val="24"/>
              </w:rPr>
              <w:t>100%</w:t>
            </w:r>
          </w:p>
        </w:tc>
        <w:tc>
          <w:tcPr>
            <w:tcW w:w="532" w:type="pct"/>
            <w:shd w:val="clear" w:color="auto" w:fill="auto"/>
          </w:tcPr>
          <w:p w:rsidR="00B93117" w:rsidRPr="0012760D" w:rsidRDefault="00B93117" w:rsidP="001B3A3E">
            <w:pPr>
              <w:jc w:val="right"/>
              <w:rPr>
                <w:sz w:val="24"/>
                <w:szCs w:val="24"/>
              </w:rPr>
            </w:pPr>
            <w:r w:rsidRPr="0012760D">
              <w:rPr>
                <w:sz w:val="24"/>
                <w:szCs w:val="24"/>
              </w:rPr>
              <w:t>100%</w:t>
            </w:r>
          </w:p>
        </w:tc>
      </w:tr>
      <w:tr w:rsidR="00B93117" w:rsidRPr="0012760D" w:rsidTr="00B66707">
        <w:tblPrEx>
          <w:tblCellMar>
            <w:top w:w="0" w:type="dxa"/>
            <w:bottom w:w="0" w:type="dxa"/>
          </w:tblCellMar>
        </w:tblPrEx>
        <w:tc>
          <w:tcPr>
            <w:tcW w:w="718" w:type="pct"/>
            <w:vMerge/>
            <w:shd w:val="clear" w:color="auto" w:fill="auto"/>
          </w:tcPr>
          <w:p w:rsidR="00B93117" w:rsidRPr="0012760D" w:rsidRDefault="00B93117" w:rsidP="001B3A3E">
            <w:pPr>
              <w:rPr>
                <w:sz w:val="24"/>
                <w:szCs w:val="24"/>
              </w:rPr>
            </w:pPr>
          </w:p>
        </w:tc>
        <w:tc>
          <w:tcPr>
            <w:tcW w:w="1207" w:type="pct"/>
            <w:shd w:val="clear" w:color="auto" w:fill="auto"/>
          </w:tcPr>
          <w:p w:rsidR="00B93117" w:rsidRPr="0012760D" w:rsidRDefault="00B93117" w:rsidP="001B3A3E">
            <w:pPr>
              <w:rPr>
                <w:sz w:val="24"/>
                <w:szCs w:val="24"/>
              </w:rPr>
            </w:pPr>
            <w:r w:rsidRPr="0012760D">
              <w:rPr>
                <w:sz w:val="24"/>
                <w:szCs w:val="24"/>
              </w:rPr>
              <w:t>Base building apportioned electricity use</w:t>
            </w:r>
          </w:p>
        </w:tc>
        <w:tc>
          <w:tcPr>
            <w:tcW w:w="716" w:type="pct"/>
            <w:shd w:val="clear" w:color="auto" w:fill="auto"/>
          </w:tcPr>
          <w:p w:rsidR="00B93117" w:rsidRPr="0012760D" w:rsidRDefault="00B93117" w:rsidP="001B3A3E">
            <w:pPr>
              <w:rPr>
                <w:sz w:val="24"/>
                <w:szCs w:val="24"/>
              </w:rPr>
            </w:pPr>
            <w:r w:rsidRPr="0012760D">
              <w:rPr>
                <w:sz w:val="24"/>
                <w:szCs w:val="24"/>
              </w:rPr>
              <w:t>Megajoules</w:t>
            </w:r>
          </w:p>
        </w:tc>
        <w:tc>
          <w:tcPr>
            <w:tcW w:w="446" w:type="pct"/>
            <w:shd w:val="clear" w:color="auto" w:fill="auto"/>
          </w:tcPr>
          <w:p w:rsidR="00B93117" w:rsidRPr="0012760D" w:rsidRDefault="00B93117" w:rsidP="001B3A3E">
            <w:pPr>
              <w:jc w:val="right"/>
              <w:rPr>
                <w:sz w:val="24"/>
                <w:szCs w:val="24"/>
              </w:rPr>
            </w:pPr>
            <w:r w:rsidRPr="0012760D">
              <w:rPr>
                <w:sz w:val="24"/>
                <w:szCs w:val="24"/>
              </w:rPr>
              <w:t>424,307</w:t>
            </w:r>
          </w:p>
        </w:tc>
        <w:tc>
          <w:tcPr>
            <w:tcW w:w="464" w:type="pct"/>
            <w:shd w:val="clear" w:color="auto" w:fill="auto"/>
          </w:tcPr>
          <w:p w:rsidR="00B93117" w:rsidRPr="0012760D" w:rsidRDefault="00B93117" w:rsidP="001B3A3E">
            <w:pPr>
              <w:jc w:val="right"/>
              <w:rPr>
                <w:sz w:val="24"/>
                <w:szCs w:val="24"/>
              </w:rPr>
            </w:pPr>
            <w:r w:rsidRPr="0012760D">
              <w:rPr>
                <w:sz w:val="24"/>
                <w:szCs w:val="24"/>
              </w:rPr>
              <w:t>408,326</w:t>
            </w:r>
          </w:p>
        </w:tc>
        <w:tc>
          <w:tcPr>
            <w:tcW w:w="473" w:type="pct"/>
            <w:shd w:val="clear" w:color="auto" w:fill="auto"/>
          </w:tcPr>
          <w:p w:rsidR="00B93117" w:rsidRPr="0012760D" w:rsidRDefault="00B93117" w:rsidP="001B3A3E">
            <w:pPr>
              <w:jc w:val="right"/>
              <w:rPr>
                <w:sz w:val="24"/>
                <w:szCs w:val="24"/>
              </w:rPr>
            </w:pPr>
            <w:r w:rsidRPr="0012760D">
              <w:rPr>
                <w:sz w:val="24"/>
                <w:szCs w:val="24"/>
              </w:rPr>
              <w:t>376,040</w:t>
            </w:r>
          </w:p>
        </w:tc>
        <w:tc>
          <w:tcPr>
            <w:tcW w:w="444" w:type="pct"/>
            <w:shd w:val="clear" w:color="auto" w:fill="auto"/>
          </w:tcPr>
          <w:p w:rsidR="00B93117" w:rsidRPr="0012760D" w:rsidRDefault="00B93117" w:rsidP="001B3A3E">
            <w:pPr>
              <w:jc w:val="right"/>
              <w:rPr>
                <w:sz w:val="24"/>
                <w:szCs w:val="24"/>
              </w:rPr>
            </w:pPr>
            <w:r w:rsidRPr="0012760D">
              <w:rPr>
                <w:sz w:val="24"/>
                <w:szCs w:val="24"/>
              </w:rPr>
              <w:t>361,868</w:t>
            </w:r>
          </w:p>
        </w:tc>
        <w:tc>
          <w:tcPr>
            <w:tcW w:w="532" w:type="pct"/>
            <w:shd w:val="clear" w:color="auto" w:fill="auto"/>
          </w:tcPr>
          <w:p w:rsidR="00B93117" w:rsidRPr="0012760D" w:rsidRDefault="00B93117" w:rsidP="001B3A3E">
            <w:pPr>
              <w:jc w:val="right"/>
              <w:rPr>
                <w:sz w:val="24"/>
                <w:szCs w:val="24"/>
              </w:rPr>
            </w:pPr>
            <w:r w:rsidRPr="0012760D">
              <w:rPr>
                <w:sz w:val="24"/>
                <w:szCs w:val="24"/>
              </w:rPr>
              <w:t>343,116</w:t>
            </w:r>
          </w:p>
        </w:tc>
      </w:tr>
      <w:tr w:rsidR="00B93117" w:rsidRPr="0012760D" w:rsidTr="00B66707">
        <w:tblPrEx>
          <w:tblCellMar>
            <w:top w:w="0" w:type="dxa"/>
            <w:bottom w:w="0" w:type="dxa"/>
          </w:tblCellMar>
        </w:tblPrEx>
        <w:tc>
          <w:tcPr>
            <w:tcW w:w="718" w:type="pct"/>
            <w:vMerge/>
            <w:shd w:val="clear" w:color="auto" w:fill="auto"/>
          </w:tcPr>
          <w:p w:rsidR="00B93117" w:rsidRPr="0012760D" w:rsidRDefault="00B93117" w:rsidP="001B3A3E">
            <w:pPr>
              <w:rPr>
                <w:sz w:val="24"/>
                <w:szCs w:val="24"/>
              </w:rPr>
            </w:pPr>
          </w:p>
        </w:tc>
        <w:tc>
          <w:tcPr>
            <w:tcW w:w="1207" w:type="pct"/>
            <w:shd w:val="clear" w:color="auto" w:fill="auto"/>
          </w:tcPr>
          <w:p w:rsidR="00B93117" w:rsidRPr="0012760D" w:rsidRDefault="00B93117" w:rsidP="001B3A3E">
            <w:pPr>
              <w:rPr>
                <w:sz w:val="24"/>
                <w:szCs w:val="24"/>
              </w:rPr>
            </w:pPr>
            <w:r w:rsidRPr="0012760D">
              <w:rPr>
                <w:sz w:val="24"/>
                <w:szCs w:val="24"/>
              </w:rPr>
              <w:t>Base building apportioned natural gas use</w:t>
            </w:r>
            <w:r w:rsidRPr="0012760D">
              <w:rPr>
                <w:sz w:val="24"/>
                <w:szCs w:val="24"/>
                <w:vertAlign w:val="superscript"/>
              </w:rPr>
              <w:t>4</w:t>
            </w:r>
          </w:p>
        </w:tc>
        <w:tc>
          <w:tcPr>
            <w:tcW w:w="716" w:type="pct"/>
            <w:shd w:val="clear" w:color="auto" w:fill="auto"/>
          </w:tcPr>
          <w:p w:rsidR="00B93117" w:rsidRPr="0012760D" w:rsidRDefault="00B93117" w:rsidP="001B3A3E">
            <w:pPr>
              <w:rPr>
                <w:sz w:val="24"/>
                <w:szCs w:val="24"/>
              </w:rPr>
            </w:pPr>
            <w:r w:rsidRPr="0012760D">
              <w:rPr>
                <w:sz w:val="24"/>
                <w:szCs w:val="24"/>
              </w:rPr>
              <w:t>Megajoules</w:t>
            </w:r>
          </w:p>
        </w:tc>
        <w:tc>
          <w:tcPr>
            <w:tcW w:w="446" w:type="pct"/>
            <w:shd w:val="clear" w:color="auto" w:fill="auto"/>
          </w:tcPr>
          <w:p w:rsidR="00B93117" w:rsidRPr="0012760D" w:rsidRDefault="00B93117" w:rsidP="001B3A3E">
            <w:pPr>
              <w:jc w:val="right"/>
              <w:rPr>
                <w:sz w:val="24"/>
                <w:szCs w:val="24"/>
              </w:rPr>
            </w:pPr>
            <w:r w:rsidRPr="0012760D">
              <w:rPr>
                <w:sz w:val="24"/>
                <w:szCs w:val="24"/>
              </w:rPr>
              <w:t>262,889</w:t>
            </w:r>
          </w:p>
        </w:tc>
        <w:tc>
          <w:tcPr>
            <w:tcW w:w="464" w:type="pct"/>
            <w:shd w:val="clear" w:color="auto" w:fill="auto"/>
          </w:tcPr>
          <w:p w:rsidR="00B93117" w:rsidRPr="0012760D" w:rsidRDefault="00B93117" w:rsidP="001B3A3E">
            <w:pPr>
              <w:jc w:val="right"/>
              <w:rPr>
                <w:sz w:val="24"/>
                <w:szCs w:val="24"/>
              </w:rPr>
            </w:pPr>
            <w:r w:rsidRPr="0012760D">
              <w:rPr>
                <w:sz w:val="24"/>
                <w:szCs w:val="24"/>
              </w:rPr>
              <w:t>281,445</w:t>
            </w:r>
          </w:p>
        </w:tc>
        <w:tc>
          <w:tcPr>
            <w:tcW w:w="473" w:type="pct"/>
            <w:shd w:val="clear" w:color="auto" w:fill="auto"/>
          </w:tcPr>
          <w:p w:rsidR="00B93117" w:rsidRPr="0012760D" w:rsidRDefault="00B93117" w:rsidP="001B3A3E">
            <w:pPr>
              <w:jc w:val="right"/>
              <w:rPr>
                <w:sz w:val="24"/>
                <w:szCs w:val="24"/>
              </w:rPr>
            </w:pPr>
            <w:r w:rsidRPr="0012760D">
              <w:rPr>
                <w:sz w:val="24"/>
                <w:szCs w:val="24"/>
              </w:rPr>
              <w:t>336,226</w:t>
            </w:r>
          </w:p>
        </w:tc>
        <w:tc>
          <w:tcPr>
            <w:tcW w:w="444" w:type="pct"/>
            <w:shd w:val="clear" w:color="auto" w:fill="auto"/>
          </w:tcPr>
          <w:p w:rsidR="00B93117" w:rsidRPr="0012760D" w:rsidRDefault="00B93117" w:rsidP="001B3A3E">
            <w:pPr>
              <w:jc w:val="right"/>
              <w:rPr>
                <w:sz w:val="24"/>
                <w:szCs w:val="24"/>
              </w:rPr>
            </w:pPr>
            <w:r w:rsidRPr="0012760D">
              <w:rPr>
                <w:sz w:val="24"/>
                <w:szCs w:val="24"/>
              </w:rPr>
              <w:t>299,419</w:t>
            </w:r>
          </w:p>
        </w:tc>
        <w:tc>
          <w:tcPr>
            <w:tcW w:w="532" w:type="pct"/>
            <w:shd w:val="clear" w:color="auto" w:fill="auto"/>
          </w:tcPr>
          <w:p w:rsidR="00B93117" w:rsidRPr="0012760D" w:rsidRDefault="00B93117" w:rsidP="001B3A3E">
            <w:pPr>
              <w:jc w:val="right"/>
              <w:rPr>
                <w:sz w:val="24"/>
                <w:szCs w:val="24"/>
              </w:rPr>
            </w:pPr>
            <w:r w:rsidRPr="0012760D">
              <w:rPr>
                <w:sz w:val="24"/>
                <w:szCs w:val="24"/>
              </w:rPr>
              <w:t>312,852</w:t>
            </w:r>
          </w:p>
        </w:tc>
      </w:tr>
      <w:tr w:rsidR="00B93117" w:rsidRPr="0012760D" w:rsidTr="00B66707">
        <w:tblPrEx>
          <w:tblCellMar>
            <w:top w:w="0" w:type="dxa"/>
            <w:bottom w:w="0" w:type="dxa"/>
          </w:tblCellMar>
        </w:tblPrEx>
        <w:tc>
          <w:tcPr>
            <w:tcW w:w="718" w:type="pct"/>
            <w:vMerge/>
            <w:shd w:val="clear" w:color="auto" w:fill="auto"/>
          </w:tcPr>
          <w:p w:rsidR="00B93117" w:rsidRPr="0012760D" w:rsidRDefault="00B93117" w:rsidP="001B3A3E">
            <w:pPr>
              <w:rPr>
                <w:sz w:val="24"/>
                <w:szCs w:val="24"/>
              </w:rPr>
            </w:pPr>
          </w:p>
        </w:tc>
        <w:tc>
          <w:tcPr>
            <w:tcW w:w="1207" w:type="pct"/>
            <w:shd w:val="clear" w:color="auto" w:fill="auto"/>
          </w:tcPr>
          <w:p w:rsidR="00B93117" w:rsidRPr="0012760D" w:rsidRDefault="00B93117" w:rsidP="001B3A3E">
            <w:pPr>
              <w:rPr>
                <w:sz w:val="24"/>
                <w:szCs w:val="24"/>
              </w:rPr>
            </w:pPr>
            <w:r w:rsidRPr="0012760D">
              <w:rPr>
                <w:sz w:val="24"/>
                <w:szCs w:val="24"/>
              </w:rPr>
              <w:t>Total GHG emissions associated with OTLP</w:t>
            </w:r>
          </w:p>
        </w:tc>
        <w:tc>
          <w:tcPr>
            <w:tcW w:w="716" w:type="pct"/>
            <w:shd w:val="clear" w:color="auto" w:fill="auto"/>
          </w:tcPr>
          <w:p w:rsidR="00B93117" w:rsidRPr="00D83A20" w:rsidRDefault="00B66707" w:rsidP="001B3A3E">
            <w:pPr>
              <w:rPr>
                <w:sz w:val="24"/>
                <w:szCs w:val="24"/>
                <w:lang w:val="es-ES_tradnl"/>
              </w:rPr>
            </w:pPr>
            <w:r w:rsidRPr="00D83A20">
              <w:rPr>
                <w:sz w:val="24"/>
                <w:szCs w:val="24"/>
                <w:lang w:val="es-ES_tradnl"/>
              </w:rPr>
              <w:t>Tonnes of C O</w:t>
            </w:r>
            <w:r w:rsidR="00B93117" w:rsidRPr="00D83A20">
              <w:rPr>
                <w:sz w:val="24"/>
                <w:szCs w:val="24"/>
                <w:vertAlign w:val="subscript"/>
                <w:lang w:val="es-ES_tradnl"/>
              </w:rPr>
              <w:t>2</w:t>
            </w:r>
            <w:r w:rsidR="00B93117" w:rsidRPr="00D83A20">
              <w:rPr>
                <w:sz w:val="24"/>
                <w:szCs w:val="24"/>
                <w:lang w:val="es-ES_tradnl"/>
              </w:rPr>
              <w:t>-e</w:t>
            </w:r>
          </w:p>
        </w:tc>
        <w:tc>
          <w:tcPr>
            <w:tcW w:w="446" w:type="pct"/>
            <w:shd w:val="clear" w:color="auto" w:fill="auto"/>
          </w:tcPr>
          <w:p w:rsidR="00B93117" w:rsidRPr="0012760D" w:rsidRDefault="00B93117" w:rsidP="001B3A3E">
            <w:pPr>
              <w:jc w:val="right"/>
              <w:rPr>
                <w:sz w:val="24"/>
                <w:szCs w:val="24"/>
              </w:rPr>
            </w:pPr>
            <w:r w:rsidRPr="0012760D">
              <w:rPr>
                <w:sz w:val="24"/>
                <w:szCs w:val="24"/>
              </w:rPr>
              <w:t>0</w:t>
            </w:r>
          </w:p>
        </w:tc>
        <w:tc>
          <w:tcPr>
            <w:tcW w:w="464" w:type="pct"/>
            <w:shd w:val="clear" w:color="auto" w:fill="auto"/>
          </w:tcPr>
          <w:p w:rsidR="00B93117" w:rsidRPr="0012760D" w:rsidRDefault="00B93117" w:rsidP="001B3A3E">
            <w:pPr>
              <w:jc w:val="right"/>
              <w:rPr>
                <w:sz w:val="24"/>
                <w:szCs w:val="24"/>
              </w:rPr>
            </w:pPr>
            <w:r w:rsidRPr="0012760D">
              <w:rPr>
                <w:sz w:val="24"/>
                <w:szCs w:val="24"/>
              </w:rPr>
              <w:t>0</w:t>
            </w:r>
          </w:p>
        </w:tc>
        <w:tc>
          <w:tcPr>
            <w:tcW w:w="473" w:type="pct"/>
            <w:shd w:val="clear" w:color="auto" w:fill="auto"/>
          </w:tcPr>
          <w:p w:rsidR="00B93117" w:rsidRPr="0012760D" w:rsidRDefault="00B93117" w:rsidP="001B3A3E">
            <w:pPr>
              <w:jc w:val="right"/>
              <w:rPr>
                <w:sz w:val="24"/>
                <w:szCs w:val="24"/>
              </w:rPr>
            </w:pPr>
            <w:r w:rsidRPr="0012760D">
              <w:rPr>
                <w:sz w:val="24"/>
                <w:szCs w:val="24"/>
              </w:rPr>
              <w:t>0</w:t>
            </w:r>
          </w:p>
        </w:tc>
        <w:tc>
          <w:tcPr>
            <w:tcW w:w="444" w:type="pct"/>
            <w:shd w:val="clear" w:color="auto" w:fill="auto"/>
          </w:tcPr>
          <w:p w:rsidR="00B93117" w:rsidRPr="0012760D" w:rsidRDefault="00B93117" w:rsidP="001B3A3E">
            <w:pPr>
              <w:jc w:val="right"/>
              <w:rPr>
                <w:sz w:val="24"/>
                <w:szCs w:val="24"/>
              </w:rPr>
            </w:pPr>
            <w:r w:rsidRPr="0012760D">
              <w:rPr>
                <w:sz w:val="24"/>
                <w:szCs w:val="24"/>
              </w:rPr>
              <w:t>0</w:t>
            </w:r>
          </w:p>
        </w:tc>
        <w:tc>
          <w:tcPr>
            <w:tcW w:w="532" w:type="pct"/>
            <w:shd w:val="clear" w:color="auto" w:fill="auto"/>
          </w:tcPr>
          <w:p w:rsidR="00B93117" w:rsidRPr="0012760D" w:rsidRDefault="00B93117" w:rsidP="001B3A3E">
            <w:pPr>
              <w:jc w:val="right"/>
              <w:rPr>
                <w:sz w:val="24"/>
                <w:szCs w:val="24"/>
              </w:rPr>
            </w:pPr>
            <w:r w:rsidRPr="0012760D">
              <w:rPr>
                <w:sz w:val="24"/>
                <w:szCs w:val="24"/>
              </w:rPr>
              <w:t>0</w:t>
            </w:r>
          </w:p>
        </w:tc>
      </w:tr>
      <w:tr w:rsidR="00B93117" w:rsidRPr="0012760D" w:rsidTr="00B66707">
        <w:tblPrEx>
          <w:tblCellMar>
            <w:top w:w="0" w:type="dxa"/>
            <w:bottom w:w="0" w:type="dxa"/>
          </w:tblCellMar>
        </w:tblPrEx>
        <w:tc>
          <w:tcPr>
            <w:tcW w:w="718" w:type="pct"/>
            <w:vMerge/>
            <w:shd w:val="clear" w:color="auto" w:fill="auto"/>
          </w:tcPr>
          <w:p w:rsidR="00B93117" w:rsidRPr="0012760D" w:rsidRDefault="00B93117" w:rsidP="001B3A3E">
            <w:pPr>
              <w:rPr>
                <w:sz w:val="24"/>
                <w:szCs w:val="24"/>
              </w:rPr>
            </w:pPr>
          </w:p>
        </w:tc>
        <w:tc>
          <w:tcPr>
            <w:tcW w:w="1207" w:type="pct"/>
            <w:shd w:val="clear" w:color="auto" w:fill="auto"/>
          </w:tcPr>
          <w:p w:rsidR="00B93117" w:rsidRPr="0012760D" w:rsidRDefault="00B93117" w:rsidP="001B3A3E">
            <w:pPr>
              <w:rPr>
                <w:sz w:val="24"/>
                <w:szCs w:val="24"/>
              </w:rPr>
            </w:pPr>
            <w:r w:rsidRPr="0012760D">
              <w:rPr>
                <w:sz w:val="24"/>
                <w:szCs w:val="24"/>
              </w:rPr>
              <w:t>Total GHG emissions associated with apportioned electricity use</w:t>
            </w:r>
          </w:p>
        </w:tc>
        <w:tc>
          <w:tcPr>
            <w:tcW w:w="716" w:type="pct"/>
            <w:shd w:val="clear" w:color="auto" w:fill="auto"/>
          </w:tcPr>
          <w:p w:rsidR="00B93117" w:rsidRPr="00D83A20" w:rsidRDefault="00B66707" w:rsidP="001B3A3E">
            <w:pPr>
              <w:rPr>
                <w:sz w:val="24"/>
                <w:szCs w:val="24"/>
                <w:lang w:val="es-ES_tradnl"/>
              </w:rPr>
            </w:pPr>
            <w:r w:rsidRPr="00D83A20">
              <w:rPr>
                <w:sz w:val="24"/>
                <w:szCs w:val="24"/>
                <w:lang w:val="es-ES_tradnl"/>
              </w:rPr>
              <w:t>Tonnes of C O</w:t>
            </w:r>
            <w:r w:rsidR="00B93117" w:rsidRPr="00D83A20">
              <w:rPr>
                <w:sz w:val="24"/>
                <w:szCs w:val="24"/>
                <w:vertAlign w:val="subscript"/>
                <w:lang w:val="es-ES_tradnl"/>
              </w:rPr>
              <w:t>2</w:t>
            </w:r>
            <w:r w:rsidR="00B93117" w:rsidRPr="00D83A20">
              <w:rPr>
                <w:sz w:val="24"/>
                <w:szCs w:val="24"/>
                <w:lang w:val="es-ES_tradnl"/>
              </w:rPr>
              <w:t>-e</w:t>
            </w:r>
          </w:p>
        </w:tc>
        <w:tc>
          <w:tcPr>
            <w:tcW w:w="446" w:type="pct"/>
            <w:shd w:val="clear" w:color="auto" w:fill="auto"/>
          </w:tcPr>
          <w:p w:rsidR="00B93117" w:rsidRPr="0012760D" w:rsidRDefault="00B93117" w:rsidP="001B3A3E">
            <w:pPr>
              <w:jc w:val="right"/>
              <w:rPr>
                <w:sz w:val="24"/>
                <w:szCs w:val="24"/>
              </w:rPr>
            </w:pPr>
            <w:r w:rsidRPr="0012760D">
              <w:rPr>
                <w:sz w:val="24"/>
                <w:szCs w:val="24"/>
              </w:rPr>
              <w:t>154</w:t>
            </w:r>
          </w:p>
        </w:tc>
        <w:tc>
          <w:tcPr>
            <w:tcW w:w="464" w:type="pct"/>
            <w:shd w:val="clear" w:color="auto" w:fill="auto"/>
          </w:tcPr>
          <w:p w:rsidR="00B93117" w:rsidRPr="0012760D" w:rsidRDefault="00B93117" w:rsidP="001B3A3E">
            <w:pPr>
              <w:jc w:val="right"/>
              <w:rPr>
                <w:sz w:val="24"/>
                <w:szCs w:val="24"/>
              </w:rPr>
            </w:pPr>
            <w:r w:rsidRPr="0012760D">
              <w:rPr>
                <w:sz w:val="24"/>
                <w:szCs w:val="24"/>
              </w:rPr>
              <w:t>153</w:t>
            </w:r>
          </w:p>
        </w:tc>
        <w:tc>
          <w:tcPr>
            <w:tcW w:w="473" w:type="pct"/>
            <w:shd w:val="clear" w:color="auto" w:fill="auto"/>
          </w:tcPr>
          <w:p w:rsidR="00B93117" w:rsidRPr="0012760D" w:rsidRDefault="00B93117" w:rsidP="001B3A3E">
            <w:pPr>
              <w:jc w:val="right"/>
              <w:rPr>
                <w:sz w:val="24"/>
                <w:szCs w:val="24"/>
              </w:rPr>
            </w:pPr>
            <w:r w:rsidRPr="0012760D">
              <w:rPr>
                <w:sz w:val="24"/>
                <w:szCs w:val="24"/>
              </w:rPr>
              <w:t>143</w:t>
            </w:r>
          </w:p>
        </w:tc>
        <w:tc>
          <w:tcPr>
            <w:tcW w:w="444" w:type="pct"/>
            <w:shd w:val="clear" w:color="auto" w:fill="auto"/>
          </w:tcPr>
          <w:p w:rsidR="00B93117" w:rsidRPr="0012760D" w:rsidRDefault="00B93117" w:rsidP="001B3A3E">
            <w:pPr>
              <w:jc w:val="right"/>
              <w:rPr>
                <w:sz w:val="24"/>
                <w:szCs w:val="24"/>
              </w:rPr>
            </w:pPr>
            <w:r w:rsidRPr="0012760D">
              <w:rPr>
                <w:sz w:val="24"/>
                <w:szCs w:val="24"/>
              </w:rPr>
              <w:t>135</w:t>
            </w:r>
          </w:p>
        </w:tc>
        <w:tc>
          <w:tcPr>
            <w:tcW w:w="532" w:type="pct"/>
            <w:shd w:val="clear" w:color="auto" w:fill="auto"/>
          </w:tcPr>
          <w:p w:rsidR="00B93117" w:rsidRPr="0012760D" w:rsidRDefault="00B93117" w:rsidP="001B3A3E">
            <w:pPr>
              <w:jc w:val="right"/>
              <w:rPr>
                <w:sz w:val="24"/>
                <w:szCs w:val="24"/>
              </w:rPr>
            </w:pPr>
            <w:r w:rsidRPr="0012760D">
              <w:rPr>
                <w:sz w:val="24"/>
                <w:szCs w:val="24"/>
              </w:rPr>
              <w:t>128</w:t>
            </w:r>
          </w:p>
        </w:tc>
      </w:tr>
      <w:tr w:rsidR="00B93117" w:rsidRPr="0012760D" w:rsidTr="00B66707">
        <w:tblPrEx>
          <w:tblCellMar>
            <w:top w:w="0" w:type="dxa"/>
            <w:bottom w:w="0" w:type="dxa"/>
          </w:tblCellMar>
        </w:tblPrEx>
        <w:tc>
          <w:tcPr>
            <w:tcW w:w="718" w:type="pct"/>
            <w:vMerge/>
            <w:shd w:val="clear" w:color="auto" w:fill="auto"/>
          </w:tcPr>
          <w:p w:rsidR="00B93117" w:rsidRPr="0012760D" w:rsidRDefault="00B93117" w:rsidP="001B3A3E">
            <w:pPr>
              <w:rPr>
                <w:sz w:val="24"/>
                <w:szCs w:val="24"/>
              </w:rPr>
            </w:pPr>
          </w:p>
        </w:tc>
        <w:tc>
          <w:tcPr>
            <w:tcW w:w="1207" w:type="pct"/>
            <w:shd w:val="clear" w:color="auto" w:fill="auto"/>
          </w:tcPr>
          <w:p w:rsidR="00B93117" w:rsidRPr="0012760D" w:rsidRDefault="00B93117" w:rsidP="001B3A3E">
            <w:pPr>
              <w:rPr>
                <w:sz w:val="24"/>
                <w:szCs w:val="24"/>
              </w:rPr>
            </w:pPr>
            <w:r w:rsidRPr="0012760D">
              <w:rPr>
                <w:sz w:val="24"/>
                <w:szCs w:val="24"/>
              </w:rPr>
              <w:t xml:space="preserve">Total GHG emissions associated with apportioned gas use </w:t>
            </w:r>
          </w:p>
        </w:tc>
        <w:tc>
          <w:tcPr>
            <w:tcW w:w="716" w:type="pct"/>
            <w:shd w:val="clear" w:color="auto" w:fill="auto"/>
          </w:tcPr>
          <w:p w:rsidR="00B93117" w:rsidRPr="00D83A20" w:rsidRDefault="00B66707" w:rsidP="001B3A3E">
            <w:pPr>
              <w:rPr>
                <w:sz w:val="24"/>
                <w:szCs w:val="24"/>
                <w:lang w:val="es-ES_tradnl"/>
              </w:rPr>
            </w:pPr>
            <w:r w:rsidRPr="00D83A20">
              <w:rPr>
                <w:sz w:val="24"/>
                <w:szCs w:val="24"/>
                <w:lang w:val="es-ES_tradnl"/>
              </w:rPr>
              <w:t>Tonnes of C O</w:t>
            </w:r>
            <w:r w:rsidR="00B93117" w:rsidRPr="00D83A20">
              <w:rPr>
                <w:sz w:val="24"/>
                <w:szCs w:val="24"/>
                <w:vertAlign w:val="subscript"/>
                <w:lang w:val="es-ES_tradnl"/>
              </w:rPr>
              <w:t>2</w:t>
            </w:r>
            <w:r w:rsidR="00B93117" w:rsidRPr="00D83A20">
              <w:rPr>
                <w:sz w:val="24"/>
                <w:szCs w:val="24"/>
                <w:lang w:val="es-ES_tradnl"/>
              </w:rPr>
              <w:t>-e</w:t>
            </w:r>
          </w:p>
        </w:tc>
        <w:tc>
          <w:tcPr>
            <w:tcW w:w="446" w:type="pct"/>
            <w:shd w:val="clear" w:color="auto" w:fill="auto"/>
          </w:tcPr>
          <w:p w:rsidR="00B93117" w:rsidRPr="0012760D" w:rsidRDefault="00B93117" w:rsidP="001B3A3E">
            <w:pPr>
              <w:jc w:val="right"/>
              <w:rPr>
                <w:sz w:val="24"/>
                <w:szCs w:val="24"/>
              </w:rPr>
            </w:pPr>
            <w:r w:rsidRPr="0012760D">
              <w:rPr>
                <w:sz w:val="24"/>
                <w:szCs w:val="24"/>
              </w:rPr>
              <w:t>14.6</w:t>
            </w:r>
          </w:p>
        </w:tc>
        <w:tc>
          <w:tcPr>
            <w:tcW w:w="464" w:type="pct"/>
            <w:shd w:val="clear" w:color="auto" w:fill="auto"/>
          </w:tcPr>
          <w:p w:rsidR="00B93117" w:rsidRPr="0012760D" w:rsidRDefault="00B93117" w:rsidP="001B3A3E">
            <w:pPr>
              <w:jc w:val="right"/>
              <w:rPr>
                <w:sz w:val="24"/>
                <w:szCs w:val="24"/>
              </w:rPr>
            </w:pPr>
            <w:r w:rsidRPr="0012760D">
              <w:rPr>
                <w:sz w:val="24"/>
                <w:szCs w:val="24"/>
              </w:rPr>
              <w:t>16</w:t>
            </w:r>
          </w:p>
        </w:tc>
        <w:tc>
          <w:tcPr>
            <w:tcW w:w="473" w:type="pct"/>
            <w:shd w:val="clear" w:color="auto" w:fill="auto"/>
          </w:tcPr>
          <w:p w:rsidR="00B93117" w:rsidRPr="0012760D" w:rsidRDefault="00B93117" w:rsidP="001B3A3E">
            <w:pPr>
              <w:jc w:val="right"/>
              <w:rPr>
                <w:sz w:val="24"/>
                <w:szCs w:val="24"/>
              </w:rPr>
            </w:pPr>
            <w:r w:rsidRPr="0012760D">
              <w:rPr>
                <w:sz w:val="24"/>
                <w:szCs w:val="24"/>
              </w:rPr>
              <w:t>18.6</w:t>
            </w:r>
          </w:p>
        </w:tc>
        <w:tc>
          <w:tcPr>
            <w:tcW w:w="444" w:type="pct"/>
            <w:shd w:val="clear" w:color="auto" w:fill="auto"/>
          </w:tcPr>
          <w:p w:rsidR="00B93117" w:rsidRPr="0012760D" w:rsidRDefault="00B93117" w:rsidP="001B3A3E">
            <w:pPr>
              <w:jc w:val="right"/>
              <w:rPr>
                <w:sz w:val="24"/>
                <w:szCs w:val="24"/>
              </w:rPr>
            </w:pPr>
            <w:r w:rsidRPr="0012760D">
              <w:rPr>
                <w:sz w:val="24"/>
                <w:szCs w:val="24"/>
              </w:rPr>
              <w:t>16.5</w:t>
            </w:r>
          </w:p>
        </w:tc>
        <w:tc>
          <w:tcPr>
            <w:tcW w:w="532" w:type="pct"/>
            <w:shd w:val="clear" w:color="auto" w:fill="auto"/>
          </w:tcPr>
          <w:p w:rsidR="00B93117" w:rsidRPr="0012760D" w:rsidRDefault="00B93117" w:rsidP="001B3A3E">
            <w:pPr>
              <w:jc w:val="right"/>
              <w:rPr>
                <w:sz w:val="24"/>
                <w:szCs w:val="24"/>
              </w:rPr>
            </w:pPr>
            <w:r w:rsidRPr="0012760D">
              <w:rPr>
                <w:sz w:val="24"/>
                <w:szCs w:val="24"/>
              </w:rPr>
              <w:t>17.3</w:t>
            </w:r>
          </w:p>
        </w:tc>
      </w:tr>
      <w:tr w:rsidR="00B93117" w:rsidRPr="0012760D" w:rsidTr="00B66707">
        <w:tblPrEx>
          <w:tblCellMar>
            <w:top w:w="0" w:type="dxa"/>
            <w:bottom w:w="0" w:type="dxa"/>
          </w:tblCellMar>
        </w:tblPrEx>
        <w:tc>
          <w:tcPr>
            <w:tcW w:w="718" w:type="pct"/>
            <w:vMerge w:val="restart"/>
            <w:shd w:val="clear" w:color="auto" w:fill="auto"/>
          </w:tcPr>
          <w:p w:rsidR="00B93117" w:rsidRPr="0012760D" w:rsidRDefault="00B93117" w:rsidP="001B3A3E">
            <w:pPr>
              <w:rPr>
                <w:sz w:val="24"/>
                <w:szCs w:val="24"/>
              </w:rPr>
            </w:pPr>
            <w:r w:rsidRPr="0012760D">
              <w:rPr>
                <w:bCs/>
                <w:sz w:val="24"/>
                <w:szCs w:val="24"/>
              </w:rPr>
              <w:t>Paper</w:t>
            </w:r>
            <w:r w:rsidRPr="0012760D">
              <w:rPr>
                <w:bCs/>
                <w:sz w:val="24"/>
                <w:szCs w:val="24"/>
                <w:vertAlign w:val="superscript"/>
              </w:rPr>
              <w:t>5</w:t>
            </w:r>
          </w:p>
        </w:tc>
        <w:tc>
          <w:tcPr>
            <w:tcW w:w="1207" w:type="pct"/>
            <w:shd w:val="clear" w:color="auto" w:fill="auto"/>
          </w:tcPr>
          <w:p w:rsidR="00B93117" w:rsidRPr="0012760D" w:rsidRDefault="00B93117" w:rsidP="001B3A3E">
            <w:pPr>
              <w:rPr>
                <w:sz w:val="24"/>
                <w:szCs w:val="24"/>
              </w:rPr>
            </w:pPr>
            <w:r w:rsidRPr="0012760D">
              <w:rPr>
                <w:sz w:val="24"/>
                <w:szCs w:val="24"/>
              </w:rPr>
              <w:t>Use per THC</w:t>
            </w:r>
          </w:p>
        </w:tc>
        <w:tc>
          <w:tcPr>
            <w:tcW w:w="716" w:type="pct"/>
            <w:shd w:val="clear" w:color="auto" w:fill="auto"/>
          </w:tcPr>
          <w:p w:rsidR="00B93117" w:rsidRPr="0012760D" w:rsidRDefault="00B93117" w:rsidP="001B3A3E">
            <w:pPr>
              <w:rPr>
                <w:sz w:val="24"/>
                <w:szCs w:val="24"/>
              </w:rPr>
            </w:pPr>
            <w:r w:rsidRPr="0012760D">
              <w:rPr>
                <w:sz w:val="24"/>
                <w:szCs w:val="24"/>
              </w:rPr>
              <w:t>Reams per THC</w:t>
            </w:r>
          </w:p>
        </w:tc>
        <w:tc>
          <w:tcPr>
            <w:tcW w:w="446" w:type="pct"/>
            <w:shd w:val="clear" w:color="auto" w:fill="auto"/>
          </w:tcPr>
          <w:p w:rsidR="00B93117" w:rsidRPr="0012760D" w:rsidRDefault="00B93117" w:rsidP="001B3A3E">
            <w:pPr>
              <w:jc w:val="right"/>
              <w:rPr>
                <w:sz w:val="24"/>
                <w:szCs w:val="24"/>
              </w:rPr>
            </w:pPr>
            <w:r w:rsidRPr="0012760D">
              <w:rPr>
                <w:sz w:val="24"/>
                <w:szCs w:val="24"/>
              </w:rPr>
              <w:t>6.1</w:t>
            </w:r>
          </w:p>
        </w:tc>
        <w:tc>
          <w:tcPr>
            <w:tcW w:w="464" w:type="pct"/>
            <w:shd w:val="clear" w:color="auto" w:fill="auto"/>
          </w:tcPr>
          <w:p w:rsidR="00B93117" w:rsidRPr="0012760D" w:rsidRDefault="00B93117" w:rsidP="001B3A3E">
            <w:pPr>
              <w:jc w:val="right"/>
              <w:rPr>
                <w:sz w:val="24"/>
                <w:szCs w:val="24"/>
              </w:rPr>
            </w:pPr>
            <w:r w:rsidRPr="0012760D">
              <w:rPr>
                <w:sz w:val="24"/>
                <w:szCs w:val="24"/>
              </w:rPr>
              <w:t>5.27</w:t>
            </w:r>
          </w:p>
        </w:tc>
        <w:tc>
          <w:tcPr>
            <w:tcW w:w="473" w:type="pct"/>
            <w:shd w:val="clear" w:color="auto" w:fill="auto"/>
          </w:tcPr>
          <w:p w:rsidR="00B93117" w:rsidRPr="0012760D" w:rsidRDefault="00B93117" w:rsidP="001B3A3E">
            <w:pPr>
              <w:jc w:val="right"/>
              <w:rPr>
                <w:sz w:val="24"/>
                <w:szCs w:val="24"/>
              </w:rPr>
            </w:pPr>
            <w:r w:rsidRPr="0012760D">
              <w:rPr>
                <w:sz w:val="24"/>
                <w:szCs w:val="24"/>
              </w:rPr>
              <w:t>6.2</w:t>
            </w:r>
          </w:p>
        </w:tc>
        <w:tc>
          <w:tcPr>
            <w:tcW w:w="444" w:type="pct"/>
            <w:shd w:val="clear" w:color="auto" w:fill="auto"/>
          </w:tcPr>
          <w:p w:rsidR="00B93117" w:rsidRPr="0012760D" w:rsidRDefault="00B93117" w:rsidP="001B3A3E">
            <w:pPr>
              <w:jc w:val="right"/>
              <w:rPr>
                <w:sz w:val="24"/>
                <w:szCs w:val="24"/>
              </w:rPr>
            </w:pPr>
            <w:r w:rsidRPr="0012760D">
              <w:rPr>
                <w:sz w:val="24"/>
                <w:szCs w:val="24"/>
              </w:rPr>
              <w:t>5.5</w:t>
            </w:r>
          </w:p>
        </w:tc>
        <w:tc>
          <w:tcPr>
            <w:tcW w:w="532" w:type="pct"/>
            <w:shd w:val="clear" w:color="auto" w:fill="auto"/>
          </w:tcPr>
          <w:p w:rsidR="00B93117" w:rsidRPr="0012760D" w:rsidRDefault="00B93117" w:rsidP="001B3A3E">
            <w:pPr>
              <w:jc w:val="right"/>
              <w:rPr>
                <w:sz w:val="24"/>
                <w:szCs w:val="24"/>
              </w:rPr>
            </w:pPr>
            <w:r w:rsidRPr="0012760D">
              <w:rPr>
                <w:sz w:val="24"/>
                <w:szCs w:val="24"/>
              </w:rPr>
              <w:t>6.36</w:t>
            </w:r>
          </w:p>
        </w:tc>
      </w:tr>
      <w:tr w:rsidR="00B93117" w:rsidRPr="0012760D" w:rsidTr="00B66707">
        <w:tblPrEx>
          <w:tblCellMar>
            <w:top w:w="0" w:type="dxa"/>
            <w:bottom w:w="0" w:type="dxa"/>
          </w:tblCellMar>
        </w:tblPrEx>
        <w:tc>
          <w:tcPr>
            <w:tcW w:w="718" w:type="pct"/>
            <w:vMerge/>
            <w:shd w:val="clear" w:color="auto" w:fill="auto"/>
          </w:tcPr>
          <w:p w:rsidR="00B93117" w:rsidRPr="0012760D" w:rsidRDefault="00B93117" w:rsidP="001B3A3E">
            <w:pPr>
              <w:rPr>
                <w:sz w:val="24"/>
                <w:szCs w:val="24"/>
              </w:rPr>
            </w:pPr>
          </w:p>
        </w:tc>
        <w:tc>
          <w:tcPr>
            <w:tcW w:w="1207" w:type="pct"/>
            <w:shd w:val="clear" w:color="auto" w:fill="auto"/>
          </w:tcPr>
          <w:p w:rsidR="00B93117" w:rsidRPr="0012760D" w:rsidRDefault="00B93117" w:rsidP="001B3A3E">
            <w:pPr>
              <w:rPr>
                <w:sz w:val="24"/>
                <w:szCs w:val="24"/>
              </w:rPr>
            </w:pPr>
            <w:r w:rsidRPr="0012760D">
              <w:rPr>
                <w:sz w:val="24"/>
                <w:szCs w:val="24"/>
              </w:rPr>
              <w:t>use per FTE</w:t>
            </w:r>
          </w:p>
        </w:tc>
        <w:tc>
          <w:tcPr>
            <w:tcW w:w="716" w:type="pct"/>
            <w:shd w:val="clear" w:color="auto" w:fill="auto"/>
          </w:tcPr>
          <w:p w:rsidR="00B93117" w:rsidRPr="0012760D" w:rsidRDefault="00B93117" w:rsidP="001B3A3E">
            <w:pPr>
              <w:rPr>
                <w:sz w:val="24"/>
                <w:szCs w:val="24"/>
              </w:rPr>
            </w:pPr>
            <w:r w:rsidRPr="0012760D">
              <w:rPr>
                <w:sz w:val="24"/>
                <w:szCs w:val="24"/>
              </w:rPr>
              <w:t>Reams per FTE</w:t>
            </w:r>
          </w:p>
        </w:tc>
        <w:tc>
          <w:tcPr>
            <w:tcW w:w="446" w:type="pct"/>
            <w:shd w:val="clear" w:color="auto" w:fill="auto"/>
          </w:tcPr>
          <w:p w:rsidR="00B93117" w:rsidRPr="0012760D" w:rsidRDefault="00B93117" w:rsidP="001B3A3E">
            <w:pPr>
              <w:jc w:val="right"/>
              <w:rPr>
                <w:sz w:val="24"/>
                <w:szCs w:val="24"/>
              </w:rPr>
            </w:pPr>
            <w:r w:rsidRPr="0012760D">
              <w:rPr>
                <w:sz w:val="24"/>
                <w:szCs w:val="24"/>
              </w:rPr>
              <w:t>6.5</w:t>
            </w:r>
          </w:p>
        </w:tc>
        <w:tc>
          <w:tcPr>
            <w:tcW w:w="464" w:type="pct"/>
            <w:shd w:val="clear" w:color="auto" w:fill="auto"/>
          </w:tcPr>
          <w:p w:rsidR="00B93117" w:rsidRPr="0012760D" w:rsidRDefault="00B93117" w:rsidP="001B3A3E">
            <w:pPr>
              <w:jc w:val="right"/>
              <w:rPr>
                <w:sz w:val="24"/>
                <w:szCs w:val="24"/>
              </w:rPr>
            </w:pPr>
            <w:r w:rsidRPr="0012760D">
              <w:rPr>
                <w:sz w:val="24"/>
                <w:szCs w:val="24"/>
              </w:rPr>
              <w:t>5.66</w:t>
            </w:r>
          </w:p>
        </w:tc>
        <w:tc>
          <w:tcPr>
            <w:tcW w:w="473" w:type="pct"/>
            <w:shd w:val="clear" w:color="auto" w:fill="auto"/>
          </w:tcPr>
          <w:p w:rsidR="00B93117" w:rsidRPr="0012760D" w:rsidRDefault="00B93117" w:rsidP="001B3A3E">
            <w:pPr>
              <w:jc w:val="right"/>
              <w:rPr>
                <w:sz w:val="24"/>
                <w:szCs w:val="24"/>
              </w:rPr>
            </w:pPr>
            <w:r w:rsidRPr="0012760D">
              <w:rPr>
                <w:sz w:val="24"/>
                <w:szCs w:val="24"/>
              </w:rPr>
              <w:t>6.11</w:t>
            </w:r>
          </w:p>
        </w:tc>
        <w:tc>
          <w:tcPr>
            <w:tcW w:w="444" w:type="pct"/>
            <w:shd w:val="clear" w:color="auto" w:fill="auto"/>
          </w:tcPr>
          <w:p w:rsidR="00B93117" w:rsidRPr="0012760D" w:rsidRDefault="00B93117" w:rsidP="001B3A3E">
            <w:pPr>
              <w:jc w:val="right"/>
              <w:rPr>
                <w:sz w:val="24"/>
                <w:szCs w:val="24"/>
              </w:rPr>
            </w:pPr>
            <w:r w:rsidRPr="0012760D">
              <w:rPr>
                <w:sz w:val="24"/>
                <w:szCs w:val="24"/>
              </w:rPr>
              <w:t>5.9</w:t>
            </w:r>
          </w:p>
        </w:tc>
        <w:tc>
          <w:tcPr>
            <w:tcW w:w="532" w:type="pct"/>
            <w:shd w:val="clear" w:color="auto" w:fill="auto"/>
          </w:tcPr>
          <w:p w:rsidR="00B93117" w:rsidRPr="0012760D" w:rsidRDefault="00B93117" w:rsidP="001B3A3E">
            <w:pPr>
              <w:jc w:val="right"/>
              <w:rPr>
                <w:sz w:val="24"/>
                <w:szCs w:val="24"/>
              </w:rPr>
            </w:pPr>
            <w:r w:rsidRPr="0012760D">
              <w:rPr>
                <w:sz w:val="24"/>
                <w:szCs w:val="24"/>
              </w:rPr>
              <w:t>6.73</w:t>
            </w:r>
          </w:p>
        </w:tc>
      </w:tr>
      <w:tr w:rsidR="00B93117" w:rsidRPr="0012760D" w:rsidTr="00B66707">
        <w:tblPrEx>
          <w:tblCellMar>
            <w:top w:w="0" w:type="dxa"/>
            <w:bottom w:w="0" w:type="dxa"/>
          </w:tblCellMar>
        </w:tblPrEx>
        <w:tc>
          <w:tcPr>
            <w:tcW w:w="718" w:type="pct"/>
            <w:vMerge/>
            <w:shd w:val="clear" w:color="auto" w:fill="auto"/>
          </w:tcPr>
          <w:p w:rsidR="00B93117" w:rsidRPr="0012760D" w:rsidRDefault="00B93117" w:rsidP="001B3A3E">
            <w:pPr>
              <w:rPr>
                <w:sz w:val="24"/>
                <w:szCs w:val="24"/>
              </w:rPr>
            </w:pPr>
          </w:p>
        </w:tc>
        <w:tc>
          <w:tcPr>
            <w:tcW w:w="1207" w:type="pct"/>
            <w:shd w:val="clear" w:color="auto" w:fill="auto"/>
          </w:tcPr>
          <w:p w:rsidR="00B93117" w:rsidRPr="0012760D" w:rsidRDefault="00B93117" w:rsidP="001B3A3E">
            <w:pPr>
              <w:rPr>
                <w:sz w:val="24"/>
                <w:szCs w:val="24"/>
              </w:rPr>
            </w:pPr>
            <w:r w:rsidRPr="0012760D">
              <w:rPr>
                <w:sz w:val="24"/>
                <w:szCs w:val="24"/>
              </w:rPr>
              <w:t>Recycled content</w:t>
            </w:r>
          </w:p>
        </w:tc>
        <w:tc>
          <w:tcPr>
            <w:tcW w:w="716" w:type="pct"/>
            <w:shd w:val="clear" w:color="auto" w:fill="auto"/>
          </w:tcPr>
          <w:p w:rsidR="00B93117" w:rsidRPr="0012760D" w:rsidRDefault="00B93117" w:rsidP="001B3A3E">
            <w:pPr>
              <w:rPr>
                <w:sz w:val="24"/>
                <w:szCs w:val="24"/>
              </w:rPr>
            </w:pPr>
            <w:r w:rsidRPr="0012760D">
              <w:rPr>
                <w:sz w:val="24"/>
                <w:szCs w:val="24"/>
              </w:rPr>
              <w:t>Percentage total</w:t>
            </w:r>
          </w:p>
        </w:tc>
        <w:tc>
          <w:tcPr>
            <w:tcW w:w="446" w:type="pct"/>
            <w:shd w:val="clear" w:color="auto" w:fill="auto"/>
          </w:tcPr>
          <w:p w:rsidR="00B93117" w:rsidRPr="0012760D" w:rsidRDefault="00B93117" w:rsidP="001B3A3E">
            <w:pPr>
              <w:jc w:val="right"/>
              <w:rPr>
                <w:sz w:val="24"/>
                <w:szCs w:val="24"/>
              </w:rPr>
            </w:pPr>
            <w:r w:rsidRPr="0012760D">
              <w:rPr>
                <w:sz w:val="24"/>
                <w:szCs w:val="24"/>
              </w:rPr>
              <w:t>95%</w:t>
            </w:r>
          </w:p>
        </w:tc>
        <w:tc>
          <w:tcPr>
            <w:tcW w:w="464" w:type="pct"/>
            <w:shd w:val="clear" w:color="auto" w:fill="auto"/>
          </w:tcPr>
          <w:p w:rsidR="00B93117" w:rsidRPr="0012760D" w:rsidRDefault="00B93117" w:rsidP="001B3A3E">
            <w:pPr>
              <w:jc w:val="right"/>
              <w:rPr>
                <w:sz w:val="24"/>
                <w:szCs w:val="24"/>
              </w:rPr>
            </w:pPr>
            <w:r w:rsidRPr="0012760D">
              <w:rPr>
                <w:sz w:val="24"/>
                <w:szCs w:val="24"/>
              </w:rPr>
              <w:t>95%</w:t>
            </w:r>
          </w:p>
        </w:tc>
        <w:tc>
          <w:tcPr>
            <w:tcW w:w="473" w:type="pct"/>
            <w:shd w:val="clear" w:color="auto" w:fill="auto"/>
          </w:tcPr>
          <w:p w:rsidR="00B93117" w:rsidRPr="0012760D" w:rsidRDefault="00B93117" w:rsidP="001B3A3E">
            <w:pPr>
              <w:jc w:val="right"/>
              <w:rPr>
                <w:sz w:val="24"/>
                <w:szCs w:val="24"/>
              </w:rPr>
            </w:pPr>
            <w:r w:rsidRPr="0012760D">
              <w:rPr>
                <w:sz w:val="24"/>
                <w:szCs w:val="24"/>
              </w:rPr>
              <w:t>93%</w:t>
            </w:r>
          </w:p>
        </w:tc>
        <w:tc>
          <w:tcPr>
            <w:tcW w:w="444" w:type="pct"/>
            <w:shd w:val="clear" w:color="auto" w:fill="auto"/>
          </w:tcPr>
          <w:p w:rsidR="00B93117" w:rsidRPr="0012760D" w:rsidRDefault="00B93117" w:rsidP="001B3A3E">
            <w:pPr>
              <w:jc w:val="right"/>
              <w:rPr>
                <w:sz w:val="24"/>
                <w:szCs w:val="24"/>
              </w:rPr>
            </w:pPr>
            <w:r w:rsidRPr="0012760D">
              <w:rPr>
                <w:sz w:val="24"/>
                <w:szCs w:val="24"/>
              </w:rPr>
              <w:t>97%</w:t>
            </w:r>
          </w:p>
        </w:tc>
        <w:tc>
          <w:tcPr>
            <w:tcW w:w="532" w:type="pct"/>
            <w:shd w:val="clear" w:color="auto" w:fill="auto"/>
          </w:tcPr>
          <w:p w:rsidR="00B93117" w:rsidRPr="0012760D" w:rsidRDefault="00B93117" w:rsidP="001B3A3E">
            <w:pPr>
              <w:jc w:val="right"/>
              <w:rPr>
                <w:sz w:val="24"/>
                <w:szCs w:val="24"/>
              </w:rPr>
            </w:pPr>
            <w:r w:rsidRPr="0012760D">
              <w:rPr>
                <w:sz w:val="24"/>
                <w:szCs w:val="24"/>
              </w:rPr>
              <w:t>99%</w:t>
            </w:r>
          </w:p>
        </w:tc>
      </w:tr>
      <w:tr w:rsidR="00B93117" w:rsidRPr="0012760D" w:rsidTr="00B66707">
        <w:tblPrEx>
          <w:tblCellMar>
            <w:top w:w="0" w:type="dxa"/>
            <w:bottom w:w="0" w:type="dxa"/>
          </w:tblCellMar>
        </w:tblPrEx>
        <w:tc>
          <w:tcPr>
            <w:tcW w:w="718" w:type="pct"/>
            <w:vMerge/>
            <w:shd w:val="clear" w:color="auto" w:fill="auto"/>
          </w:tcPr>
          <w:p w:rsidR="00B93117" w:rsidRPr="0012760D" w:rsidRDefault="00B93117" w:rsidP="001B3A3E">
            <w:pPr>
              <w:rPr>
                <w:sz w:val="24"/>
                <w:szCs w:val="24"/>
              </w:rPr>
            </w:pPr>
          </w:p>
        </w:tc>
        <w:tc>
          <w:tcPr>
            <w:tcW w:w="1207" w:type="pct"/>
            <w:shd w:val="clear" w:color="auto" w:fill="auto"/>
          </w:tcPr>
          <w:p w:rsidR="00B93117" w:rsidRPr="0012760D" w:rsidRDefault="00B93117" w:rsidP="001B3A3E">
            <w:pPr>
              <w:rPr>
                <w:sz w:val="24"/>
                <w:szCs w:val="24"/>
              </w:rPr>
            </w:pPr>
            <w:r w:rsidRPr="0012760D">
              <w:rPr>
                <w:sz w:val="24"/>
                <w:szCs w:val="24"/>
              </w:rPr>
              <w:t>Total use</w:t>
            </w:r>
          </w:p>
        </w:tc>
        <w:tc>
          <w:tcPr>
            <w:tcW w:w="716" w:type="pct"/>
            <w:shd w:val="clear" w:color="auto" w:fill="auto"/>
          </w:tcPr>
          <w:p w:rsidR="00B93117" w:rsidRPr="0012760D" w:rsidRDefault="00B93117" w:rsidP="001B3A3E">
            <w:pPr>
              <w:rPr>
                <w:sz w:val="24"/>
                <w:szCs w:val="24"/>
              </w:rPr>
            </w:pPr>
            <w:r w:rsidRPr="0012760D">
              <w:rPr>
                <w:sz w:val="24"/>
                <w:szCs w:val="24"/>
              </w:rPr>
              <w:t>Reams</w:t>
            </w:r>
          </w:p>
        </w:tc>
        <w:tc>
          <w:tcPr>
            <w:tcW w:w="446" w:type="pct"/>
            <w:shd w:val="clear" w:color="auto" w:fill="auto"/>
          </w:tcPr>
          <w:p w:rsidR="00B93117" w:rsidRPr="0012760D" w:rsidRDefault="00B93117" w:rsidP="001B3A3E">
            <w:pPr>
              <w:jc w:val="right"/>
              <w:rPr>
                <w:sz w:val="24"/>
                <w:szCs w:val="24"/>
              </w:rPr>
            </w:pPr>
            <w:r w:rsidRPr="0012760D">
              <w:rPr>
                <w:sz w:val="24"/>
                <w:szCs w:val="24"/>
              </w:rPr>
              <w:t>873</w:t>
            </w:r>
          </w:p>
        </w:tc>
        <w:tc>
          <w:tcPr>
            <w:tcW w:w="464" w:type="pct"/>
            <w:shd w:val="clear" w:color="auto" w:fill="auto"/>
          </w:tcPr>
          <w:p w:rsidR="00B93117" w:rsidRPr="0012760D" w:rsidRDefault="00B93117" w:rsidP="001B3A3E">
            <w:pPr>
              <w:jc w:val="right"/>
              <w:rPr>
                <w:sz w:val="24"/>
                <w:szCs w:val="24"/>
              </w:rPr>
            </w:pPr>
            <w:r w:rsidRPr="0012760D">
              <w:rPr>
                <w:sz w:val="24"/>
                <w:szCs w:val="24"/>
              </w:rPr>
              <w:t>780</w:t>
            </w:r>
          </w:p>
        </w:tc>
        <w:tc>
          <w:tcPr>
            <w:tcW w:w="473" w:type="pct"/>
            <w:shd w:val="clear" w:color="auto" w:fill="auto"/>
          </w:tcPr>
          <w:p w:rsidR="00B93117" w:rsidRPr="0012760D" w:rsidRDefault="00B93117" w:rsidP="001B3A3E">
            <w:pPr>
              <w:jc w:val="right"/>
              <w:rPr>
                <w:sz w:val="24"/>
                <w:szCs w:val="24"/>
              </w:rPr>
            </w:pPr>
            <w:r w:rsidRPr="0012760D">
              <w:rPr>
                <w:sz w:val="24"/>
                <w:szCs w:val="24"/>
              </w:rPr>
              <w:t>955</w:t>
            </w:r>
          </w:p>
        </w:tc>
        <w:tc>
          <w:tcPr>
            <w:tcW w:w="444" w:type="pct"/>
            <w:shd w:val="clear" w:color="auto" w:fill="auto"/>
          </w:tcPr>
          <w:p w:rsidR="00B93117" w:rsidRPr="0012760D" w:rsidRDefault="00B93117" w:rsidP="001B3A3E">
            <w:pPr>
              <w:jc w:val="right"/>
              <w:rPr>
                <w:sz w:val="24"/>
                <w:szCs w:val="24"/>
              </w:rPr>
            </w:pPr>
            <w:r w:rsidRPr="0012760D">
              <w:rPr>
                <w:sz w:val="24"/>
                <w:szCs w:val="24"/>
              </w:rPr>
              <w:t>759</w:t>
            </w:r>
          </w:p>
        </w:tc>
        <w:tc>
          <w:tcPr>
            <w:tcW w:w="532" w:type="pct"/>
            <w:shd w:val="clear" w:color="auto" w:fill="auto"/>
          </w:tcPr>
          <w:p w:rsidR="00B93117" w:rsidRPr="0012760D" w:rsidRDefault="00B93117" w:rsidP="001B3A3E">
            <w:pPr>
              <w:jc w:val="right"/>
              <w:rPr>
                <w:sz w:val="24"/>
                <w:szCs w:val="24"/>
              </w:rPr>
            </w:pPr>
            <w:r w:rsidRPr="0012760D">
              <w:rPr>
                <w:sz w:val="24"/>
                <w:szCs w:val="24"/>
              </w:rPr>
              <w:t>693</w:t>
            </w:r>
          </w:p>
        </w:tc>
      </w:tr>
      <w:tr w:rsidR="00B93117" w:rsidRPr="0012760D" w:rsidTr="00B66707">
        <w:tblPrEx>
          <w:tblCellMar>
            <w:top w:w="0" w:type="dxa"/>
            <w:bottom w:w="0" w:type="dxa"/>
          </w:tblCellMar>
        </w:tblPrEx>
        <w:tc>
          <w:tcPr>
            <w:tcW w:w="718" w:type="pct"/>
            <w:vMerge/>
            <w:shd w:val="clear" w:color="auto" w:fill="auto"/>
          </w:tcPr>
          <w:p w:rsidR="00B93117" w:rsidRPr="0012760D" w:rsidRDefault="00B93117" w:rsidP="001B3A3E">
            <w:pPr>
              <w:rPr>
                <w:sz w:val="24"/>
                <w:szCs w:val="24"/>
              </w:rPr>
            </w:pPr>
          </w:p>
        </w:tc>
        <w:tc>
          <w:tcPr>
            <w:tcW w:w="1207" w:type="pct"/>
            <w:shd w:val="clear" w:color="auto" w:fill="auto"/>
          </w:tcPr>
          <w:p w:rsidR="00B93117" w:rsidRPr="0012760D" w:rsidRDefault="00B93117" w:rsidP="001B3A3E">
            <w:pPr>
              <w:rPr>
                <w:sz w:val="24"/>
                <w:szCs w:val="24"/>
              </w:rPr>
            </w:pPr>
            <w:r w:rsidRPr="0012760D">
              <w:rPr>
                <w:sz w:val="24"/>
                <w:szCs w:val="24"/>
              </w:rPr>
              <w:t>Paper GHG emissions</w:t>
            </w:r>
          </w:p>
        </w:tc>
        <w:tc>
          <w:tcPr>
            <w:tcW w:w="716" w:type="pct"/>
            <w:shd w:val="clear" w:color="auto" w:fill="auto"/>
          </w:tcPr>
          <w:p w:rsidR="00B93117" w:rsidRPr="00D83A20" w:rsidRDefault="00B93117" w:rsidP="00B66707">
            <w:pPr>
              <w:rPr>
                <w:sz w:val="24"/>
                <w:szCs w:val="24"/>
                <w:lang w:val="es-ES_tradnl"/>
              </w:rPr>
            </w:pPr>
            <w:r w:rsidRPr="00D83A20">
              <w:rPr>
                <w:sz w:val="24"/>
                <w:szCs w:val="24"/>
                <w:lang w:val="es-ES_tradnl"/>
              </w:rPr>
              <w:t>Tonnes of C</w:t>
            </w:r>
            <w:r w:rsidR="00B66707" w:rsidRPr="00D83A20">
              <w:rPr>
                <w:sz w:val="24"/>
                <w:szCs w:val="24"/>
                <w:lang w:val="es-ES_tradnl"/>
              </w:rPr>
              <w:t xml:space="preserve"> O</w:t>
            </w:r>
            <w:r w:rsidRPr="00D83A20">
              <w:rPr>
                <w:sz w:val="24"/>
                <w:szCs w:val="24"/>
                <w:vertAlign w:val="subscript"/>
                <w:lang w:val="es-ES_tradnl"/>
              </w:rPr>
              <w:t>2</w:t>
            </w:r>
            <w:r w:rsidRPr="00D83A20">
              <w:rPr>
                <w:sz w:val="24"/>
                <w:szCs w:val="24"/>
                <w:lang w:val="es-ES_tradnl"/>
              </w:rPr>
              <w:t xml:space="preserve">-e </w:t>
            </w:r>
          </w:p>
        </w:tc>
        <w:tc>
          <w:tcPr>
            <w:tcW w:w="446" w:type="pct"/>
            <w:shd w:val="clear" w:color="auto" w:fill="auto"/>
          </w:tcPr>
          <w:p w:rsidR="00B93117" w:rsidRPr="0012760D" w:rsidRDefault="00B93117" w:rsidP="001B3A3E">
            <w:pPr>
              <w:jc w:val="right"/>
              <w:rPr>
                <w:sz w:val="24"/>
                <w:szCs w:val="24"/>
              </w:rPr>
            </w:pPr>
            <w:r w:rsidRPr="0012760D">
              <w:rPr>
                <w:sz w:val="24"/>
                <w:szCs w:val="24"/>
              </w:rPr>
              <w:t>4</w:t>
            </w:r>
          </w:p>
        </w:tc>
        <w:tc>
          <w:tcPr>
            <w:tcW w:w="464" w:type="pct"/>
            <w:shd w:val="clear" w:color="auto" w:fill="auto"/>
          </w:tcPr>
          <w:p w:rsidR="00B93117" w:rsidRPr="0012760D" w:rsidRDefault="00B93117" w:rsidP="001B3A3E">
            <w:pPr>
              <w:jc w:val="right"/>
              <w:rPr>
                <w:sz w:val="24"/>
                <w:szCs w:val="24"/>
              </w:rPr>
            </w:pPr>
            <w:r w:rsidRPr="0012760D">
              <w:rPr>
                <w:sz w:val="24"/>
                <w:szCs w:val="24"/>
              </w:rPr>
              <w:t>3.5</w:t>
            </w:r>
          </w:p>
        </w:tc>
        <w:tc>
          <w:tcPr>
            <w:tcW w:w="473" w:type="pct"/>
            <w:shd w:val="clear" w:color="auto" w:fill="auto"/>
          </w:tcPr>
          <w:p w:rsidR="00B93117" w:rsidRPr="0012760D" w:rsidRDefault="00B93117" w:rsidP="001B3A3E">
            <w:pPr>
              <w:jc w:val="right"/>
              <w:rPr>
                <w:sz w:val="24"/>
                <w:szCs w:val="24"/>
              </w:rPr>
            </w:pPr>
            <w:r w:rsidRPr="0012760D">
              <w:rPr>
                <w:sz w:val="24"/>
                <w:szCs w:val="24"/>
              </w:rPr>
              <w:t>4.4</w:t>
            </w:r>
          </w:p>
        </w:tc>
        <w:tc>
          <w:tcPr>
            <w:tcW w:w="444" w:type="pct"/>
            <w:shd w:val="clear" w:color="auto" w:fill="auto"/>
          </w:tcPr>
          <w:p w:rsidR="00B93117" w:rsidRPr="0012760D" w:rsidRDefault="00B93117" w:rsidP="001B3A3E">
            <w:pPr>
              <w:jc w:val="right"/>
              <w:rPr>
                <w:sz w:val="24"/>
                <w:szCs w:val="24"/>
              </w:rPr>
            </w:pPr>
            <w:r w:rsidRPr="0012760D">
              <w:rPr>
                <w:sz w:val="24"/>
                <w:szCs w:val="24"/>
              </w:rPr>
              <w:t>2.9</w:t>
            </w:r>
          </w:p>
        </w:tc>
        <w:tc>
          <w:tcPr>
            <w:tcW w:w="532" w:type="pct"/>
            <w:shd w:val="clear" w:color="auto" w:fill="auto"/>
          </w:tcPr>
          <w:p w:rsidR="00B93117" w:rsidRPr="0012760D" w:rsidRDefault="00B93117" w:rsidP="001B3A3E">
            <w:pPr>
              <w:jc w:val="right"/>
              <w:rPr>
                <w:sz w:val="24"/>
                <w:szCs w:val="24"/>
              </w:rPr>
            </w:pPr>
            <w:r w:rsidRPr="0012760D">
              <w:rPr>
                <w:sz w:val="24"/>
                <w:szCs w:val="24"/>
              </w:rPr>
              <w:t>2.46</w:t>
            </w:r>
          </w:p>
        </w:tc>
      </w:tr>
      <w:tr w:rsidR="00B93117" w:rsidRPr="0012760D" w:rsidTr="00B66707">
        <w:tblPrEx>
          <w:tblCellMar>
            <w:top w:w="0" w:type="dxa"/>
            <w:bottom w:w="0" w:type="dxa"/>
          </w:tblCellMar>
        </w:tblPrEx>
        <w:tc>
          <w:tcPr>
            <w:tcW w:w="718" w:type="pct"/>
            <w:vMerge w:val="restart"/>
            <w:shd w:val="clear" w:color="auto" w:fill="auto"/>
          </w:tcPr>
          <w:p w:rsidR="00B93117" w:rsidRPr="0012760D" w:rsidRDefault="00B93117" w:rsidP="001B3A3E">
            <w:pPr>
              <w:rPr>
                <w:sz w:val="24"/>
                <w:szCs w:val="24"/>
              </w:rPr>
            </w:pPr>
            <w:r w:rsidRPr="0012760D">
              <w:rPr>
                <w:bCs/>
                <w:sz w:val="24"/>
                <w:szCs w:val="24"/>
              </w:rPr>
              <w:t>Waste</w:t>
            </w:r>
            <w:r w:rsidRPr="0012760D">
              <w:rPr>
                <w:bCs/>
                <w:sz w:val="24"/>
                <w:szCs w:val="24"/>
                <w:vertAlign w:val="superscript"/>
              </w:rPr>
              <w:t>6</w:t>
            </w:r>
          </w:p>
        </w:tc>
        <w:tc>
          <w:tcPr>
            <w:tcW w:w="1207" w:type="pct"/>
            <w:shd w:val="clear" w:color="auto" w:fill="auto"/>
          </w:tcPr>
          <w:p w:rsidR="00B93117" w:rsidRPr="0012760D" w:rsidRDefault="00B93117" w:rsidP="001B3A3E">
            <w:pPr>
              <w:rPr>
                <w:sz w:val="24"/>
                <w:szCs w:val="24"/>
              </w:rPr>
            </w:pPr>
            <w:r w:rsidRPr="0012760D">
              <w:rPr>
                <w:sz w:val="24"/>
                <w:szCs w:val="24"/>
              </w:rPr>
              <w:t>Generated per THC</w:t>
            </w:r>
          </w:p>
        </w:tc>
        <w:tc>
          <w:tcPr>
            <w:tcW w:w="716" w:type="pct"/>
            <w:shd w:val="clear" w:color="auto" w:fill="auto"/>
          </w:tcPr>
          <w:p w:rsidR="00B93117" w:rsidRPr="0012760D" w:rsidRDefault="00B93117" w:rsidP="001B3A3E">
            <w:pPr>
              <w:rPr>
                <w:sz w:val="24"/>
                <w:szCs w:val="24"/>
              </w:rPr>
            </w:pPr>
            <w:r w:rsidRPr="0012760D">
              <w:rPr>
                <w:sz w:val="24"/>
                <w:szCs w:val="24"/>
              </w:rPr>
              <w:t>Kilograms per THC</w:t>
            </w:r>
          </w:p>
        </w:tc>
        <w:tc>
          <w:tcPr>
            <w:tcW w:w="446" w:type="pct"/>
            <w:shd w:val="clear" w:color="auto" w:fill="auto"/>
          </w:tcPr>
          <w:p w:rsidR="00B93117" w:rsidRPr="0012760D" w:rsidRDefault="00B93117" w:rsidP="001B3A3E">
            <w:pPr>
              <w:jc w:val="right"/>
              <w:rPr>
                <w:sz w:val="24"/>
                <w:szCs w:val="24"/>
              </w:rPr>
            </w:pPr>
            <w:r w:rsidRPr="0012760D">
              <w:rPr>
                <w:sz w:val="24"/>
                <w:szCs w:val="24"/>
              </w:rPr>
              <w:t>50</w:t>
            </w:r>
          </w:p>
        </w:tc>
        <w:tc>
          <w:tcPr>
            <w:tcW w:w="464" w:type="pct"/>
            <w:shd w:val="clear" w:color="auto" w:fill="auto"/>
          </w:tcPr>
          <w:p w:rsidR="00B93117" w:rsidRPr="0012760D" w:rsidRDefault="00B93117" w:rsidP="001B3A3E">
            <w:pPr>
              <w:jc w:val="right"/>
              <w:rPr>
                <w:sz w:val="24"/>
                <w:szCs w:val="24"/>
              </w:rPr>
            </w:pPr>
            <w:r w:rsidRPr="0012760D">
              <w:rPr>
                <w:sz w:val="24"/>
                <w:szCs w:val="24"/>
              </w:rPr>
              <w:t>51.8</w:t>
            </w:r>
          </w:p>
        </w:tc>
        <w:tc>
          <w:tcPr>
            <w:tcW w:w="473" w:type="pct"/>
            <w:shd w:val="clear" w:color="auto" w:fill="auto"/>
          </w:tcPr>
          <w:p w:rsidR="00B93117" w:rsidRPr="0012760D" w:rsidRDefault="00B93117" w:rsidP="001B3A3E">
            <w:pPr>
              <w:jc w:val="right"/>
              <w:rPr>
                <w:sz w:val="24"/>
                <w:szCs w:val="24"/>
              </w:rPr>
            </w:pPr>
            <w:r w:rsidRPr="0012760D">
              <w:rPr>
                <w:sz w:val="24"/>
                <w:szCs w:val="24"/>
              </w:rPr>
              <w:t>56</w:t>
            </w:r>
          </w:p>
        </w:tc>
        <w:tc>
          <w:tcPr>
            <w:tcW w:w="444" w:type="pct"/>
            <w:shd w:val="clear" w:color="auto" w:fill="auto"/>
          </w:tcPr>
          <w:p w:rsidR="00B93117" w:rsidRPr="0012760D" w:rsidRDefault="00B93117" w:rsidP="001B3A3E">
            <w:pPr>
              <w:jc w:val="right"/>
              <w:rPr>
                <w:sz w:val="24"/>
                <w:szCs w:val="24"/>
              </w:rPr>
            </w:pPr>
            <w:r w:rsidRPr="0012760D">
              <w:rPr>
                <w:sz w:val="24"/>
                <w:szCs w:val="24"/>
              </w:rPr>
              <w:t>57.6</w:t>
            </w:r>
          </w:p>
        </w:tc>
        <w:tc>
          <w:tcPr>
            <w:tcW w:w="532" w:type="pct"/>
            <w:shd w:val="clear" w:color="auto" w:fill="auto"/>
          </w:tcPr>
          <w:p w:rsidR="00B93117" w:rsidRPr="0012760D" w:rsidRDefault="00B93117" w:rsidP="001B3A3E">
            <w:pPr>
              <w:jc w:val="right"/>
              <w:rPr>
                <w:sz w:val="24"/>
                <w:szCs w:val="24"/>
              </w:rPr>
            </w:pPr>
            <w:r w:rsidRPr="0012760D">
              <w:rPr>
                <w:sz w:val="24"/>
                <w:szCs w:val="24"/>
              </w:rPr>
              <w:t>N/A</w:t>
            </w:r>
            <w:r w:rsidRPr="0012760D">
              <w:rPr>
                <w:sz w:val="24"/>
                <w:szCs w:val="24"/>
                <w:vertAlign w:val="superscript"/>
              </w:rPr>
              <w:t>7</w:t>
            </w:r>
          </w:p>
        </w:tc>
      </w:tr>
      <w:tr w:rsidR="00B93117" w:rsidRPr="0012760D" w:rsidTr="00B66707">
        <w:tblPrEx>
          <w:tblCellMar>
            <w:top w:w="0" w:type="dxa"/>
            <w:bottom w:w="0" w:type="dxa"/>
          </w:tblCellMar>
        </w:tblPrEx>
        <w:tc>
          <w:tcPr>
            <w:tcW w:w="718" w:type="pct"/>
            <w:vMerge/>
            <w:shd w:val="clear" w:color="auto" w:fill="auto"/>
          </w:tcPr>
          <w:p w:rsidR="00B93117" w:rsidRPr="0012760D" w:rsidRDefault="00B93117" w:rsidP="001B3A3E">
            <w:pPr>
              <w:rPr>
                <w:sz w:val="24"/>
                <w:szCs w:val="24"/>
              </w:rPr>
            </w:pPr>
          </w:p>
        </w:tc>
        <w:tc>
          <w:tcPr>
            <w:tcW w:w="1207" w:type="pct"/>
            <w:shd w:val="clear" w:color="auto" w:fill="auto"/>
          </w:tcPr>
          <w:p w:rsidR="00B93117" w:rsidRPr="0012760D" w:rsidRDefault="00B93117" w:rsidP="001B3A3E">
            <w:pPr>
              <w:rPr>
                <w:sz w:val="24"/>
                <w:szCs w:val="24"/>
              </w:rPr>
            </w:pPr>
            <w:r w:rsidRPr="0012760D">
              <w:rPr>
                <w:sz w:val="24"/>
                <w:szCs w:val="24"/>
              </w:rPr>
              <w:t>Generated per FTE</w:t>
            </w:r>
          </w:p>
        </w:tc>
        <w:tc>
          <w:tcPr>
            <w:tcW w:w="716" w:type="pct"/>
            <w:shd w:val="clear" w:color="auto" w:fill="auto"/>
          </w:tcPr>
          <w:p w:rsidR="00B93117" w:rsidRPr="0012760D" w:rsidRDefault="00B93117" w:rsidP="001B3A3E">
            <w:pPr>
              <w:rPr>
                <w:sz w:val="24"/>
                <w:szCs w:val="24"/>
              </w:rPr>
            </w:pPr>
            <w:r w:rsidRPr="0012760D">
              <w:rPr>
                <w:sz w:val="24"/>
                <w:szCs w:val="24"/>
              </w:rPr>
              <w:t>Kilograms per FTE</w:t>
            </w:r>
          </w:p>
        </w:tc>
        <w:tc>
          <w:tcPr>
            <w:tcW w:w="446" w:type="pct"/>
            <w:shd w:val="clear" w:color="auto" w:fill="auto"/>
          </w:tcPr>
          <w:p w:rsidR="00B93117" w:rsidRPr="0012760D" w:rsidRDefault="00B93117" w:rsidP="001B3A3E">
            <w:pPr>
              <w:jc w:val="right"/>
              <w:rPr>
                <w:sz w:val="24"/>
                <w:szCs w:val="24"/>
              </w:rPr>
            </w:pPr>
            <w:r w:rsidRPr="0012760D">
              <w:rPr>
                <w:sz w:val="24"/>
                <w:szCs w:val="24"/>
              </w:rPr>
              <w:t>54</w:t>
            </w:r>
          </w:p>
        </w:tc>
        <w:tc>
          <w:tcPr>
            <w:tcW w:w="464" w:type="pct"/>
            <w:shd w:val="clear" w:color="auto" w:fill="auto"/>
          </w:tcPr>
          <w:p w:rsidR="00B93117" w:rsidRPr="0012760D" w:rsidRDefault="00B93117" w:rsidP="001B3A3E">
            <w:pPr>
              <w:jc w:val="right"/>
              <w:rPr>
                <w:sz w:val="24"/>
                <w:szCs w:val="24"/>
              </w:rPr>
            </w:pPr>
            <w:r w:rsidRPr="0012760D">
              <w:rPr>
                <w:sz w:val="24"/>
                <w:szCs w:val="24"/>
              </w:rPr>
              <w:t>55.8</w:t>
            </w:r>
          </w:p>
        </w:tc>
        <w:tc>
          <w:tcPr>
            <w:tcW w:w="473" w:type="pct"/>
            <w:shd w:val="clear" w:color="auto" w:fill="auto"/>
          </w:tcPr>
          <w:p w:rsidR="00B93117" w:rsidRPr="0012760D" w:rsidRDefault="00B93117" w:rsidP="001B3A3E">
            <w:pPr>
              <w:jc w:val="right"/>
              <w:rPr>
                <w:sz w:val="24"/>
                <w:szCs w:val="24"/>
              </w:rPr>
            </w:pPr>
            <w:r w:rsidRPr="0012760D">
              <w:rPr>
                <w:sz w:val="24"/>
                <w:szCs w:val="24"/>
              </w:rPr>
              <w:t>54.5</w:t>
            </w:r>
          </w:p>
        </w:tc>
        <w:tc>
          <w:tcPr>
            <w:tcW w:w="444" w:type="pct"/>
            <w:shd w:val="clear" w:color="auto" w:fill="auto"/>
          </w:tcPr>
          <w:p w:rsidR="00B93117" w:rsidRPr="0012760D" w:rsidRDefault="00B93117" w:rsidP="001B3A3E">
            <w:pPr>
              <w:jc w:val="right"/>
              <w:rPr>
                <w:sz w:val="24"/>
                <w:szCs w:val="24"/>
              </w:rPr>
            </w:pPr>
            <w:r w:rsidRPr="0012760D">
              <w:rPr>
                <w:sz w:val="24"/>
                <w:szCs w:val="24"/>
              </w:rPr>
              <w:t>61.7</w:t>
            </w:r>
          </w:p>
        </w:tc>
        <w:tc>
          <w:tcPr>
            <w:tcW w:w="532" w:type="pct"/>
            <w:shd w:val="clear" w:color="auto" w:fill="auto"/>
          </w:tcPr>
          <w:p w:rsidR="00B93117" w:rsidRPr="0012760D" w:rsidRDefault="00B93117" w:rsidP="001B3A3E">
            <w:pPr>
              <w:jc w:val="right"/>
              <w:rPr>
                <w:sz w:val="24"/>
                <w:szCs w:val="24"/>
              </w:rPr>
            </w:pPr>
            <w:r w:rsidRPr="0012760D">
              <w:rPr>
                <w:sz w:val="24"/>
                <w:szCs w:val="24"/>
              </w:rPr>
              <w:t>N/A</w:t>
            </w:r>
            <w:r w:rsidRPr="0012760D">
              <w:rPr>
                <w:sz w:val="24"/>
                <w:szCs w:val="24"/>
                <w:vertAlign w:val="superscript"/>
              </w:rPr>
              <w:t>7</w:t>
            </w:r>
          </w:p>
        </w:tc>
      </w:tr>
      <w:tr w:rsidR="00B93117" w:rsidRPr="0012760D" w:rsidTr="00B66707">
        <w:tblPrEx>
          <w:tblCellMar>
            <w:top w:w="0" w:type="dxa"/>
            <w:bottom w:w="0" w:type="dxa"/>
          </w:tblCellMar>
        </w:tblPrEx>
        <w:tc>
          <w:tcPr>
            <w:tcW w:w="718" w:type="pct"/>
            <w:vMerge/>
            <w:shd w:val="clear" w:color="auto" w:fill="auto"/>
          </w:tcPr>
          <w:p w:rsidR="00B93117" w:rsidRPr="0012760D" w:rsidRDefault="00B93117" w:rsidP="001B3A3E">
            <w:pPr>
              <w:rPr>
                <w:sz w:val="24"/>
                <w:szCs w:val="24"/>
              </w:rPr>
            </w:pPr>
          </w:p>
        </w:tc>
        <w:tc>
          <w:tcPr>
            <w:tcW w:w="1207" w:type="pct"/>
            <w:shd w:val="clear" w:color="auto" w:fill="auto"/>
          </w:tcPr>
          <w:p w:rsidR="00B93117" w:rsidRPr="0012760D" w:rsidRDefault="00B93117" w:rsidP="001B3A3E">
            <w:pPr>
              <w:rPr>
                <w:sz w:val="24"/>
                <w:szCs w:val="24"/>
              </w:rPr>
            </w:pPr>
            <w:r w:rsidRPr="0012760D">
              <w:rPr>
                <w:sz w:val="24"/>
                <w:szCs w:val="24"/>
              </w:rPr>
              <w:t>Organics per FTE</w:t>
            </w:r>
          </w:p>
        </w:tc>
        <w:tc>
          <w:tcPr>
            <w:tcW w:w="716" w:type="pct"/>
            <w:shd w:val="clear" w:color="auto" w:fill="auto"/>
          </w:tcPr>
          <w:p w:rsidR="00B93117" w:rsidRPr="0012760D" w:rsidRDefault="00B93117" w:rsidP="001B3A3E">
            <w:pPr>
              <w:rPr>
                <w:sz w:val="24"/>
                <w:szCs w:val="24"/>
              </w:rPr>
            </w:pPr>
            <w:r w:rsidRPr="0012760D">
              <w:rPr>
                <w:sz w:val="24"/>
                <w:szCs w:val="24"/>
              </w:rPr>
              <w:t>Kilograms per FTE</w:t>
            </w:r>
          </w:p>
        </w:tc>
        <w:tc>
          <w:tcPr>
            <w:tcW w:w="446" w:type="pct"/>
            <w:shd w:val="clear" w:color="auto" w:fill="auto"/>
          </w:tcPr>
          <w:p w:rsidR="00B93117" w:rsidRPr="0012760D" w:rsidRDefault="00B93117" w:rsidP="001B3A3E">
            <w:pPr>
              <w:jc w:val="right"/>
              <w:rPr>
                <w:sz w:val="24"/>
                <w:szCs w:val="24"/>
              </w:rPr>
            </w:pPr>
            <w:r w:rsidRPr="0012760D">
              <w:rPr>
                <w:sz w:val="24"/>
                <w:szCs w:val="24"/>
              </w:rPr>
              <w:t>13</w:t>
            </w:r>
          </w:p>
        </w:tc>
        <w:tc>
          <w:tcPr>
            <w:tcW w:w="464" w:type="pct"/>
            <w:shd w:val="clear" w:color="auto" w:fill="auto"/>
          </w:tcPr>
          <w:p w:rsidR="00B93117" w:rsidRPr="0012760D" w:rsidRDefault="00B93117" w:rsidP="001B3A3E">
            <w:pPr>
              <w:jc w:val="right"/>
              <w:rPr>
                <w:sz w:val="24"/>
                <w:szCs w:val="24"/>
              </w:rPr>
            </w:pPr>
            <w:r w:rsidRPr="0012760D">
              <w:rPr>
                <w:sz w:val="24"/>
                <w:szCs w:val="24"/>
              </w:rPr>
              <w:t>13.7</w:t>
            </w:r>
          </w:p>
        </w:tc>
        <w:tc>
          <w:tcPr>
            <w:tcW w:w="473" w:type="pct"/>
            <w:shd w:val="clear" w:color="auto" w:fill="auto"/>
          </w:tcPr>
          <w:p w:rsidR="00B93117" w:rsidRPr="0012760D" w:rsidRDefault="00B93117" w:rsidP="001B3A3E">
            <w:pPr>
              <w:jc w:val="right"/>
              <w:rPr>
                <w:sz w:val="24"/>
                <w:szCs w:val="24"/>
              </w:rPr>
            </w:pPr>
            <w:r w:rsidRPr="0012760D">
              <w:rPr>
                <w:sz w:val="24"/>
                <w:szCs w:val="24"/>
              </w:rPr>
              <w:t>12.9</w:t>
            </w:r>
          </w:p>
        </w:tc>
        <w:tc>
          <w:tcPr>
            <w:tcW w:w="444" w:type="pct"/>
            <w:shd w:val="clear" w:color="auto" w:fill="auto"/>
          </w:tcPr>
          <w:p w:rsidR="00B93117" w:rsidRPr="0012760D" w:rsidRDefault="00B93117" w:rsidP="001B3A3E">
            <w:pPr>
              <w:jc w:val="right"/>
              <w:rPr>
                <w:sz w:val="24"/>
                <w:szCs w:val="24"/>
              </w:rPr>
            </w:pPr>
            <w:r w:rsidRPr="0012760D">
              <w:rPr>
                <w:sz w:val="24"/>
                <w:szCs w:val="24"/>
              </w:rPr>
              <w:t>10.1</w:t>
            </w:r>
          </w:p>
        </w:tc>
        <w:tc>
          <w:tcPr>
            <w:tcW w:w="532" w:type="pct"/>
            <w:shd w:val="clear" w:color="auto" w:fill="auto"/>
          </w:tcPr>
          <w:p w:rsidR="00B93117" w:rsidRPr="0012760D" w:rsidRDefault="00B93117" w:rsidP="001B3A3E">
            <w:pPr>
              <w:jc w:val="right"/>
              <w:rPr>
                <w:sz w:val="24"/>
                <w:szCs w:val="24"/>
              </w:rPr>
            </w:pPr>
            <w:r w:rsidRPr="0012760D">
              <w:rPr>
                <w:sz w:val="24"/>
                <w:szCs w:val="24"/>
              </w:rPr>
              <w:t>8.0</w:t>
            </w:r>
          </w:p>
        </w:tc>
      </w:tr>
      <w:tr w:rsidR="00B93117" w:rsidRPr="0012760D" w:rsidTr="00B66707">
        <w:tblPrEx>
          <w:tblCellMar>
            <w:top w:w="0" w:type="dxa"/>
            <w:bottom w:w="0" w:type="dxa"/>
          </w:tblCellMar>
        </w:tblPrEx>
        <w:tc>
          <w:tcPr>
            <w:tcW w:w="718" w:type="pct"/>
            <w:vMerge/>
            <w:shd w:val="clear" w:color="auto" w:fill="auto"/>
          </w:tcPr>
          <w:p w:rsidR="00B93117" w:rsidRPr="0012760D" w:rsidRDefault="00B93117" w:rsidP="001B3A3E">
            <w:pPr>
              <w:rPr>
                <w:sz w:val="24"/>
                <w:szCs w:val="24"/>
              </w:rPr>
            </w:pPr>
          </w:p>
        </w:tc>
        <w:tc>
          <w:tcPr>
            <w:tcW w:w="1207" w:type="pct"/>
            <w:shd w:val="clear" w:color="auto" w:fill="auto"/>
          </w:tcPr>
          <w:p w:rsidR="00B93117" w:rsidRPr="0012760D" w:rsidRDefault="00B93117" w:rsidP="001B3A3E">
            <w:pPr>
              <w:rPr>
                <w:sz w:val="24"/>
                <w:szCs w:val="24"/>
              </w:rPr>
            </w:pPr>
            <w:r w:rsidRPr="0012760D">
              <w:rPr>
                <w:sz w:val="24"/>
                <w:szCs w:val="24"/>
              </w:rPr>
              <w:t>Recyclables per FTE</w:t>
            </w:r>
          </w:p>
        </w:tc>
        <w:tc>
          <w:tcPr>
            <w:tcW w:w="716" w:type="pct"/>
            <w:shd w:val="clear" w:color="auto" w:fill="auto"/>
          </w:tcPr>
          <w:p w:rsidR="00B93117" w:rsidRPr="0012760D" w:rsidRDefault="00B93117" w:rsidP="001B3A3E">
            <w:pPr>
              <w:rPr>
                <w:sz w:val="24"/>
                <w:szCs w:val="24"/>
              </w:rPr>
            </w:pPr>
            <w:r w:rsidRPr="0012760D">
              <w:rPr>
                <w:sz w:val="24"/>
                <w:szCs w:val="24"/>
              </w:rPr>
              <w:t>Kilograms per FTE</w:t>
            </w:r>
          </w:p>
        </w:tc>
        <w:tc>
          <w:tcPr>
            <w:tcW w:w="446" w:type="pct"/>
            <w:shd w:val="clear" w:color="auto" w:fill="auto"/>
          </w:tcPr>
          <w:p w:rsidR="00B93117" w:rsidRPr="0012760D" w:rsidRDefault="00B93117" w:rsidP="001B3A3E">
            <w:pPr>
              <w:jc w:val="right"/>
              <w:rPr>
                <w:sz w:val="24"/>
                <w:szCs w:val="24"/>
              </w:rPr>
            </w:pPr>
            <w:r w:rsidRPr="0012760D">
              <w:rPr>
                <w:sz w:val="24"/>
                <w:szCs w:val="24"/>
              </w:rPr>
              <w:t>38.8</w:t>
            </w:r>
          </w:p>
        </w:tc>
        <w:tc>
          <w:tcPr>
            <w:tcW w:w="464" w:type="pct"/>
            <w:shd w:val="clear" w:color="auto" w:fill="auto"/>
          </w:tcPr>
          <w:p w:rsidR="00B93117" w:rsidRPr="0012760D" w:rsidRDefault="00B93117" w:rsidP="001B3A3E">
            <w:pPr>
              <w:jc w:val="right"/>
              <w:rPr>
                <w:sz w:val="24"/>
                <w:szCs w:val="24"/>
              </w:rPr>
            </w:pPr>
            <w:r w:rsidRPr="0012760D">
              <w:rPr>
                <w:sz w:val="24"/>
                <w:szCs w:val="24"/>
              </w:rPr>
              <w:t>38.7</w:t>
            </w:r>
          </w:p>
        </w:tc>
        <w:tc>
          <w:tcPr>
            <w:tcW w:w="473" w:type="pct"/>
            <w:shd w:val="clear" w:color="auto" w:fill="auto"/>
          </w:tcPr>
          <w:p w:rsidR="00B93117" w:rsidRPr="0012760D" w:rsidRDefault="00B93117" w:rsidP="001B3A3E">
            <w:pPr>
              <w:jc w:val="right"/>
              <w:rPr>
                <w:sz w:val="24"/>
                <w:szCs w:val="24"/>
              </w:rPr>
            </w:pPr>
            <w:r w:rsidRPr="0012760D">
              <w:rPr>
                <w:sz w:val="24"/>
                <w:szCs w:val="24"/>
              </w:rPr>
              <w:t>40.6</w:t>
            </w:r>
          </w:p>
        </w:tc>
        <w:tc>
          <w:tcPr>
            <w:tcW w:w="444" w:type="pct"/>
            <w:shd w:val="clear" w:color="auto" w:fill="auto"/>
          </w:tcPr>
          <w:p w:rsidR="00B93117" w:rsidRPr="0012760D" w:rsidRDefault="00B93117" w:rsidP="001B3A3E">
            <w:pPr>
              <w:jc w:val="right"/>
              <w:rPr>
                <w:sz w:val="24"/>
                <w:szCs w:val="24"/>
              </w:rPr>
            </w:pPr>
            <w:r w:rsidRPr="0012760D">
              <w:rPr>
                <w:sz w:val="24"/>
                <w:szCs w:val="24"/>
              </w:rPr>
              <w:t>49.1</w:t>
            </w:r>
          </w:p>
        </w:tc>
        <w:tc>
          <w:tcPr>
            <w:tcW w:w="532" w:type="pct"/>
            <w:shd w:val="clear" w:color="auto" w:fill="auto"/>
          </w:tcPr>
          <w:p w:rsidR="00B93117" w:rsidRPr="0012760D" w:rsidRDefault="00B93117" w:rsidP="001B3A3E">
            <w:pPr>
              <w:jc w:val="right"/>
              <w:rPr>
                <w:sz w:val="24"/>
                <w:szCs w:val="24"/>
              </w:rPr>
            </w:pPr>
            <w:r w:rsidRPr="0012760D">
              <w:rPr>
                <w:sz w:val="24"/>
                <w:szCs w:val="24"/>
              </w:rPr>
              <w:t>N/A</w:t>
            </w:r>
            <w:r w:rsidRPr="0012760D">
              <w:rPr>
                <w:sz w:val="24"/>
                <w:szCs w:val="24"/>
                <w:vertAlign w:val="superscript"/>
              </w:rPr>
              <w:t>7</w:t>
            </w:r>
          </w:p>
        </w:tc>
      </w:tr>
      <w:tr w:rsidR="00B93117" w:rsidRPr="0012760D" w:rsidTr="00B66707">
        <w:tblPrEx>
          <w:tblCellMar>
            <w:top w:w="0" w:type="dxa"/>
            <w:bottom w:w="0" w:type="dxa"/>
          </w:tblCellMar>
        </w:tblPrEx>
        <w:tc>
          <w:tcPr>
            <w:tcW w:w="718" w:type="pct"/>
            <w:vMerge/>
            <w:shd w:val="clear" w:color="auto" w:fill="auto"/>
          </w:tcPr>
          <w:p w:rsidR="00B93117" w:rsidRPr="0012760D" w:rsidRDefault="00B93117" w:rsidP="001B3A3E">
            <w:pPr>
              <w:rPr>
                <w:sz w:val="24"/>
                <w:szCs w:val="24"/>
              </w:rPr>
            </w:pPr>
          </w:p>
        </w:tc>
        <w:tc>
          <w:tcPr>
            <w:tcW w:w="1207" w:type="pct"/>
            <w:shd w:val="clear" w:color="auto" w:fill="auto"/>
          </w:tcPr>
          <w:p w:rsidR="00B93117" w:rsidRPr="0012760D" w:rsidRDefault="00B93117" w:rsidP="001B3A3E">
            <w:pPr>
              <w:rPr>
                <w:sz w:val="24"/>
                <w:szCs w:val="24"/>
              </w:rPr>
            </w:pPr>
            <w:r w:rsidRPr="0012760D">
              <w:rPr>
                <w:sz w:val="24"/>
                <w:szCs w:val="24"/>
              </w:rPr>
              <w:t>Landfill per FTE</w:t>
            </w:r>
          </w:p>
        </w:tc>
        <w:tc>
          <w:tcPr>
            <w:tcW w:w="716" w:type="pct"/>
            <w:shd w:val="clear" w:color="auto" w:fill="auto"/>
          </w:tcPr>
          <w:p w:rsidR="00B93117" w:rsidRPr="0012760D" w:rsidRDefault="00B93117" w:rsidP="001B3A3E">
            <w:pPr>
              <w:rPr>
                <w:sz w:val="24"/>
                <w:szCs w:val="24"/>
              </w:rPr>
            </w:pPr>
            <w:r w:rsidRPr="0012760D">
              <w:rPr>
                <w:sz w:val="24"/>
                <w:szCs w:val="24"/>
              </w:rPr>
              <w:t>Kilograms per FTE</w:t>
            </w:r>
          </w:p>
        </w:tc>
        <w:tc>
          <w:tcPr>
            <w:tcW w:w="446" w:type="pct"/>
            <w:shd w:val="clear" w:color="auto" w:fill="auto"/>
          </w:tcPr>
          <w:p w:rsidR="00B93117" w:rsidRPr="0012760D" w:rsidRDefault="00B93117" w:rsidP="001B3A3E">
            <w:pPr>
              <w:jc w:val="right"/>
              <w:rPr>
                <w:sz w:val="24"/>
                <w:szCs w:val="24"/>
              </w:rPr>
            </w:pPr>
            <w:r w:rsidRPr="0012760D">
              <w:rPr>
                <w:sz w:val="24"/>
                <w:szCs w:val="24"/>
              </w:rPr>
              <w:t>2</w:t>
            </w:r>
          </w:p>
        </w:tc>
        <w:tc>
          <w:tcPr>
            <w:tcW w:w="464" w:type="pct"/>
            <w:shd w:val="clear" w:color="auto" w:fill="auto"/>
          </w:tcPr>
          <w:p w:rsidR="00B93117" w:rsidRPr="0012760D" w:rsidRDefault="00B93117" w:rsidP="001B3A3E">
            <w:pPr>
              <w:jc w:val="right"/>
              <w:rPr>
                <w:sz w:val="24"/>
                <w:szCs w:val="24"/>
              </w:rPr>
            </w:pPr>
            <w:r w:rsidRPr="0012760D">
              <w:rPr>
                <w:sz w:val="24"/>
                <w:szCs w:val="24"/>
              </w:rPr>
              <w:t>3.3</w:t>
            </w:r>
          </w:p>
        </w:tc>
        <w:tc>
          <w:tcPr>
            <w:tcW w:w="473" w:type="pct"/>
            <w:shd w:val="clear" w:color="auto" w:fill="auto"/>
          </w:tcPr>
          <w:p w:rsidR="00B93117" w:rsidRPr="0012760D" w:rsidRDefault="00B93117" w:rsidP="001B3A3E">
            <w:pPr>
              <w:jc w:val="right"/>
              <w:rPr>
                <w:sz w:val="24"/>
                <w:szCs w:val="24"/>
              </w:rPr>
            </w:pPr>
            <w:r w:rsidRPr="0012760D">
              <w:rPr>
                <w:sz w:val="24"/>
                <w:szCs w:val="24"/>
              </w:rPr>
              <w:t>2</w:t>
            </w:r>
          </w:p>
        </w:tc>
        <w:tc>
          <w:tcPr>
            <w:tcW w:w="444" w:type="pct"/>
            <w:shd w:val="clear" w:color="auto" w:fill="auto"/>
          </w:tcPr>
          <w:p w:rsidR="00B93117" w:rsidRPr="0012760D" w:rsidRDefault="00B93117" w:rsidP="001B3A3E">
            <w:pPr>
              <w:jc w:val="right"/>
              <w:rPr>
                <w:sz w:val="24"/>
                <w:szCs w:val="24"/>
              </w:rPr>
            </w:pPr>
            <w:r w:rsidRPr="0012760D">
              <w:rPr>
                <w:sz w:val="24"/>
                <w:szCs w:val="24"/>
              </w:rPr>
              <w:t>2.6</w:t>
            </w:r>
          </w:p>
        </w:tc>
        <w:tc>
          <w:tcPr>
            <w:tcW w:w="532" w:type="pct"/>
            <w:shd w:val="clear" w:color="auto" w:fill="auto"/>
          </w:tcPr>
          <w:p w:rsidR="00B93117" w:rsidRPr="0012760D" w:rsidRDefault="00B93117" w:rsidP="001B3A3E">
            <w:pPr>
              <w:jc w:val="right"/>
              <w:rPr>
                <w:sz w:val="24"/>
                <w:szCs w:val="24"/>
              </w:rPr>
            </w:pPr>
            <w:r w:rsidRPr="0012760D">
              <w:rPr>
                <w:sz w:val="24"/>
                <w:szCs w:val="24"/>
              </w:rPr>
              <w:t>3.2</w:t>
            </w:r>
          </w:p>
        </w:tc>
      </w:tr>
      <w:tr w:rsidR="00B93117" w:rsidRPr="0012760D" w:rsidTr="00B66707">
        <w:tblPrEx>
          <w:tblCellMar>
            <w:top w:w="0" w:type="dxa"/>
            <w:bottom w:w="0" w:type="dxa"/>
          </w:tblCellMar>
        </w:tblPrEx>
        <w:tc>
          <w:tcPr>
            <w:tcW w:w="718" w:type="pct"/>
            <w:vMerge/>
            <w:shd w:val="clear" w:color="auto" w:fill="auto"/>
          </w:tcPr>
          <w:p w:rsidR="00B93117" w:rsidRPr="0012760D" w:rsidRDefault="00B93117" w:rsidP="001B3A3E">
            <w:pPr>
              <w:rPr>
                <w:sz w:val="24"/>
                <w:szCs w:val="24"/>
              </w:rPr>
            </w:pPr>
          </w:p>
        </w:tc>
        <w:tc>
          <w:tcPr>
            <w:tcW w:w="1207" w:type="pct"/>
            <w:shd w:val="clear" w:color="auto" w:fill="auto"/>
          </w:tcPr>
          <w:p w:rsidR="00B93117" w:rsidRPr="0012760D" w:rsidRDefault="00B93117" w:rsidP="001B3A3E">
            <w:pPr>
              <w:rPr>
                <w:sz w:val="24"/>
                <w:szCs w:val="24"/>
              </w:rPr>
            </w:pPr>
            <w:r w:rsidRPr="0012760D">
              <w:rPr>
                <w:sz w:val="24"/>
                <w:szCs w:val="24"/>
              </w:rPr>
              <w:t>Organics</w:t>
            </w:r>
          </w:p>
        </w:tc>
        <w:tc>
          <w:tcPr>
            <w:tcW w:w="716" w:type="pct"/>
            <w:shd w:val="clear" w:color="auto" w:fill="auto"/>
          </w:tcPr>
          <w:p w:rsidR="00B93117" w:rsidRPr="0012760D" w:rsidRDefault="00B93117" w:rsidP="001B3A3E">
            <w:pPr>
              <w:rPr>
                <w:sz w:val="24"/>
                <w:szCs w:val="24"/>
              </w:rPr>
            </w:pPr>
            <w:r w:rsidRPr="0012760D">
              <w:rPr>
                <w:sz w:val="24"/>
                <w:szCs w:val="24"/>
              </w:rPr>
              <w:t>Total kg to processor</w:t>
            </w:r>
          </w:p>
        </w:tc>
        <w:tc>
          <w:tcPr>
            <w:tcW w:w="446" w:type="pct"/>
            <w:shd w:val="clear" w:color="auto" w:fill="auto"/>
          </w:tcPr>
          <w:p w:rsidR="00B93117" w:rsidRPr="0012760D" w:rsidRDefault="00B93117" w:rsidP="001B3A3E">
            <w:pPr>
              <w:jc w:val="right"/>
              <w:rPr>
                <w:sz w:val="24"/>
                <w:szCs w:val="24"/>
              </w:rPr>
            </w:pPr>
            <w:r w:rsidRPr="0012760D">
              <w:rPr>
                <w:sz w:val="24"/>
                <w:szCs w:val="24"/>
              </w:rPr>
              <w:t>1,736</w:t>
            </w:r>
          </w:p>
        </w:tc>
        <w:tc>
          <w:tcPr>
            <w:tcW w:w="464" w:type="pct"/>
            <w:shd w:val="clear" w:color="auto" w:fill="auto"/>
          </w:tcPr>
          <w:p w:rsidR="00B93117" w:rsidRPr="0012760D" w:rsidRDefault="00B93117" w:rsidP="001B3A3E">
            <w:pPr>
              <w:jc w:val="right"/>
              <w:rPr>
                <w:sz w:val="24"/>
                <w:szCs w:val="24"/>
              </w:rPr>
            </w:pPr>
            <w:r w:rsidRPr="0012760D">
              <w:rPr>
                <w:sz w:val="24"/>
                <w:szCs w:val="24"/>
              </w:rPr>
              <w:t>1,886</w:t>
            </w:r>
          </w:p>
        </w:tc>
        <w:tc>
          <w:tcPr>
            <w:tcW w:w="473" w:type="pct"/>
            <w:shd w:val="clear" w:color="auto" w:fill="auto"/>
          </w:tcPr>
          <w:p w:rsidR="00B93117" w:rsidRPr="0012760D" w:rsidRDefault="00B93117" w:rsidP="001B3A3E">
            <w:pPr>
              <w:jc w:val="right"/>
              <w:rPr>
                <w:sz w:val="24"/>
                <w:szCs w:val="24"/>
              </w:rPr>
            </w:pPr>
            <w:r w:rsidRPr="0012760D">
              <w:rPr>
                <w:sz w:val="24"/>
                <w:szCs w:val="24"/>
              </w:rPr>
              <w:t>2,016</w:t>
            </w:r>
          </w:p>
        </w:tc>
        <w:tc>
          <w:tcPr>
            <w:tcW w:w="444" w:type="pct"/>
            <w:shd w:val="clear" w:color="auto" w:fill="auto"/>
          </w:tcPr>
          <w:p w:rsidR="00B93117" w:rsidRPr="0012760D" w:rsidRDefault="00B93117" w:rsidP="001B3A3E">
            <w:pPr>
              <w:jc w:val="right"/>
              <w:rPr>
                <w:sz w:val="24"/>
                <w:szCs w:val="24"/>
              </w:rPr>
            </w:pPr>
            <w:r w:rsidRPr="0012760D">
              <w:rPr>
                <w:sz w:val="24"/>
                <w:szCs w:val="24"/>
              </w:rPr>
              <w:t>1,286</w:t>
            </w:r>
          </w:p>
        </w:tc>
        <w:tc>
          <w:tcPr>
            <w:tcW w:w="532" w:type="pct"/>
            <w:shd w:val="clear" w:color="auto" w:fill="auto"/>
          </w:tcPr>
          <w:p w:rsidR="00B93117" w:rsidRPr="0012760D" w:rsidRDefault="00B93117" w:rsidP="001B3A3E">
            <w:pPr>
              <w:jc w:val="right"/>
              <w:rPr>
                <w:sz w:val="24"/>
                <w:szCs w:val="24"/>
              </w:rPr>
            </w:pPr>
            <w:r w:rsidRPr="0012760D">
              <w:rPr>
                <w:sz w:val="24"/>
                <w:szCs w:val="24"/>
              </w:rPr>
              <w:t>827</w:t>
            </w:r>
          </w:p>
        </w:tc>
      </w:tr>
      <w:tr w:rsidR="00B93117" w:rsidRPr="0012760D" w:rsidTr="00B66707">
        <w:tblPrEx>
          <w:tblCellMar>
            <w:top w:w="0" w:type="dxa"/>
            <w:bottom w:w="0" w:type="dxa"/>
          </w:tblCellMar>
        </w:tblPrEx>
        <w:tc>
          <w:tcPr>
            <w:tcW w:w="718" w:type="pct"/>
            <w:vMerge/>
            <w:shd w:val="clear" w:color="auto" w:fill="auto"/>
          </w:tcPr>
          <w:p w:rsidR="00B93117" w:rsidRPr="0012760D" w:rsidRDefault="00B93117" w:rsidP="001B3A3E">
            <w:pPr>
              <w:rPr>
                <w:sz w:val="24"/>
                <w:szCs w:val="24"/>
              </w:rPr>
            </w:pPr>
          </w:p>
        </w:tc>
        <w:tc>
          <w:tcPr>
            <w:tcW w:w="1207" w:type="pct"/>
            <w:shd w:val="clear" w:color="auto" w:fill="auto"/>
          </w:tcPr>
          <w:p w:rsidR="00B93117" w:rsidRPr="0012760D" w:rsidRDefault="00B93117" w:rsidP="001B3A3E">
            <w:pPr>
              <w:rPr>
                <w:sz w:val="24"/>
                <w:szCs w:val="24"/>
              </w:rPr>
            </w:pPr>
            <w:r w:rsidRPr="0012760D">
              <w:rPr>
                <w:sz w:val="24"/>
                <w:szCs w:val="24"/>
              </w:rPr>
              <w:t>Recyclable materials</w:t>
            </w:r>
          </w:p>
        </w:tc>
        <w:tc>
          <w:tcPr>
            <w:tcW w:w="716" w:type="pct"/>
            <w:shd w:val="clear" w:color="auto" w:fill="auto"/>
          </w:tcPr>
          <w:p w:rsidR="00B93117" w:rsidRPr="0012760D" w:rsidRDefault="00B93117" w:rsidP="001B3A3E">
            <w:pPr>
              <w:rPr>
                <w:sz w:val="24"/>
                <w:szCs w:val="24"/>
              </w:rPr>
            </w:pPr>
            <w:r w:rsidRPr="0012760D">
              <w:rPr>
                <w:sz w:val="24"/>
                <w:szCs w:val="24"/>
              </w:rPr>
              <w:t>Total kg to processors</w:t>
            </w:r>
          </w:p>
        </w:tc>
        <w:tc>
          <w:tcPr>
            <w:tcW w:w="446" w:type="pct"/>
            <w:shd w:val="clear" w:color="auto" w:fill="auto"/>
          </w:tcPr>
          <w:p w:rsidR="00B93117" w:rsidRPr="0012760D" w:rsidRDefault="00B93117" w:rsidP="001B3A3E">
            <w:pPr>
              <w:jc w:val="right"/>
              <w:rPr>
                <w:sz w:val="24"/>
                <w:szCs w:val="24"/>
              </w:rPr>
            </w:pPr>
            <w:r w:rsidRPr="0012760D">
              <w:rPr>
                <w:sz w:val="24"/>
                <w:szCs w:val="24"/>
              </w:rPr>
              <w:t>5,204</w:t>
            </w:r>
          </w:p>
        </w:tc>
        <w:tc>
          <w:tcPr>
            <w:tcW w:w="464" w:type="pct"/>
            <w:shd w:val="clear" w:color="auto" w:fill="auto"/>
          </w:tcPr>
          <w:p w:rsidR="00B93117" w:rsidRPr="0012760D" w:rsidRDefault="00B93117" w:rsidP="001B3A3E">
            <w:pPr>
              <w:jc w:val="right"/>
              <w:rPr>
                <w:sz w:val="24"/>
                <w:szCs w:val="24"/>
              </w:rPr>
            </w:pPr>
            <w:r w:rsidRPr="0012760D">
              <w:rPr>
                <w:sz w:val="24"/>
                <w:szCs w:val="24"/>
              </w:rPr>
              <w:t>5,349</w:t>
            </w:r>
          </w:p>
        </w:tc>
        <w:tc>
          <w:tcPr>
            <w:tcW w:w="473" w:type="pct"/>
            <w:shd w:val="clear" w:color="auto" w:fill="auto"/>
          </w:tcPr>
          <w:p w:rsidR="00B93117" w:rsidRPr="0012760D" w:rsidRDefault="00B93117" w:rsidP="001B3A3E">
            <w:pPr>
              <w:jc w:val="right"/>
              <w:rPr>
                <w:sz w:val="24"/>
                <w:szCs w:val="24"/>
              </w:rPr>
            </w:pPr>
            <w:r w:rsidRPr="0012760D">
              <w:rPr>
                <w:sz w:val="24"/>
                <w:szCs w:val="24"/>
              </w:rPr>
              <w:t>6,344</w:t>
            </w:r>
          </w:p>
        </w:tc>
        <w:tc>
          <w:tcPr>
            <w:tcW w:w="444" w:type="pct"/>
            <w:shd w:val="clear" w:color="auto" w:fill="auto"/>
          </w:tcPr>
          <w:p w:rsidR="00B93117" w:rsidRPr="0012760D" w:rsidRDefault="00B93117" w:rsidP="001B3A3E">
            <w:pPr>
              <w:jc w:val="right"/>
              <w:rPr>
                <w:sz w:val="24"/>
                <w:szCs w:val="24"/>
              </w:rPr>
            </w:pPr>
            <w:r w:rsidRPr="0012760D">
              <w:rPr>
                <w:sz w:val="24"/>
                <w:szCs w:val="24"/>
              </w:rPr>
              <w:t>6,272</w:t>
            </w:r>
          </w:p>
        </w:tc>
        <w:tc>
          <w:tcPr>
            <w:tcW w:w="532" w:type="pct"/>
            <w:shd w:val="clear" w:color="auto" w:fill="auto"/>
          </w:tcPr>
          <w:p w:rsidR="00B93117" w:rsidRPr="0012760D" w:rsidRDefault="00B93117" w:rsidP="001B3A3E">
            <w:pPr>
              <w:jc w:val="right"/>
              <w:rPr>
                <w:sz w:val="24"/>
                <w:szCs w:val="24"/>
              </w:rPr>
            </w:pPr>
            <w:r w:rsidRPr="0012760D">
              <w:rPr>
                <w:sz w:val="24"/>
                <w:szCs w:val="24"/>
              </w:rPr>
              <w:t>N/a</w:t>
            </w:r>
            <w:r w:rsidRPr="0012760D">
              <w:rPr>
                <w:sz w:val="24"/>
                <w:szCs w:val="24"/>
                <w:vertAlign w:val="superscript"/>
              </w:rPr>
              <w:t>7</w:t>
            </w:r>
          </w:p>
        </w:tc>
      </w:tr>
      <w:tr w:rsidR="00B93117" w:rsidRPr="0012760D" w:rsidTr="00B66707">
        <w:tblPrEx>
          <w:tblCellMar>
            <w:top w:w="0" w:type="dxa"/>
            <w:bottom w:w="0" w:type="dxa"/>
          </w:tblCellMar>
        </w:tblPrEx>
        <w:tc>
          <w:tcPr>
            <w:tcW w:w="718" w:type="pct"/>
            <w:vMerge/>
            <w:shd w:val="clear" w:color="auto" w:fill="auto"/>
          </w:tcPr>
          <w:p w:rsidR="00B93117" w:rsidRPr="0012760D" w:rsidRDefault="00B93117" w:rsidP="001B3A3E">
            <w:pPr>
              <w:rPr>
                <w:sz w:val="24"/>
                <w:szCs w:val="24"/>
              </w:rPr>
            </w:pPr>
          </w:p>
        </w:tc>
        <w:tc>
          <w:tcPr>
            <w:tcW w:w="1207" w:type="pct"/>
            <w:shd w:val="clear" w:color="auto" w:fill="auto"/>
          </w:tcPr>
          <w:p w:rsidR="00B93117" w:rsidRPr="0012760D" w:rsidRDefault="00B93117" w:rsidP="001B3A3E">
            <w:pPr>
              <w:rPr>
                <w:sz w:val="24"/>
                <w:szCs w:val="24"/>
              </w:rPr>
            </w:pPr>
            <w:r w:rsidRPr="0012760D">
              <w:rPr>
                <w:sz w:val="24"/>
                <w:szCs w:val="24"/>
              </w:rPr>
              <w:t>Landfill</w:t>
            </w:r>
          </w:p>
        </w:tc>
        <w:tc>
          <w:tcPr>
            <w:tcW w:w="716" w:type="pct"/>
            <w:shd w:val="clear" w:color="auto" w:fill="auto"/>
          </w:tcPr>
          <w:p w:rsidR="00B93117" w:rsidRPr="0012760D" w:rsidRDefault="00B93117" w:rsidP="001B3A3E">
            <w:pPr>
              <w:rPr>
                <w:sz w:val="24"/>
                <w:szCs w:val="24"/>
              </w:rPr>
            </w:pPr>
            <w:r w:rsidRPr="0012760D">
              <w:rPr>
                <w:sz w:val="24"/>
                <w:szCs w:val="24"/>
              </w:rPr>
              <w:t>Total kg to landfill</w:t>
            </w:r>
          </w:p>
        </w:tc>
        <w:tc>
          <w:tcPr>
            <w:tcW w:w="446" w:type="pct"/>
            <w:shd w:val="clear" w:color="auto" w:fill="auto"/>
          </w:tcPr>
          <w:p w:rsidR="00B93117" w:rsidRPr="0012760D" w:rsidRDefault="00B93117" w:rsidP="001B3A3E">
            <w:pPr>
              <w:jc w:val="right"/>
              <w:rPr>
                <w:sz w:val="24"/>
                <w:szCs w:val="24"/>
              </w:rPr>
            </w:pPr>
            <w:r w:rsidRPr="0012760D">
              <w:rPr>
                <w:sz w:val="24"/>
                <w:szCs w:val="24"/>
              </w:rPr>
              <w:t>593</w:t>
            </w:r>
          </w:p>
        </w:tc>
        <w:tc>
          <w:tcPr>
            <w:tcW w:w="464" w:type="pct"/>
            <w:shd w:val="clear" w:color="auto" w:fill="auto"/>
          </w:tcPr>
          <w:p w:rsidR="00B93117" w:rsidRPr="0012760D" w:rsidRDefault="00B93117" w:rsidP="001B3A3E">
            <w:pPr>
              <w:jc w:val="right"/>
              <w:rPr>
                <w:sz w:val="24"/>
                <w:szCs w:val="24"/>
              </w:rPr>
            </w:pPr>
            <w:r w:rsidRPr="0012760D">
              <w:rPr>
                <w:sz w:val="24"/>
                <w:szCs w:val="24"/>
              </w:rPr>
              <w:t>449</w:t>
            </w:r>
          </w:p>
        </w:tc>
        <w:tc>
          <w:tcPr>
            <w:tcW w:w="473" w:type="pct"/>
            <w:shd w:val="clear" w:color="auto" w:fill="auto"/>
          </w:tcPr>
          <w:p w:rsidR="00B93117" w:rsidRPr="0012760D" w:rsidRDefault="00B93117" w:rsidP="001B3A3E">
            <w:pPr>
              <w:jc w:val="right"/>
              <w:rPr>
                <w:sz w:val="24"/>
                <w:szCs w:val="24"/>
              </w:rPr>
            </w:pPr>
            <w:r w:rsidRPr="0012760D">
              <w:rPr>
                <w:sz w:val="24"/>
                <w:szCs w:val="24"/>
              </w:rPr>
              <w:t>360</w:t>
            </w:r>
          </w:p>
        </w:tc>
        <w:tc>
          <w:tcPr>
            <w:tcW w:w="444" w:type="pct"/>
            <w:shd w:val="clear" w:color="auto" w:fill="auto"/>
          </w:tcPr>
          <w:p w:rsidR="00B93117" w:rsidRPr="0012760D" w:rsidRDefault="00B93117" w:rsidP="001B3A3E">
            <w:pPr>
              <w:jc w:val="right"/>
              <w:rPr>
                <w:sz w:val="24"/>
                <w:szCs w:val="24"/>
              </w:rPr>
            </w:pPr>
            <w:r w:rsidRPr="0012760D">
              <w:rPr>
                <w:sz w:val="24"/>
                <w:szCs w:val="24"/>
              </w:rPr>
              <w:t>329</w:t>
            </w:r>
          </w:p>
        </w:tc>
        <w:tc>
          <w:tcPr>
            <w:tcW w:w="532" w:type="pct"/>
            <w:shd w:val="clear" w:color="auto" w:fill="auto"/>
          </w:tcPr>
          <w:p w:rsidR="00B93117" w:rsidRPr="0012760D" w:rsidRDefault="00B93117" w:rsidP="001B3A3E">
            <w:pPr>
              <w:jc w:val="right"/>
              <w:rPr>
                <w:sz w:val="24"/>
                <w:szCs w:val="24"/>
              </w:rPr>
            </w:pPr>
            <w:r w:rsidRPr="0012760D">
              <w:rPr>
                <w:sz w:val="24"/>
                <w:szCs w:val="24"/>
              </w:rPr>
              <w:t>329</w:t>
            </w:r>
          </w:p>
        </w:tc>
      </w:tr>
      <w:tr w:rsidR="00B93117" w:rsidRPr="0012760D" w:rsidTr="00B66707">
        <w:tblPrEx>
          <w:tblCellMar>
            <w:top w:w="0" w:type="dxa"/>
            <w:bottom w:w="0" w:type="dxa"/>
          </w:tblCellMar>
        </w:tblPrEx>
        <w:tc>
          <w:tcPr>
            <w:tcW w:w="718" w:type="pct"/>
            <w:vMerge/>
            <w:shd w:val="clear" w:color="auto" w:fill="auto"/>
          </w:tcPr>
          <w:p w:rsidR="00B93117" w:rsidRPr="0012760D" w:rsidRDefault="00B93117" w:rsidP="001B3A3E">
            <w:pPr>
              <w:rPr>
                <w:sz w:val="24"/>
                <w:szCs w:val="24"/>
              </w:rPr>
            </w:pPr>
          </w:p>
        </w:tc>
        <w:tc>
          <w:tcPr>
            <w:tcW w:w="1207" w:type="pct"/>
            <w:shd w:val="clear" w:color="auto" w:fill="auto"/>
          </w:tcPr>
          <w:p w:rsidR="00B93117" w:rsidRPr="0012760D" w:rsidRDefault="00B93117" w:rsidP="001B3A3E">
            <w:pPr>
              <w:rPr>
                <w:sz w:val="24"/>
                <w:szCs w:val="24"/>
              </w:rPr>
            </w:pPr>
            <w:r w:rsidRPr="0012760D">
              <w:rPr>
                <w:sz w:val="24"/>
                <w:szCs w:val="24"/>
              </w:rPr>
              <w:t>Total recycled (including organics)</w:t>
            </w:r>
          </w:p>
        </w:tc>
        <w:tc>
          <w:tcPr>
            <w:tcW w:w="716" w:type="pct"/>
            <w:shd w:val="clear" w:color="auto" w:fill="auto"/>
          </w:tcPr>
          <w:p w:rsidR="00B93117" w:rsidRPr="0012760D" w:rsidRDefault="00B93117" w:rsidP="001B3A3E">
            <w:pPr>
              <w:rPr>
                <w:sz w:val="24"/>
                <w:szCs w:val="24"/>
              </w:rPr>
            </w:pPr>
            <w:r w:rsidRPr="0012760D">
              <w:rPr>
                <w:sz w:val="24"/>
                <w:szCs w:val="24"/>
              </w:rPr>
              <w:t>Percentage</w:t>
            </w:r>
          </w:p>
        </w:tc>
        <w:tc>
          <w:tcPr>
            <w:tcW w:w="446" w:type="pct"/>
            <w:shd w:val="clear" w:color="auto" w:fill="auto"/>
          </w:tcPr>
          <w:p w:rsidR="00B93117" w:rsidRPr="0012760D" w:rsidRDefault="00B93117" w:rsidP="001B3A3E">
            <w:pPr>
              <w:jc w:val="right"/>
              <w:rPr>
                <w:sz w:val="24"/>
                <w:szCs w:val="24"/>
              </w:rPr>
            </w:pPr>
            <w:r w:rsidRPr="0012760D">
              <w:rPr>
                <w:sz w:val="24"/>
                <w:szCs w:val="24"/>
              </w:rPr>
              <w:t>96%</w:t>
            </w:r>
          </w:p>
        </w:tc>
        <w:tc>
          <w:tcPr>
            <w:tcW w:w="464" w:type="pct"/>
            <w:shd w:val="clear" w:color="auto" w:fill="auto"/>
          </w:tcPr>
          <w:p w:rsidR="00B93117" w:rsidRPr="0012760D" w:rsidRDefault="00B93117" w:rsidP="001B3A3E">
            <w:pPr>
              <w:jc w:val="right"/>
              <w:rPr>
                <w:sz w:val="24"/>
                <w:szCs w:val="24"/>
              </w:rPr>
            </w:pPr>
            <w:r w:rsidRPr="0012760D">
              <w:rPr>
                <w:sz w:val="24"/>
                <w:szCs w:val="24"/>
              </w:rPr>
              <w:t>94%</w:t>
            </w:r>
          </w:p>
        </w:tc>
        <w:tc>
          <w:tcPr>
            <w:tcW w:w="473" w:type="pct"/>
            <w:shd w:val="clear" w:color="auto" w:fill="auto"/>
          </w:tcPr>
          <w:p w:rsidR="00B93117" w:rsidRPr="0012760D" w:rsidRDefault="00B93117" w:rsidP="001B3A3E">
            <w:pPr>
              <w:jc w:val="right"/>
              <w:rPr>
                <w:sz w:val="24"/>
                <w:szCs w:val="24"/>
              </w:rPr>
            </w:pPr>
            <w:r w:rsidRPr="0012760D">
              <w:rPr>
                <w:sz w:val="24"/>
                <w:szCs w:val="24"/>
              </w:rPr>
              <w:t>96%</w:t>
            </w:r>
          </w:p>
        </w:tc>
        <w:tc>
          <w:tcPr>
            <w:tcW w:w="444" w:type="pct"/>
            <w:shd w:val="clear" w:color="auto" w:fill="auto"/>
          </w:tcPr>
          <w:p w:rsidR="00B93117" w:rsidRPr="0012760D" w:rsidRDefault="00B93117" w:rsidP="001B3A3E">
            <w:pPr>
              <w:jc w:val="right"/>
              <w:rPr>
                <w:sz w:val="24"/>
                <w:szCs w:val="24"/>
              </w:rPr>
            </w:pPr>
            <w:r w:rsidRPr="0012760D">
              <w:rPr>
                <w:sz w:val="24"/>
                <w:szCs w:val="24"/>
              </w:rPr>
              <w:t>96%</w:t>
            </w:r>
          </w:p>
        </w:tc>
        <w:tc>
          <w:tcPr>
            <w:tcW w:w="532" w:type="pct"/>
            <w:shd w:val="clear" w:color="auto" w:fill="auto"/>
          </w:tcPr>
          <w:p w:rsidR="00B93117" w:rsidRPr="0012760D" w:rsidRDefault="00B93117" w:rsidP="001B3A3E">
            <w:pPr>
              <w:jc w:val="right"/>
              <w:rPr>
                <w:sz w:val="24"/>
                <w:szCs w:val="24"/>
              </w:rPr>
            </w:pPr>
            <w:r w:rsidRPr="0012760D">
              <w:rPr>
                <w:sz w:val="24"/>
                <w:szCs w:val="24"/>
              </w:rPr>
              <w:t>N/A7</w:t>
            </w:r>
          </w:p>
        </w:tc>
      </w:tr>
      <w:tr w:rsidR="00B93117" w:rsidRPr="0012760D" w:rsidTr="00B66707">
        <w:tblPrEx>
          <w:tblCellMar>
            <w:top w:w="0" w:type="dxa"/>
            <w:bottom w:w="0" w:type="dxa"/>
          </w:tblCellMar>
        </w:tblPrEx>
        <w:tc>
          <w:tcPr>
            <w:tcW w:w="718" w:type="pct"/>
            <w:vMerge/>
            <w:shd w:val="clear" w:color="auto" w:fill="auto"/>
          </w:tcPr>
          <w:p w:rsidR="00B93117" w:rsidRPr="0012760D" w:rsidRDefault="00B93117" w:rsidP="001B3A3E">
            <w:pPr>
              <w:rPr>
                <w:sz w:val="24"/>
                <w:szCs w:val="24"/>
              </w:rPr>
            </w:pPr>
          </w:p>
        </w:tc>
        <w:tc>
          <w:tcPr>
            <w:tcW w:w="1207" w:type="pct"/>
            <w:shd w:val="clear" w:color="auto" w:fill="auto"/>
          </w:tcPr>
          <w:p w:rsidR="00B93117" w:rsidRPr="0012760D" w:rsidRDefault="00B93117" w:rsidP="001B3A3E">
            <w:pPr>
              <w:rPr>
                <w:sz w:val="24"/>
                <w:szCs w:val="24"/>
              </w:rPr>
            </w:pPr>
            <w:r w:rsidRPr="0012760D">
              <w:rPr>
                <w:sz w:val="24"/>
                <w:szCs w:val="24"/>
              </w:rPr>
              <w:t>Waste GHG emissions</w:t>
            </w:r>
          </w:p>
        </w:tc>
        <w:tc>
          <w:tcPr>
            <w:tcW w:w="716" w:type="pct"/>
            <w:shd w:val="clear" w:color="auto" w:fill="auto"/>
          </w:tcPr>
          <w:p w:rsidR="00B93117" w:rsidRPr="0012760D" w:rsidRDefault="00B93117" w:rsidP="001B3A3E">
            <w:pPr>
              <w:rPr>
                <w:sz w:val="24"/>
                <w:szCs w:val="24"/>
              </w:rPr>
            </w:pPr>
            <w:r w:rsidRPr="0012760D">
              <w:rPr>
                <w:sz w:val="24"/>
                <w:szCs w:val="24"/>
              </w:rPr>
              <w:t>Kilograms</w:t>
            </w:r>
          </w:p>
        </w:tc>
        <w:tc>
          <w:tcPr>
            <w:tcW w:w="446" w:type="pct"/>
            <w:shd w:val="clear" w:color="auto" w:fill="auto"/>
          </w:tcPr>
          <w:p w:rsidR="00B93117" w:rsidRPr="0012760D" w:rsidRDefault="00B93117" w:rsidP="001B3A3E">
            <w:pPr>
              <w:jc w:val="right"/>
              <w:rPr>
                <w:sz w:val="24"/>
                <w:szCs w:val="24"/>
              </w:rPr>
            </w:pPr>
            <w:r w:rsidRPr="0012760D">
              <w:rPr>
                <w:sz w:val="24"/>
                <w:szCs w:val="24"/>
              </w:rPr>
              <w:t>271</w:t>
            </w:r>
          </w:p>
        </w:tc>
        <w:tc>
          <w:tcPr>
            <w:tcW w:w="464" w:type="pct"/>
            <w:shd w:val="clear" w:color="auto" w:fill="auto"/>
          </w:tcPr>
          <w:p w:rsidR="00B93117" w:rsidRPr="0012760D" w:rsidRDefault="00B93117" w:rsidP="001B3A3E">
            <w:pPr>
              <w:jc w:val="right"/>
              <w:rPr>
                <w:sz w:val="24"/>
                <w:szCs w:val="24"/>
              </w:rPr>
            </w:pPr>
            <w:r w:rsidRPr="0012760D">
              <w:rPr>
                <w:sz w:val="24"/>
                <w:szCs w:val="24"/>
              </w:rPr>
              <w:t>449</w:t>
            </w:r>
          </w:p>
        </w:tc>
        <w:tc>
          <w:tcPr>
            <w:tcW w:w="473" w:type="pct"/>
            <w:shd w:val="clear" w:color="auto" w:fill="auto"/>
          </w:tcPr>
          <w:p w:rsidR="00B93117" w:rsidRPr="0012760D" w:rsidRDefault="00B93117" w:rsidP="001B3A3E">
            <w:pPr>
              <w:jc w:val="right"/>
              <w:rPr>
                <w:sz w:val="24"/>
                <w:szCs w:val="24"/>
              </w:rPr>
            </w:pPr>
            <w:r w:rsidRPr="0012760D">
              <w:rPr>
                <w:sz w:val="24"/>
                <w:szCs w:val="24"/>
              </w:rPr>
              <w:t>368</w:t>
            </w:r>
          </w:p>
        </w:tc>
        <w:tc>
          <w:tcPr>
            <w:tcW w:w="444" w:type="pct"/>
            <w:shd w:val="clear" w:color="auto" w:fill="auto"/>
          </w:tcPr>
          <w:p w:rsidR="00B93117" w:rsidRPr="0012760D" w:rsidRDefault="00B93117" w:rsidP="001B3A3E">
            <w:pPr>
              <w:jc w:val="right"/>
              <w:rPr>
                <w:sz w:val="24"/>
                <w:szCs w:val="24"/>
              </w:rPr>
            </w:pPr>
            <w:r w:rsidRPr="0012760D">
              <w:rPr>
                <w:sz w:val="24"/>
                <w:szCs w:val="24"/>
              </w:rPr>
              <w:t>362</w:t>
            </w:r>
          </w:p>
        </w:tc>
        <w:tc>
          <w:tcPr>
            <w:tcW w:w="532" w:type="pct"/>
            <w:shd w:val="clear" w:color="auto" w:fill="auto"/>
          </w:tcPr>
          <w:p w:rsidR="00B93117" w:rsidRPr="0012760D" w:rsidRDefault="00B93117" w:rsidP="001B3A3E">
            <w:pPr>
              <w:jc w:val="right"/>
              <w:rPr>
                <w:sz w:val="24"/>
                <w:szCs w:val="24"/>
              </w:rPr>
            </w:pPr>
            <w:r w:rsidRPr="0012760D">
              <w:rPr>
                <w:sz w:val="24"/>
                <w:szCs w:val="24"/>
              </w:rPr>
              <w:t>395</w:t>
            </w:r>
          </w:p>
        </w:tc>
      </w:tr>
    </w:tbl>
    <w:p w:rsidR="00C17529" w:rsidRPr="0012760D" w:rsidRDefault="00C17529" w:rsidP="00C17529">
      <w:pPr>
        <w:rPr>
          <w:bCs/>
          <w:sz w:val="24"/>
          <w:szCs w:val="24"/>
        </w:rPr>
      </w:pPr>
      <w:r w:rsidRPr="0012760D">
        <w:rPr>
          <w:bCs/>
          <w:sz w:val="24"/>
          <w:szCs w:val="24"/>
        </w:rPr>
        <w:t>&lt;pp&gt; 72</w:t>
      </w:r>
    </w:p>
    <w:p w:rsidR="00C17529" w:rsidRPr="0012760D" w:rsidRDefault="00C17529" w:rsidP="00C17529">
      <w:pPr>
        <w:rPr>
          <w:sz w:val="24"/>
          <w:szCs w:val="24"/>
        </w:rPr>
      </w:pPr>
    </w:p>
    <w:tbl>
      <w:tblPr>
        <w:tblW w:w="4857"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2025"/>
        <w:gridCol w:w="3225"/>
        <w:gridCol w:w="2149"/>
        <w:gridCol w:w="1222"/>
        <w:gridCol w:w="1205"/>
        <w:gridCol w:w="1219"/>
        <w:gridCol w:w="1230"/>
        <w:gridCol w:w="1358"/>
      </w:tblGrid>
      <w:tr w:rsidR="00C17529" w:rsidRPr="0012760D" w:rsidTr="00B66707">
        <w:tblPrEx>
          <w:tblCellMar>
            <w:top w:w="0" w:type="dxa"/>
            <w:bottom w:w="0" w:type="dxa"/>
          </w:tblCellMar>
        </w:tblPrEx>
        <w:tc>
          <w:tcPr>
            <w:tcW w:w="743" w:type="pct"/>
            <w:shd w:val="clear" w:color="auto" w:fill="auto"/>
          </w:tcPr>
          <w:p w:rsidR="00C17529" w:rsidRPr="0012760D" w:rsidRDefault="00C17529" w:rsidP="001B3A3E">
            <w:pPr>
              <w:rPr>
                <w:sz w:val="24"/>
                <w:szCs w:val="24"/>
              </w:rPr>
            </w:pPr>
            <w:r w:rsidRPr="0012760D">
              <w:rPr>
                <w:bCs/>
                <w:sz w:val="24"/>
                <w:szCs w:val="24"/>
              </w:rPr>
              <w:t>Environmental Aspect</w:t>
            </w:r>
            <w:r w:rsidRPr="0012760D">
              <w:rPr>
                <w:bCs/>
                <w:sz w:val="24"/>
                <w:szCs w:val="24"/>
                <w:vertAlign w:val="superscript"/>
              </w:rPr>
              <w:t>1</w:t>
            </w:r>
          </w:p>
        </w:tc>
        <w:tc>
          <w:tcPr>
            <w:tcW w:w="1183" w:type="pct"/>
            <w:shd w:val="clear" w:color="auto" w:fill="auto"/>
          </w:tcPr>
          <w:p w:rsidR="00C17529" w:rsidRPr="0012760D" w:rsidRDefault="00C17529" w:rsidP="001B3A3E">
            <w:pPr>
              <w:rPr>
                <w:sz w:val="24"/>
                <w:szCs w:val="24"/>
              </w:rPr>
            </w:pPr>
            <w:r w:rsidRPr="0012760D">
              <w:rPr>
                <w:bCs/>
                <w:sz w:val="24"/>
                <w:szCs w:val="24"/>
              </w:rPr>
              <w:t>Description</w:t>
            </w:r>
          </w:p>
        </w:tc>
        <w:tc>
          <w:tcPr>
            <w:tcW w:w="788" w:type="pct"/>
            <w:shd w:val="clear" w:color="auto" w:fill="auto"/>
          </w:tcPr>
          <w:p w:rsidR="00C17529" w:rsidRPr="0012760D" w:rsidRDefault="00C17529" w:rsidP="001B3A3E">
            <w:pPr>
              <w:rPr>
                <w:sz w:val="24"/>
                <w:szCs w:val="24"/>
              </w:rPr>
            </w:pPr>
            <w:r w:rsidRPr="0012760D">
              <w:rPr>
                <w:bCs/>
                <w:sz w:val="24"/>
                <w:szCs w:val="24"/>
              </w:rPr>
              <w:t>Unit of Measure</w:t>
            </w:r>
          </w:p>
        </w:tc>
        <w:tc>
          <w:tcPr>
            <w:tcW w:w="448" w:type="pct"/>
            <w:shd w:val="clear" w:color="auto" w:fill="auto"/>
          </w:tcPr>
          <w:p w:rsidR="00C17529" w:rsidRPr="0012760D" w:rsidRDefault="00C17529" w:rsidP="001B3A3E">
            <w:pPr>
              <w:rPr>
                <w:sz w:val="24"/>
                <w:szCs w:val="24"/>
              </w:rPr>
            </w:pPr>
            <w:r w:rsidRPr="0012760D">
              <w:rPr>
                <w:bCs/>
                <w:sz w:val="24"/>
                <w:szCs w:val="24"/>
              </w:rPr>
              <w:t>2008 to 09</w:t>
            </w:r>
          </w:p>
        </w:tc>
        <w:tc>
          <w:tcPr>
            <w:tcW w:w="442" w:type="pct"/>
            <w:shd w:val="clear" w:color="auto" w:fill="auto"/>
          </w:tcPr>
          <w:p w:rsidR="00C17529" w:rsidRPr="0012760D" w:rsidRDefault="00C17529" w:rsidP="001B3A3E">
            <w:pPr>
              <w:rPr>
                <w:sz w:val="24"/>
                <w:szCs w:val="24"/>
              </w:rPr>
            </w:pPr>
            <w:r w:rsidRPr="0012760D">
              <w:rPr>
                <w:bCs/>
                <w:sz w:val="24"/>
                <w:szCs w:val="24"/>
              </w:rPr>
              <w:t>2009 to 10</w:t>
            </w:r>
          </w:p>
        </w:tc>
        <w:tc>
          <w:tcPr>
            <w:tcW w:w="447" w:type="pct"/>
            <w:shd w:val="clear" w:color="auto" w:fill="auto"/>
          </w:tcPr>
          <w:p w:rsidR="00C17529" w:rsidRPr="0012760D" w:rsidRDefault="00C17529" w:rsidP="001B3A3E">
            <w:pPr>
              <w:rPr>
                <w:sz w:val="24"/>
                <w:szCs w:val="24"/>
              </w:rPr>
            </w:pPr>
            <w:r w:rsidRPr="0012760D">
              <w:rPr>
                <w:bCs/>
                <w:sz w:val="24"/>
                <w:szCs w:val="24"/>
              </w:rPr>
              <w:t>2010 to 11</w:t>
            </w:r>
          </w:p>
        </w:tc>
        <w:tc>
          <w:tcPr>
            <w:tcW w:w="451" w:type="pct"/>
            <w:shd w:val="clear" w:color="auto" w:fill="auto"/>
          </w:tcPr>
          <w:p w:rsidR="00C17529" w:rsidRPr="0012760D" w:rsidRDefault="00C17529" w:rsidP="001B3A3E">
            <w:pPr>
              <w:rPr>
                <w:sz w:val="24"/>
                <w:szCs w:val="24"/>
              </w:rPr>
            </w:pPr>
            <w:r w:rsidRPr="0012760D">
              <w:rPr>
                <w:bCs/>
                <w:sz w:val="24"/>
                <w:szCs w:val="24"/>
              </w:rPr>
              <w:t>2011 to 12</w:t>
            </w:r>
          </w:p>
        </w:tc>
        <w:tc>
          <w:tcPr>
            <w:tcW w:w="498" w:type="pct"/>
            <w:shd w:val="clear" w:color="auto" w:fill="auto"/>
          </w:tcPr>
          <w:p w:rsidR="00C17529" w:rsidRPr="0012760D" w:rsidRDefault="00C17529" w:rsidP="001B3A3E">
            <w:pPr>
              <w:rPr>
                <w:sz w:val="24"/>
                <w:szCs w:val="24"/>
              </w:rPr>
            </w:pPr>
            <w:r w:rsidRPr="0012760D">
              <w:rPr>
                <w:bCs/>
                <w:sz w:val="24"/>
                <w:szCs w:val="24"/>
              </w:rPr>
              <w:t>2012 to 13</w:t>
            </w:r>
          </w:p>
        </w:tc>
      </w:tr>
      <w:tr w:rsidR="00C17529" w:rsidRPr="0012760D" w:rsidTr="00B66707">
        <w:tblPrEx>
          <w:tblCellMar>
            <w:top w:w="0" w:type="dxa"/>
            <w:bottom w:w="0" w:type="dxa"/>
          </w:tblCellMar>
        </w:tblPrEx>
        <w:tc>
          <w:tcPr>
            <w:tcW w:w="743" w:type="pct"/>
            <w:vMerge w:val="restart"/>
            <w:shd w:val="clear" w:color="auto" w:fill="auto"/>
          </w:tcPr>
          <w:p w:rsidR="00C17529" w:rsidRPr="0012760D" w:rsidRDefault="00C17529" w:rsidP="001B3A3E">
            <w:pPr>
              <w:rPr>
                <w:sz w:val="24"/>
                <w:szCs w:val="24"/>
              </w:rPr>
            </w:pPr>
            <w:r w:rsidRPr="0012760D">
              <w:rPr>
                <w:bCs/>
                <w:sz w:val="24"/>
                <w:szCs w:val="24"/>
              </w:rPr>
              <w:t>Water</w:t>
            </w:r>
            <w:r w:rsidRPr="0012760D">
              <w:rPr>
                <w:bCs/>
                <w:sz w:val="24"/>
                <w:szCs w:val="24"/>
                <w:vertAlign w:val="superscript"/>
              </w:rPr>
              <w:t>8</w:t>
            </w:r>
          </w:p>
        </w:tc>
        <w:tc>
          <w:tcPr>
            <w:tcW w:w="1183" w:type="pct"/>
            <w:shd w:val="clear" w:color="auto" w:fill="auto"/>
          </w:tcPr>
          <w:p w:rsidR="00C17529" w:rsidRPr="0012760D" w:rsidRDefault="00C17529" w:rsidP="001B3A3E">
            <w:pPr>
              <w:rPr>
                <w:sz w:val="24"/>
                <w:szCs w:val="24"/>
              </w:rPr>
            </w:pPr>
            <w:r w:rsidRPr="0012760D">
              <w:rPr>
                <w:sz w:val="24"/>
                <w:szCs w:val="24"/>
              </w:rPr>
              <w:t>Potable Consumption per THC</w:t>
            </w:r>
          </w:p>
        </w:tc>
        <w:tc>
          <w:tcPr>
            <w:tcW w:w="788" w:type="pct"/>
            <w:shd w:val="clear" w:color="auto" w:fill="auto"/>
          </w:tcPr>
          <w:p w:rsidR="00C17529" w:rsidRPr="0012760D" w:rsidRDefault="00C17529" w:rsidP="001B3A3E">
            <w:pPr>
              <w:rPr>
                <w:sz w:val="24"/>
                <w:szCs w:val="24"/>
              </w:rPr>
            </w:pPr>
            <w:r w:rsidRPr="0012760D">
              <w:rPr>
                <w:sz w:val="24"/>
                <w:szCs w:val="24"/>
              </w:rPr>
              <w:t>Kilolitres per THC</w:t>
            </w:r>
          </w:p>
        </w:tc>
        <w:tc>
          <w:tcPr>
            <w:tcW w:w="448" w:type="pct"/>
            <w:shd w:val="clear" w:color="auto" w:fill="auto"/>
          </w:tcPr>
          <w:p w:rsidR="00C17529" w:rsidRPr="0012760D" w:rsidRDefault="00C17529" w:rsidP="001B3A3E">
            <w:pPr>
              <w:jc w:val="right"/>
              <w:rPr>
                <w:sz w:val="24"/>
                <w:szCs w:val="24"/>
              </w:rPr>
            </w:pPr>
            <w:r w:rsidRPr="0012760D">
              <w:rPr>
                <w:sz w:val="24"/>
                <w:szCs w:val="24"/>
              </w:rPr>
              <w:t>2.48</w:t>
            </w:r>
          </w:p>
        </w:tc>
        <w:tc>
          <w:tcPr>
            <w:tcW w:w="442" w:type="pct"/>
            <w:shd w:val="clear" w:color="auto" w:fill="auto"/>
          </w:tcPr>
          <w:p w:rsidR="00C17529" w:rsidRPr="0012760D" w:rsidRDefault="00C17529" w:rsidP="001B3A3E">
            <w:pPr>
              <w:jc w:val="right"/>
              <w:rPr>
                <w:sz w:val="24"/>
                <w:szCs w:val="24"/>
              </w:rPr>
            </w:pPr>
            <w:r w:rsidRPr="0012760D">
              <w:rPr>
                <w:sz w:val="24"/>
                <w:szCs w:val="24"/>
              </w:rPr>
              <w:t>2.86</w:t>
            </w:r>
          </w:p>
        </w:tc>
        <w:tc>
          <w:tcPr>
            <w:tcW w:w="447" w:type="pct"/>
            <w:shd w:val="clear" w:color="auto" w:fill="auto"/>
          </w:tcPr>
          <w:p w:rsidR="00C17529" w:rsidRPr="0012760D" w:rsidRDefault="00C17529" w:rsidP="001B3A3E">
            <w:pPr>
              <w:jc w:val="right"/>
              <w:rPr>
                <w:sz w:val="24"/>
                <w:szCs w:val="24"/>
              </w:rPr>
            </w:pPr>
            <w:r w:rsidRPr="0012760D">
              <w:rPr>
                <w:sz w:val="24"/>
                <w:szCs w:val="24"/>
              </w:rPr>
              <w:t>2.42</w:t>
            </w:r>
          </w:p>
        </w:tc>
        <w:tc>
          <w:tcPr>
            <w:tcW w:w="451" w:type="pct"/>
            <w:shd w:val="clear" w:color="auto" w:fill="auto"/>
          </w:tcPr>
          <w:p w:rsidR="00C17529" w:rsidRPr="0012760D" w:rsidRDefault="00C17529" w:rsidP="001B3A3E">
            <w:pPr>
              <w:jc w:val="right"/>
              <w:rPr>
                <w:sz w:val="24"/>
                <w:szCs w:val="24"/>
              </w:rPr>
            </w:pPr>
            <w:r w:rsidRPr="0012760D">
              <w:rPr>
                <w:sz w:val="24"/>
                <w:szCs w:val="24"/>
              </w:rPr>
              <w:t>5.31</w:t>
            </w:r>
          </w:p>
        </w:tc>
        <w:tc>
          <w:tcPr>
            <w:tcW w:w="498" w:type="pct"/>
            <w:shd w:val="clear" w:color="auto" w:fill="auto"/>
          </w:tcPr>
          <w:p w:rsidR="00C17529" w:rsidRPr="0012760D" w:rsidRDefault="00C17529" w:rsidP="001B3A3E">
            <w:pPr>
              <w:jc w:val="right"/>
              <w:rPr>
                <w:sz w:val="24"/>
                <w:szCs w:val="24"/>
              </w:rPr>
            </w:pPr>
            <w:r w:rsidRPr="0012760D">
              <w:rPr>
                <w:sz w:val="24"/>
                <w:szCs w:val="24"/>
              </w:rPr>
              <w:t>8.02</w:t>
            </w:r>
          </w:p>
        </w:tc>
      </w:tr>
      <w:tr w:rsidR="00C17529" w:rsidRPr="0012760D" w:rsidTr="00B66707">
        <w:tblPrEx>
          <w:tblCellMar>
            <w:top w:w="0" w:type="dxa"/>
            <w:bottom w:w="0" w:type="dxa"/>
          </w:tblCellMar>
        </w:tblPrEx>
        <w:tc>
          <w:tcPr>
            <w:tcW w:w="743" w:type="pct"/>
            <w:vMerge/>
            <w:shd w:val="clear" w:color="auto" w:fill="auto"/>
          </w:tcPr>
          <w:p w:rsidR="00C17529" w:rsidRPr="0012760D" w:rsidRDefault="00C17529" w:rsidP="001B3A3E">
            <w:pPr>
              <w:rPr>
                <w:sz w:val="24"/>
                <w:szCs w:val="24"/>
              </w:rPr>
            </w:pPr>
          </w:p>
        </w:tc>
        <w:tc>
          <w:tcPr>
            <w:tcW w:w="1183" w:type="pct"/>
            <w:shd w:val="clear" w:color="auto" w:fill="auto"/>
          </w:tcPr>
          <w:p w:rsidR="00C17529" w:rsidRPr="0012760D" w:rsidRDefault="00C17529" w:rsidP="001B3A3E">
            <w:pPr>
              <w:rPr>
                <w:sz w:val="24"/>
                <w:szCs w:val="24"/>
              </w:rPr>
            </w:pPr>
            <w:r w:rsidRPr="0012760D">
              <w:rPr>
                <w:sz w:val="24"/>
                <w:szCs w:val="24"/>
              </w:rPr>
              <w:t>Potable Consumption per FTE</w:t>
            </w:r>
          </w:p>
        </w:tc>
        <w:tc>
          <w:tcPr>
            <w:tcW w:w="788" w:type="pct"/>
            <w:shd w:val="clear" w:color="auto" w:fill="auto"/>
          </w:tcPr>
          <w:p w:rsidR="00C17529" w:rsidRPr="0012760D" w:rsidRDefault="00C17529" w:rsidP="001B3A3E">
            <w:pPr>
              <w:rPr>
                <w:sz w:val="24"/>
                <w:szCs w:val="24"/>
              </w:rPr>
            </w:pPr>
            <w:r w:rsidRPr="0012760D">
              <w:rPr>
                <w:sz w:val="24"/>
                <w:szCs w:val="24"/>
              </w:rPr>
              <w:t>Kilolitres per FTE</w:t>
            </w:r>
          </w:p>
        </w:tc>
        <w:tc>
          <w:tcPr>
            <w:tcW w:w="448" w:type="pct"/>
            <w:shd w:val="clear" w:color="auto" w:fill="auto"/>
          </w:tcPr>
          <w:p w:rsidR="00C17529" w:rsidRPr="0012760D" w:rsidRDefault="00C17529" w:rsidP="001B3A3E">
            <w:pPr>
              <w:jc w:val="right"/>
              <w:rPr>
                <w:sz w:val="24"/>
                <w:szCs w:val="24"/>
              </w:rPr>
            </w:pPr>
            <w:r w:rsidRPr="0012760D">
              <w:rPr>
                <w:sz w:val="24"/>
                <w:szCs w:val="24"/>
              </w:rPr>
              <w:t>2.94</w:t>
            </w:r>
          </w:p>
        </w:tc>
        <w:tc>
          <w:tcPr>
            <w:tcW w:w="442" w:type="pct"/>
            <w:shd w:val="clear" w:color="auto" w:fill="auto"/>
          </w:tcPr>
          <w:p w:rsidR="00C17529" w:rsidRPr="0012760D" w:rsidRDefault="00C17529" w:rsidP="001B3A3E">
            <w:pPr>
              <w:jc w:val="right"/>
              <w:rPr>
                <w:sz w:val="24"/>
                <w:szCs w:val="24"/>
              </w:rPr>
            </w:pPr>
            <w:r w:rsidRPr="0012760D">
              <w:rPr>
                <w:sz w:val="24"/>
                <w:szCs w:val="24"/>
              </w:rPr>
              <w:t>2.96</w:t>
            </w:r>
          </w:p>
        </w:tc>
        <w:tc>
          <w:tcPr>
            <w:tcW w:w="447" w:type="pct"/>
            <w:shd w:val="clear" w:color="auto" w:fill="auto"/>
          </w:tcPr>
          <w:p w:rsidR="00C17529" w:rsidRPr="0012760D" w:rsidRDefault="00C17529" w:rsidP="001B3A3E">
            <w:pPr>
              <w:jc w:val="right"/>
              <w:rPr>
                <w:sz w:val="24"/>
                <w:szCs w:val="24"/>
              </w:rPr>
            </w:pPr>
            <w:r w:rsidRPr="0012760D">
              <w:rPr>
                <w:sz w:val="24"/>
                <w:szCs w:val="24"/>
              </w:rPr>
              <w:t>2.40</w:t>
            </w:r>
          </w:p>
        </w:tc>
        <w:tc>
          <w:tcPr>
            <w:tcW w:w="451" w:type="pct"/>
            <w:shd w:val="clear" w:color="auto" w:fill="auto"/>
          </w:tcPr>
          <w:p w:rsidR="00C17529" w:rsidRPr="0012760D" w:rsidRDefault="00C17529" w:rsidP="001B3A3E">
            <w:pPr>
              <w:jc w:val="right"/>
              <w:rPr>
                <w:sz w:val="24"/>
                <w:szCs w:val="24"/>
              </w:rPr>
            </w:pPr>
            <w:r w:rsidRPr="0012760D">
              <w:rPr>
                <w:sz w:val="24"/>
                <w:szCs w:val="24"/>
              </w:rPr>
              <w:t>5.69</w:t>
            </w:r>
          </w:p>
        </w:tc>
        <w:tc>
          <w:tcPr>
            <w:tcW w:w="498" w:type="pct"/>
            <w:shd w:val="clear" w:color="auto" w:fill="auto"/>
          </w:tcPr>
          <w:p w:rsidR="00C17529" w:rsidRPr="0012760D" w:rsidRDefault="00C17529" w:rsidP="001B3A3E">
            <w:pPr>
              <w:jc w:val="right"/>
              <w:rPr>
                <w:sz w:val="24"/>
                <w:szCs w:val="24"/>
              </w:rPr>
            </w:pPr>
            <w:r w:rsidRPr="0012760D">
              <w:rPr>
                <w:sz w:val="24"/>
                <w:szCs w:val="24"/>
              </w:rPr>
              <w:t>8.49</w:t>
            </w:r>
          </w:p>
        </w:tc>
      </w:tr>
      <w:tr w:rsidR="00C17529" w:rsidRPr="0012760D" w:rsidTr="00B66707">
        <w:tblPrEx>
          <w:tblCellMar>
            <w:top w:w="0" w:type="dxa"/>
            <w:bottom w:w="0" w:type="dxa"/>
          </w:tblCellMar>
        </w:tblPrEx>
        <w:tc>
          <w:tcPr>
            <w:tcW w:w="743" w:type="pct"/>
            <w:vMerge/>
            <w:shd w:val="clear" w:color="auto" w:fill="auto"/>
          </w:tcPr>
          <w:p w:rsidR="00C17529" w:rsidRPr="0012760D" w:rsidRDefault="00C17529" w:rsidP="001B3A3E">
            <w:pPr>
              <w:rPr>
                <w:sz w:val="24"/>
                <w:szCs w:val="24"/>
              </w:rPr>
            </w:pPr>
          </w:p>
        </w:tc>
        <w:tc>
          <w:tcPr>
            <w:tcW w:w="1183" w:type="pct"/>
            <w:shd w:val="clear" w:color="auto" w:fill="auto"/>
          </w:tcPr>
          <w:p w:rsidR="00C17529" w:rsidRPr="0012760D" w:rsidRDefault="00C17529" w:rsidP="001B3A3E">
            <w:pPr>
              <w:rPr>
                <w:sz w:val="24"/>
                <w:szCs w:val="24"/>
              </w:rPr>
            </w:pPr>
            <w:r w:rsidRPr="0012760D">
              <w:rPr>
                <w:sz w:val="24"/>
                <w:szCs w:val="24"/>
              </w:rPr>
              <w:t>Potable Consumption per unit of Office Space</w:t>
            </w:r>
          </w:p>
        </w:tc>
        <w:tc>
          <w:tcPr>
            <w:tcW w:w="788" w:type="pct"/>
            <w:shd w:val="clear" w:color="auto" w:fill="auto"/>
          </w:tcPr>
          <w:p w:rsidR="00C17529" w:rsidRPr="0012760D" w:rsidRDefault="00C17529" w:rsidP="001B3A3E">
            <w:pPr>
              <w:rPr>
                <w:sz w:val="24"/>
                <w:szCs w:val="24"/>
              </w:rPr>
            </w:pPr>
            <w:r w:rsidRPr="0012760D">
              <w:rPr>
                <w:sz w:val="24"/>
                <w:szCs w:val="24"/>
              </w:rPr>
              <w:t>Kilolitres per m squared</w:t>
            </w:r>
          </w:p>
        </w:tc>
        <w:tc>
          <w:tcPr>
            <w:tcW w:w="448" w:type="pct"/>
            <w:shd w:val="clear" w:color="auto" w:fill="auto"/>
          </w:tcPr>
          <w:p w:rsidR="00C17529" w:rsidRPr="0012760D" w:rsidRDefault="00C17529" w:rsidP="001B3A3E">
            <w:pPr>
              <w:jc w:val="right"/>
              <w:rPr>
                <w:sz w:val="24"/>
                <w:szCs w:val="24"/>
              </w:rPr>
            </w:pPr>
            <w:r w:rsidRPr="0012760D">
              <w:rPr>
                <w:sz w:val="24"/>
                <w:szCs w:val="24"/>
              </w:rPr>
              <w:t>0.20</w:t>
            </w:r>
          </w:p>
        </w:tc>
        <w:tc>
          <w:tcPr>
            <w:tcW w:w="442" w:type="pct"/>
            <w:shd w:val="clear" w:color="auto" w:fill="auto"/>
          </w:tcPr>
          <w:p w:rsidR="00C17529" w:rsidRPr="0012760D" w:rsidRDefault="00C17529" w:rsidP="001B3A3E">
            <w:pPr>
              <w:jc w:val="right"/>
              <w:rPr>
                <w:sz w:val="24"/>
                <w:szCs w:val="24"/>
              </w:rPr>
            </w:pPr>
            <w:r w:rsidRPr="0012760D">
              <w:rPr>
                <w:sz w:val="24"/>
                <w:szCs w:val="24"/>
              </w:rPr>
              <w:t>0.21</w:t>
            </w:r>
          </w:p>
        </w:tc>
        <w:tc>
          <w:tcPr>
            <w:tcW w:w="447" w:type="pct"/>
            <w:shd w:val="clear" w:color="auto" w:fill="auto"/>
          </w:tcPr>
          <w:p w:rsidR="00C17529" w:rsidRPr="0012760D" w:rsidRDefault="00C17529" w:rsidP="001B3A3E">
            <w:pPr>
              <w:jc w:val="right"/>
              <w:rPr>
                <w:sz w:val="24"/>
                <w:szCs w:val="24"/>
              </w:rPr>
            </w:pPr>
            <w:r w:rsidRPr="0012760D">
              <w:rPr>
                <w:sz w:val="24"/>
                <w:szCs w:val="24"/>
              </w:rPr>
              <w:t>0.19</w:t>
            </w:r>
          </w:p>
        </w:tc>
        <w:tc>
          <w:tcPr>
            <w:tcW w:w="451" w:type="pct"/>
            <w:shd w:val="clear" w:color="auto" w:fill="auto"/>
          </w:tcPr>
          <w:p w:rsidR="00C17529" w:rsidRPr="0012760D" w:rsidRDefault="00C17529" w:rsidP="001B3A3E">
            <w:pPr>
              <w:jc w:val="right"/>
              <w:rPr>
                <w:sz w:val="24"/>
                <w:szCs w:val="24"/>
              </w:rPr>
            </w:pPr>
            <w:r w:rsidRPr="0012760D">
              <w:rPr>
                <w:sz w:val="24"/>
                <w:szCs w:val="24"/>
              </w:rPr>
              <w:t>0.37</w:t>
            </w:r>
          </w:p>
        </w:tc>
        <w:tc>
          <w:tcPr>
            <w:tcW w:w="498" w:type="pct"/>
            <w:shd w:val="clear" w:color="auto" w:fill="auto"/>
          </w:tcPr>
          <w:p w:rsidR="00C17529" w:rsidRPr="0012760D" w:rsidRDefault="00C17529" w:rsidP="001B3A3E">
            <w:pPr>
              <w:jc w:val="right"/>
              <w:rPr>
                <w:sz w:val="24"/>
                <w:szCs w:val="24"/>
              </w:rPr>
            </w:pPr>
            <w:r w:rsidRPr="0012760D">
              <w:rPr>
                <w:sz w:val="24"/>
                <w:szCs w:val="24"/>
              </w:rPr>
              <w:t>0.45</w:t>
            </w:r>
          </w:p>
        </w:tc>
      </w:tr>
      <w:tr w:rsidR="00C17529" w:rsidRPr="0012760D" w:rsidTr="00B66707">
        <w:tblPrEx>
          <w:tblCellMar>
            <w:top w:w="0" w:type="dxa"/>
            <w:bottom w:w="0" w:type="dxa"/>
          </w:tblCellMar>
        </w:tblPrEx>
        <w:tc>
          <w:tcPr>
            <w:tcW w:w="743" w:type="pct"/>
            <w:vMerge/>
            <w:shd w:val="clear" w:color="auto" w:fill="auto"/>
          </w:tcPr>
          <w:p w:rsidR="00C17529" w:rsidRPr="0012760D" w:rsidRDefault="00C17529" w:rsidP="001B3A3E">
            <w:pPr>
              <w:rPr>
                <w:sz w:val="24"/>
                <w:szCs w:val="24"/>
              </w:rPr>
            </w:pPr>
          </w:p>
        </w:tc>
        <w:tc>
          <w:tcPr>
            <w:tcW w:w="1183" w:type="pct"/>
            <w:shd w:val="clear" w:color="auto" w:fill="auto"/>
          </w:tcPr>
          <w:p w:rsidR="00C17529" w:rsidRPr="0012760D" w:rsidRDefault="00C17529" w:rsidP="001B3A3E">
            <w:pPr>
              <w:rPr>
                <w:sz w:val="24"/>
                <w:szCs w:val="24"/>
              </w:rPr>
            </w:pPr>
            <w:r w:rsidRPr="0012760D">
              <w:rPr>
                <w:sz w:val="24"/>
                <w:szCs w:val="24"/>
              </w:rPr>
              <w:t>Total potable water consumption</w:t>
            </w:r>
          </w:p>
        </w:tc>
        <w:tc>
          <w:tcPr>
            <w:tcW w:w="788" w:type="pct"/>
            <w:shd w:val="clear" w:color="auto" w:fill="auto"/>
          </w:tcPr>
          <w:p w:rsidR="00C17529" w:rsidRPr="0012760D" w:rsidRDefault="00C17529" w:rsidP="001B3A3E">
            <w:pPr>
              <w:rPr>
                <w:sz w:val="24"/>
                <w:szCs w:val="24"/>
              </w:rPr>
            </w:pPr>
            <w:r w:rsidRPr="0012760D">
              <w:rPr>
                <w:sz w:val="24"/>
                <w:szCs w:val="24"/>
              </w:rPr>
              <w:t>Kilolitres</w:t>
            </w:r>
          </w:p>
        </w:tc>
        <w:tc>
          <w:tcPr>
            <w:tcW w:w="448" w:type="pct"/>
            <w:shd w:val="clear" w:color="auto" w:fill="auto"/>
          </w:tcPr>
          <w:p w:rsidR="00C17529" w:rsidRPr="0012760D" w:rsidRDefault="00C17529" w:rsidP="001B3A3E">
            <w:pPr>
              <w:jc w:val="right"/>
              <w:rPr>
                <w:sz w:val="24"/>
                <w:szCs w:val="24"/>
              </w:rPr>
            </w:pPr>
            <w:r w:rsidRPr="0012760D">
              <w:rPr>
                <w:sz w:val="24"/>
                <w:szCs w:val="24"/>
              </w:rPr>
              <w:t>394</w:t>
            </w:r>
          </w:p>
        </w:tc>
        <w:tc>
          <w:tcPr>
            <w:tcW w:w="442" w:type="pct"/>
            <w:shd w:val="clear" w:color="auto" w:fill="auto"/>
          </w:tcPr>
          <w:p w:rsidR="00C17529" w:rsidRPr="0012760D" w:rsidRDefault="00C17529" w:rsidP="001B3A3E">
            <w:pPr>
              <w:jc w:val="right"/>
              <w:rPr>
                <w:sz w:val="24"/>
                <w:szCs w:val="24"/>
              </w:rPr>
            </w:pPr>
            <w:r w:rsidRPr="0012760D">
              <w:rPr>
                <w:sz w:val="24"/>
                <w:szCs w:val="24"/>
              </w:rPr>
              <w:t>408</w:t>
            </w:r>
          </w:p>
        </w:tc>
        <w:tc>
          <w:tcPr>
            <w:tcW w:w="447" w:type="pct"/>
            <w:shd w:val="clear" w:color="auto" w:fill="auto"/>
          </w:tcPr>
          <w:p w:rsidR="00C17529" w:rsidRPr="0012760D" w:rsidRDefault="00C17529" w:rsidP="001B3A3E">
            <w:pPr>
              <w:jc w:val="right"/>
              <w:rPr>
                <w:sz w:val="24"/>
                <w:szCs w:val="24"/>
              </w:rPr>
            </w:pPr>
            <w:r w:rsidRPr="0012760D">
              <w:rPr>
                <w:sz w:val="24"/>
                <w:szCs w:val="24"/>
              </w:rPr>
              <w:t>376</w:t>
            </w:r>
          </w:p>
        </w:tc>
        <w:tc>
          <w:tcPr>
            <w:tcW w:w="451" w:type="pct"/>
            <w:shd w:val="clear" w:color="auto" w:fill="auto"/>
          </w:tcPr>
          <w:p w:rsidR="00C17529" w:rsidRPr="0012760D" w:rsidRDefault="00C17529" w:rsidP="001B3A3E">
            <w:pPr>
              <w:jc w:val="right"/>
              <w:rPr>
                <w:sz w:val="24"/>
                <w:szCs w:val="24"/>
              </w:rPr>
            </w:pPr>
            <w:r w:rsidRPr="0012760D">
              <w:rPr>
                <w:sz w:val="24"/>
                <w:szCs w:val="24"/>
              </w:rPr>
              <w:t>727</w:t>
            </w:r>
          </w:p>
        </w:tc>
        <w:tc>
          <w:tcPr>
            <w:tcW w:w="498" w:type="pct"/>
            <w:shd w:val="clear" w:color="auto" w:fill="auto"/>
          </w:tcPr>
          <w:p w:rsidR="00C17529" w:rsidRPr="0012760D" w:rsidRDefault="00C17529" w:rsidP="001B3A3E">
            <w:pPr>
              <w:jc w:val="right"/>
              <w:rPr>
                <w:sz w:val="24"/>
                <w:szCs w:val="24"/>
              </w:rPr>
            </w:pPr>
            <w:r w:rsidRPr="0012760D">
              <w:rPr>
                <w:sz w:val="24"/>
                <w:szCs w:val="24"/>
              </w:rPr>
              <w:t>874</w:t>
            </w:r>
          </w:p>
        </w:tc>
      </w:tr>
      <w:tr w:rsidR="00C17529" w:rsidRPr="0012760D" w:rsidTr="00B66707">
        <w:tblPrEx>
          <w:tblCellMar>
            <w:top w:w="0" w:type="dxa"/>
            <w:bottom w:w="0" w:type="dxa"/>
          </w:tblCellMar>
        </w:tblPrEx>
        <w:tc>
          <w:tcPr>
            <w:tcW w:w="743" w:type="pct"/>
            <w:vMerge/>
            <w:shd w:val="clear" w:color="auto" w:fill="auto"/>
          </w:tcPr>
          <w:p w:rsidR="00C17529" w:rsidRPr="0012760D" w:rsidRDefault="00C17529" w:rsidP="001B3A3E">
            <w:pPr>
              <w:rPr>
                <w:sz w:val="24"/>
                <w:szCs w:val="24"/>
              </w:rPr>
            </w:pPr>
          </w:p>
        </w:tc>
        <w:tc>
          <w:tcPr>
            <w:tcW w:w="1183" w:type="pct"/>
            <w:shd w:val="clear" w:color="auto" w:fill="auto"/>
          </w:tcPr>
          <w:p w:rsidR="00C17529" w:rsidRPr="0012760D" w:rsidRDefault="00C17529" w:rsidP="001B3A3E">
            <w:pPr>
              <w:rPr>
                <w:sz w:val="24"/>
                <w:szCs w:val="24"/>
              </w:rPr>
            </w:pPr>
            <w:r w:rsidRPr="0012760D">
              <w:rPr>
                <w:sz w:val="24"/>
                <w:szCs w:val="24"/>
              </w:rPr>
              <w:t>Recycled water floor only</w:t>
            </w:r>
          </w:p>
        </w:tc>
        <w:tc>
          <w:tcPr>
            <w:tcW w:w="788" w:type="pct"/>
            <w:shd w:val="clear" w:color="auto" w:fill="auto"/>
          </w:tcPr>
          <w:p w:rsidR="00C17529" w:rsidRPr="0012760D" w:rsidRDefault="00C17529" w:rsidP="001B3A3E">
            <w:pPr>
              <w:rPr>
                <w:sz w:val="24"/>
                <w:szCs w:val="24"/>
              </w:rPr>
            </w:pPr>
            <w:r w:rsidRPr="0012760D">
              <w:rPr>
                <w:sz w:val="24"/>
                <w:szCs w:val="24"/>
              </w:rPr>
              <w:t>Kilolitres</w:t>
            </w:r>
          </w:p>
        </w:tc>
        <w:tc>
          <w:tcPr>
            <w:tcW w:w="448" w:type="pct"/>
            <w:shd w:val="clear" w:color="auto" w:fill="auto"/>
          </w:tcPr>
          <w:p w:rsidR="00C17529" w:rsidRPr="0012760D" w:rsidRDefault="00C17529" w:rsidP="001B3A3E">
            <w:pPr>
              <w:jc w:val="right"/>
              <w:rPr>
                <w:sz w:val="24"/>
                <w:szCs w:val="24"/>
              </w:rPr>
            </w:pPr>
            <w:r w:rsidRPr="0012760D">
              <w:rPr>
                <w:sz w:val="24"/>
                <w:szCs w:val="24"/>
              </w:rPr>
              <w:t>592</w:t>
            </w:r>
          </w:p>
        </w:tc>
        <w:tc>
          <w:tcPr>
            <w:tcW w:w="442" w:type="pct"/>
            <w:shd w:val="clear" w:color="auto" w:fill="auto"/>
          </w:tcPr>
          <w:p w:rsidR="00C17529" w:rsidRPr="0012760D" w:rsidRDefault="00C17529" w:rsidP="001B3A3E">
            <w:pPr>
              <w:jc w:val="right"/>
              <w:rPr>
                <w:sz w:val="24"/>
                <w:szCs w:val="24"/>
              </w:rPr>
            </w:pPr>
            <w:r w:rsidRPr="0012760D">
              <w:rPr>
                <w:sz w:val="24"/>
                <w:szCs w:val="24"/>
              </w:rPr>
              <w:t>613</w:t>
            </w:r>
          </w:p>
        </w:tc>
        <w:tc>
          <w:tcPr>
            <w:tcW w:w="447" w:type="pct"/>
            <w:shd w:val="clear" w:color="auto" w:fill="auto"/>
          </w:tcPr>
          <w:p w:rsidR="00C17529" w:rsidRPr="0012760D" w:rsidRDefault="00C17529" w:rsidP="001B3A3E">
            <w:pPr>
              <w:jc w:val="right"/>
              <w:rPr>
                <w:sz w:val="24"/>
                <w:szCs w:val="24"/>
              </w:rPr>
            </w:pPr>
            <w:r w:rsidRPr="0012760D">
              <w:rPr>
                <w:sz w:val="24"/>
                <w:szCs w:val="24"/>
              </w:rPr>
              <w:t>563</w:t>
            </w:r>
          </w:p>
        </w:tc>
        <w:tc>
          <w:tcPr>
            <w:tcW w:w="451" w:type="pct"/>
            <w:shd w:val="clear" w:color="auto" w:fill="auto"/>
          </w:tcPr>
          <w:p w:rsidR="00C17529" w:rsidRPr="0012760D" w:rsidRDefault="00C17529" w:rsidP="001B3A3E">
            <w:pPr>
              <w:jc w:val="right"/>
              <w:rPr>
                <w:sz w:val="24"/>
                <w:szCs w:val="24"/>
              </w:rPr>
            </w:pPr>
            <w:r w:rsidRPr="0012760D">
              <w:rPr>
                <w:sz w:val="24"/>
                <w:szCs w:val="24"/>
              </w:rPr>
              <w:t>50</w:t>
            </w:r>
          </w:p>
        </w:tc>
        <w:tc>
          <w:tcPr>
            <w:tcW w:w="498" w:type="pct"/>
            <w:shd w:val="clear" w:color="auto" w:fill="auto"/>
          </w:tcPr>
          <w:p w:rsidR="00C17529" w:rsidRPr="0012760D" w:rsidRDefault="00C17529" w:rsidP="001B3A3E">
            <w:pPr>
              <w:jc w:val="right"/>
              <w:rPr>
                <w:sz w:val="24"/>
                <w:szCs w:val="24"/>
              </w:rPr>
            </w:pPr>
            <w:r w:rsidRPr="0012760D">
              <w:rPr>
                <w:sz w:val="24"/>
                <w:szCs w:val="24"/>
              </w:rPr>
              <w:t>0</w:t>
            </w:r>
          </w:p>
        </w:tc>
      </w:tr>
      <w:tr w:rsidR="00C17529" w:rsidRPr="0012760D" w:rsidTr="00B66707">
        <w:tblPrEx>
          <w:tblCellMar>
            <w:top w:w="0" w:type="dxa"/>
            <w:bottom w:w="0" w:type="dxa"/>
          </w:tblCellMar>
        </w:tblPrEx>
        <w:tc>
          <w:tcPr>
            <w:tcW w:w="743" w:type="pct"/>
            <w:vMerge/>
            <w:shd w:val="clear" w:color="auto" w:fill="auto"/>
          </w:tcPr>
          <w:p w:rsidR="00C17529" w:rsidRPr="0012760D" w:rsidRDefault="00C17529" w:rsidP="001B3A3E">
            <w:pPr>
              <w:rPr>
                <w:sz w:val="24"/>
                <w:szCs w:val="24"/>
              </w:rPr>
            </w:pPr>
          </w:p>
        </w:tc>
        <w:tc>
          <w:tcPr>
            <w:tcW w:w="1183" w:type="pct"/>
            <w:shd w:val="clear" w:color="auto" w:fill="auto"/>
          </w:tcPr>
          <w:p w:rsidR="00C17529" w:rsidRPr="0012760D" w:rsidRDefault="00C17529" w:rsidP="001B3A3E">
            <w:pPr>
              <w:rPr>
                <w:sz w:val="24"/>
                <w:szCs w:val="24"/>
              </w:rPr>
            </w:pPr>
            <w:r w:rsidRPr="0012760D">
              <w:rPr>
                <w:sz w:val="24"/>
                <w:szCs w:val="24"/>
              </w:rPr>
              <w:t>Apportioned water consumption per FTE</w:t>
            </w:r>
          </w:p>
        </w:tc>
        <w:tc>
          <w:tcPr>
            <w:tcW w:w="788" w:type="pct"/>
            <w:shd w:val="clear" w:color="auto" w:fill="auto"/>
          </w:tcPr>
          <w:p w:rsidR="00C17529" w:rsidRPr="0012760D" w:rsidRDefault="00C17529" w:rsidP="001B3A3E">
            <w:pPr>
              <w:rPr>
                <w:sz w:val="24"/>
                <w:szCs w:val="24"/>
              </w:rPr>
            </w:pPr>
            <w:r w:rsidRPr="0012760D">
              <w:rPr>
                <w:sz w:val="24"/>
                <w:szCs w:val="24"/>
              </w:rPr>
              <w:t>Kilolitres per FTE</w:t>
            </w:r>
          </w:p>
        </w:tc>
        <w:tc>
          <w:tcPr>
            <w:tcW w:w="448" w:type="pct"/>
            <w:shd w:val="clear" w:color="auto" w:fill="auto"/>
          </w:tcPr>
          <w:p w:rsidR="00C17529" w:rsidRPr="0012760D" w:rsidRDefault="00C17529" w:rsidP="001B3A3E">
            <w:pPr>
              <w:jc w:val="right"/>
              <w:rPr>
                <w:sz w:val="24"/>
                <w:szCs w:val="24"/>
              </w:rPr>
            </w:pPr>
            <w:r w:rsidRPr="0012760D">
              <w:rPr>
                <w:sz w:val="24"/>
                <w:szCs w:val="24"/>
              </w:rPr>
              <w:t>7.36</w:t>
            </w:r>
          </w:p>
        </w:tc>
        <w:tc>
          <w:tcPr>
            <w:tcW w:w="442" w:type="pct"/>
            <w:shd w:val="clear" w:color="auto" w:fill="auto"/>
          </w:tcPr>
          <w:p w:rsidR="00C17529" w:rsidRPr="0012760D" w:rsidRDefault="00C17529" w:rsidP="001B3A3E">
            <w:pPr>
              <w:jc w:val="right"/>
              <w:rPr>
                <w:sz w:val="24"/>
                <w:szCs w:val="24"/>
              </w:rPr>
            </w:pPr>
            <w:r w:rsidRPr="0012760D">
              <w:rPr>
                <w:sz w:val="24"/>
                <w:szCs w:val="24"/>
              </w:rPr>
              <w:t>7.41</w:t>
            </w:r>
          </w:p>
        </w:tc>
        <w:tc>
          <w:tcPr>
            <w:tcW w:w="447" w:type="pct"/>
            <w:shd w:val="clear" w:color="auto" w:fill="auto"/>
          </w:tcPr>
          <w:p w:rsidR="00C17529" w:rsidRPr="0012760D" w:rsidRDefault="00C17529" w:rsidP="001B3A3E">
            <w:pPr>
              <w:jc w:val="right"/>
              <w:rPr>
                <w:sz w:val="24"/>
                <w:szCs w:val="24"/>
              </w:rPr>
            </w:pPr>
            <w:r w:rsidRPr="0012760D">
              <w:rPr>
                <w:sz w:val="24"/>
                <w:szCs w:val="24"/>
              </w:rPr>
              <w:t>6.01</w:t>
            </w:r>
          </w:p>
        </w:tc>
        <w:tc>
          <w:tcPr>
            <w:tcW w:w="451" w:type="pct"/>
            <w:shd w:val="clear" w:color="auto" w:fill="auto"/>
          </w:tcPr>
          <w:p w:rsidR="00C17529" w:rsidRPr="0012760D" w:rsidRDefault="00C17529" w:rsidP="001B3A3E">
            <w:pPr>
              <w:jc w:val="right"/>
              <w:rPr>
                <w:sz w:val="24"/>
                <w:szCs w:val="24"/>
              </w:rPr>
            </w:pPr>
            <w:r w:rsidRPr="0012760D">
              <w:rPr>
                <w:sz w:val="24"/>
                <w:szCs w:val="24"/>
              </w:rPr>
              <w:t>6.08</w:t>
            </w:r>
          </w:p>
        </w:tc>
        <w:tc>
          <w:tcPr>
            <w:tcW w:w="498" w:type="pct"/>
            <w:shd w:val="clear" w:color="auto" w:fill="auto"/>
          </w:tcPr>
          <w:p w:rsidR="00C17529" w:rsidRPr="0012760D" w:rsidRDefault="00C17529" w:rsidP="001B3A3E">
            <w:pPr>
              <w:jc w:val="right"/>
              <w:rPr>
                <w:sz w:val="24"/>
                <w:szCs w:val="24"/>
              </w:rPr>
            </w:pPr>
            <w:r w:rsidRPr="0012760D">
              <w:rPr>
                <w:sz w:val="24"/>
                <w:szCs w:val="24"/>
              </w:rPr>
              <w:t>8.49</w:t>
            </w:r>
          </w:p>
        </w:tc>
      </w:tr>
      <w:tr w:rsidR="00C17529" w:rsidRPr="0012760D" w:rsidTr="00B66707">
        <w:tblPrEx>
          <w:tblCellMar>
            <w:top w:w="0" w:type="dxa"/>
            <w:bottom w:w="0" w:type="dxa"/>
          </w:tblCellMar>
        </w:tblPrEx>
        <w:tc>
          <w:tcPr>
            <w:tcW w:w="743" w:type="pct"/>
            <w:vMerge/>
            <w:shd w:val="clear" w:color="auto" w:fill="auto"/>
          </w:tcPr>
          <w:p w:rsidR="00C17529" w:rsidRPr="0012760D" w:rsidRDefault="00C17529" w:rsidP="001B3A3E">
            <w:pPr>
              <w:rPr>
                <w:sz w:val="24"/>
                <w:szCs w:val="24"/>
              </w:rPr>
            </w:pPr>
          </w:p>
        </w:tc>
        <w:tc>
          <w:tcPr>
            <w:tcW w:w="1183" w:type="pct"/>
            <w:shd w:val="clear" w:color="auto" w:fill="auto"/>
          </w:tcPr>
          <w:p w:rsidR="00C17529" w:rsidRPr="0012760D" w:rsidRDefault="00C17529" w:rsidP="001B3A3E">
            <w:pPr>
              <w:rPr>
                <w:sz w:val="24"/>
                <w:szCs w:val="24"/>
              </w:rPr>
            </w:pPr>
            <w:r w:rsidRPr="0012760D">
              <w:rPr>
                <w:sz w:val="24"/>
                <w:szCs w:val="24"/>
              </w:rPr>
              <w:t>Total apportioned water consumption</w:t>
            </w:r>
            <w:r w:rsidRPr="0012760D">
              <w:rPr>
                <w:sz w:val="24"/>
                <w:szCs w:val="24"/>
                <w:vertAlign w:val="superscript"/>
              </w:rPr>
              <w:t>9</w:t>
            </w:r>
          </w:p>
        </w:tc>
        <w:tc>
          <w:tcPr>
            <w:tcW w:w="788" w:type="pct"/>
            <w:shd w:val="clear" w:color="auto" w:fill="auto"/>
          </w:tcPr>
          <w:p w:rsidR="00C17529" w:rsidRPr="0012760D" w:rsidRDefault="00C17529" w:rsidP="001B3A3E">
            <w:pPr>
              <w:rPr>
                <w:sz w:val="24"/>
                <w:szCs w:val="24"/>
              </w:rPr>
            </w:pPr>
            <w:r w:rsidRPr="0012760D">
              <w:rPr>
                <w:sz w:val="24"/>
                <w:szCs w:val="24"/>
              </w:rPr>
              <w:t>Kilolitres</w:t>
            </w:r>
          </w:p>
        </w:tc>
        <w:tc>
          <w:tcPr>
            <w:tcW w:w="448" w:type="pct"/>
            <w:shd w:val="clear" w:color="auto" w:fill="auto"/>
          </w:tcPr>
          <w:p w:rsidR="00C17529" w:rsidRPr="0012760D" w:rsidRDefault="00C17529" w:rsidP="001B3A3E">
            <w:pPr>
              <w:jc w:val="right"/>
              <w:rPr>
                <w:sz w:val="24"/>
                <w:szCs w:val="24"/>
              </w:rPr>
            </w:pPr>
            <w:r w:rsidRPr="0012760D">
              <w:rPr>
                <w:sz w:val="24"/>
                <w:szCs w:val="24"/>
              </w:rPr>
              <w:t>986</w:t>
            </w:r>
          </w:p>
        </w:tc>
        <w:tc>
          <w:tcPr>
            <w:tcW w:w="442" w:type="pct"/>
            <w:shd w:val="clear" w:color="auto" w:fill="auto"/>
          </w:tcPr>
          <w:p w:rsidR="00C17529" w:rsidRPr="0012760D" w:rsidRDefault="00C17529" w:rsidP="001B3A3E">
            <w:pPr>
              <w:jc w:val="right"/>
              <w:rPr>
                <w:sz w:val="24"/>
                <w:szCs w:val="24"/>
              </w:rPr>
            </w:pPr>
            <w:r w:rsidRPr="0012760D">
              <w:rPr>
                <w:sz w:val="24"/>
                <w:szCs w:val="24"/>
              </w:rPr>
              <w:t>1021</w:t>
            </w:r>
          </w:p>
        </w:tc>
        <w:tc>
          <w:tcPr>
            <w:tcW w:w="447" w:type="pct"/>
            <w:shd w:val="clear" w:color="auto" w:fill="auto"/>
          </w:tcPr>
          <w:p w:rsidR="00C17529" w:rsidRPr="0012760D" w:rsidRDefault="00C17529" w:rsidP="001B3A3E">
            <w:pPr>
              <w:jc w:val="right"/>
              <w:rPr>
                <w:sz w:val="24"/>
                <w:szCs w:val="24"/>
              </w:rPr>
            </w:pPr>
            <w:r w:rsidRPr="0012760D">
              <w:rPr>
                <w:sz w:val="24"/>
                <w:szCs w:val="24"/>
              </w:rPr>
              <w:t>939</w:t>
            </w:r>
          </w:p>
        </w:tc>
        <w:tc>
          <w:tcPr>
            <w:tcW w:w="451" w:type="pct"/>
            <w:shd w:val="clear" w:color="auto" w:fill="auto"/>
          </w:tcPr>
          <w:p w:rsidR="00C17529" w:rsidRPr="0012760D" w:rsidRDefault="00C17529" w:rsidP="001B3A3E">
            <w:pPr>
              <w:jc w:val="right"/>
              <w:rPr>
                <w:sz w:val="24"/>
                <w:szCs w:val="24"/>
              </w:rPr>
            </w:pPr>
            <w:r w:rsidRPr="0012760D">
              <w:rPr>
                <w:sz w:val="24"/>
                <w:szCs w:val="24"/>
              </w:rPr>
              <w:t>777</w:t>
            </w:r>
          </w:p>
        </w:tc>
        <w:tc>
          <w:tcPr>
            <w:tcW w:w="498" w:type="pct"/>
            <w:shd w:val="clear" w:color="auto" w:fill="auto"/>
          </w:tcPr>
          <w:p w:rsidR="00C17529" w:rsidRPr="0012760D" w:rsidRDefault="00C17529" w:rsidP="001B3A3E">
            <w:pPr>
              <w:jc w:val="right"/>
              <w:rPr>
                <w:sz w:val="24"/>
                <w:szCs w:val="24"/>
              </w:rPr>
            </w:pPr>
            <w:r w:rsidRPr="0012760D">
              <w:rPr>
                <w:sz w:val="24"/>
                <w:szCs w:val="24"/>
              </w:rPr>
              <w:t>874</w:t>
            </w:r>
          </w:p>
        </w:tc>
      </w:tr>
      <w:tr w:rsidR="00C17529" w:rsidRPr="0012760D" w:rsidTr="00B66707">
        <w:tblPrEx>
          <w:tblCellMar>
            <w:top w:w="0" w:type="dxa"/>
            <w:bottom w:w="0" w:type="dxa"/>
          </w:tblCellMar>
        </w:tblPrEx>
        <w:tc>
          <w:tcPr>
            <w:tcW w:w="743" w:type="pct"/>
            <w:vMerge w:val="restart"/>
            <w:shd w:val="clear" w:color="auto" w:fill="auto"/>
          </w:tcPr>
          <w:p w:rsidR="00C17529" w:rsidRPr="0012760D" w:rsidRDefault="00C17529" w:rsidP="001B3A3E">
            <w:pPr>
              <w:rPr>
                <w:sz w:val="24"/>
                <w:szCs w:val="24"/>
              </w:rPr>
            </w:pPr>
            <w:r w:rsidRPr="0012760D">
              <w:rPr>
                <w:bCs/>
                <w:sz w:val="24"/>
                <w:szCs w:val="24"/>
              </w:rPr>
              <w:t>Transportation</w:t>
            </w:r>
            <w:r w:rsidRPr="0012760D">
              <w:rPr>
                <w:bCs/>
                <w:sz w:val="24"/>
                <w:szCs w:val="24"/>
                <w:vertAlign w:val="superscript"/>
              </w:rPr>
              <w:t>10</w:t>
            </w:r>
          </w:p>
        </w:tc>
        <w:tc>
          <w:tcPr>
            <w:tcW w:w="1183" w:type="pct"/>
            <w:shd w:val="clear" w:color="auto" w:fill="auto"/>
          </w:tcPr>
          <w:p w:rsidR="00C17529" w:rsidRPr="0012760D" w:rsidRDefault="00C17529" w:rsidP="001B3A3E">
            <w:pPr>
              <w:rPr>
                <w:sz w:val="24"/>
                <w:szCs w:val="24"/>
              </w:rPr>
            </w:pPr>
            <w:r w:rsidRPr="0012760D">
              <w:rPr>
                <w:sz w:val="24"/>
                <w:szCs w:val="24"/>
              </w:rPr>
              <w:t>Energy consumption per THC</w:t>
            </w:r>
          </w:p>
        </w:tc>
        <w:tc>
          <w:tcPr>
            <w:tcW w:w="788" w:type="pct"/>
            <w:shd w:val="clear" w:color="auto" w:fill="auto"/>
          </w:tcPr>
          <w:p w:rsidR="00C17529" w:rsidRPr="0012760D" w:rsidRDefault="00C17529" w:rsidP="001B3A3E">
            <w:pPr>
              <w:rPr>
                <w:sz w:val="24"/>
                <w:szCs w:val="24"/>
              </w:rPr>
            </w:pPr>
            <w:r w:rsidRPr="0012760D">
              <w:rPr>
                <w:sz w:val="24"/>
                <w:szCs w:val="24"/>
              </w:rPr>
              <w:t>Gigajoules per THC</w:t>
            </w:r>
          </w:p>
        </w:tc>
        <w:tc>
          <w:tcPr>
            <w:tcW w:w="448" w:type="pct"/>
            <w:shd w:val="clear" w:color="auto" w:fill="auto"/>
          </w:tcPr>
          <w:p w:rsidR="00C17529" w:rsidRPr="0012760D" w:rsidRDefault="00C17529" w:rsidP="001B3A3E">
            <w:pPr>
              <w:jc w:val="right"/>
              <w:rPr>
                <w:sz w:val="24"/>
                <w:szCs w:val="24"/>
              </w:rPr>
            </w:pPr>
            <w:r w:rsidRPr="0012760D">
              <w:rPr>
                <w:sz w:val="24"/>
                <w:szCs w:val="24"/>
              </w:rPr>
              <w:t>1.3</w:t>
            </w:r>
          </w:p>
        </w:tc>
        <w:tc>
          <w:tcPr>
            <w:tcW w:w="442" w:type="pct"/>
            <w:shd w:val="clear" w:color="auto" w:fill="auto"/>
          </w:tcPr>
          <w:p w:rsidR="00C17529" w:rsidRPr="0012760D" w:rsidRDefault="00C17529" w:rsidP="001B3A3E">
            <w:pPr>
              <w:jc w:val="right"/>
              <w:rPr>
                <w:sz w:val="24"/>
                <w:szCs w:val="24"/>
              </w:rPr>
            </w:pPr>
            <w:r w:rsidRPr="0012760D">
              <w:rPr>
                <w:sz w:val="24"/>
                <w:szCs w:val="24"/>
              </w:rPr>
              <w:t>1.32</w:t>
            </w:r>
          </w:p>
        </w:tc>
        <w:tc>
          <w:tcPr>
            <w:tcW w:w="447" w:type="pct"/>
            <w:shd w:val="clear" w:color="auto" w:fill="auto"/>
          </w:tcPr>
          <w:p w:rsidR="00C17529" w:rsidRPr="0012760D" w:rsidRDefault="00C17529" w:rsidP="001B3A3E">
            <w:pPr>
              <w:jc w:val="right"/>
              <w:rPr>
                <w:sz w:val="24"/>
                <w:szCs w:val="24"/>
              </w:rPr>
            </w:pPr>
            <w:r w:rsidRPr="0012760D">
              <w:rPr>
                <w:sz w:val="24"/>
                <w:szCs w:val="24"/>
              </w:rPr>
              <w:t>1.24</w:t>
            </w:r>
          </w:p>
        </w:tc>
        <w:tc>
          <w:tcPr>
            <w:tcW w:w="451" w:type="pct"/>
            <w:shd w:val="clear" w:color="auto" w:fill="auto"/>
          </w:tcPr>
          <w:p w:rsidR="00C17529" w:rsidRPr="0012760D" w:rsidRDefault="00C17529" w:rsidP="001B3A3E">
            <w:pPr>
              <w:jc w:val="right"/>
              <w:rPr>
                <w:sz w:val="24"/>
                <w:szCs w:val="24"/>
              </w:rPr>
            </w:pPr>
            <w:r w:rsidRPr="0012760D">
              <w:rPr>
                <w:sz w:val="24"/>
                <w:szCs w:val="24"/>
              </w:rPr>
              <w:t>2.32</w:t>
            </w:r>
          </w:p>
        </w:tc>
        <w:tc>
          <w:tcPr>
            <w:tcW w:w="498" w:type="pct"/>
            <w:shd w:val="clear" w:color="auto" w:fill="auto"/>
          </w:tcPr>
          <w:p w:rsidR="00C17529" w:rsidRPr="0012760D" w:rsidRDefault="00C17529" w:rsidP="001B3A3E">
            <w:pPr>
              <w:jc w:val="right"/>
              <w:rPr>
                <w:sz w:val="24"/>
                <w:szCs w:val="24"/>
              </w:rPr>
            </w:pPr>
            <w:r w:rsidRPr="0012760D">
              <w:rPr>
                <w:sz w:val="24"/>
                <w:szCs w:val="24"/>
              </w:rPr>
              <w:t>4.58</w:t>
            </w:r>
          </w:p>
        </w:tc>
      </w:tr>
      <w:tr w:rsidR="00C17529" w:rsidRPr="0012760D" w:rsidTr="00B66707">
        <w:tblPrEx>
          <w:tblCellMar>
            <w:top w:w="0" w:type="dxa"/>
            <w:bottom w:w="0" w:type="dxa"/>
          </w:tblCellMar>
        </w:tblPrEx>
        <w:tc>
          <w:tcPr>
            <w:tcW w:w="743" w:type="pct"/>
            <w:vMerge/>
            <w:shd w:val="clear" w:color="auto" w:fill="auto"/>
          </w:tcPr>
          <w:p w:rsidR="00C17529" w:rsidRPr="0012760D" w:rsidRDefault="00C17529" w:rsidP="001B3A3E">
            <w:pPr>
              <w:rPr>
                <w:sz w:val="24"/>
                <w:szCs w:val="24"/>
              </w:rPr>
            </w:pPr>
          </w:p>
        </w:tc>
        <w:tc>
          <w:tcPr>
            <w:tcW w:w="1183" w:type="pct"/>
            <w:shd w:val="clear" w:color="auto" w:fill="auto"/>
          </w:tcPr>
          <w:p w:rsidR="00C17529" w:rsidRPr="0012760D" w:rsidRDefault="00C17529" w:rsidP="001B3A3E">
            <w:pPr>
              <w:rPr>
                <w:sz w:val="24"/>
                <w:szCs w:val="24"/>
              </w:rPr>
            </w:pPr>
            <w:r w:rsidRPr="0012760D">
              <w:rPr>
                <w:sz w:val="24"/>
                <w:szCs w:val="24"/>
              </w:rPr>
              <w:t>Energy consumption per FTE</w:t>
            </w:r>
          </w:p>
        </w:tc>
        <w:tc>
          <w:tcPr>
            <w:tcW w:w="788" w:type="pct"/>
            <w:shd w:val="clear" w:color="auto" w:fill="auto"/>
          </w:tcPr>
          <w:p w:rsidR="00C17529" w:rsidRPr="0012760D" w:rsidRDefault="00C17529" w:rsidP="001B3A3E">
            <w:pPr>
              <w:rPr>
                <w:sz w:val="24"/>
                <w:szCs w:val="24"/>
              </w:rPr>
            </w:pPr>
            <w:r w:rsidRPr="0012760D">
              <w:rPr>
                <w:sz w:val="24"/>
                <w:szCs w:val="24"/>
              </w:rPr>
              <w:t>Gigajoules per FTE</w:t>
            </w:r>
          </w:p>
        </w:tc>
        <w:tc>
          <w:tcPr>
            <w:tcW w:w="448" w:type="pct"/>
            <w:shd w:val="clear" w:color="auto" w:fill="auto"/>
          </w:tcPr>
          <w:p w:rsidR="00C17529" w:rsidRPr="0012760D" w:rsidRDefault="00C17529" w:rsidP="001B3A3E">
            <w:pPr>
              <w:jc w:val="right"/>
              <w:rPr>
                <w:sz w:val="24"/>
                <w:szCs w:val="24"/>
              </w:rPr>
            </w:pPr>
            <w:r w:rsidRPr="0012760D">
              <w:rPr>
                <w:sz w:val="24"/>
                <w:szCs w:val="24"/>
              </w:rPr>
              <w:t>1.4</w:t>
            </w:r>
          </w:p>
        </w:tc>
        <w:tc>
          <w:tcPr>
            <w:tcW w:w="442" w:type="pct"/>
            <w:shd w:val="clear" w:color="auto" w:fill="auto"/>
          </w:tcPr>
          <w:p w:rsidR="00C17529" w:rsidRPr="0012760D" w:rsidRDefault="00C17529" w:rsidP="001B3A3E">
            <w:pPr>
              <w:jc w:val="right"/>
              <w:rPr>
                <w:sz w:val="24"/>
                <w:szCs w:val="24"/>
              </w:rPr>
            </w:pPr>
            <w:r w:rsidRPr="0012760D">
              <w:rPr>
                <w:sz w:val="24"/>
                <w:szCs w:val="24"/>
              </w:rPr>
              <w:t>1.42</w:t>
            </w:r>
          </w:p>
        </w:tc>
        <w:tc>
          <w:tcPr>
            <w:tcW w:w="447" w:type="pct"/>
            <w:shd w:val="clear" w:color="auto" w:fill="auto"/>
          </w:tcPr>
          <w:p w:rsidR="00C17529" w:rsidRPr="0012760D" w:rsidRDefault="00C17529" w:rsidP="001B3A3E">
            <w:pPr>
              <w:jc w:val="right"/>
              <w:rPr>
                <w:sz w:val="24"/>
                <w:szCs w:val="24"/>
              </w:rPr>
            </w:pPr>
            <w:r w:rsidRPr="0012760D">
              <w:rPr>
                <w:sz w:val="24"/>
                <w:szCs w:val="24"/>
              </w:rPr>
              <w:t>1.23</w:t>
            </w:r>
          </w:p>
        </w:tc>
        <w:tc>
          <w:tcPr>
            <w:tcW w:w="451" w:type="pct"/>
            <w:shd w:val="clear" w:color="auto" w:fill="auto"/>
          </w:tcPr>
          <w:p w:rsidR="00C17529" w:rsidRPr="0012760D" w:rsidRDefault="00C17529" w:rsidP="001B3A3E">
            <w:pPr>
              <w:jc w:val="right"/>
              <w:rPr>
                <w:sz w:val="24"/>
                <w:szCs w:val="24"/>
              </w:rPr>
            </w:pPr>
            <w:r w:rsidRPr="0012760D">
              <w:rPr>
                <w:sz w:val="24"/>
                <w:szCs w:val="24"/>
              </w:rPr>
              <w:t>2.5</w:t>
            </w:r>
          </w:p>
        </w:tc>
        <w:tc>
          <w:tcPr>
            <w:tcW w:w="498" w:type="pct"/>
            <w:shd w:val="clear" w:color="auto" w:fill="auto"/>
          </w:tcPr>
          <w:p w:rsidR="00C17529" w:rsidRPr="0012760D" w:rsidRDefault="00C17529" w:rsidP="001B3A3E">
            <w:pPr>
              <w:jc w:val="right"/>
              <w:rPr>
                <w:sz w:val="24"/>
                <w:szCs w:val="24"/>
              </w:rPr>
            </w:pPr>
            <w:r w:rsidRPr="0012760D">
              <w:rPr>
                <w:sz w:val="24"/>
                <w:szCs w:val="24"/>
              </w:rPr>
              <w:t>4.85</w:t>
            </w:r>
          </w:p>
        </w:tc>
      </w:tr>
      <w:tr w:rsidR="00C17529" w:rsidRPr="0012760D" w:rsidTr="00B66707">
        <w:tblPrEx>
          <w:tblCellMar>
            <w:top w:w="0" w:type="dxa"/>
            <w:bottom w:w="0" w:type="dxa"/>
          </w:tblCellMar>
        </w:tblPrEx>
        <w:tc>
          <w:tcPr>
            <w:tcW w:w="743" w:type="pct"/>
            <w:vMerge/>
            <w:shd w:val="clear" w:color="auto" w:fill="auto"/>
          </w:tcPr>
          <w:p w:rsidR="00C17529" w:rsidRPr="0012760D" w:rsidRDefault="00C17529" w:rsidP="001B3A3E">
            <w:pPr>
              <w:rPr>
                <w:sz w:val="24"/>
                <w:szCs w:val="24"/>
              </w:rPr>
            </w:pPr>
          </w:p>
        </w:tc>
        <w:tc>
          <w:tcPr>
            <w:tcW w:w="1183" w:type="pct"/>
            <w:shd w:val="clear" w:color="auto" w:fill="auto"/>
          </w:tcPr>
          <w:p w:rsidR="00C17529" w:rsidRPr="0012760D" w:rsidRDefault="00C17529" w:rsidP="001B3A3E">
            <w:pPr>
              <w:rPr>
                <w:sz w:val="24"/>
                <w:szCs w:val="24"/>
              </w:rPr>
            </w:pPr>
            <w:r w:rsidRPr="0012760D">
              <w:rPr>
                <w:sz w:val="24"/>
                <w:szCs w:val="24"/>
              </w:rPr>
              <w:t>Total energy consumption</w:t>
            </w:r>
          </w:p>
        </w:tc>
        <w:tc>
          <w:tcPr>
            <w:tcW w:w="788" w:type="pct"/>
            <w:shd w:val="clear" w:color="auto" w:fill="auto"/>
          </w:tcPr>
          <w:p w:rsidR="00C17529" w:rsidRPr="0012760D" w:rsidRDefault="00C17529" w:rsidP="001B3A3E">
            <w:pPr>
              <w:rPr>
                <w:sz w:val="24"/>
                <w:szCs w:val="24"/>
              </w:rPr>
            </w:pPr>
            <w:r w:rsidRPr="0012760D">
              <w:rPr>
                <w:sz w:val="24"/>
                <w:szCs w:val="24"/>
              </w:rPr>
              <w:t>Gigajoules</w:t>
            </w:r>
          </w:p>
        </w:tc>
        <w:tc>
          <w:tcPr>
            <w:tcW w:w="448" w:type="pct"/>
            <w:shd w:val="clear" w:color="auto" w:fill="auto"/>
          </w:tcPr>
          <w:p w:rsidR="00C17529" w:rsidRPr="0012760D" w:rsidRDefault="00C17529" w:rsidP="001B3A3E">
            <w:pPr>
              <w:jc w:val="right"/>
              <w:rPr>
                <w:sz w:val="24"/>
                <w:szCs w:val="24"/>
              </w:rPr>
            </w:pPr>
            <w:r w:rsidRPr="0012760D">
              <w:rPr>
                <w:sz w:val="24"/>
                <w:szCs w:val="24"/>
              </w:rPr>
              <w:t>188</w:t>
            </w:r>
          </w:p>
        </w:tc>
        <w:tc>
          <w:tcPr>
            <w:tcW w:w="442" w:type="pct"/>
            <w:shd w:val="clear" w:color="auto" w:fill="auto"/>
          </w:tcPr>
          <w:p w:rsidR="00C17529" w:rsidRPr="0012760D" w:rsidRDefault="00C17529" w:rsidP="001B3A3E">
            <w:pPr>
              <w:jc w:val="right"/>
              <w:rPr>
                <w:sz w:val="24"/>
                <w:szCs w:val="24"/>
              </w:rPr>
            </w:pPr>
            <w:r w:rsidRPr="0012760D">
              <w:rPr>
                <w:sz w:val="24"/>
                <w:szCs w:val="24"/>
              </w:rPr>
              <w:t>195.07</w:t>
            </w:r>
          </w:p>
        </w:tc>
        <w:tc>
          <w:tcPr>
            <w:tcW w:w="447" w:type="pct"/>
            <w:shd w:val="clear" w:color="auto" w:fill="auto"/>
          </w:tcPr>
          <w:p w:rsidR="00C17529" w:rsidRPr="0012760D" w:rsidRDefault="00C17529" w:rsidP="001B3A3E">
            <w:pPr>
              <w:jc w:val="right"/>
              <w:rPr>
                <w:sz w:val="24"/>
                <w:szCs w:val="24"/>
              </w:rPr>
            </w:pPr>
            <w:r w:rsidRPr="0012760D">
              <w:rPr>
                <w:sz w:val="24"/>
                <w:szCs w:val="24"/>
              </w:rPr>
              <w:t>192.38</w:t>
            </w:r>
          </w:p>
        </w:tc>
        <w:tc>
          <w:tcPr>
            <w:tcW w:w="451" w:type="pct"/>
            <w:shd w:val="clear" w:color="auto" w:fill="auto"/>
          </w:tcPr>
          <w:p w:rsidR="00C17529" w:rsidRPr="0012760D" w:rsidRDefault="00C17529" w:rsidP="001B3A3E">
            <w:pPr>
              <w:jc w:val="right"/>
              <w:rPr>
                <w:sz w:val="24"/>
                <w:szCs w:val="24"/>
              </w:rPr>
            </w:pPr>
            <w:r w:rsidRPr="0012760D">
              <w:rPr>
                <w:sz w:val="24"/>
                <w:szCs w:val="24"/>
              </w:rPr>
              <w:t>317.49</w:t>
            </w:r>
          </w:p>
        </w:tc>
        <w:tc>
          <w:tcPr>
            <w:tcW w:w="498" w:type="pct"/>
            <w:shd w:val="clear" w:color="auto" w:fill="auto"/>
          </w:tcPr>
          <w:p w:rsidR="00C17529" w:rsidRPr="0012760D" w:rsidRDefault="00C17529" w:rsidP="001B3A3E">
            <w:pPr>
              <w:jc w:val="right"/>
              <w:rPr>
                <w:sz w:val="24"/>
                <w:szCs w:val="24"/>
              </w:rPr>
            </w:pPr>
            <w:r w:rsidRPr="0012760D">
              <w:rPr>
                <w:sz w:val="24"/>
                <w:szCs w:val="24"/>
              </w:rPr>
              <w:t>499</w:t>
            </w:r>
          </w:p>
        </w:tc>
      </w:tr>
      <w:tr w:rsidR="00C17529" w:rsidRPr="0012760D" w:rsidTr="00B66707">
        <w:tblPrEx>
          <w:tblCellMar>
            <w:top w:w="0" w:type="dxa"/>
            <w:bottom w:w="0" w:type="dxa"/>
          </w:tblCellMar>
        </w:tblPrEx>
        <w:tc>
          <w:tcPr>
            <w:tcW w:w="743" w:type="pct"/>
            <w:vMerge/>
            <w:shd w:val="clear" w:color="auto" w:fill="auto"/>
          </w:tcPr>
          <w:p w:rsidR="00C17529" w:rsidRPr="0012760D" w:rsidRDefault="00C17529" w:rsidP="001B3A3E">
            <w:pPr>
              <w:rPr>
                <w:sz w:val="24"/>
                <w:szCs w:val="24"/>
              </w:rPr>
            </w:pPr>
          </w:p>
        </w:tc>
        <w:tc>
          <w:tcPr>
            <w:tcW w:w="1183" w:type="pct"/>
            <w:shd w:val="clear" w:color="auto" w:fill="auto"/>
          </w:tcPr>
          <w:p w:rsidR="00C17529" w:rsidRPr="0012760D" w:rsidRDefault="00C17529" w:rsidP="001B3A3E">
            <w:pPr>
              <w:rPr>
                <w:sz w:val="24"/>
                <w:szCs w:val="24"/>
              </w:rPr>
            </w:pPr>
            <w:r w:rsidRPr="0012760D">
              <w:rPr>
                <w:sz w:val="24"/>
                <w:szCs w:val="24"/>
              </w:rPr>
              <w:t>Total vehicle travel by vehicle type</w:t>
            </w:r>
            <w:r w:rsidRPr="0012760D">
              <w:rPr>
                <w:sz w:val="24"/>
                <w:szCs w:val="24"/>
                <w:vertAlign w:val="superscript"/>
              </w:rPr>
              <w:t>11</w:t>
            </w:r>
          </w:p>
        </w:tc>
        <w:tc>
          <w:tcPr>
            <w:tcW w:w="788" w:type="pct"/>
            <w:shd w:val="clear" w:color="auto" w:fill="auto"/>
          </w:tcPr>
          <w:p w:rsidR="00C17529" w:rsidRPr="0012760D" w:rsidRDefault="00C17529" w:rsidP="001B3A3E">
            <w:pPr>
              <w:rPr>
                <w:sz w:val="24"/>
                <w:szCs w:val="24"/>
              </w:rPr>
            </w:pPr>
            <w:r w:rsidRPr="0012760D">
              <w:rPr>
                <w:sz w:val="24"/>
                <w:szCs w:val="24"/>
              </w:rPr>
              <w:t>Kilometres</w:t>
            </w:r>
          </w:p>
        </w:tc>
        <w:tc>
          <w:tcPr>
            <w:tcW w:w="448" w:type="pct"/>
            <w:shd w:val="clear" w:color="auto" w:fill="auto"/>
          </w:tcPr>
          <w:p w:rsidR="00C17529" w:rsidRPr="0012760D" w:rsidRDefault="00C17529" w:rsidP="001B3A3E">
            <w:pPr>
              <w:jc w:val="right"/>
              <w:rPr>
                <w:sz w:val="24"/>
                <w:szCs w:val="24"/>
              </w:rPr>
            </w:pPr>
            <w:r w:rsidRPr="0012760D">
              <w:rPr>
                <w:sz w:val="24"/>
                <w:szCs w:val="24"/>
              </w:rPr>
              <w:t>125,074</w:t>
            </w:r>
          </w:p>
        </w:tc>
        <w:tc>
          <w:tcPr>
            <w:tcW w:w="442" w:type="pct"/>
            <w:shd w:val="clear" w:color="auto" w:fill="auto"/>
          </w:tcPr>
          <w:p w:rsidR="00C17529" w:rsidRPr="0012760D" w:rsidRDefault="00C17529" w:rsidP="001B3A3E">
            <w:pPr>
              <w:jc w:val="right"/>
              <w:rPr>
                <w:sz w:val="24"/>
                <w:szCs w:val="24"/>
              </w:rPr>
            </w:pPr>
            <w:r w:rsidRPr="0012760D">
              <w:rPr>
                <w:sz w:val="24"/>
                <w:szCs w:val="24"/>
              </w:rPr>
              <w:t>124,977</w:t>
            </w:r>
          </w:p>
        </w:tc>
        <w:tc>
          <w:tcPr>
            <w:tcW w:w="447" w:type="pct"/>
            <w:shd w:val="clear" w:color="auto" w:fill="auto"/>
          </w:tcPr>
          <w:p w:rsidR="00C17529" w:rsidRPr="0012760D" w:rsidRDefault="00C17529" w:rsidP="001B3A3E">
            <w:pPr>
              <w:jc w:val="right"/>
              <w:rPr>
                <w:sz w:val="24"/>
                <w:szCs w:val="24"/>
              </w:rPr>
            </w:pPr>
            <w:r w:rsidRPr="0012760D">
              <w:rPr>
                <w:sz w:val="24"/>
                <w:szCs w:val="24"/>
              </w:rPr>
              <w:t>90,050</w:t>
            </w:r>
          </w:p>
        </w:tc>
        <w:tc>
          <w:tcPr>
            <w:tcW w:w="451" w:type="pct"/>
            <w:shd w:val="clear" w:color="auto" w:fill="auto"/>
          </w:tcPr>
          <w:p w:rsidR="00C17529" w:rsidRPr="0012760D" w:rsidRDefault="00C17529" w:rsidP="001B3A3E">
            <w:pPr>
              <w:jc w:val="right"/>
              <w:rPr>
                <w:sz w:val="24"/>
                <w:szCs w:val="24"/>
              </w:rPr>
            </w:pPr>
            <w:r w:rsidRPr="0012760D">
              <w:rPr>
                <w:sz w:val="24"/>
                <w:szCs w:val="24"/>
              </w:rPr>
              <w:t>167,426</w:t>
            </w:r>
          </w:p>
        </w:tc>
        <w:tc>
          <w:tcPr>
            <w:tcW w:w="498" w:type="pct"/>
            <w:shd w:val="clear" w:color="auto" w:fill="auto"/>
          </w:tcPr>
          <w:p w:rsidR="00C17529" w:rsidRPr="0012760D" w:rsidRDefault="00C17529" w:rsidP="001B3A3E">
            <w:pPr>
              <w:jc w:val="right"/>
              <w:rPr>
                <w:sz w:val="24"/>
                <w:szCs w:val="24"/>
              </w:rPr>
            </w:pPr>
            <w:r w:rsidRPr="0012760D">
              <w:rPr>
                <w:sz w:val="24"/>
                <w:szCs w:val="24"/>
              </w:rPr>
              <w:t>239,469</w:t>
            </w:r>
          </w:p>
        </w:tc>
      </w:tr>
      <w:tr w:rsidR="00C17529" w:rsidRPr="0012760D" w:rsidTr="00B66707">
        <w:tblPrEx>
          <w:tblCellMar>
            <w:top w:w="0" w:type="dxa"/>
            <w:bottom w:w="0" w:type="dxa"/>
          </w:tblCellMar>
        </w:tblPrEx>
        <w:tc>
          <w:tcPr>
            <w:tcW w:w="743" w:type="pct"/>
            <w:vMerge/>
            <w:shd w:val="clear" w:color="auto" w:fill="auto"/>
          </w:tcPr>
          <w:p w:rsidR="00C17529" w:rsidRPr="0012760D" w:rsidRDefault="00C17529" w:rsidP="001B3A3E">
            <w:pPr>
              <w:rPr>
                <w:sz w:val="24"/>
                <w:szCs w:val="24"/>
              </w:rPr>
            </w:pPr>
          </w:p>
        </w:tc>
        <w:tc>
          <w:tcPr>
            <w:tcW w:w="1183" w:type="pct"/>
            <w:shd w:val="clear" w:color="auto" w:fill="auto"/>
          </w:tcPr>
          <w:p w:rsidR="00C17529" w:rsidRPr="0012760D" w:rsidRDefault="00C17529" w:rsidP="001B3A3E">
            <w:pPr>
              <w:rPr>
                <w:sz w:val="24"/>
                <w:szCs w:val="24"/>
              </w:rPr>
            </w:pPr>
            <w:r w:rsidRPr="0012760D">
              <w:rPr>
                <w:sz w:val="24"/>
                <w:szCs w:val="24"/>
              </w:rPr>
              <w:t>Total associated GHG emissions</w:t>
            </w:r>
          </w:p>
        </w:tc>
        <w:tc>
          <w:tcPr>
            <w:tcW w:w="788" w:type="pct"/>
            <w:shd w:val="clear" w:color="auto" w:fill="auto"/>
          </w:tcPr>
          <w:p w:rsidR="00C17529" w:rsidRPr="0012760D" w:rsidRDefault="00B66707" w:rsidP="001B3A3E">
            <w:pPr>
              <w:rPr>
                <w:sz w:val="24"/>
                <w:szCs w:val="24"/>
              </w:rPr>
            </w:pPr>
            <w:r>
              <w:rPr>
                <w:sz w:val="24"/>
                <w:szCs w:val="24"/>
              </w:rPr>
              <w:t>Kilograms of C O</w:t>
            </w:r>
            <w:r w:rsidR="00C17529" w:rsidRPr="0012760D">
              <w:rPr>
                <w:sz w:val="24"/>
                <w:szCs w:val="24"/>
                <w:vertAlign w:val="subscript"/>
              </w:rPr>
              <w:t>2</w:t>
            </w:r>
            <w:r w:rsidR="00C17529" w:rsidRPr="0012760D">
              <w:rPr>
                <w:sz w:val="24"/>
                <w:szCs w:val="24"/>
              </w:rPr>
              <w:t>-e</w:t>
            </w:r>
          </w:p>
        </w:tc>
        <w:tc>
          <w:tcPr>
            <w:tcW w:w="448" w:type="pct"/>
            <w:shd w:val="clear" w:color="auto" w:fill="auto"/>
          </w:tcPr>
          <w:p w:rsidR="00C17529" w:rsidRPr="0012760D" w:rsidRDefault="00C17529" w:rsidP="001B3A3E">
            <w:pPr>
              <w:jc w:val="right"/>
              <w:rPr>
                <w:sz w:val="24"/>
                <w:szCs w:val="24"/>
              </w:rPr>
            </w:pPr>
            <w:r w:rsidRPr="0012760D">
              <w:rPr>
                <w:sz w:val="24"/>
                <w:szCs w:val="24"/>
              </w:rPr>
              <w:t>12,547</w:t>
            </w:r>
          </w:p>
        </w:tc>
        <w:tc>
          <w:tcPr>
            <w:tcW w:w="442" w:type="pct"/>
            <w:shd w:val="clear" w:color="auto" w:fill="auto"/>
          </w:tcPr>
          <w:p w:rsidR="00C17529" w:rsidRPr="0012760D" w:rsidRDefault="00C17529" w:rsidP="001B3A3E">
            <w:pPr>
              <w:jc w:val="right"/>
              <w:rPr>
                <w:sz w:val="24"/>
                <w:szCs w:val="24"/>
              </w:rPr>
            </w:pPr>
            <w:r w:rsidRPr="0012760D">
              <w:rPr>
                <w:sz w:val="24"/>
                <w:szCs w:val="24"/>
              </w:rPr>
              <w:t>13,054</w:t>
            </w:r>
          </w:p>
        </w:tc>
        <w:tc>
          <w:tcPr>
            <w:tcW w:w="447" w:type="pct"/>
            <w:shd w:val="clear" w:color="auto" w:fill="auto"/>
          </w:tcPr>
          <w:p w:rsidR="00C17529" w:rsidRPr="0012760D" w:rsidRDefault="00C17529" w:rsidP="001B3A3E">
            <w:pPr>
              <w:jc w:val="right"/>
              <w:rPr>
                <w:sz w:val="24"/>
                <w:szCs w:val="24"/>
              </w:rPr>
            </w:pPr>
            <w:r w:rsidRPr="0012760D">
              <w:rPr>
                <w:sz w:val="24"/>
                <w:szCs w:val="24"/>
              </w:rPr>
              <w:t>12,874</w:t>
            </w:r>
          </w:p>
        </w:tc>
        <w:tc>
          <w:tcPr>
            <w:tcW w:w="451" w:type="pct"/>
            <w:shd w:val="clear" w:color="auto" w:fill="auto"/>
          </w:tcPr>
          <w:p w:rsidR="00C17529" w:rsidRPr="0012760D" w:rsidRDefault="00C17529" w:rsidP="001B3A3E">
            <w:pPr>
              <w:jc w:val="right"/>
              <w:rPr>
                <w:sz w:val="24"/>
                <w:szCs w:val="24"/>
              </w:rPr>
            </w:pPr>
            <w:r w:rsidRPr="0012760D">
              <w:rPr>
                <w:sz w:val="24"/>
                <w:szCs w:val="24"/>
              </w:rPr>
              <w:t>21,246</w:t>
            </w:r>
          </w:p>
        </w:tc>
        <w:tc>
          <w:tcPr>
            <w:tcW w:w="498" w:type="pct"/>
            <w:shd w:val="clear" w:color="auto" w:fill="auto"/>
          </w:tcPr>
          <w:p w:rsidR="00C17529" w:rsidRPr="0012760D" w:rsidRDefault="00C17529" w:rsidP="001B3A3E">
            <w:pPr>
              <w:jc w:val="right"/>
              <w:rPr>
                <w:sz w:val="24"/>
                <w:szCs w:val="24"/>
              </w:rPr>
            </w:pPr>
            <w:r w:rsidRPr="0012760D">
              <w:rPr>
                <w:sz w:val="24"/>
                <w:szCs w:val="24"/>
              </w:rPr>
              <w:t>33,412</w:t>
            </w:r>
          </w:p>
        </w:tc>
      </w:tr>
      <w:tr w:rsidR="00C17529" w:rsidRPr="0012760D" w:rsidTr="00B66707">
        <w:tblPrEx>
          <w:tblCellMar>
            <w:top w:w="0" w:type="dxa"/>
            <w:bottom w:w="0" w:type="dxa"/>
          </w:tblCellMar>
        </w:tblPrEx>
        <w:tc>
          <w:tcPr>
            <w:tcW w:w="743" w:type="pct"/>
            <w:vMerge/>
            <w:shd w:val="clear" w:color="auto" w:fill="auto"/>
          </w:tcPr>
          <w:p w:rsidR="00C17529" w:rsidRPr="0012760D" w:rsidRDefault="00C17529" w:rsidP="001B3A3E">
            <w:pPr>
              <w:rPr>
                <w:sz w:val="24"/>
                <w:szCs w:val="24"/>
              </w:rPr>
            </w:pPr>
          </w:p>
        </w:tc>
        <w:tc>
          <w:tcPr>
            <w:tcW w:w="1183" w:type="pct"/>
            <w:shd w:val="clear" w:color="auto" w:fill="auto"/>
          </w:tcPr>
          <w:p w:rsidR="00C17529" w:rsidRPr="0012760D" w:rsidRDefault="00C17529" w:rsidP="001B3A3E">
            <w:pPr>
              <w:rPr>
                <w:sz w:val="24"/>
                <w:szCs w:val="24"/>
              </w:rPr>
            </w:pPr>
            <w:r w:rsidRPr="0012760D">
              <w:rPr>
                <w:sz w:val="24"/>
                <w:szCs w:val="24"/>
              </w:rPr>
              <w:t>GHG emissions/1,000 km travelled</w:t>
            </w:r>
          </w:p>
        </w:tc>
        <w:tc>
          <w:tcPr>
            <w:tcW w:w="788" w:type="pct"/>
            <w:shd w:val="clear" w:color="auto" w:fill="auto"/>
          </w:tcPr>
          <w:p w:rsidR="00C17529" w:rsidRPr="0012760D" w:rsidRDefault="00C17529" w:rsidP="00B66707">
            <w:pPr>
              <w:rPr>
                <w:sz w:val="24"/>
                <w:szCs w:val="24"/>
              </w:rPr>
            </w:pPr>
            <w:r w:rsidRPr="0012760D">
              <w:rPr>
                <w:sz w:val="24"/>
                <w:szCs w:val="24"/>
              </w:rPr>
              <w:t>Kilograms of C</w:t>
            </w:r>
            <w:r w:rsidR="00B66707">
              <w:rPr>
                <w:sz w:val="24"/>
                <w:szCs w:val="24"/>
              </w:rPr>
              <w:t xml:space="preserve"> O</w:t>
            </w:r>
            <w:r w:rsidRPr="0012760D">
              <w:rPr>
                <w:sz w:val="24"/>
                <w:szCs w:val="24"/>
                <w:vertAlign w:val="subscript"/>
              </w:rPr>
              <w:t>2</w:t>
            </w:r>
            <w:r w:rsidRPr="0012760D">
              <w:rPr>
                <w:sz w:val="24"/>
                <w:szCs w:val="24"/>
              </w:rPr>
              <w:t>-e</w:t>
            </w:r>
          </w:p>
        </w:tc>
        <w:tc>
          <w:tcPr>
            <w:tcW w:w="448" w:type="pct"/>
            <w:shd w:val="clear" w:color="auto" w:fill="auto"/>
          </w:tcPr>
          <w:p w:rsidR="00C17529" w:rsidRPr="0012760D" w:rsidRDefault="00C17529" w:rsidP="001B3A3E">
            <w:pPr>
              <w:jc w:val="right"/>
              <w:rPr>
                <w:sz w:val="24"/>
                <w:szCs w:val="24"/>
              </w:rPr>
            </w:pPr>
            <w:r w:rsidRPr="0012760D">
              <w:rPr>
                <w:sz w:val="24"/>
                <w:szCs w:val="24"/>
              </w:rPr>
              <w:t>104.3</w:t>
            </w:r>
          </w:p>
        </w:tc>
        <w:tc>
          <w:tcPr>
            <w:tcW w:w="442" w:type="pct"/>
            <w:shd w:val="clear" w:color="auto" w:fill="auto"/>
          </w:tcPr>
          <w:p w:rsidR="00C17529" w:rsidRPr="0012760D" w:rsidRDefault="00C17529" w:rsidP="001B3A3E">
            <w:pPr>
              <w:jc w:val="right"/>
              <w:rPr>
                <w:sz w:val="24"/>
                <w:szCs w:val="24"/>
              </w:rPr>
            </w:pPr>
            <w:r w:rsidRPr="0012760D">
              <w:rPr>
                <w:sz w:val="24"/>
                <w:szCs w:val="24"/>
              </w:rPr>
              <w:t>104.5</w:t>
            </w:r>
          </w:p>
        </w:tc>
        <w:tc>
          <w:tcPr>
            <w:tcW w:w="447" w:type="pct"/>
            <w:shd w:val="clear" w:color="auto" w:fill="auto"/>
          </w:tcPr>
          <w:p w:rsidR="00C17529" w:rsidRPr="0012760D" w:rsidRDefault="00C17529" w:rsidP="001B3A3E">
            <w:pPr>
              <w:jc w:val="right"/>
              <w:rPr>
                <w:sz w:val="24"/>
                <w:szCs w:val="24"/>
              </w:rPr>
            </w:pPr>
            <w:r w:rsidRPr="0012760D">
              <w:rPr>
                <w:sz w:val="24"/>
                <w:szCs w:val="24"/>
              </w:rPr>
              <w:t>144</w:t>
            </w:r>
          </w:p>
        </w:tc>
        <w:tc>
          <w:tcPr>
            <w:tcW w:w="451" w:type="pct"/>
            <w:shd w:val="clear" w:color="auto" w:fill="auto"/>
          </w:tcPr>
          <w:p w:rsidR="00C17529" w:rsidRPr="0012760D" w:rsidRDefault="00C17529" w:rsidP="001B3A3E">
            <w:pPr>
              <w:jc w:val="right"/>
              <w:rPr>
                <w:sz w:val="24"/>
                <w:szCs w:val="24"/>
              </w:rPr>
            </w:pPr>
            <w:r w:rsidRPr="0012760D">
              <w:rPr>
                <w:sz w:val="24"/>
                <w:szCs w:val="24"/>
              </w:rPr>
              <w:t>127</w:t>
            </w:r>
          </w:p>
        </w:tc>
        <w:tc>
          <w:tcPr>
            <w:tcW w:w="498" w:type="pct"/>
            <w:shd w:val="clear" w:color="auto" w:fill="auto"/>
          </w:tcPr>
          <w:p w:rsidR="00C17529" w:rsidRPr="0012760D" w:rsidRDefault="00C17529" w:rsidP="001B3A3E">
            <w:pPr>
              <w:jc w:val="right"/>
              <w:rPr>
                <w:sz w:val="24"/>
                <w:szCs w:val="24"/>
              </w:rPr>
            </w:pPr>
            <w:r w:rsidRPr="0012760D">
              <w:rPr>
                <w:sz w:val="24"/>
                <w:szCs w:val="24"/>
              </w:rPr>
              <w:t>140</w:t>
            </w:r>
          </w:p>
        </w:tc>
      </w:tr>
      <w:tr w:rsidR="00C17529" w:rsidRPr="0012760D" w:rsidTr="00B66707">
        <w:tblPrEx>
          <w:tblCellMar>
            <w:top w:w="0" w:type="dxa"/>
            <w:bottom w:w="0" w:type="dxa"/>
          </w:tblCellMar>
        </w:tblPrEx>
        <w:tc>
          <w:tcPr>
            <w:tcW w:w="743" w:type="pct"/>
            <w:vMerge/>
            <w:shd w:val="clear" w:color="auto" w:fill="auto"/>
          </w:tcPr>
          <w:p w:rsidR="00C17529" w:rsidRPr="0012760D" w:rsidRDefault="00C17529" w:rsidP="001B3A3E">
            <w:pPr>
              <w:rPr>
                <w:sz w:val="24"/>
                <w:szCs w:val="24"/>
              </w:rPr>
            </w:pPr>
          </w:p>
        </w:tc>
        <w:tc>
          <w:tcPr>
            <w:tcW w:w="1183" w:type="pct"/>
            <w:shd w:val="clear" w:color="auto" w:fill="auto"/>
          </w:tcPr>
          <w:p w:rsidR="00C17529" w:rsidRPr="0012760D" w:rsidRDefault="00C17529" w:rsidP="001B3A3E">
            <w:pPr>
              <w:rPr>
                <w:sz w:val="24"/>
                <w:szCs w:val="24"/>
              </w:rPr>
            </w:pPr>
            <w:r w:rsidRPr="0012760D">
              <w:rPr>
                <w:sz w:val="24"/>
                <w:szCs w:val="24"/>
              </w:rPr>
              <w:t>Staff Travel associated with agency operations per THC</w:t>
            </w:r>
          </w:p>
        </w:tc>
        <w:tc>
          <w:tcPr>
            <w:tcW w:w="788" w:type="pct"/>
            <w:shd w:val="clear" w:color="auto" w:fill="auto"/>
          </w:tcPr>
          <w:p w:rsidR="00C17529" w:rsidRPr="0012760D" w:rsidRDefault="00C17529" w:rsidP="001B3A3E">
            <w:pPr>
              <w:rPr>
                <w:sz w:val="24"/>
                <w:szCs w:val="24"/>
              </w:rPr>
            </w:pPr>
            <w:r w:rsidRPr="0012760D">
              <w:rPr>
                <w:sz w:val="24"/>
                <w:szCs w:val="24"/>
              </w:rPr>
              <w:t>Kilometres per THC</w:t>
            </w:r>
          </w:p>
        </w:tc>
        <w:tc>
          <w:tcPr>
            <w:tcW w:w="448" w:type="pct"/>
            <w:shd w:val="clear" w:color="auto" w:fill="auto"/>
          </w:tcPr>
          <w:p w:rsidR="00C17529" w:rsidRPr="0012760D" w:rsidRDefault="00C17529" w:rsidP="001B3A3E">
            <w:pPr>
              <w:jc w:val="right"/>
              <w:rPr>
                <w:sz w:val="24"/>
                <w:szCs w:val="24"/>
              </w:rPr>
            </w:pPr>
            <w:r w:rsidRPr="0012760D">
              <w:rPr>
                <w:sz w:val="24"/>
                <w:szCs w:val="24"/>
              </w:rPr>
              <w:t>868</w:t>
            </w:r>
          </w:p>
        </w:tc>
        <w:tc>
          <w:tcPr>
            <w:tcW w:w="442" w:type="pct"/>
            <w:shd w:val="clear" w:color="auto" w:fill="auto"/>
          </w:tcPr>
          <w:p w:rsidR="00C17529" w:rsidRPr="0012760D" w:rsidRDefault="00C17529" w:rsidP="001B3A3E">
            <w:pPr>
              <w:jc w:val="right"/>
              <w:rPr>
                <w:sz w:val="24"/>
                <w:szCs w:val="24"/>
              </w:rPr>
            </w:pPr>
            <w:r w:rsidRPr="0012760D">
              <w:rPr>
                <w:sz w:val="24"/>
                <w:szCs w:val="24"/>
              </w:rPr>
              <w:t>843</w:t>
            </w:r>
          </w:p>
        </w:tc>
        <w:tc>
          <w:tcPr>
            <w:tcW w:w="447" w:type="pct"/>
            <w:shd w:val="clear" w:color="auto" w:fill="auto"/>
          </w:tcPr>
          <w:p w:rsidR="00C17529" w:rsidRPr="0012760D" w:rsidRDefault="00C17529" w:rsidP="001B3A3E">
            <w:pPr>
              <w:jc w:val="right"/>
              <w:rPr>
                <w:sz w:val="24"/>
                <w:szCs w:val="24"/>
              </w:rPr>
            </w:pPr>
            <w:r w:rsidRPr="0012760D">
              <w:rPr>
                <w:sz w:val="24"/>
                <w:szCs w:val="24"/>
              </w:rPr>
              <w:t>1,801</w:t>
            </w:r>
          </w:p>
        </w:tc>
        <w:tc>
          <w:tcPr>
            <w:tcW w:w="451" w:type="pct"/>
            <w:shd w:val="clear" w:color="auto" w:fill="auto"/>
          </w:tcPr>
          <w:p w:rsidR="00C17529" w:rsidRPr="0012760D" w:rsidRDefault="00C17529" w:rsidP="001B3A3E">
            <w:pPr>
              <w:jc w:val="right"/>
              <w:rPr>
                <w:sz w:val="24"/>
                <w:szCs w:val="24"/>
              </w:rPr>
            </w:pPr>
            <w:r w:rsidRPr="0012760D">
              <w:rPr>
                <w:sz w:val="24"/>
                <w:szCs w:val="24"/>
              </w:rPr>
              <w:t>1,222</w:t>
            </w:r>
          </w:p>
        </w:tc>
        <w:tc>
          <w:tcPr>
            <w:tcW w:w="498" w:type="pct"/>
            <w:shd w:val="clear" w:color="auto" w:fill="auto"/>
          </w:tcPr>
          <w:p w:rsidR="00C17529" w:rsidRPr="0012760D" w:rsidRDefault="00C17529" w:rsidP="001B3A3E">
            <w:pPr>
              <w:jc w:val="right"/>
              <w:rPr>
                <w:sz w:val="24"/>
                <w:szCs w:val="24"/>
              </w:rPr>
            </w:pPr>
            <w:r w:rsidRPr="0012760D">
              <w:rPr>
                <w:sz w:val="24"/>
                <w:szCs w:val="24"/>
              </w:rPr>
              <w:t>2197</w:t>
            </w:r>
          </w:p>
        </w:tc>
      </w:tr>
      <w:tr w:rsidR="00C17529" w:rsidRPr="0012760D" w:rsidTr="00B66707">
        <w:tblPrEx>
          <w:tblCellMar>
            <w:top w:w="0" w:type="dxa"/>
            <w:bottom w:w="0" w:type="dxa"/>
          </w:tblCellMar>
        </w:tblPrEx>
        <w:tc>
          <w:tcPr>
            <w:tcW w:w="743" w:type="pct"/>
            <w:vMerge/>
            <w:shd w:val="clear" w:color="auto" w:fill="auto"/>
          </w:tcPr>
          <w:p w:rsidR="00C17529" w:rsidRPr="0012760D" w:rsidRDefault="00C17529" w:rsidP="001B3A3E">
            <w:pPr>
              <w:rPr>
                <w:sz w:val="24"/>
                <w:szCs w:val="24"/>
              </w:rPr>
            </w:pPr>
          </w:p>
        </w:tc>
        <w:tc>
          <w:tcPr>
            <w:tcW w:w="1183" w:type="pct"/>
            <w:shd w:val="clear" w:color="auto" w:fill="auto"/>
          </w:tcPr>
          <w:p w:rsidR="00C17529" w:rsidRPr="0012760D" w:rsidRDefault="00C17529" w:rsidP="001B3A3E">
            <w:pPr>
              <w:rPr>
                <w:sz w:val="24"/>
                <w:szCs w:val="24"/>
              </w:rPr>
            </w:pPr>
            <w:r w:rsidRPr="0012760D">
              <w:rPr>
                <w:sz w:val="24"/>
                <w:szCs w:val="24"/>
              </w:rPr>
              <w:t>Staff Travel associated with agency operations per FTE</w:t>
            </w:r>
          </w:p>
        </w:tc>
        <w:tc>
          <w:tcPr>
            <w:tcW w:w="788" w:type="pct"/>
            <w:shd w:val="clear" w:color="auto" w:fill="auto"/>
          </w:tcPr>
          <w:p w:rsidR="00C17529" w:rsidRPr="0012760D" w:rsidRDefault="00C17529" w:rsidP="001B3A3E">
            <w:pPr>
              <w:rPr>
                <w:sz w:val="24"/>
                <w:szCs w:val="24"/>
              </w:rPr>
            </w:pPr>
            <w:r w:rsidRPr="0012760D">
              <w:rPr>
                <w:sz w:val="24"/>
                <w:szCs w:val="24"/>
              </w:rPr>
              <w:t>Kilometres per FTE</w:t>
            </w:r>
          </w:p>
        </w:tc>
        <w:tc>
          <w:tcPr>
            <w:tcW w:w="448" w:type="pct"/>
            <w:shd w:val="clear" w:color="auto" w:fill="auto"/>
          </w:tcPr>
          <w:p w:rsidR="00C17529" w:rsidRPr="0012760D" w:rsidRDefault="00C17529" w:rsidP="001B3A3E">
            <w:pPr>
              <w:jc w:val="right"/>
              <w:rPr>
                <w:sz w:val="24"/>
                <w:szCs w:val="24"/>
              </w:rPr>
            </w:pPr>
            <w:r w:rsidRPr="0012760D">
              <w:rPr>
                <w:sz w:val="24"/>
                <w:szCs w:val="24"/>
              </w:rPr>
              <w:t>933</w:t>
            </w:r>
          </w:p>
        </w:tc>
        <w:tc>
          <w:tcPr>
            <w:tcW w:w="442" w:type="pct"/>
            <w:shd w:val="clear" w:color="auto" w:fill="auto"/>
          </w:tcPr>
          <w:p w:rsidR="00C17529" w:rsidRPr="0012760D" w:rsidRDefault="00C17529" w:rsidP="001B3A3E">
            <w:pPr>
              <w:jc w:val="right"/>
              <w:rPr>
                <w:sz w:val="24"/>
                <w:szCs w:val="24"/>
              </w:rPr>
            </w:pPr>
            <w:r w:rsidRPr="0012760D">
              <w:rPr>
                <w:sz w:val="24"/>
                <w:szCs w:val="24"/>
              </w:rPr>
              <w:t>907</w:t>
            </w:r>
          </w:p>
        </w:tc>
        <w:tc>
          <w:tcPr>
            <w:tcW w:w="447" w:type="pct"/>
            <w:shd w:val="clear" w:color="auto" w:fill="auto"/>
          </w:tcPr>
          <w:p w:rsidR="00C17529" w:rsidRPr="0012760D" w:rsidRDefault="00C17529" w:rsidP="001B3A3E">
            <w:pPr>
              <w:jc w:val="right"/>
              <w:rPr>
                <w:sz w:val="24"/>
                <w:szCs w:val="24"/>
              </w:rPr>
            </w:pPr>
            <w:r w:rsidRPr="0012760D">
              <w:rPr>
                <w:sz w:val="24"/>
                <w:szCs w:val="24"/>
              </w:rPr>
              <w:t>1,786</w:t>
            </w:r>
          </w:p>
        </w:tc>
        <w:tc>
          <w:tcPr>
            <w:tcW w:w="451" w:type="pct"/>
            <w:shd w:val="clear" w:color="auto" w:fill="auto"/>
          </w:tcPr>
          <w:p w:rsidR="00C17529" w:rsidRPr="0012760D" w:rsidRDefault="00C17529" w:rsidP="001B3A3E">
            <w:pPr>
              <w:jc w:val="right"/>
              <w:rPr>
                <w:sz w:val="24"/>
                <w:szCs w:val="24"/>
              </w:rPr>
            </w:pPr>
            <w:r w:rsidRPr="0012760D">
              <w:rPr>
                <w:sz w:val="24"/>
                <w:szCs w:val="24"/>
              </w:rPr>
              <w:t>1,311</w:t>
            </w:r>
          </w:p>
        </w:tc>
        <w:tc>
          <w:tcPr>
            <w:tcW w:w="498" w:type="pct"/>
            <w:shd w:val="clear" w:color="auto" w:fill="auto"/>
          </w:tcPr>
          <w:p w:rsidR="00C17529" w:rsidRPr="0012760D" w:rsidRDefault="00C17529" w:rsidP="001B3A3E">
            <w:pPr>
              <w:jc w:val="right"/>
              <w:rPr>
                <w:sz w:val="24"/>
                <w:szCs w:val="24"/>
              </w:rPr>
            </w:pPr>
            <w:r w:rsidRPr="0012760D">
              <w:rPr>
                <w:sz w:val="24"/>
                <w:szCs w:val="24"/>
              </w:rPr>
              <w:t>2325</w:t>
            </w:r>
          </w:p>
        </w:tc>
      </w:tr>
      <w:tr w:rsidR="00C17529" w:rsidRPr="0012760D" w:rsidTr="00B66707">
        <w:tblPrEx>
          <w:tblCellMar>
            <w:top w:w="0" w:type="dxa"/>
            <w:bottom w:w="0" w:type="dxa"/>
          </w:tblCellMar>
        </w:tblPrEx>
        <w:tc>
          <w:tcPr>
            <w:tcW w:w="743" w:type="pct"/>
            <w:vMerge/>
            <w:shd w:val="clear" w:color="auto" w:fill="auto"/>
          </w:tcPr>
          <w:p w:rsidR="00C17529" w:rsidRPr="0012760D" w:rsidRDefault="00C17529" w:rsidP="001B3A3E">
            <w:pPr>
              <w:rPr>
                <w:sz w:val="24"/>
                <w:szCs w:val="24"/>
              </w:rPr>
            </w:pPr>
          </w:p>
        </w:tc>
        <w:tc>
          <w:tcPr>
            <w:tcW w:w="1183" w:type="pct"/>
            <w:shd w:val="clear" w:color="auto" w:fill="auto"/>
          </w:tcPr>
          <w:p w:rsidR="00C17529" w:rsidRPr="0012760D" w:rsidRDefault="00C17529" w:rsidP="001B3A3E">
            <w:pPr>
              <w:rPr>
                <w:sz w:val="24"/>
                <w:szCs w:val="24"/>
              </w:rPr>
            </w:pPr>
            <w:r w:rsidRPr="0012760D">
              <w:rPr>
                <w:sz w:val="24"/>
                <w:szCs w:val="24"/>
              </w:rPr>
              <w:t>Total air travel associated with agency operations</w:t>
            </w:r>
          </w:p>
        </w:tc>
        <w:tc>
          <w:tcPr>
            <w:tcW w:w="788" w:type="pct"/>
            <w:shd w:val="clear" w:color="auto" w:fill="auto"/>
          </w:tcPr>
          <w:p w:rsidR="00C17529" w:rsidRPr="0012760D" w:rsidRDefault="00C17529" w:rsidP="001B3A3E">
            <w:pPr>
              <w:rPr>
                <w:sz w:val="24"/>
                <w:szCs w:val="24"/>
              </w:rPr>
            </w:pPr>
            <w:r w:rsidRPr="0012760D">
              <w:rPr>
                <w:sz w:val="24"/>
                <w:szCs w:val="24"/>
              </w:rPr>
              <w:t>Kilometres</w:t>
            </w:r>
          </w:p>
        </w:tc>
        <w:tc>
          <w:tcPr>
            <w:tcW w:w="448" w:type="pct"/>
            <w:shd w:val="clear" w:color="auto" w:fill="auto"/>
          </w:tcPr>
          <w:p w:rsidR="00C17529" w:rsidRPr="0012760D" w:rsidRDefault="00C17529" w:rsidP="001B3A3E">
            <w:pPr>
              <w:jc w:val="right"/>
              <w:rPr>
                <w:sz w:val="24"/>
                <w:szCs w:val="24"/>
              </w:rPr>
            </w:pPr>
            <w:r w:rsidRPr="0012760D">
              <w:rPr>
                <w:sz w:val="24"/>
                <w:szCs w:val="24"/>
              </w:rPr>
              <w:t>575,122</w:t>
            </w:r>
          </w:p>
        </w:tc>
        <w:tc>
          <w:tcPr>
            <w:tcW w:w="442" w:type="pct"/>
            <w:shd w:val="clear" w:color="auto" w:fill="auto"/>
          </w:tcPr>
          <w:p w:rsidR="00C17529" w:rsidRPr="0012760D" w:rsidRDefault="00C17529" w:rsidP="001B3A3E">
            <w:pPr>
              <w:jc w:val="right"/>
              <w:rPr>
                <w:sz w:val="24"/>
                <w:szCs w:val="24"/>
              </w:rPr>
            </w:pPr>
            <w:r w:rsidRPr="0012760D">
              <w:rPr>
                <w:sz w:val="24"/>
                <w:szCs w:val="24"/>
              </w:rPr>
              <w:t>220,028</w:t>
            </w:r>
          </w:p>
        </w:tc>
        <w:tc>
          <w:tcPr>
            <w:tcW w:w="447" w:type="pct"/>
            <w:shd w:val="clear" w:color="auto" w:fill="auto"/>
          </w:tcPr>
          <w:p w:rsidR="00C17529" w:rsidRPr="0012760D" w:rsidRDefault="00C17529" w:rsidP="001B3A3E">
            <w:pPr>
              <w:jc w:val="right"/>
              <w:rPr>
                <w:sz w:val="24"/>
                <w:szCs w:val="24"/>
              </w:rPr>
            </w:pPr>
            <w:r w:rsidRPr="0012760D">
              <w:rPr>
                <w:sz w:val="24"/>
                <w:szCs w:val="24"/>
              </w:rPr>
              <w:t>435,873</w:t>
            </w:r>
          </w:p>
        </w:tc>
        <w:tc>
          <w:tcPr>
            <w:tcW w:w="451" w:type="pct"/>
            <w:shd w:val="clear" w:color="auto" w:fill="auto"/>
          </w:tcPr>
          <w:p w:rsidR="00C17529" w:rsidRPr="0012760D" w:rsidRDefault="00C17529" w:rsidP="001B3A3E">
            <w:pPr>
              <w:jc w:val="right"/>
              <w:rPr>
                <w:sz w:val="24"/>
                <w:szCs w:val="24"/>
              </w:rPr>
            </w:pPr>
            <w:r w:rsidRPr="0012760D">
              <w:rPr>
                <w:sz w:val="24"/>
                <w:szCs w:val="24"/>
              </w:rPr>
              <w:t>220,870</w:t>
            </w:r>
          </w:p>
        </w:tc>
        <w:tc>
          <w:tcPr>
            <w:tcW w:w="498" w:type="pct"/>
            <w:shd w:val="clear" w:color="auto" w:fill="auto"/>
          </w:tcPr>
          <w:p w:rsidR="00C17529" w:rsidRPr="0012760D" w:rsidRDefault="00C17529" w:rsidP="001B3A3E">
            <w:pPr>
              <w:jc w:val="right"/>
              <w:rPr>
                <w:sz w:val="24"/>
                <w:szCs w:val="24"/>
              </w:rPr>
            </w:pPr>
            <w:r w:rsidRPr="0012760D">
              <w:rPr>
                <w:sz w:val="24"/>
                <w:szCs w:val="24"/>
              </w:rPr>
              <w:t>179,405</w:t>
            </w:r>
          </w:p>
        </w:tc>
      </w:tr>
      <w:tr w:rsidR="00C17529" w:rsidRPr="0012760D" w:rsidTr="00B66707">
        <w:tblPrEx>
          <w:tblCellMar>
            <w:top w:w="0" w:type="dxa"/>
            <w:bottom w:w="0" w:type="dxa"/>
          </w:tblCellMar>
        </w:tblPrEx>
        <w:tc>
          <w:tcPr>
            <w:tcW w:w="743" w:type="pct"/>
            <w:vMerge/>
            <w:shd w:val="clear" w:color="auto" w:fill="auto"/>
          </w:tcPr>
          <w:p w:rsidR="00C17529" w:rsidRPr="0012760D" w:rsidRDefault="00C17529" w:rsidP="001B3A3E">
            <w:pPr>
              <w:rPr>
                <w:sz w:val="24"/>
                <w:szCs w:val="24"/>
              </w:rPr>
            </w:pPr>
          </w:p>
        </w:tc>
        <w:tc>
          <w:tcPr>
            <w:tcW w:w="1183" w:type="pct"/>
            <w:shd w:val="clear" w:color="auto" w:fill="auto"/>
          </w:tcPr>
          <w:p w:rsidR="00C17529" w:rsidRPr="0012760D" w:rsidRDefault="00C17529" w:rsidP="001B3A3E">
            <w:pPr>
              <w:rPr>
                <w:sz w:val="24"/>
                <w:szCs w:val="24"/>
              </w:rPr>
            </w:pPr>
            <w:r w:rsidRPr="0012760D">
              <w:rPr>
                <w:sz w:val="24"/>
                <w:szCs w:val="24"/>
              </w:rPr>
              <w:t>Employees regularly using public transport, cycling or walking to and from work</w:t>
            </w:r>
          </w:p>
        </w:tc>
        <w:tc>
          <w:tcPr>
            <w:tcW w:w="788" w:type="pct"/>
            <w:shd w:val="clear" w:color="auto" w:fill="auto"/>
          </w:tcPr>
          <w:p w:rsidR="00C17529" w:rsidRPr="0012760D" w:rsidRDefault="00C17529" w:rsidP="001B3A3E">
            <w:pPr>
              <w:rPr>
                <w:sz w:val="24"/>
                <w:szCs w:val="24"/>
              </w:rPr>
            </w:pPr>
            <w:r w:rsidRPr="0012760D">
              <w:rPr>
                <w:sz w:val="24"/>
                <w:szCs w:val="24"/>
              </w:rPr>
              <w:t>Percentage</w:t>
            </w:r>
          </w:p>
        </w:tc>
        <w:tc>
          <w:tcPr>
            <w:tcW w:w="448" w:type="pct"/>
            <w:shd w:val="clear" w:color="auto" w:fill="auto"/>
          </w:tcPr>
          <w:p w:rsidR="00C17529" w:rsidRPr="0012760D" w:rsidRDefault="00C17529" w:rsidP="001B3A3E">
            <w:pPr>
              <w:jc w:val="right"/>
              <w:rPr>
                <w:sz w:val="24"/>
                <w:szCs w:val="24"/>
              </w:rPr>
            </w:pPr>
            <w:r w:rsidRPr="0012760D">
              <w:rPr>
                <w:sz w:val="24"/>
                <w:szCs w:val="24"/>
              </w:rPr>
              <w:t>96.0%</w:t>
            </w:r>
          </w:p>
        </w:tc>
        <w:tc>
          <w:tcPr>
            <w:tcW w:w="442" w:type="pct"/>
            <w:shd w:val="clear" w:color="auto" w:fill="auto"/>
          </w:tcPr>
          <w:p w:rsidR="00C17529" w:rsidRPr="0012760D" w:rsidRDefault="00C17529" w:rsidP="001B3A3E">
            <w:pPr>
              <w:jc w:val="right"/>
              <w:rPr>
                <w:sz w:val="24"/>
                <w:szCs w:val="24"/>
              </w:rPr>
            </w:pPr>
            <w:r w:rsidRPr="0012760D">
              <w:rPr>
                <w:sz w:val="24"/>
                <w:szCs w:val="24"/>
              </w:rPr>
              <w:t>93.0%</w:t>
            </w:r>
          </w:p>
        </w:tc>
        <w:tc>
          <w:tcPr>
            <w:tcW w:w="447" w:type="pct"/>
            <w:shd w:val="clear" w:color="auto" w:fill="auto"/>
          </w:tcPr>
          <w:p w:rsidR="00C17529" w:rsidRPr="0012760D" w:rsidRDefault="00C17529" w:rsidP="001B3A3E">
            <w:pPr>
              <w:jc w:val="right"/>
              <w:rPr>
                <w:sz w:val="24"/>
                <w:szCs w:val="24"/>
              </w:rPr>
            </w:pPr>
            <w:r w:rsidRPr="0012760D">
              <w:rPr>
                <w:sz w:val="24"/>
                <w:szCs w:val="24"/>
              </w:rPr>
              <w:t>88.0%</w:t>
            </w:r>
          </w:p>
        </w:tc>
        <w:tc>
          <w:tcPr>
            <w:tcW w:w="451" w:type="pct"/>
            <w:shd w:val="clear" w:color="auto" w:fill="auto"/>
          </w:tcPr>
          <w:p w:rsidR="00C17529" w:rsidRPr="0012760D" w:rsidRDefault="00C17529" w:rsidP="001B3A3E">
            <w:pPr>
              <w:jc w:val="right"/>
              <w:rPr>
                <w:sz w:val="24"/>
                <w:szCs w:val="24"/>
              </w:rPr>
            </w:pPr>
            <w:r w:rsidRPr="0012760D">
              <w:rPr>
                <w:sz w:val="24"/>
                <w:szCs w:val="24"/>
              </w:rPr>
              <w:t>91.0%</w:t>
            </w:r>
          </w:p>
        </w:tc>
        <w:tc>
          <w:tcPr>
            <w:tcW w:w="498" w:type="pct"/>
            <w:shd w:val="clear" w:color="auto" w:fill="auto"/>
          </w:tcPr>
          <w:p w:rsidR="00C17529" w:rsidRPr="0012760D" w:rsidRDefault="00C17529" w:rsidP="001B3A3E">
            <w:pPr>
              <w:jc w:val="right"/>
              <w:rPr>
                <w:sz w:val="24"/>
                <w:szCs w:val="24"/>
              </w:rPr>
            </w:pPr>
            <w:r w:rsidRPr="0012760D">
              <w:rPr>
                <w:sz w:val="24"/>
                <w:szCs w:val="24"/>
              </w:rPr>
              <w:t>83.0%</w:t>
            </w:r>
          </w:p>
        </w:tc>
      </w:tr>
      <w:tr w:rsidR="00C17529" w:rsidRPr="0012760D" w:rsidTr="00B66707">
        <w:tblPrEx>
          <w:tblCellMar>
            <w:top w:w="0" w:type="dxa"/>
            <w:bottom w:w="0" w:type="dxa"/>
          </w:tblCellMar>
        </w:tblPrEx>
        <w:tc>
          <w:tcPr>
            <w:tcW w:w="743" w:type="pct"/>
            <w:vMerge/>
            <w:shd w:val="clear" w:color="auto" w:fill="auto"/>
          </w:tcPr>
          <w:p w:rsidR="00C17529" w:rsidRPr="0012760D" w:rsidRDefault="00C17529" w:rsidP="001B3A3E">
            <w:pPr>
              <w:rPr>
                <w:sz w:val="24"/>
                <w:szCs w:val="24"/>
              </w:rPr>
            </w:pPr>
          </w:p>
        </w:tc>
        <w:tc>
          <w:tcPr>
            <w:tcW w:w="1183" w:type="pct"/>
            <w:shd w:val="clear" w:color="auto" w:fill="auto"/>
          </w:tcPr>
          <w:p w:rsidR="00C17529" w:rsidRPr="0012760D" w:rsidRDefault="00C17529" w:rsidP="001B3A3E">
            <w:pPr>
              <w:rPr>
                <w:sz w:val="24"/>
                <w:szCs w:val="24"/>
              </w:rPr>
            </w:pPr>
            <w:r w:rsidRPr="0012760D">
              <w:rPr>
                <w:sz w:val="24"/>
                <w:szCs w:val="24"/>
              </w:rPr>
              <w:t>Employees regularly using more sustainable</w:t>
            </w:r>
          </w:p>
          <w:p w:rsidR="00C17529" w:rsidRPr="0012760D" w:rsidRDefault="00C17529" w:rsidP="001B3A3E">
            <w:pPr>
              <w:rPr>
                <w:sz w:val="24"/>
                <w:szCs w:val="24"/>
              </w:rPr>
            </w:pPr>
            <w:r w:rsidRPr="0012760D">
              <w:rPr>
                <w:sz w:val="24"/>
                <w:szCs w:val="24"/>
              </w:rPr>
              <w:t>modes of transport</w:t>
            </w:r>
            <w:r w:rsidRPr="0012760D">
              <w:rPr>
                <w:sz w:val="24"/>
                <w:szCs w:val="24"/>
                <w:vertAlign w:val="superscript"/>
              </w:rPr>
              <w:t>12</w:t>
            </w:r>
          </w:p>
        </w:tc>
        <w:tc>
          <w:tcPr>
            <w:tcW w:w="788" w:type="pct"/>
            <w:shd w:val="clear" w:color="auto" w:fill="auto"/>
          </w:tcPr>
          <w:p w:rsidR="00C17529" w:rsidRPr="0012760D" w:rsidRDefault="00C17529" w:rsidP="001B3A3E">
            <w:pPr>
              <w:rPr>
                <w:sz w:val="24"/>
                <w:szCs w:val="24"/>
              </w:rPr>
            </w:pPr>
            <w:r w:rsidRPr="0012760D">
              <w:rPr>
                <w:sz w:val="24"/>
                <w:szCs w:val="24"/>
              </w:rPr>
              <w:t>Percentage</w:t>
            </w:r>
          </w:p>
        </w:tc>
        <w:tc>
          <w:tcPr>
            <w:tcW w:w="448" w:type="pct"/>
            <w:shd w:val="clear" w:color="auto" w:fill="auto"/>
          </w:tcPr>
          <w:p w:rsidR="00C17529" w:rsidRPr="0012760D" w:rsidRDefault="00C17529" w:rsidP="001B3A3E">
            <w:pPr>
              <w:jc w:val="right"/>
              <w:rPr>
                <w:sz w:val="24"/>
                <w:szCs w:val="24"/>
              </w:rPr>
            </w:pPr>
            <w:r w:rsidRPr="0012760D">
              <w:rPr>
                <w:sz w:val="24"/>
                <w:szCs w:val="24"/>
              </w:rPr>
              <w:t>21.8%</w:t>
            </w:r>
          </w:p>
        </w:tc>
        <w:tc>
          <w:tcPr>
            <w:tcW w:w="442" w:type="pct"/>
            <w:shd w:val="clear" w:color="auto" w:fill="auto"/>
          </w:tcPr>
          <w:p w:rsidR="00C17529" w:rsidRPr="0012760D" w:rsidRDefault="00C17529" w:rsidP="001B3A3E">
            <w:pPr>
              <w:jc w:val="right"/>
              <w:rPr>
                <w:sz w:val="24"/>
                <w:szCs w:val="24"/>
              </w:rPr>
            </w:pPr>
            <w:r w:rsidRPr="0012760D">
              <w:rPr>
                <w:sz w:val="24"/>
                <w:szCs w:val="24"/>
              </w:rPr>
              <w:t>32.8%</w:t>
            </w:r>
          </w:p>
        </w:tc>
        <w:tc>
          <w:tcPr>
            <w:tcW w:w="447" w:type="pct"/>
            <w:shd w:val="clear" w:color="auto" w:fill="auto"/>
          </w:tcPr>
          <w:p w:rsidR="00C17529" w:rsidRPr="0012760D" w:rsidRDefault="00C17529" w:rsidP="001B3A3E">
            <w:pPr>
              <w:jc w:val="right"/>
              <w:rPr>
                <w:sz w:val="24"/>
                <w:szCs w:val="24"/>
              </w:rPr>
            </w:pPr>
            <w:r w:rsidRPr="0012760D">
              <w:rPr>
                <w:sz w:val="24"/>
                <w:szCs w:val="24"/>
              </w:rPr>
              <w:t>23.0%</w:t>
            </w:r>
          </w:p>
        </w:tc>
        <w:tc>
          <w:tcPr>
            <w:tcW w:w="451" w:type="pct"/>
            <w:shd w:val="clear" w:color="auto" w:fill="auto"/>
          </w:tcPr>
          <w:p w:rsidR="00C17529" w:rsidRPr="0012760D" w:rsidRDefault="00C17529" w:rsidP="001B3A3E">
            <w:pPr>
              <w:jc w:val="right"/>
              <w:rPr>
                <w:sz w:val="24"/>
                <w:szCs w:val="24"/>
              </w:rPr>
            </w:pPr>
            <w:r w:rsidRPr="0012760D">
              <w:rPr>
                <w:sz w:val="24"/>
                <w:szCs w:val="24"/>
              </w:rPr>
              <w:t>28.0%</w:t>
            </w:r>
          </w:p>
        </w:tc>
        <w:tc>
          <w:tcPr>
            <w:tcW w:w="498" w:type="pct"/>
            <w:shd w:val="clear" w:color="auto" w:fill="auto"/>
          </w:tcPr>
          <w:p w:rsidR="00C17529" w:rsidRPr="0012760D" w:rsidRDefault="00C17529" w:rsidP="001B3A3E">
            <w:pPr>
              <w:jc w:val="right"/>
              <w:rPr>
                <w:sz w:val="24"/>
                <w:szCs w:val="24"/>
              </w:rPr>
            </w:pPr>
            <w:r w:rsidRPr="0012760D">
              <w:rPr>
                <w:sz w:val="24"/>
                <w:szCs w:val="24"/>
              </w:rPr>
              <w:t>24.5%</w:t>
            </w:r>
          </w:p>
        </w:tc>
      </w:tr>
      <w:tr w:rsidR="00C17529" w:rsidRPr="0012760D" w:rsidTr="00B66707">
        <w:tblPrEx>
          <w:tblCellMar>
            <w:top w:w="0" w:type="dxa"/>
            <w:bottom w:w="0" w:type="dxa"/>
          </w:tblCellMar>
        </w:tblPrEx>
        <w:tc>
          <w:tcPr>
            <w:tcW w:w="743" w:type="pct"/>
            <w:vMerge w:val="restart"/>
            <w:shd w:val="clear" w:color="auto" w:fill="auto"/>
          </w:tcPr>
          <w:p w:rsidR="00C17529" w:rsidRPr="0012760D" w:rsidRDefault="00C17529" w:rsidP="001B3A3E">
            <w:pPr>
              <w:rPr>
                <w:sz w:val="24"/>
                <w:szCs w:val="24"/>
                <w:vertAlign w:val="superscript"/>
              </w:rPr>
            </w:pPr>
            <w:r w:rsidRPr="0012760D">
              <w:rPr>
                <w:bCs/>
                <w:sz w:val="24"/>
                <w:szCs w:val="24"/>
              </w:rPr>
              <w:t>Greenhouse Gas Emissions</w:t>
            </w:r>
            <w:r w:rsidRPr="0012760D">
              <w:rPr>
                <w:bCs/>
                <w:sz w:val="24"/>
                <w:szCs w:val="24"/>
                <w:vertAlign w:val="superscript"/>
              </w:rPr>
              <w:t>15,16,17</w:t>
            </w:r>
          </w:p>
        </w:tc>
        <w:tc>
          <w:tcPr>
            <w:tcW w:w="1183" w:type="pct"/>
            <w:shd w:val="clear" w:color="auto" w:fill="auto"/>
          </w:tcPr>
          <w:p w:rsidR="00C17529" w:rsidRPr="0012760D" w:rsidRDefault="00C17529" w:rsidP="001B3A3E">
            <w:pPr>
              <w:rPr>
                <w:sz w:val="24"/>
                <w:szCs w:val="24"/>
              </w:rPr>
            </w:pPr>
            <w:r w:rsidRPr="0012760D">
              <w:rPr>
                <w:sz w:val="24"/>
                <w:szCs w:val="24"/>
              </w:rPr>
              <w:t>Total GHG emissions associated with scope 3 energy use</w:t>
            </w:r>
            <w:r w:rsidRPr="0012760D">
              <w:rPr>
                <w:sz w:val="24"/>
                <w:szCs w:val="24"/>
                <w:vertAlign w:val="superscript"/>
              </w:rPr>
              <w:t>13</w:t>
            </w:r>
          </w:p>
        </w:tc>
        <w:tc>
          <w:tcPr>
            <w:tcW w:w="788" w:type="pct"/>
            <w:shd w:val="clear" w:color="auto" w:fill="auto"/>
          </w:tcPr>
          <w:p w:rsidR="00C17529" w:rsidRPr="0012760D" w:rsidRDefault="00B66707" w:rsidP="001B3A3E">
            <w:pPr>
              <w:rPr>
                <w:sz w:val="24"/>
                <w:szCs w:val="24"/>
              </w:rPr>
            </w:pPr>
            <w:r>
              <w:rPr>
                <w:sz w:val="24"/>
                <w:szCs w:val="24"/>
              </w:rPr>
              <w:t>Kilograms of C O</w:t>
            </w:r>
            <w:r w:rsidR="00C17529" w:rsidRPr="0012760D">
              <w:rPr>
                <w:sz w:val="24"/>
                <w:szCs w:val="24"/>
                <w:vertAlign w:val="subscript"/>
              </w:rPr>
              <w:t>2</w:t>
            </w:r>
            <w:r w:rsidR="00C17529" w:rsidRPr="0012760D">
              <w:rPr>
                <w:sz w:val="24"/>
                <w:szCs w:val="24"/>
              </w:rPr>
              <w:t>-e</w:t>
            </w:r>
          </w:p>
        </w:tc>
        <w:tc>
          <w:tcPr>
            <w:tcW w:w="448" w:type="pct"/>
            <w:shd w:val="clear" w:color="auto" w:fill="auto"/>
          </w:tcPr>
          <w:p w:rsidR="00C17529" w:rsidRPr="0012760D" w:rsidRDefault="00C17529" w:rsidP="001B3A3E">
            <w:pPr>
              <w:jc w:val="right"/>
              <w:rPr>
                <w:sz w:val="24"/>
                <w:szCs w:val="24"/>
              </w:rPr>
            </w:pPr>
            <w:r w:rsidRPr="0012760D">
              <w:rPr>
                <w:sz w:val="24"/>
                <w:szCs w:val="24"/>
              </w:rPr>
              <w:t>0</w:t>
            </w:r>
          </w:p>
        </w:tc>
        <w:tc>
          <w:tcPr>
            <w:tcW w:w="442" w:type="pct"/>
            <w:shd w:val="clear" w:color="auto" w:fill="auto"/>
          </w:tcPr>
          <w:p w:rsidR="00C17529" w:rsidRPr="0012760D" w:rsidRDefault="00C17529" w:rsidP="001B3A3E">
            <w:pPr>
              <w:jc w:val="right"/>
              <w:rPr>
                <w:sz w:val="24"/>
                <w:szCs w:val="24"/>
              </w:rPr>
            </w:pPr>
            <w:r w:rsidRPr="0012760D">
              <w:rPr>
                <w:sz w:val="24"/>
                <w:szCs w:val="24"/>
              </w:rPr>
              <w:t>0</w:t>
            </w:r>
          </w:p>
        </w:tc>
        <w:tc>
          <w:tcPr>
            <w:tcW w:w="447" w:type="pct"/>
            <w:shd w:val="clear" w:color="auto" w:fill="auto"/>
          </w:tcPr>
          <w:p w:rsidR="00C17529" w:rsidRPr="0012760D" w:rsidRDefault="00C17529" w:rsidP="001B3A3E">
            <w:pPr>
              <w:jc w:val="right"/>
              <w:rPr>
                <w:sz w:val="24"/>
                <w:szCs w:val="24"/>
              </w:rPr>
            </w:pPr>
            <w:r w:rsidRPr="0012760D">
              <w:rPr>
                <w:sz w:val="24"/>
                <w:szCs w:val="24"/>
              </w:rPr>
              <w:t>19,789</w:t>
            </w:r>
          </w:p>
        </w:tc>
        <w:tc>
          <w:tcPr>
            <w:tcW w:w="451" w:type="pct"/>
            <w:shd w:val="clear" w:color="auto" w:fill="auto"/>
          </w:tcPr>
          <w:p w:rsidR="00C17529" w:rsidRPr="0012760D" w:rsidRDefault="00C17529" w:rsidP="001B3A3E">
            <w:pPr>
              <w:jc w:val="right"/>
              <w:rPr>
                <w:sz w:val="24"/>
                <w:szCs w:val="24"/>
              </w:rPr>
            </w:pPr>
            <w:r w:rsidRPr="0012760D">
              <w:rPr>
                <w:sz w:val="24"/>
                <w:szCs w:val="24"/>
              </w:rPr>
              <w:t>20,596</w:t>
            </w:r>
          </w:p>
        </w:tc>
        <w:tc>
          <w:tcPr>
            <w:tcW w:w="498" w:type="pct"/>
            <w:shd w:val="clear" w:color="auto" w:fill="auto"/>
          </w:tcPr>
          <w:p w:rsidR="00C17529" w:rsidRPr="0012760D" w:rsidRDefault="00C17529" w:rsidP="001B3A3E">
            <w:pPr>
              <w:jc w:val="right"/>
              <w:rPr>
                <w:sz w:val="24"/>
                <w:szCs w:val="24"/>
              </w:rPr>
            </w:pPr>
            <w:r w:rsidRPr="0012760D">
              <w:rPr>
                <w:sz w:val="24"/>
                <w:szCs w:val="24"/>
              </w:rPr>
              <w:t>20,890</w:t>
            </w:r>
          </w:p>
        </w:tc>
      </w:tr>
      <w:tr w:rsidR="00C17529" w:rsidRPr="0012760D" w:rsidTr="00B66707">
        <w:tblPrEx>
          <w:tblCellMar>
            <w:top w:w="0" w:type="dxa"/>
            <w:bottom w:w="0" w:type="dxa"/>
          </w:tblCellMar>
        </w:tblPrEx>
        <w:tc>
          <w:tcPr>
            <w:tcW w:w="743" w:type="pct"/>
            <w:vMerge/>
            <w:shd w:val="clear" w:color="auto" w:fill="auto"/>
          </w:tcPr>
          <w:p w:rsidR="00C17529" w:rsidRPr="0012760D" w:rsidRDefault="00C17529" w:rsidP="001B3A3E">
            <w:pPr>
              <w:rPr>
                <w:sz w:val="24"/>
                <w:szCs w:val="24"/>
              </w:rPr>
            </w:pPr>
          </w:p>
        </w:tc>
        <w:tc>
          <w:tcPr>
            <w:tcW w:w="1183" w:type="pct"/>
            <w:shd w:val="clear" w:color="auto" w:fill="auto"/>
          </w:tcPr>
          <w:p w:rsidR="00C17529" w:rsidRPr="0012760D" w:rsidRDefault="00C17529" w:rsidP="001B3A3E">
            <w:pPr>
              <w:rPr>
                <w:sz w:val="24"/>
                <w:szCs w:val="24"/>
              </w:rPr>
            </w:pPr>
            <w:r w:rsidRPr="0012760D">
              <w:rPr>
                <w:sz w:val="24"/>
                <w:szCs w:val="24"/>
              </w:rPr>
              <w:t>Total GHG emissions associated with vehicle fleet</w:t>
            </w:r>
          </w:p>
        </w:tc>
        <w:tc>
          <w:tcPr>
            <w:tcW w:w="788" w:type="pct"/>
            <w:shd w:val="clear" w:color="auto" w:fill="auto"/>
          </w:tcPr>
          <w:p w:rsidR="00C17529" w:rsidRPr="0012760D" w:rsidRDefault="00C17529" w:rsidP="001B3A3E">
            <w:pPr>
              <w:rPr>
                <w:sz w:val="24"/>
                <w:szCs w:val="24"/>
              </w:rPr>
            </w:pPr>
            <w:r w:rsidRPr="0012760D">
              <w:rPr>
                <w:sz w:val="24"/>
                <w:szCs w:val="24"/>
              </w:rPr>
              <w:t xml:space="preserve">Kilograms of </w:t>
            </w:r>
            <w:r w:rsidR="00B66707">
              <w:rPr>
                <w:sz w:val="24"/>
                <w:szCs w:val="24"/>
              </w:rPr>
              <w:t>C O</w:t>
            </w:r>
            <w:r w:rsidRPr="0012760D">
              <w:rPr>
                <w:sz w:val="24"/>
                <w:szCs w:val="24"/>
                <w:vertAlign w:val="subscript"/>
              </w:rPr>
              <w:t>2</w:t>
            </w:r>
            <w:r w:rsidRPr="0012760D">
              <w:rPr>
                <w:sz w:val="24"/>
                <w:szCs w:val="24"/>
              </w:rPr>
              <w:t>-e</w:t>
            </w:r>
          </w:p>
        </w:tc>
        <w:tc>
          <w:tcPr>
            <w:tcW w:w="448" w:type="pct"/>
            <w:shd w:val="clear" w:color="auto" w:fill="auto"/>
          </w:tcPr>
          <w:p w:rsidR="00C17529" w:rsidRPr="0012760D" w:rsidRDefault="00C17529" w:rsidP="001B3A3E">
            <w:pPr>
              <w:jc w:val="right"/>
              <w:rPr>
                <w:sz w:val="24"/>
                <w:szCs w:val="24"/>
              </w:rPr>
            </w:pPr>
            <w:r w:rsidRPr="0012760D">
              <w:rPr>
                <w:sz w:val="24"/>
                <w:szCs w:val="24"/>
              </w:rPr>
              <w:t>12,547</w:t>
            </w:r>
          </w:p>
        </w:tc>
        <w:tc>
          <w:tcPr>
            <w:tcW w:w="442" w:type="pct"/>
            <w:shd w:val="clear" w:color="auto" w:fill="auto"/>
          </w:tcPr>
          <w:p w:rsidR="00C17529" w:rsidRPr="0012760D" w:rsidRDefault="00C17529" w:rsidP="001B3A3E">
            <w:pPr>
              <w:jc w:val="right"/>
              <w:rPr>
                <w:sz w:val="24"/>
                <w:szCs w:val="24"/>
              </w:rPr>
            </w:pPr>
            <w:r w:rsidRPr="0012760D">
              <w:rPr>
                <w:sz w:val="24"/>
                <w:szCs w:val="24"/>
              </w:rPr>
              <w:t>13,054</w:t>
            </w:r>
          </w:p>
        </w:tc>
        <w:tc>
          <w:tcPr>
            <w:tcW w:w="447" w:type="pct"/>
            <w:shd w:val="clear" w:color="auto" w:fill="auto"/>
          </w:tcPr>
          <w:p w:rsidR="00C17529" w:rsidRPr="0012760D" w:rsidRDefault="00C17529" w:rsidP="001B3A3E">
            <w:pPr>
              <w:jc w:val="right"/>
              <w:rPr>
                <w:sz w:val="24"/>
                <w:szCs w:val="24"/>
              </w:rPr>
            </w:pPr>
            <w:r w:rsidRPr="0012760D">
              <w:rPr>
                <w:sz w:val="24"/>
                <w:szCs w:val="24"/>
              </w:rPr>
              <w:t>12,874</w:t>
            </w:r>
          </w:p>
        </w:tc>
        <w:tc>
          <w:tcPr>
            <w:tcW w:w="451" w:type="pct"/>
            <w:shd w:val="clear" w:color="auto" w:fill="auto"/>
          </w:tcPr>
          <w:p w:rsidR="00C17529" w:rsidRPr="0012760D" w:rsidRDefault="00C17529" w:rsidP="001B3A3E">
            <w:pPr>
              <w:jc w:val="right"/>
              <w:rPr>
                <w:sz w:val="24"/>
                <w:szCs w:val="24"/>
              </w:rPr>
            </w:pPr>
            <w:r w:rsidRPr="0012760D">
              <w:rPr>
                <w:sz w:val="24"/>
                <w:szCs w:val="24"/>
              </w:rPr>
              <w:t>21,246</w:t>
            </w:r>
          </w:p>
        </w:tc>
        <w:tc>
          <w:tcPr>
            <w:tcW w:w="498" w:type="pct"/>
            <w:shd w:val="clear" w:color="auto" w:fill="auto"/>
          </w:tcPr>
          <w:p w:rsidR="00C17529" w:rsidRPr="0012760D" w:rsidRDefault="00C17529" w:rsidP="001B3A3E">
            <w:pPr>
              <w:jc w:val="right"/>
              <w:rPr>
                <w:sz w:val="24"/>
                <w:szCs w:val="24"/>
              </w:rPr>
            </w:pPr>
            <w:r w:rsidRPr="0012760D">
              <w:rPr>
                <w:sz w:val="24"/>
                <w:szCs w:val="24"/>
              </w:rPr>
              <w:t>33,412</w:t>
            </w:r>
          </w:p>
        </w:tc>
      </w:tr>
      <w:tr w:rsidR="00C17529" w:rsidRPr="0012760D" w:rsidTr="00B66707">
        <w:tblPrEx>
          <w:tblCellMar>
            <w:top w:w="0" w:type="dxa"/>
            <w:bottom w:w="0" w:type="dxa"/>
          </w:tblCellMar>
        </w:tblPrEx>
        <w:tc>
          <w:tcPr>
            <w:tcW w:w="743" w:type="pct"/>
            <w:vMerge/>
            <w:shd w:val="clear" w:color="auto" w:fill="auto"/>
          </w:tcPr>
          <w:p w:rsidR="00C17529" w:rsidRPr="0012760D" w:rsidRDefault="00C17529" w:rsidP="001B3A3E">
            <w:pPr>
              <w:rPr>
                <w:sz w:val="24"/>
                <w:szCs w:val="24"/>
              </w:rPr>
            </w:pPr>
          </w:p>
        </w:tc>
        <w:tc>
          <w:tcPr>
            <w:tcW w:w="1183" w:type="pct"/>
            <w:shd w:val="clear" w:color="auto" w:fill="auto"/>
          </w:tcPr>
          <w:p w:rsidR="00C17529" w:rsidRPr="0012760D" w:rsidRDefault="00C17529" w:rsidP="001B3A3E">
            <w:pPr>
              <w:rPr>
                <w:sz w:val="24"/>
                <w:szCs w:val="24"/>
              </w:rPr>
            </w:pPr>
            <w:r w:rsidRPr="0012760D">
              <w:rPr>
                <w:sz w:val="24"/>
                <w:szCs w:val="24"/>
              </w:rPr>
              <w:t>Total GHG emissions associated with air travel</w:t>
            </w:r>
            <w:r w:rsidRPr="0012760D">
              <w:rPr>
                <w:sz w:val="24"/>
                <w:szCs w:val="24"/>
                <w:vertAlign w:val="superscript"/>
              </w:rPr>
              <w:t>14</w:t>
            </w:r>
            <w:r w:rsidR="00B66707">
              <w:rPr>
                <w:sz w:val="24"/>
                <w:szCs w:val="24"/>
              </w:rPr>
              <w:t xml:space="preserve"> Kilograms of C O</w:t>
            </w:r>
            <w:r w:rsidRPr="0012760D">
              <w:rPr>
                <w:sz w:val="24"/>
                <w:szCs w:val="24"/>
              </w:rPr>
              <w:t>2-e</w:t>
            </w:r>
          </w:p>
        </w:tc>
        <w:tc>
          <w:tcPr>
            <w:tcW w:w="788" w:type="pct"/>
            <w:shd w:val="clear" w:color="auto" w:fill="auto"/>
          </w:tcPr>
          <w:p w:rsidR="00C17529" w:rsidRPr="0012760D" w:rsidRDefault="00B66707" w:rsidP="001B3A3E">
            <w:pPr>
              <w:rPr>
                <w:sz w:val="24"/>
                <w:szCs w:val="24"/>
              </w:rPr>
            </w:pPr>
            <w:r>
              <w:rPr>
                <w:sz w:val="24"/>
                <w:szCs w:val="24"/>
              </w:rPr>
              <w:t>Kilograms of C O</w:t>
            </w:r>
            <w:r w:rsidR="00C17529" w:rsidRPr="0012760D">
              <w:rPr>
                <w:sz w:val="24"/>
                <w:szCs w:val="24"/>
                <w:vertAlign w:val="subscript"/>
              </w:rPr>
              <w:t>2</w:t>
            </w:r>
            <w:r w:rsidR="00C17529" w:rsidRPr="0012760D">
              <w:rPr>
                <w:sz w:val="24"/>
                <w:szCs w:val="24"/>
              </w:rPr>
              <w:t>-e</w:t>
            </w:r>
          </w:p>
        </w:tc>
        <w:tc>
          <w:tcPr>
            <w:tcW w:w="448" w:type="pct"/>
            <w:shd w:val="clear" w:color="auto" w:fill="auto"/>
          </w:tcPr>
          <w:p w:rsidR="00C17529" w:rsidRPr="0012760D" w:rsidRDefault="00C17529" w:rsidP="001B3A3E">
            <w:pPr>
              <w:jc w:val="right"/>
              <w:rPr>
                <w:sz w:val="24"/>
                <w:szCs w:val="24"/>
              </w:rPr>
            </w:pPr>
            <w:r w:rsidRPr="0012760D">
              <w:rPr>
                <w:sz w:val="24"/>
                <w:szCs w:val="24"/>
              </w:rPr>
              <w:t>136,090</w:t>
            </w:r>
          </w:p>
        </w:tc>
        <w:tc>
          <w:tcPr>
            <w:tcW w:w="442" w:type="pct"/>
            <w:shd w:val="clear" w:color="auto" w:fill="auto"/>
          </w:tcPr>
          <w:p w:rsidR="00C17529" w:rsidRPr="0012760D" w:rsidRDefault="00C17529" w:rsidP="001B3A3E">
            <w:pPr>
              <w:jc w:val="right"/>
              <w:rPr>
                <w:sz w:val="24"/>
                <w:szCs w:val="24"/>
              </w:rPr>
            </w:pPr>
            <w:r w:rsidRPr="0012760D">
              <w:rPr>
                <w:sz w:val="24"/>
                <w:szCs w:val="24"/>
              </w:rPr>
              <w:t>54,244</w:t>
            </w:r>
          </w:p>
        </w:tc>
        <w:tc>
          <w:tcPr>
            <w:tcW w:w="447" w:type="pct"/>
            <w:shd w:val="clear" w:color="auto" w:fill="auto"/>
          </w:tcPr>
          <w:p w:rsidR="00C17529" w:rsidRPr="0012760D" w:rsidRDefault="00C17529" w:rsidP="001B3A3E">
            <w:pPr>
              <w:jc w:val="right"/>
              <w:rPr>
                <w:sz w:val="24"/>
                <w:szCs w:val="24"/>
              </w:rPr>
            </w:pPr>
            <w:r w:rsidRPr="0012760D">
              <w:rPr>
                <w:sz w:val="24"/>
                <w:szCs w:val="24"/>
              </w:rPr>
              <w:t>113,082</w:t>
            </w:r>
          </w:p>
        </w:tc>
        <w:tc>
          <w:tcPr>
            <w:tcW w:w="451" w:type="pct"/>
            <w:shd w:val="clear" w:color="auto" w:fill="auto"/>
          </w:tcPr>
          <w:p w:rsidR="00C17529" w:rsidRPr="0012760D" w:rsidRDefault="00C17529" w:rsidP="001B3A3E">
            <w:pPr>
              <w:jc w:val="right"/>
              <w:rPr>
                <w:sz w:val="24"/>
                <w:szCs w:val="24"/>
              </w:rPr>
            </w:pPr>
            <w:r w:rsidRPr="0012760D">
              <w:rPr>
                <w:sz w:val="24"/>
                <w:szCs w:val="24"/>
              </w:rPr>
              <w:t>57,388</w:t>
            </w:r>
          </w:p>
        </w:tc>
        <w:tc>
          <w:tcPr>
            <w:tcW w:w="498" w:type="pct"/>
            <w:shd w:val="clear" w:color="auto" w:fill="auto"/>
          </w:tcPr>
          <w:p w:rsidR="00C17529" w:rsidRPr="0012760D" w:rsidRDefault="00C17529" w:rsidP="001B3A3E">
            <w:pPr>
              <w:jc w:val="right"/>
              <w:rPr>
                <w:sz w:val="24"/>
                <w:szCs w:val="24"/>
              </w:rPr>
            </w:pPr>
            <w:r w:rsidRPr="0012760D">
              <w:rPr>
                <w:sz w:val="24"/>
                <w:szCs w:val="24"/>
              </w:rPr>
              <w:t>44,250</w:t>
            </w:r>
          </w:p>
        </w:tc>
      </w:tr>
      <w:tr w:rsidR="00C17529" w:rsidRPr="0012760D" w:rsidTr="00B66707">
        <w:tblPrEx>
          <w:tblCellMar>
            <w:top w:w="0" w:type="dxa"/>
            <w:bottom w:w="0" w:type="dxa"/>
          </w:tblCellMar>
        </w:tblPrEx>
        <w:tc>
          <w:tcPr>
            <w:tcW w:w="743" w:type="pct"/>
            <w:vMerge/>
            <w:shd w:val="clear" w:color="auto" w:fill="auto"/>
          </w:tcPr>
          <w:p w:rsidR="00C17529" w:rsidRPr="0012760D" w:rsidRDefault="00C17529" w:rsidP="001B3A3E">
            <w:pPr>
              <w:rPr>
                <w:sz w:val="24"/>
                <w:szCs w:val="24"/>
              </w:rPr>
            </w:pPr>
          </w:p>
        </w:tc>
        <w:tc>
          <w:tcPr>
            <w:tcW w:w="1183" w:type="pct"/>
            <w:shd w:val="clear" w:color="auto" w:fill="auto"/>
          </w:tcPr>
          <w:p w:rsidR="00C17529" w:rsidRPr="0012760D" w:rsidRDefault="00C17529" w:rsidP="001B3A3E">
            <w:pPr>
              <w:rPr>
                <w:sz w:val="24"/>
                <w:szCs w:val="24"/>
              </w:rPr>
            </w:pPr>
            <w:r w:rsidRPr="0012760D">
              <w:rPr>
                <w:sz w:val="24"/>
                <w:szCs w:val="24"/>
              </w:rPr>
              <w:t>Total GHG emissions associated with waste disposal</w:t>
            </w:r>
          </w:p>
        </w:tc>
        <w:tc>
          <w:tcPr>
            <w:tcW w:w="788" w:type="pct"/>
            <w:shd w:val="clear" w:color="auto" w:fill="auto"/>
          </w:tcPr>
          <w:p w:rsidR="00C17529" w:rsidRPr="0012760D" w:rsidRDefault="00B66707" w:rsidP="001B3A3E">
            <w:pPr>
              <w:rPr>
                <w:sz w:val="24"/>
                <w:szCs w:val="24"/>
              </w:rPr>
            </w:pPr>
            <w:r>
              <w:rPr>
                <w:sz w:val="24"/>
                <w:szCs w:val="24"/>
              </w:rPr>
              <w:t>Kilograms of C O</w:t>
            </w:r>
            <w:r w:rsidR="00C17529" w:rsidRPr="0012760D">
              <w:rPr>
                <w:sz w:val="24"/>
                <w:szCs w:val="24"/>
                <w:vertAlign w:val="subscript"/>
              </w:rPr>
              <w:t>2</w:t>
            </w:r>
            <w:r w:rsidR="00C17529" w:rsidRPr="0012760D">
              <w:rPr>
                <w:sz w:val="24"/>
                <w:szCs w:val="24"/>
              </w:rPr>
              <w:t>-e</w:t>
            </w:r>
          </w:p>
        </w:tc>
        <w:tc>
          <w:tcPr>
            <w:tcW w:w="448" w:type="pct"/>
            <w:shd w:val="clear" w:color="auto" w:fill="auto"/>
          </w:tcPr>
          <w:p w:rsidR="00C17529" w:rsidRPr="0012760D" w:rsidRDefault="00C17529" w:rsidP="001B3A3E">
            <w:pPr>
              <w:jc w:val="right"/>
              <w:rPr>
                <w:sz w:val="24"/>
                <w:szCs w:val="24"/>
              </w:rPr>
            </w:pPr>
            <w:r w:rsidRPr="0012760D">
              <w:rPr>
                <w:sz w:val="24"/>
                <w:szCs w:val="24"/>
              </w:rPr>
              <w:t>271</w:t>
            </w:r>
          </w:p>
        </w:tc>
        <w:tc>
          <w:tcPr>
            <w:tcW w:w="442" w:type="pct"/>
            <w:shd w:val="clear" w:color="auto" w:fill="auto"/>
          </w:tcPr>
          <w:p w:rsidR="00C17529" w:rsidRPr="0012760D" w:rsidRDefault="00C17529" w:rsidP="001B3A3E">
            <w:pPr>
              <w:jc w:val="right"/>
              <w:rPr>
                <w:sz w:val="24"/>
                <w:szCs w:val="24"/>
              </w:rPr>
            </w:pPr>
            <w:r w:rsidRPr="0012760D">
              <w:rPr>
                <w:sz w:val="24"/>
                <w:szCs w:val="24"/>
              </w:rPr>
              <w:t>449</w:t>
            </w:r>
          </w:p>
        </w:tc>
        <w:tc>
          <w:tcPr>
            <w:tcW w:w="447" w:type="pct"/>
            <w:shd w:val="clear" w:color="auto" w:fill="auto"/>
          </w:tcPr>
          <w:p w:rsidR="00C17529" w:rsidRPr="0012760D" w:rsidRDefault="00C17529" w:rsidP="001B3A3E">
            <w:pPr>
              <w:jc w:val="right"/>
              <w:rPr>
                <w:sz w:val="24"/>
                <w:szCs w:val="24"/>
              </w:rPr>
            </w:pPr>
            <w:r w:rsidRPr="0012760D">
              <w:rPr>
                <w:sz w:val="24"/>
                <w:szCs w:val="24"/>
              </w:rPr>
              <w:t>368</w:t>
            </w:r>
          </w:p>
        </w:tc>
        <w:tc>
          <w:tcPr>
            <w:tcW w:w="451" w:type="pct"/>
            <w:shd w:val="clear" w:color="auto" w:fill="auto"/>
          </w:tcPr>
          <w:p w:rsidR="00C17529" w:rsidRPr="0012760D" w:rsidRDefault="00C17529" w:rsidP="001B3A3E">
            <w:pPr>
              <w:jc w:val="right"/>
              <w:rPr>
                <w:sz w:val="24"/>
                <w:szCs w:val="24"/>
              </w:rPr>
            </w:pPr>
            <w:r w:rsidRPr="0012760D">
              <w:rPr>
                <w:sz w:val="24"/>
                <w:szCs w:val="24"/>
              </w:rPr>
              <w:t>362</w:t>
            </w:r>
          </w:p>
        </w:tc>
        <w:tc>
          <w:tcPr>
            <w:tcW w:w="498" w:type="pct"/>
            <w:shd w:val="clear" w:color="auto" w:fill="auto"/>
          </w:tcPr>
          <w:p w:rsidR="00C17529" w:rsidRPr="0012760D" w:rsidRDefault="00C17529" w:rsidP="001B3A3E">
            <w:pPr>
              <w:jc w:val="right"/>
              <w:rPr>
                <w:sz w:val="24"/>
                <w:szCs w:val="24"/>
              </w:rPr>
            </w:pPr>
            <w:r w:rsidRPr="0012760D">
              <w:rPr>
                <w:sz w:val="24"/>
                <w:szCs w:val="24"/>
              </w:rPr>
              <w:t>395</w:t>
            </w:r>
          </w:p>
        </w:tc>
      </w:tr>
      <w:tr w:rsidR="00C17529" w:rsidRPr="0012760D" w:rsidTr="00B66707">
        <w:tblPrEx>
          <w:tblCellMar>
            <w:top w:w="0" w:type="dxa"/>
            <w:bottom w:w="0" w:type="dxa"/>
          </w:tblCellMar>
        </w:tblPrEx>
        <w:tc>
          <w:tcPr>
            <w:tcW w:w="743" w:type="pct"/>
            <w:vMerge/>
            <w:shd w:val="clear" w:color="auto" w:fill="auto"/>
          </w:tcPr>
          <w:p w:rsidR="00C17529" w:rsidRPr="0012760D" w:rsidRDefault="00C17529" w:rsidP="001B3A3E">
            <w:pPr>
              <w:rPr>
                <w:sz w:val="24"/>
                <w:szCs w:val="24"/>
              </w:rPr>
            </w:pPr>
          </w:p>
        </w:tc>
        <w:tc>
          <w:tcPr>
            <w:tcW w:w="1183" w:type="pct"/>
            <w:shd w:val="clear" w:color="auto" w:fill="auto"/>
          </w:tcPr>
          <w:p w:rsidR="00C17529" w:rsidRPr="0012760D" w:rsidRDefault="00C17529" w:rsidP="001B3A3E">
            <w:pPr>
              <w:rPr>
                <w:sz w:val="24"/>
                <w:szCs w:val="24"/>
              </w:rPr>
            </w:pPr>
            <w:r w:rsidRPr="0012760D">
              <w:rPr>
                <w:sz w:val="24"/>
                <w:szCs w:val="24"/>
              </w:rPr>
              <w:t>Total GHG emissions from new Scope 3 inclusion effective FY2012 to 13</w:t>
            </w:r>
          </w:p>
        </w:tc>
        <w:tc>
          <w:tcPr>
            <w:tcW w:w="788" w:type="pct"/>
            <w:shd w:val="clear" w:color="auto" w:fill="auto"/>
          </w:tcPr>
          <w:p w:rsidR="00C17529" w:rsidRPr="0012760D" w:rsidRDefault="00B66707" w:rsidP="001B3A3E">
            <w:pPr>
              <w:rPr>
                <w:sz w:val="24"/>
                <w:szCs w:val="24"/>
              </w:rPr>
            </w:pPr>
            <w:r>
              <w:rPr>
                <w:sz w:val="24"/>
                <w:szCs w:val="24"/>
              </w:rPr>
              <w:t>Kilograms of C O</w:t>
            </w:r>
            <w:r w:rsidR="00C17529" w:rsidRPr="0012760D">
              <w:rPr>
                <w:sz w:val="24"/>
                <w:szCs w:val="24"/>
                <w:vertAlign w:val="subscript"/>
              </w:rPr>
              <w:t>2</w:t>
            </w:r>
            <w:r w:rsidR="00C17529" w:rsidRPr="0012760D">
              <w:rPr>
                <w:sz w:val="24"/>
                <w:szCs w:val="24"/>
              </w:rPr>
              <w:t>-e</w:t>
            </w:r>
          </w:p>
        </w:tc>
        <w:tc>
          <w:tcPr>
            <w:tcW w:w="448" w:type="pct"/>
            <w:shd w:val="clear" w:color="auto" w:fill="auto"/>
          </w:tcPr>
          <w:p w:rsidR="00C17529" w:rsidRPr="0012760D" w:rsidRDefault="00C17529" w:rsidP="001B3A3E">
            <w:pPr>
              <w:jc w:val="right"/>
              <w:rPr>
                <w:sz w:val="24"/>
                <w:szCs w:val="24"/>
              </w:rPr>
            </w:pPr>
          </w:p>
        </w:tc>
        <w:tc>
          <w:tcPr>
            <w:tcW w:w="442" w:type="pct"/>
            <w:shd w:val="clear" w:color="auto" w:fill="auto"/>
          </w:tcPr>
          <w:p w:rsidR="00C17529" w:rsidRPr="0012760D" w:rsidRDefault="00C17529" w:rsidP="001B3A3E">
            <w:pPr>
              <w:jc w:val="right"/>
              <w:rPr>
                <w:sz w:val="24"/>
                <w:szCs w:val="24"/>
              </w:rPr>
            </w:pPr>
          </w:p>
        </w:tc>
        <w:tc>
          <w:tcPr>
            <w:tcW w:w="447" w:type="pct"/>
            <w:shd w:val="clear" w:color="auto" w:fill="auto"/>
          </w:tcPr>
          <w:p w:rsidR="00C17529" w:rsidRPr="0012760D" w:rsidRDefault="00C17529" w:rsidP="001B3A3E">
            <w:pPr>
              <w:jc w:val="right"/>
              <w:rPr>
                <w:sz w:val="24"/>
                <w:szCs w:val="24"/>
              </w:rPr>
            </w:pPr>
          </w:p>
        </w:tc>
        <w:tc>
          <w:tcPr>
            <w:tcW w:w="451" w:type="pct"/>
            <w:shd w:val="clear" w:color="auto" w:fill="auto"/>
          </w:tcPr>
          <w:p w:rsidR="00C17529" w:rsidRPr="0012760D" w:rsidRDefault="00C17529" w:rsidP="001B3A3E">
            <w:pPr>
              <w:jc w:val="right"/>
              <w:rPr>
                <w:sz w:val="24"/>
                <w:szCs w:val="24"/>
              </w:rPr>
            </w:pPr>
          </w:p>
        </w:tc>
        <w:tc>
          <w:tcPr>
            <w:tcW w:w="498" w:type="pct"/>
            <w:shd w:val="clear" w:color="auto" w:fill="auto"/>
          </w:tcPr>
          <w:p w:rsidR="00C17529" w:rsidRPr="0012760D" w:rsidRDefault="00C17529" w:rsidP="001B3A3E">
            <w:pPr>
              <w:jc w:val="right"/>
              <w:rPr>
                <w:sz w:val="24"/>
                <w:szCs w:val="24"/>
              </w:rPr>
            </w:pPr>
            <w:r w:rsidRPr="0012760D">
              <w:rPr>
                <w:sz w:val="24"/>
                <w:szCs w:val="24"/>
              </w:rPr>
              <w:t>113,289</w:t>
            </w:r>
          </w:p>
        </w:tc>
      </w:tr>
      <w:tr w:rsidR="00C17529" w:rsidRPr="0012760D" w:rsidTr="00B66707">
        <w:tblPrEx>
          <w:tblCellMar>
            <w:top w:w="0" w:type="dxa"/>
            <w:bottom w:w="0" w:type="dxa"/>
          </w:tblCellMar>
        </w:tblPrEx>
        <w:tc>
          <w:tcPr>
            <w:tcW w:w="743" w:type="pct"/>
            <w:vMerge/>
            <w:shd w:val="clear" w:color="auto" w:fill="auto"/>
          </w:tcPr>
          <w:p w:rsidR="00C17529" w:rsidRPr="0012760D" w:rsidRDefault="00C17529" w:rsidP="001B3A3E">
            <w:pPr>
              <w:rPr>
                <w:sz w:val="24"/>
                <w:szCs w:val="24"/>
              </w:rPr>
            </w:pPr>
          </w:p>
        </w:tc>
        <w:tc>
          <w:tcPr>
            <w:tcW w:w="1183" w:type="pct"/>
            <w:shd w:val="clear" w:color="auto" w:fill="auto"/>
          </w:tcPr>
          <w:p w:rsidR="00C17529" w:rsidRPr="0012760D" w:rsidRDefault="00C17529" w:rsidP="001B3A3E">
            <w:pPr>
              <w:rPr>
                <w:sz w:val="24"/>
                <w:szCs w:val="24"/>
              </w:rPr>
            </w:pPr>
            <w:r w:rsidRPr="0012760D">
              <w:rPr>
                <w:sz w:val="24"/>
                <w:szCs w:val="24"/>
              </w:rPr>
              <w:t xml:space="preserve">Total GHG emissions associated with scope of </w:t>
            </w:r>
            <w:r w:rsidRPr="0012760D">
              <w:rPr>
                <w:sz w:val="24"/>
                <w:szCs w:val="24"/>
              </w:rPr>
              <w:lastRenderedPageBreak/>
              <w:t>operational activities</w:t>
            </w:r>
            <w:r w:rsidRPr="0012760D">
              <w:rPr>
                <w:sz w:val="24"/>
                <w:szCs w:val="24"/>
                <w:vertAlign w:val="superscript"/>
              </w:rPr>
              <w:t>18</w:t>
            </w:r>
          </w:p>
        </w:tc>
        <w:tc>
          <w:tcPr>
            <w:tcW w:w="788" w:type="pct"/>
            <w:shd w:val="clear" w:color="auto" w:fill="auto"/>
          </w:tcPr>
          <w:p w:rsidR="00C17529" w:rsidRPr="0012760D" w:rsidRDefault="00B66707" w:rsidP="001B3A3E">
            <w:pPr>
              <w:rPr>
                <w:sz w:val="24"/>
                <w:szCs w:val="24"/>
              </w:rPr>
            </w:pPr>
            <w:r>
              <w:rPr>
                <w:sz w:val="24"/>
                <w:szCs w:val="24"/>
              </w:rPr>
              <w:lastRenderedPageBreak/>
              <w:t>Kilograms of C O</w:t>
            </w:r>
            <w:r w:rsidR="00C17529" w:rsidRPr="0012760D">
              <w:rPr>
                <w:sz w:val="24"/>
                <w:szCs w:val="24"/>
                <w:vertAlign w:val="subscript"/>
              </w:rPr>
              <w:t>2</w:t>
            </w:r>
            <w:r w:rsidR="00C17529" w:rsidRPr="0012760D">
              <w:rPr>
                <w:sz w:val="24"/>
                <w:szCs w:val="24"/>
              </w:rPr>
              <w:t>-e</w:t>
            </w:r>
          </w:p>
        </w:tc>
        <w:tc>
          <w:tcPr>
            <w:tcW w:w="448" w:type="pct"/>
            <w:shd w:val="clear" w:color="auto" w:fill="auto"/>
          </w:tcPr>
          <w:p w:rsidR="00C17529" w:rsidRPr="0012760D" w:rsidRDefault="00C17529" w:rsidP="001B3A3E">
            <w:pPr>
              <w:jc w:val="right"/>
              <w:rPr>
                <w:sz w:val="24"/>
                <w:szCs w:val="24"/>
              </w:rPr>
            </w:pPr>
            <w:r w:rsidRPr="0012760D">
              <w:rPr>
                <w:sz w:val="24"/>
                <w:szCs w:val="24"/>
              </w:rPr>
              <w:t>512,606</w:t>
            </w:r>
          </w:p>
        </w:tc>
        <w:tc>
          <w:tcPr>
            <w:tcW w:w="442" w:type="pct"/>
            <w:shd w:val="clear" w:color="auto" w:fill="auto"/>
          </w:tcPr>
          <w:p w:rsidR="00C17529" w:rsidRPr="0012760D" w:rsidRDefault="00C17529" w:rsidP="001B3A3E">
            <w:pPr>
              <w:jc w:val="right"/>
              <w:rPr>
                <w:sz w:val="24"/>
                <w:szCs w:val="24"/>
              </w:rPr>
            </w:pPr>
            <w:r w:rsidRPr="0012760D">
              <w:rPr>
                <w:sz w:val="24"/>
                <w:szCs w:val="24"/>
              </w:rPr>
              <w:t>323,067</w:t>
            </w:r>
          </w:p>
        </w:tc>
        <w:tc>
          <w:tcPr>
            <w:tcW w:w="447" w:type="pct"/>
            <w:shd w:val="clear" w:color="auto" w:fill="auto"/>
          </w:tcPr>
          <w:p w:rsidR="00C17529" w:rsidRPr="0012760D" w:rsidRDefault="00C17529" w:rsidP="001B3A3E">
            <w:pPr>
              <w:jc w:val="right"/>
              <w:rPr>
                <w:sz w:val="24"/>
                <w:szCs w:val="24"/>
              </w:rPr>
            </w:pPr>
            <w:r w:rsidRPr="0012760D">
              <w:rPr>
                <w:sz w:val="24"/>
                <w:szCs w:val="24"/>
              </w:rPr>
              <w:t>488,896</w:t>
            </w:r>
          </w:p>
        </w:tc>
        <w:tc>
          <w:tcPr>
            <w:tcW w:w="451" w:type="pct"/>
            <w:shd w:val="clear" w:color="auto" w:fill="auto"/>
          </w:tcPr>
          <w:p w:rsidR="00C17529" w:rsidRPr="0012760D" w:rsidRDefault="00C17529" w:rsidP="001B3A3E">
            <w:pPr>
              <w:jc w:val="right"/>
              <w:rPr>
                <w:sz w:val="24"/>
                <w:szCs w:val="24"/>
              </w:rPr>
            </w:pPr>
            <w:r w:rsidRPr="0012760D">
              <w:rPr>
                <w:sz w:val="24"/>
                <w:szCs w:val="24"/>
              </w:rPr>
              <w:t>432,342</w:t>
            </w:r>
          </w:p>
        </w:tc>
        <w:tc>
          <w:tcPr>
            <w:tcW w:w="498" w:type="pct"/>
            <w:shd w:val="clear" w:color="auto" w:fill="auto"/>
          </w:tcPr>
          <w:p w:rsidR="00C17529" w:rsidRPr="0012760D" w:rsidRDefault="00C17529" w:rsidP="001B3A3E">
            <w:pPr>
              <w:jc w:val="right"/>
              <w:rPr>
                <w:sz w:val="24"/>
                <w:szCs w:val="24"/>
              </w:rPr>
            </w:pPr>
            <w:r w:rsidRPr="0012760D">
              <w:rPr>
                <w:sz w:val="24"/>
                <w:szCs w:val="24"/>
              </w:rPr>
              <w:t>538,003</w:t>
            </w:r>
          </w:p>
        </w:tc>
      </w:tr>
    </w:tbl>
    <w:p w:rsidR="00C17529" w:rsidRDefault="00C17529" w:rsidP="00C17529">
      <w:pPr>
        <w:rPr>
          <w:bCs/>
          <w:sz w:val="24"/>
          <w:szCs w:val="24"/>
        </w:rPr>
      </w:pPr>
    </w:p>
    <w:p w:rsidR="00B93117" w:rsidRPr="0012760D" w:rsidRDefault="00B93117" w:rsidP="00C17529">
      <w:pPr>
        <w:rPr>
          <w:bCs/>
          <w:sz w:val="24"/>
          <w:szCs w:val="24"/>
        </w:rPr>
      </w:pPr>
    </w:p>
    <w:p w:rsidR="00C17529" w:rsidRDefault="00C17529" w:rsidP="00B93117">
      <w:pPr>
        <w:pStyle w:val="Heading3"/>
      </w:pPr>
      <w:r w:rsidRPr="0012760D">
        <w:t>Notes:</w:t>
      </w:r>
    </w:p>
    <w:p w:rsidR="00B93117" w:rsidRPr="0012760D" w:rsidRDefault="00B93117" w:rsidP="00C17529">
      <w:pPr>
        <w:rPr>
          <w:sz w:val="24"/>
          <w:szCs w:val="24"/>
        </w:rPr>
      </w:pPr>
    </w:p>
    <w:p w:rsidR="00C17529" w:rsidRPr="0012760D" w:rsidRDefault="00C17529" w:rsidP="00C17529">
      <w:pPr>
        <w:rPr>
          <w:sz w:val="24"/>
          <w:szCs w:val="24"/>
        </w:rPr>
      </w:pPr>
      <w:r w:rsidRPr="0012760D">
        <w:rPr>
          <w:sz w:val="24"/>
          <w:szCs w:val="24"/>
        </w:rPr>
        <w:t>1. Over the preceding three years SV had an average of over 450 clients/guest visitors per month (or approximately 20 a day). These records are no longer being kept by the Urban Workshop Concierge.</w:t>
      </w:r>
    </w:p>
    <w:p w:rsidR="00C17529" w:rsidRPr="0012760D" w:rsidRDefault="00C17529" w:rsidP="00C17529">
      <w:pPr>
        <w:rPr>
          <w:sz w:val="24"/>
          <w:szCs w:val="24"/>
        </w:rPr>
      </w:pPr>
      <w:r w:rsidRPr="0012760D">
        <w:rPr>
          <w:sz w:val="24"/>
          <w:szCs w:val="24"/>
        </w:rPr>
        <w:t>2. THC = average Total Head Count for the entire year as of 30 June 2013, which includes contractors employed at Sustainability Victoria. Our contractors work on-site, using many of the same resources as our employees. Temporary agency employees are not included in THC.</w:t>
      </w:r>
    </w:p>
    <w:p w:rsidR="00C17529" w:rsidRPr="0012760D" w:rsidRDefault="00C17529" w:rsidP="00C17529">
      <w:pPr>
        <w:rPr>
          <w:sz w:val="24"/>
          <w:szCs w:val="24"/>
        </w:rPr>
      </w:pPr>
      <w:r w:rsidRPr="0012760D">
        <w:rPr>
          <w:sz w:val="24"/>
          <w:szCs w:val="24"/>
        </w:rPr>
        <w:t>3. FTE = Full Time equivalent staff as of 30 June 2013. Temporary agency employees are not included in FTE.</w:t>
      </w:r>
    </w:p>
    <w:p w:rsidR="00C17529" w:rsidRPr="0012760D" w:rsidRDefault="00C17529" w:rsidP="00C17529">
      <w:pPr>
        <w:rPr>
          <w:sz w:val="24"/>
          <w:szCs w:val="24"/>
        </w:rPr>
      </w:pPr>
      <w:r w:rsidRPr="0012760D">
        <w:rPr>
          <w:sz w:val="24"/>
          <w:szCs w:val="24"/>
        </w:rPr>
        <w:t>4. Base building apportioned gas consumption is calculated from net lettable area. With SV occupying one floor our apportioned value is 2.9%.</w:t>
      </w:r>
    </w:p>
    <w:p w:rsidR="00C17529" w:rsidRPr="0012760D" w:rsidRDefault="00C17529" w:rsidP="00C17529">
      <w:pPr>
        <w:rPr>
          <w:sz w:val="24"/>
          <w:szCs w:val="24"/>
        </w:rPr>
      </w:pPr>
      <w:r w:rsidRPr="0012760D">
        <w:rPr>
          <w:sz w:val="24"/>
          <w:szCs w:val="24"/>
        </w:rPr>
        <w:t>5. One ream is equivalent to 500 sheets of A4 office paper. All paper figures rounded to the nearest tenth.</w:t>
      </w:r>
    </w:p>
    <w:p w:rsidR="00C17529" w:rsidRPr="0012760D" w:rsidRDefault="00C17529" w:rsidP="00C17529">
      <w:pPr>
        <w:rPr>
          <w:sz w:val="24"/>
          <w:szCs w:val="24"/>
        </w:rPr>
      </w:pPr>
      <w:r w:rsidRPr="0012760D">
        <w:rPr>
          <w:sz w:val="24"/>
          <w:szCs w:val="24"/>
        </w:rPr>
        <w:t xml:space="preserve">6. Waste figures from one-week-a-month measurements taken throughout 2012 to 13 which is meant to be within plus or minus 10% accuracy. Based on verification advice, in FY2012/13 the GHG factor for waste to landfill was changed to the MSW factor from the </w:t>
      </w:r>
      <w:r w:rsidR="00932E3A">
        <w:rPr>
          <w:sz w:val="24"/>
          <w:szCs w:val="24"/>
        </w:rPr>
        <w:t>C and L</w:t>
      </w:r>
      <w:r w:rsidRPr="0012760D">
        <w:rPr>
          <w:sz w:val="24"/>
          <w:szCs w:val="24"/>
        </w:rPr>
        <w:t xml:space="preserve"> factor, resulting in an increase in reported emissions per kilogram.</w:t>
      </w:r>
    </w:p>
    <w:p w:rsidR="00C17529" w:rsidRPr="0012760D" w:rsidRDefault="00C17529" w:rsidP="00C17529">
      <w:pPr>
        <w:rPr>
          <w:sz w:val="24"/>
          <w:szCs w:val="24"/>
        </w:rPr>
      </w:pPr>
      <w:r w:rsidRPr="0012760D">
        <w:rPr>
          <w:sz w:val="24"/>
          <w:szCs w:val="24"/>
        </w:rPr>
        <w:t>7. The measured figure for recyclable materials collected was 3,614 kg; this implies 35.1 kg of recyclables per FTE, total waste generation of 43.8 kg per THC and 46.3 kg per FTE, and a 93% recycling rate. However, an issue was discovered in the measurement of recyclable materials collected, and as such, this figure may not be an accurate reflection of the actual volume of material collected. Improved measurement methods will be developed and implemented to correct this in FY2013/14.</w:t>
      </w:r>
    </w:p>
    <w:p w:rsidR="00830E84" w:rsidRPr="0012760D" w:rsidRDefault="00830E84" w:rsidP="0078679E">
      <w:pPr>
        <w:rPr>
          <w:sz w:val="24"/>
          <w:szCs w:val="24"/>
        </w:rPr>
        <w:sectPr w:rsidR="00830E84" w:rsidRPr="0012760D" w:rsidSect="004F6170">
          <w:pgSz w:w="16834" w:h="11909" w:orient="landscape"/>
          <w:pgMar w:top="1440" w:right="1440" w:bottom="1440" w:left="1440" w:header="720" w:footer="720" w:gutter="0"/>
          <w:cols w:space="720"/>
          <w:noEndnote/>
          <w:docGrid w:linePitch="272"/>
        </w:sectPr>
      </w:pPr>
    </w:p>
    <w:p w:rsidR="00830E84" w:rsidRPr="0012760D" w:rsidRDefault="00830E84" w:rsidP="00830E84">
      <w:pPr>
        <w:rPr>
          <w:sz w:val="24"/>
          <w:szCs w:val="24"/>
        </w:rPr>
      </w:pPr>
      <w:r w:rsidRPr="0012760D">
        <w:rPr>
          <w:bCs/>
          <w:sz w:val="24"/>
          <w:szCs w:val="24"/>
        </w:rPr>
        <w:lastRenderedPageBreak/>
        <w:t>&lt;pp&gt; 73</w:t>
      </w:r>
    </w:p>
    <w:p w:rsidR="00830E84" w:rsidRPr="0012760D" w:rsidRDefault="00830E84" w:rsidP="00830E84">
      <w:pPr>
        <w:rPr>
          <w:sz w:val="24"/>
          <w:szCs w:val="24"/>
        </w:rPr>
      </w:pPr>
      <w:r w:rsidRPr="0012760D">
        <w:rPr>
          <w:sz w:val="24"/>
          <w:szCs w:val="24"/>
        </w:rPr>
        <w:t>8. Total base building water use figure based on an apportioned value (2.9%). Figures for previous years have been backcast for consistency and comparability. The on-site blackwater treatment plant was operational 0% in FY2012/13, thus the increase in total consumption.</w:t>
      </w:r>
    </w:p>
    <w:p w:rsidR="00830E84" w:rsidRPr="0012760D" w:rsidRDefault="00830E84" w:rsidP="00830E84">
      <w:pPr>
        <w:rPr>
          <w:sz w:val="24"/>
          <w:szCs w:val="24"/>
        </w:rPr>
      </w:pPr>
      <w:r w:rsidRPr="0012760D">
        <w:rPr>
          <w:sz w:val="24"/>
          <w:szCs w:val="24"/>
        </w:rPr>
        <w:t>9. Accurate base building apportioned values prior to 2010/11 were questionable and the accuracy of total apportioned for any given year is based on floor area e.g. 2.9% of base building as a whole.</w:t>
      </w:r>
    </w:p>
    <w:p w:rsidR="00830E84" w:rsidRPr="0012760D" w:rsidRDefault="00830E84" w:rsidP="00830E84">
      <w:pPr>
        <w:rPr>
          <w:sz w:val="24"/>
          <w:szCs w:val="24"/>
        </w:rPr>
      </w:pPr>
      <w:r w:rsidRPr="0012760D">
        <w:rPr>
          <w:sz w:val="24"/>
          <w:szCs w:val="24"/>
        </w:rPr>
        <w:t>10. As of June 2013 vehicle fleet entirely made up of Hybrid Camrys, including five regionally located. Figures exclude a limited amount of interstate/overseas travel and ferry travel.</w:t>
      </w:r>
    </w:p>
    <w:p w:rsidR="00830E84" w:rsidRPr="0012760D" w:rsidRDefault="00830E84" w:rsidP="00830E84">
      <w:pPr>
        <w:rPr>
          <w:sz w:val="24"/>
          <w:szCs w:val="24"/>
        </w:rPr>
      </w:pPr>
      <w:r w:rsidRPr="0012760D">
        <w:rPr>
          <w:sz w:val="24"/>
          <w:szCs w:val="24"/>
        </w:rPr>
        <w:t>11. Value incorporates staff driving personal vehicles in some instances where fleet vehicles not accessible.</w:t>
      </w:r>
    </w:p>
    <w:p w:rsidR="00830E84" w:rsidRPr="0012760D" w:rsidRDefault="00830E84" w:rsidP="00830E84">
      <w:pPr>
        <w:rPr>
          <w:sz w:val="24"/>
          <w:szCs w:val="24"/>
        </w:rPr>
      </w:pPr>
      <w:r w:rsidRPr="0012760D">
        <w:rPr>
          <w:sz w:val="24"/>
          <w:szCs w:val="24"/>
        </w:rPr>
        <w:t>12. More sustainable modes of commuting include: cycling, walking and working from home.</w:t>
      </w:r>
    </w:p>
    <w:p w:rsidR="00830E84" w:rsidRPr="0012760D" w:rsidRDefault="00830E84" w:rsidP="00830E84">
      <w:pPr>
        <w:rPr>
          <w:sz w:val="24"/>
          <w:szCs w:val="24"/>
        </w:rPr>
      </w:pPr>
      <w:r w:rsidRPr="0012760D">
        <w:rPr>
          <w:sz w:val="24"/>
          <w:szCs w:val="24"/>
        </w:rPr>
        <w:t>13. The treatment of GreenPower changed in FY 2010/11, with GreenPower purchasing no longer considered abatement for Scope 3 emissions. While SV purchased 100% GreenPower, remaining Scope 3 associated emissions has be offset through the purchase of an accredited carbon offset product.</w:t>
      </w:r>
    </w:p>
    <w:p w:rsidR="00830E84" w:rsidRPr="0012760D" w:rsidRDefault="00830E84" w:rsidP="00830E84">
      <w:pPr>
        <w:rPr>
          <w:sz w:val="24"/>
          <w:szCs w:val="24"/>
        </w:rPr>
      </w:pPr>
      <w:r w:rsidRPr="0012760D">
        <w:rPr>
          <w:sz w:val="24"/>
          <w:szCs w:val="24"/>
        </w:rPr>
        <w:t>14. All previous years' greenhouse estimations have been adjusted based on updated formula from 2010/11. In this example, the Radiative Forcing Index has been decreased from 5 in 2010/11 to 1.9 for the RFI factor and 1.09 for uplift Factor this year. Previous years have been updated using the same factors as in 2011/12.</w:t>
      </w:r>
    </w:p>
    <w:p w:rsidR="00830E84" w:rsidRPr="0012760D" w:rsidRDefault="00830E84" w:rsidP="00830E84">
      <w:pPr>
        <w:rPr>
          <w:sz w:val="24"/>
          <w:szCs w:val="24"/>
        </w:rPr>
      </w:pPr>
      <w:r w:rsidRPr="0012760D">
        <w:rPr>
          <w:sz w:val="24"/>
          <w:szCs w:val="24"/>
        </w:rPr>
        <w:t>15. In environmental management system language "greenhouse gas emissions" is not an environmental aspect but rather an environmental Impact. For convenience it has been left in the environmental aspect column easier illustration.</w:t>
      </w:r>
    </w:p>
    <w:p w:rsidR="00830E84" w:rsidRPr="0012760D" w:rsidRDefault="00830E84" w:rsidP="00830E84">
      <w:pPr>
        <w:rPr>
          <w:sz w:val="24"/>
          <w:szCs w:val="24"/>
        </w:rPr>
      </w:pPr>
      <w:r w:rsidRPr="0012760D">
        <w:rPr>
          <w:sz w:val="24"/>
          <w:szCs w:val="24"/>
        </w:rPr>
        <w:t xml:space="preserve">16. Greenhouse gas emission factors based on July 2012 National Greenhouse accounts factors and EPA Victoria Greenhouse Gas Inventory Management Plan. Emissions from air travel are calculated using DEFRA methodology. Other factors are calculated using </w:t>
      </w:r>
      <w:r w:rsidR="0071725E">
        <w:rPr>
          <w:sz w:val="24"/>
          <w:szCs w:val="24"/>
        </w:rPr>
        <w:t>A T O</w:t>
      </w:r>
      <w:r w:rsidRPr="0012760D">
        <w:rPr>
          <w:sz w:val="24"/>
          <w:szCs w:val="24"/>
        </w:rPr>
        <w:t>, A</w:t>
      </w:r>
      <w:r w:rsidR="00B66707">
        <w:rPr>
          <w:sz w:val="24"/>
          <w:szCs w:val="24"/>
        </w:rPr>
        <w:t xml:space="preserve"> </w:t>
      </w:r>
      <w:r w:rsidRPr="0012760D">
        <w:rPr>
          <w:sz w:val="24"/>
          <w:szCs w:val="24"/>
        </w:rPr>
        <w:t>B</w:t>
      </w:r>
      <w:r w:rsidR="00B66707">
        <w:rPr>
          <w:sz w:val="24"/>
          <w:szCs w:val="24"/>
        </w:rPr>
        <w:t xml:space="preserve"> </w:t>
      </w:r>
      <w:r w:rsidRPr="0012760D">
        <w:rPr>
          <w:sz w:val="24"/>
          <w:szCs w:val="24"/>
        </w:rPr>
        <w:t>S, RACV and V-Line data.</w:t>
      </w:r>
      <w:r w:rsidR="00B66707" w:rsidRPr="00B66707">
        <w:rPr>
          <w:sz w:val="24"/>
          <w:szCs w:val="24"/>
        </w:rPr>
        <w:t xml:space="preserve"> </w:t>
      </w:r>
    </w:p>
    <w:p w:rsidR="00830E84" w:rsidRPr="0012760D" w:rsidRDefault="00830E84" w:rsidP="00830E84">
      <w:pPr>
        <w:rPr>
          <w:sz w:val="24"/>
          <w:szCs w:val="24"/>
        </w:rPr>
      </w:pPr>
      <w:r w:rsidRPr="0012760D">
        <w:rPr>
          <w:sz w:val="24"/>
          <w:szCs w:val="24"/>
        </w:rPr>
        <w:t>17. Emissions from publications are calculated using a methodology developed by T</w:t>
      </w:r>
      <w:r w:rsidR="00B66707">
        <w:rPr>
          <w:sz w:val="24"/>
          <w:szCs w:val="24"/>
        </w:rPr>
        <w:t>he Gaia Partnership using the C O</w:t>
      </w:r>
      <w:r w:rsidRPr="009A6AAD">
        <w:rPr>
          <w:sz w:val="24"/>
          <w:szCs w:val="24"/>
          <w:vertAlign w:val="superscript"/>
        </w:rPr>
        <w:t>2</w:t>
      </w:r>
      <w:r w:rsidRPr="0012760D">
        <w:rPr>
          <w:sz w:val="24"/>
          <w:szCs w:val="24"/>
        </w:rPr>
        <w:t xml:space="preserve"> counter technology.</w:t>
      </w:r>
    </w:p>
    <w:p w:rsidR="00830E84" w:rsidRPr="0012760D" w:rsidRDefault="00830E84" w:rsidP="00830E84">
      <w:pPr>
        <w:rPr>
          <w:sz w:val="24"/>
          <w:szCs w:val="24"/>
        </w:rPr>
      </w:pPr>
      <w:r w:rsidRPr="0012760D">
        <w:rPr>
          <w:sz w:val="24"/>
          <w:szCs w:val="24"/>
        </w:rPr>
        <w:t>18. The operational aspects included in the scope of activities for purchasing carbon offsets are: apportioned base building electricity and gas, office tenant light and power, kitchen and vehicle refrigerants, waste to landfill, air travel, public transport, taxi travel, feet vehicles for work based activities, paper and publications consumption and water consumption. Each year a new Scope 3 item is added as part of our Carbon Accountability strategy. This year a new inclusion was made to incorporate staff commute to and from work; this equated to 113,289 kg of GHG. A 10% buffer in the purchase of carbon offsets has been incorporated to cover any inaccuracies in calculating the components included within SVs Greenhouse inventory boundary.</w:t>
      </w:r>
    </w:p>
    <w:p w:rsidR="00F6746A" w:rsidRDefault="00F6746A" w:rsidP="00F6746A">
      <w:pPr>
        <w:rPr>
          <w:bCs/>
          <w:sz w:val="24"/>
          <w:szCs w:val="24"/>
        </w:rPr>
      </w:pPr>
      <w:r w:rsidRPr="0012760D">
        <w:rPr>
          <w:bCs/>
          <w:sz w:val="24"/>
          <w:szCs w:val="24"/>
        </w:rPr>
        <w:t>&lt;pp&gt; 74</w:t>
      </w:r>
    </w:p>
    <w:p w:rsidR="00B93117" w:rsidRDefault="00B93117" w:rsidP="00F6746A">
      <w:pPr>
        <w:rPr>
          <w:bCs/>
          <w:sz w:val="24"/>
          <w:szCs w:val="24"/>
        </w:rPr>
      </w:pPr>
    </w:p>
    <w:p w:rsidR="00B93117" w:rsidRPr="0012760D" w:rsidRDefault="00B93117" w:rsidP="00F6746A">
      <w:pPr>
        <w:rPr>
          <w:sz w:val="24"/>
          <w:szCs w:val="24"/>
        </w:rPr>
      </w:pPr>
    </w:p>
    <w:p w:rsidR="00F6746A" w:rsidRDefault="00F6746A" w:rsidP="00B93117">
      <w:pPr>
        <w:pStyle w:val="Heading1"/>
      </w:pPr>
      <w:r w:rsidRPr="0012760D">
        <w:t>Appendix 8</w:t>
      </w:r>
      <w:r w:rsidR="00B93117">
        <w:br/>
      </w:r>
      <w:r w:rsidRPr="0012760D">
        <w:t>Whistleblower</w:t>
      </w:r>
    </w:p>
    <w:p w:rsidR="00B93117" w:rsidRPr="0012760D" w:rsidRDefault="00B93117" w:rsidP="00F6746A">
      <w:pPr>
        <w:rPr>
          <w:sz w:val="24"/>
          <w:szCs w:val="24"/>
        </w:rPr>
      </w:pPr>
    </w:p>
    <w:p w:rsidR="00F6746A" w:rsidRDefault="00F6746A" w:rsidP="00B93117">
      <w:pPr>
        <w:pStyle w:val="Heading2"/>
      </w:pPr>
      <w:r w:rsidRPr="0012760D">
        <w:lastRenderedPageBreak/>
        <w:t>Whistleblower Protection Policy and Procedure</w:t>
      </w:r>
    </w:p>
    <w:p w:rsidR="00B93117" w:rsidRPr="0012760D" w:rsidRDefault="00B93117" w:rsidP="00F6746A">
      <w:pPr>
        <w:rPr>
          <w:sz w:val="24"/>
          <w:szCs w:val="24"/>
        </w:rPr>
      </w:pPr>
    </w:p>
    <w:p w:rsidR="00F6746A" w:rsidRDefault="00F6746A" w:rsidP="00B93117">
      <w:pPr>
        <w:pStyle w:val="Heading2"/>
      </w:pPr>
      <w:r w:rsidRPr="0012760D">
        <w:t>1. Statement of support for whistleblowers</w:t>
      </w:r>
    </w:p>
    <w:p w:rsidR="00B93117" w:rsidRPr="0012760D" w:rsidRDefault="00B93117" w:rsidP="00F6746A">
      <w:pPr>
        <w:rPr>
          <w:sz w:val="24"/>
          <w:szCs w:val="24"/>
        </w:rPr>
      </w:pPr>
    </w:p>
    <w:p w:rsidR="00F6746A" w:rsidRDefault="00F6746A" w:rsidP="00F6746A">
      <w:pPr>
        <w:rPr>
          <w:sz w:val="24"/>
          <w:szCs w:val="24"/>
        </w:rPr>
      </w:pPr>
      <w:r w:rsidRPr="0012760D">
        <w:rPr>
          <w:sz w:val="24"/>
          <w:szCs w:val="24"/>
        </w:rPr>
        <w:t xml:space="preserve">Sustainability Victoria (SV) is committed to the aims and objectives of the </w:t>
      </w:r>
      <w:r w:rsidRPr="0012760D">
        <w:rPr>
          <w:i/>
          <w:iCs/>
          <w:sz w:val="24"/>
          <w:szCs w:val="24"/>
        </w:rPr>
        <w:t xml:space="preserve">Whistleblowers Protection Act 2001 </w:t>
      </w:r>
      <w:r w:rsidRPr="0012760D">
        <w:rPr>
          <w:sz w:val="24"/>
          <w:szCs w:val="24"/>
        </w:rPr>
        <w:t>(the Act). We do not tolerate improper conduct by our employees, officers or members, nor the taking of reprisals against those who come forward to disclose such conduct.</w:t>
      </w:r>
    </w:p>
    <w:p w:rsidR="00B93117" w:rsidRPr="0012760D" w:rsidRDefault="00B93117" w:rsidP="00F6746A">
      <w:pPr>
        <w:rPr>
          <w:sz w:val="24"/>
          <w:szCs w:val="24"/>
        </w:rPr>
      </w:pPr>
    </w:p>
    <w:p w:rsidR="00F6746A" w:rsidRDefault="00F6746A" w:rsidP="00F6746A">
      <w:pPr>
        <w:rPr>
          <w:sz w:val="24"/>
          <w:szCs w:val="24"/>
        </w:rPr>
      </w:pPr>
      <w:r w:rsidRPr="0012760D">
        <w:rPr>
          <w:sz w:val="24"/>
          <w:szCs w:val="24"/>
        </w:rPr>
        <w:t>We recognise the value of transparency and accountability in our administrative and management practices, and support the making of disclosures that reveal corrupt conduct, conduct involving a substantial mismanagement of public resources, or conduct involving a substantial risk to public health and safety or the environment. We will take all reasonable steps to protect people who make such disclosures from any detrimental action in reprisal for making the disclosure. We will also afford natural justice to the person who is the subject of the disclosure.</w:t>
      </w:r>
    </w:p>
    <w:p w:rsidR="00B93117" w:rsidRDefault="00B93117" w:rsidP="00F6746A">
      <w:pPr>
        <w:rPr>
          <w:sz w:val="24"/>
          <w:szCs w:val="24"/>
        </w:rPr>
      </w:pPr>
    </w:p>
    <w:p w:rsidR="00B93117" w:rsidRPr="0012760D" w:rsidRDefault="00B93117" w:rsidP="00F6746A">
      <w:pPr>
        <w:rPr>
          <w:sz w:val="24"/>
          <w:szCs w:val="24"/>
        </w:rPr>
      </w:pPr>
    </w:p>
    <w:p w:rsidR="00F6746A" w:rsidRDefault="00F6746A" w:rsidP="00B93117">
      <w:pPr>
        <w:pStyle w:val="Heading2"/>
      </w:pPr>
      <w:r w:rsidRPr="0012760D">
        <w:t>2. Purpose of these procedures</w:t>
      </w:r>
    </w:p>
    <w:p w:rsidR="00B93117" w:rsidRPr="0012760D" w:rsidRDefault="00B93117" w:rsidP="00F6746A">
      <w:pPr>
        <w:rPr>
          <w:sz w:val="24"/>
          <w:szCs w:val="24"/>
        </w:rPr>
      </w:pPr>
    </w:p>
    <w:p w:rsidR="00F6746A" w:rsidRDefault="00F6746A" w:rsidP="00F6746A">
      <w:pPr>
        <w:rPr>
          <w:sz w:val="24"/>
          <w:szCs w:val="24"/>
        </w:rPr>
      </w:pPr>
      <w:r w:rsidRPr="0012760D">
        <w:rPr>
          <w:sz w:val="24"/>
          <w:szCs w:val="24"/>
        </w:rPr>
        <w:t>These procedures establish a process for reporting disclosures of improper conduct or detrimental action by SV or its employees. The process enables such disclosures to be made to the Protected Disclosure Coordinator (PDC). Disclosures may be made by employees or by members of the public. These procedures are designed to complement normal communication channels between supervisors and employees. Employees are encouraged to continue to raise appropriate matters at any time with their supervisors. As an alternative, employees may make a disclosure of improper conduct or detrimental action under the Act in accordance with these procedures.</w:t>
      </w:r>
    </w:p>
    <w:p w:rsidR="00B93117" w:rsidRDefault="00B93117" w:rsidP="00F6746A">
      <w:pPr>
        <w:rPr>
          <w:sz w:val="24"/>
          <w:szCs w:val="24"/>
        </w:rPr>
      </w:pPr>
    </w:p>
    <w:p w:rsidR="00B93117" w:rsidRPr="0012760D" w:rsidRDefault="00B93117" w:rsidP="00F6746A">
      <w:pPr>
        <w:rPr>
          <w:sz w:val="24"/>
          <w:szCs w:val="24"/>
        </w:rPr>
      </w:pPr>
    </w:p>
    <w:p w:rsidR="00F6746A" w:rsidRDefault="00F6746A" w:rsidP="00B93117">
      <w:pPr>
        <w:pStyle w:val="Heading2"/>
      </w:pPr>
      <w:r w:rsidRPr="0012760D">
        <w:t>3. Objects of the Act</w:t>
      </w:r>
    </w:p>
    <w:p w:rsidR="00B93117" w:rsidRPr="0012760D" w:rsidRDefault="00B93117" w:rsidP="00F6746A">
      <w:pPr>
        <w:rPr>
          <w:sz w:val="24"/>
          <w:szCs w:val="24"/>
        </w:rPr>
      </w:pPr>
    </w:p>
    <w:p w:rsidR="00F6746A" w:rsidRDefault="00F6746A" w:rsidP="00F6746A">
      <w:pPr>
        <w:rPr>
          <w:sz w:val="24"/>
          <w:szCs w:val="24"/>
        </w:rPr>
      </w:pPr>
      <w:r w:rsidRPr="0012760D">
        <w:rPr>
          <w:sz w:val="24"/>
          <w:szCs w:val="24"/>
        </w:rPr>
        <w:t>The Act commenced operation on 1 January 2002. The purpose of the Act is to encourage and facilitate the making of disclosures of improper conduct by public officers and public bodies. The Act provides protection to whistleblowers who make disclosures in accordance with the Act, and establishes a system for the matters disclosed to be investigated and rectifying action to be taken.</w:t>
      </w:r>
    </w:p>
    <w:p w:rsidR="00B93117" w:rsidRPr="0012760D" w:rsidRDefault="00B93117" w:rsidP="00F6746A">
      <w:pPr>
        <w:rPr>
          <w:sz w:val="24"/>
          <w:szCs w:val="24"/>
        </w:rPr>
      </w:pPr>
    </w:p>
    <w:p w:rsidR="00F6746A" w:rsidRDefault="00F6746A" w:rsidP="00F6746A">
      <w:pPr>
        <w:rPr>
          <w:sz w:val="24"/>
          <w:szCs w:val="24"/>
        </w:rPr>
      </w:pPr>
      <w:r w:rsidRPr="0012760D">
        <w:rPr>
          <w:sz w:val="24"/>
          <w:szCs w:val="24"/>
        </w:rPr>
        <w:t>These procedures are designed to complement normal communication channels between managers and employees. SV staff are encouraged to continue to raise appropriate matters at any time with their manager. As an alternative, they may make a disclosure of improper conduct or detrimental action under the Act in accordance with these procedures.</w:t>
      </w:r>
    </w:p>
    <w:p w:rsidR="00B93117" w:rsidRDefault="00B93117" w:rsidP="00F6746A">
      <w:pPr>
        <w:rPr>
          <w:sz w:val="24"/>
          <w:szCs w:val="24"/>
        </w:rPr>
      </w:pPr>
    </w:p>
    <w:p w:rsidR="00B93117" w:rsidRPr="0012760D" w:rsidRDefault="00B93117" w:rsidP="00F6746A">
      <w:pPr>
        <w:rPr>
          <w:sz w:val="24"/>
          <w:szCs w:val="24"/>
        </w:rPr>
      </w:pPr>
    </w:p>
    <w:p w:rsidR="00F6746A" w:rsidRDefault="00F6746A" w:rsidP="00B93117">
      <w:pPr>
        <w:pStyle w:val="Heading2"/>
      </w:pPr>
      <w:r w:rsidRPr="0012760D">
        <w:t>4. Definitions of key terms</w:t>
      </w:r>
    </w:p>
    <w:p w:rsidR="00B93117" w:rsidRPr="0012760D" w:rsidRDefault="00B93117" w:rsidP="00F6746A">
      <w:pPr>
        <w:rPr>
          <w:sz w:val="24"/>
          <w:szCs w:val="24"/>
        </w:rPr>
      </w:pPr>
    </w:p>
    <w:p w:rsidR="00F6746A" w:rsidRDefault="00F6746A" w:rsidP="00F6746A">
      <w:pPr>
        <w:rPr>
          <w:sz w:val="24"/>
          <w:szCs w:val="24"/>
        </w:rPr>
      </w:pPr>
      <w:r w:rsidRPr="0012760D">
        <w:rPr>
          <w:sz w:val="24"/>
          <w:szCs w:val="24"/>
        </w:rPr>
        <w:t>Three key concepts in the reporting process are improper conduct, corrupt conduct and detrimental action. Definitions of these and other relevant terms are set out below:</w:t>
      </w:r>
    </w:p>
    <w:p w:rsidR="00B93117" w:rsidRDefault="00B93117" w:rsidP="00F6746A">
      <w:pPr>
        <w:rPr>
          <w:sz w:val="24"/>
          <w:szCs w:val="24"/>
        </w:rPr>
      </w:pPr>
    </w:p>
    <w:p w:rsidR="00B93117" w:rsidRPr="0012760D" w:rsidRDefault="00B93117" w:rsidP="00F6746A">
      <w:pPr>
        <w:rPr>
          <w:sz w:val="24"/>
          <w:szCs w:val="24"/>
        </w:rPr>
      </w:pPr>
    </w:p>
    <w:p w:rsidR="00F6746A" w:rsidRDefault="00F6746A" w:rsidP="00B93117">
      <w:pPr>
        <w:pStyle w:val="Heading2"/>
      </w:pPr>
      <w:r w:rsidRPr="0012760D">
        <w:t>4.1 Improper Conduct</w:t>
      </w:r>
    </w:p>
    <w:p w:rsidR="00B93117" w:rsidRPr="0012760D" w:rsidRDefault="00B93117" w:rsidP="00F6746A">
      <w:pPr>
        <w:rPr>
          <w:sz w:val="24"/>
          <w:szCs w:val="24"/>
        </w:rPr>
      </w:pPr>
    </w:p>
    <w:p w:rsidR="00F6746A" w:rsidRDefault="00F6746A" w:rsidP="00F6746A">
      <w:pPr>
        <w:rPr>
          <w:sz w:val="24"/>
          <w:szCs w:val="24"/>
        </w:rPr>
      </w:pPr>
      <w:r w:rsidRPr="0012760D">
        <w:rPr>
          <w:sz w:val="24"/>
          <w:szCs w:val="24"/>
        </w:rPr>
        <w:t>A disclosure may be made about improper conduct by a public body or public official. Improper conduct means conduct that is corrupt, a substantial mismanagement of public resources, or conduct involving substantial risk to public health or safety or to the environment. The conduct must be serious enough to constitute, if proved, a criminal offence or reasonable grounds for dismissal.</w:t>
      </w:r>
    </w:p>
    <w:p w:rsidR="00B93117" w:rsidRDefault="00B93117" w:rsidP="00F6746A">
      <w:pPr>
        <w:rPr>
          <w:sz w:val="24"/>
          <w:szCs w:val="24"/>
        </w:rPr>
      </w:pPr>
    </w:p>
    <w:p w:rsidR="00B93117" w:rsidRDefault="00B93117" w:rsidP="00F6746A">
      <w:pPr>
        <w:rPr>
          <w:sz w:val="24"/>
          <w:szCs w:val="24"/>
        </w:rPr>
      </w:pPr>
      <w:r>
        <w:rPr>
          <w:sz w:val="24"/>
          <w:szCs w:val="24"/>
        </w:rPr>
        <w:t>&lt;box&gt;</w:t>
      </w:r>
    </w:p>
    <w:p w:rsidR="00B93117" w:rsidRDefault="00B93117" w:rsidP="00F6746A">
      <w:pPr>
        <w:rPr>
          <w:sz w:val="24"/>
          <w:szCs w:val="24"/>
        </w:rPr>
      </w:pPr>
    </w:p>
    <w:p w:rsidR="00B93117" w:rsidRPr="0012760D" w:rsidRDefault="00B93117" w:rsidP="00F6746A">
      <w:pPr>
        <w:rPr>
          <w:sz w:val="24"/>
          <w:szCs w:val="24"/>
        </w:rPr>
      </w:pPr>
    </w:p>
    <w:p w:rsidR="00F6746A" w:rsidRDefault="00F6746A" w:rsidP="00B93117">
      <w:pPr>
        <w:pStyle w:val="Heading3"/>
      </w:pPr>
      <w:r w:rsidRPr="0012760D">
        <w:t>Examples</w:t>
      </w:r>
    </w:p>
    <w:p w:rsidR="00B93117" w:rsidRPr="0012760D" w:rsidRDefault="00B93117" w:rsidP="00F6746A">
      <w:pPr>
        <w:rPr>
          <w:sz w:val="24"/>
          <w:szCs w:val="24"/>
        </w:rPr>
      </w:pPr>
    </w:p>
    <w:p w:rsidR="00F6746A" w:rsidRPr="0012760D" w:rsidRDefault="00F6746A" w:rsidP="00F6746A">
      <w:pPr>
        <w:rPr>
          <w:sz w:val="24"/>
          <w:szCs w:val="24"/>
        </w:rPr>
      </w:pPr>
      <w:r w:rsidRPr="0012760D">
        <w:rPr>
          <w:sz w:val="24"/>
          <w:szCs w:val="24"/>
        </w:rPr>
        <w:t>• To avoid closure of a town’s only industry, an environmental health officer ignores or conceals evidence of illegal dumping of waste.</w:t>
      </w:r>
    </w:p>
    <w:p w:rsidR="00F6746A" w:rsidRPr="0012760D" w:rsidRDefault="00F6746A" w:rsidP="00F6746A">
      <w:pPr>
        <w:rPr>
          <w:sz w:val="24"/>
          <w:szCs w:val="24"/>
        </w:rPr>
      </w:pPr>
      <w:r w:rsidRPr="0012760D">
        <w:rPr>
          <w:sz w:val="24"/>
          <w:szCs w:val="24"/>
        </w:rPr>
        <w:t>• an agricultural officer delays or declines imposing quarantine to allow a financially distressed farmer to sell diseased stock.</w:t>
      </w:r>
    </w:p>
    <w:p w:rsidR="00F6746A" w:rsidRDefault="00F6746A" w:rsidP="00F6746A">
      <w:pPr>
        <w:rPr>
          <w:sz w:val="24"/>
          <w:szCs w:val="24"/>
        </w:rPr>
      </w:pPr>
      <w:r w:rsidRPr="0012760D">
        <w:rPr>
          <w:sz w:val="24"/>
          <w:szCs w:val="24"/>
        </w:rPr>
        <w:t>• a building inspector tolerates poor practices and structural defects in the work of a leading local builder.</w:t>
      </w:r>
    </w:p>
    <w:p w:rsidR="009A6AAD" w:rsidRDefault="009A6AAD" w:rsidP="00F6746A">
      <w:pPr>
        <w:rPr>
          <w:sz w:val="24"/>
          <w:szCs w:val="24"/>
        </w:rPr>
      </w:pPr>
      <w:r>
        <w:rPr>
          <w:sz w:val="24"/>
          <w:szCs w:val="24"/>
        </w:rPr>
        <w:t>&lt;/box&gt;</w:t>
      </w:r>
    </w:p>
    <w:p w:rsidR="009A6AAD" w:rsidRDefault="009A6AAD" w:rsidP="00F6746A">
      <w:pPr>
        <w:rPr>
          <w:sz w:val="24"/>
          <w:szCs w:val="24"/>
        </w:rPr>
      </w:pPr>
    </w:p>
    <w:p w:rsidR="009A6AAD" w:rsidRPr="0012760D" w:rsidRDefault="009A6AAD" w:rsidP="00F6746A">
      <w:pPr>
        <w:rPr>
          <w:sz w:val="24"/>
          <w:szCs w:val="24"/>
        </w:rPr>
      </w:pPr>
    </w:p>
    <w:p w:rsidR="00F6746A" w:rsidRDefault="00F6746A" w:rsidP="009A6AAD">
      <w:pPr>
        <w:pStyle w:val="Heading2"/>
      </w:pPr>
      <w:r w:rsidRPr="0012760D">
        <w:t>4.2 Corrupt Conduct</w:t>
      </w:r>
    </w:p>
    <w:p w:rsidR="009A6AAD" w:rsidRPr="0012760D" w:rsidRDefault="009A6AAD" w:rsidP="00F6746A">
      <w:pPr>
        <w:rPr>
          <w:sz w:val="24"/>
          <w:szCs w:val="24"/>
        </w:rPr>
      </w:pPr>
    </w:p>
    <w:p w:rsidR="00F6746A" w:rsidRPr="0012760D" w:rsidRDefault="00F6746A" w:rsidP="00F6746A">
      <w:pPr>
        <w:rPr>
          <w:sz w:val="24"/>
          <w:szCs w:val="24"/>
        </w:rPr>
      </w:pPr>
      <w:r w:rsidRPr="0012760D">
        <w:rPr>
          <w:sz w:val="24"/>
          <w:szCs w:val="24"/>
        </w:rPr>
        <w:t>Corrupt conduct means:</w:t>
      </w:r>
    </w:p>
    <w:p w:rsidR="00F6746A" w:rsidRPr="0012760D" w:rsidRDefault="00F6746A" w:rsidP="00F6746A">
      <w:pPr>
        <w:rPr>
          <w:sz w:val="24"/>
          <w:szCs w:val="24"/>
        </w:rPr>
      </w:pPr>
      <w:r w:rsidRPr="0012760D">
        <w:rPr>
          <w:sz w:val="24"/>
          <w:szCs w:val="24"/>
        </w:rPr>
        <w:t>• conduct of any person (whether or not a public official) that adversely affects the honest performance of a public officer's or public body’s functions;</w:t>
      </w:r>
    </w:p>
    <w:p w:rsidR="00F6746A" w:rsidRPr="0012760D" w:rsidRDefault="00F6746A" w:rsidP="00F6746A">
      <w:pPr>
        <w:rPr>
          <w:sz w:val="24"/>
          <w:szCs w:val="24"/>
        </w:rPr>
      </w:pPr>
      <w:r w:rsidRPr="0012760D">
        <w:rPr>
          <w:sz w:val="24"/>
          <w:szCs w:val="24"/>
        </w:rPr>
        <w:t>• the performance of a public officer's functions dishonestly or with inappropriate partiality</w:t>
      </w:r>
    </w:p>
    <w:p w:rsidR="00F6746A" w:rsidRPr="0012760D" w:rsidRDefault="00F6746A" w:rsidP="00F6746A">
      <w:pPr>
        <w:rPr>
          <w:sz w:val="24"/>
          <w:szCs w:val="24"/>
        </w:rPr>
      </w:pPr>
      <w:r w:rsidRPr="0012760D">
        <w:rPr>
          <w:sz w:val="24"/>
          <w:szCs w:val="24"/>
        </w:rPr>
        <w:t>• conduct of a public officer, former public officer or a public body that amounts to a breach of public trust</w:t>
      </w:r>
    </w:p>
    <w:p w:rsidR="00F6746A" w:rsidRPr="0012760D" w:rsidRDefault="00F6746A" w:rsidP="00F6746A">
      <w:pPr>
        <w:rPr>
          <w:sz w:val="24"/>
          <w:szCs w:val="24"/>
        </w:rPr>
      </w:pPr>
      <w:r w:rsidRPr="0012760D">
        <w:rPr>
          <w:sz w:val="24"/>
          <w:szCs w:val="24"/>
        </w:rPr>
        <w:t>• conduct by a public officer, former public officer or a public body that amounts to the misuse of information or material acquired in the course of the performance of their official functions, or</w:t>
      </w:r>
    </w:p>
    <w:p w:rsidR="00F6746A" w:rsidRDefault="00F6746A" w:rsidP="00F6746A">
      <w:pPr>
        <w:rPr>
          <w:sz w:val="24"/>
          <w:szCs w:val="24"/>
        </w:rPr>
      </w:pPr>
      <w:r w:rsidRPr="0012760D">
        <w:rPr>
          <w:sz w:val="24"/>
          <w:szCs w:val="24"/>
        </w:rPr>
        <w:t>• a conspiracy or attempt to engage in the above conduct.</w:t>
      </w:r>
    </w:p>
    <w:p w:rsidR="00B93117" w:rsidRPr="0012760D" w:rsidRDefault="00B93117" w:rsidP="00F6746A">
      <w:pPr>
        <w:rPr>
          <w:sz w:val="24"/>
          <w:szCs w:val="24"/>
        </w:rPr>
      </w:pPr>
      <w:r>
        <w:rPr>
          <w:sz w:val="24"/>
          <w:szCs w:val="24"/>
        </w:rPr>
        <w:t>&lt;/box&gt;</w:t>
      </w:r>
    </w:p>
    <w:p w:rsidR="00A83AB6" w:rsidRDefault="00A83AB6" w:rsidP="00A83AB6">
      <w:pPr>
        <w:rPr>
          <w:bCs/>
          <w:sz w:val="24"/>
          <w:szCs w:val="24"/>
        </w:rPr>
      </w:pPr>
      <w:r w:rsidRPr="0012760D">
        <w:rPr>
          <w:bCs/>
          <w:sz w:val="24"/>
          <w:szCs w:val="24"/>
        </w:rPr>
        <w:t>&lt;pp&gt; 75</w:t>
      </w:r>
    </w:p>
    <w:p w:rsidR="00B93117" w:rsidRDefault="00B93117" w:rsidP="00A83AB6">
      <w:pPr>
        <w:rPr>
          <w:bCs/>
          <w:sz w:val="24"/>
          <w:szCs w:val="24"/>
        </w:rPr>
      </w:pPr>
      <w:r>
        <w:rPr>
          <w:bCs/>
          <w:sz w:val="24"/>
          <w:szCs w:val="24"/>
        </w:rPr>
        <w:t>&lt;box&gt;</w:t>
      </w:r>
    </w:p>
    <w:p w:rsidR="00B93117" w:rsidRDefault="00B93117" w:rsidP="00A83AB6">
      <w:pPr>
        <w:rPr>
          <w:bCs/>
          <w:sz w:val="24"/>
          <w:szCs w:val="24"/>
        </w:rPr>
      </w:pPr>
    </w:p>
    <w:p w:rsidR="00B93117" w:rsidRPr="0012760D" w:rsidRDefault="00B93117" w:rsidP="00A83AB6">
      <w:pPr>
        <w:rPr>
          <w:sz w:val="24"/>
          <w:szCs w:val="24"/>
        </w:rPr>
      </w:pPr>
    </w:p>
    <w:p w:rsidR="00A83AB6" w:rsidRDefault="00A83AB6" w:rsidP="00B93117">
      <w:pPr>
        <w:pStyle w:val="Heading3"/>
      </w:pPr>
      <w:r w:rsidRPr="0012760D">
        <w:t>Examples</w:t>
      </w:r>
    </w:p>
    <w:p w:rsidR="00B93117" w:rsidRPr="0012760D" w:rsidRDefault="00B93117" w:rsidP="00A83AB6">
      <w:pPr>
        <w:rPr>
          <w:sz w:val="24"/>
          <w:szCs w:val="24"/>
        </w:rPr>
      </w:pPr>
    </w:p>
    <w:p w:rsidR="00A83AB6" w:rsidRPr="0012760D" w:rsidRDefault="00A83AB6" w:rsidP="00A83AB6">
      <w:pPr>
        <w:rPr>
          <w:sz w:val="24"/>
          <w:szCs w:val="24"/>
        </w:rPr>
      </w:pPr>
      <w:r w:rsidRPr="0012760D">
        <w:rPr>
          <w:sz w:val="24"/>
          <w:szCs w:val="24"/>
        </w:rPr>
        <w:t>• A public officer takes a bribe or receives a payment other than his/her wages or salary in exchange for the discharge of a public duty.</w:t>
      </w:r>
    </w:p>
    <w:p w:rsidR="00A83AB6" w:rsidRPr="0012760D" w:rsidRDefault="00A83AB6" w:rsidP="00A83AB6">
      <w:pPr>
        <w:rPr>
          <w:sz w:val="24"/>
          <w:szCs w:val="24"/>
        </w:rPr>
      </w:pPr>
      <w:r w:rsidRPr="0012760D">
        <w:rPr>
          <w:sz w:val="24"/>
          <w:szCs w:val="24"/>
        </w:rPr>
        <w:t>• A public officer favours unmeritorious applications for jobs or permits by friends and relatives.</w:t>
      </w:r>
    </w:p>
    <w:p w:rsidR="00A83AB6" w:rsidRDefault="00A83AB6" w:rsidP="00A83AB6">
      <w:pPr>
        <w:rPr>
          <w:sz w:val="24"/>
          <w:szCs w:val="24"/>
        </w:rPr>
      </w:pPr>
      <w:r w:rsidRPr="0012760D">
        <w:rPr>
          <w:sz w:val="24"/>
          <w:szCs w:val="24"/>
        </w:rPr>
        <w:t>• A public officer sells confidential i</w:t>
      </w:r>
      <w:r w:rsidR="00B93117">
        <w:rPr>
          <w:sz w:val="24"/>
          <w:szCs w:val="24"/>
        </w:rPr>
        <w:t>nformation.</w:t>
      </w:r>
    </w:p>
    <w:p w:rsidR="00B93117" w:rsidRDefault="00B93117" w:rsidP="00A83AB6">
      <w:pPr>
        <w:rPr>
          <w:sz w:val="24"/>
          <w:szCs w:val="24"/>
        </w:rPr>
      </w:pPr>
    </w:p>
    <w:p w:rsidR="00B93117" w:rsidRDefault="00B93117" w:rsidP="00A83AB6">
      <w:pPr>
        <w:rPr>
          <w:sz w:val="24"/>
          <w:szCs w:val="24"/>
        </w:rPr>
      </w:pPr>
      <w:r>
        <w:rPr>
          <w:sz w:val="24"/>
          <w:szCs w:val="24"/>
        </w:rPr>
        <w:lastRenderedPageBreak/>
        <w:t>&lt;/box&gt;</w:t>
      </w:r>
    </w:p>
    <w:p w:rsidR="00B93117" w:rsidRDefault="00B93117" w:rsidP="00A83AB6">
      <w:pPr>
        <w:rPr>
          <w:sz w:val="24"/>
          <w:szCs w:val="24"/>
        </w:rPr>
      </w:pPr>
    </w:p>
    <w:p w:rsidR="00B93117" w:rsidRPr="0012760D" w:rsidRDefault="00B93117" w:rsidP="00A83AB6">
      <w:pPr>
        <w:rPr>
          <w:sz w:val="24"/>
          <w:szCs w:val="24"/>
        </w:rPr>
      </w:pPr>
    </w:p>
    <w:p w:rsidR="00A83AB6" w:rsidRDefault="00A83AB6" w:rsidP="00B93117">
      <w:pPr>
        <w:pStyle w:val="Heading2"/>
      </w:pPr>
      <w:r w:rsidRPr="0012760D">
        <w:t>4.3 Detrimental Action</w:t>
      </w:r>
    </w:p>
    <w:p w:rsidR="00B93117" w:rsidRPr="0012760D" w:rsidRDefault="00B93117" w:rsidP="00A83AB6">
      <w:pPr>
        <w:rPr>
          <w:sz w:val="24"/>
          <w:szCs w:val="24"/>
        </w:rPr>
      </w:pPr>
    </w:p>
    <w:p w:rsidR="00A83AB6" w:rsidRDefault="00A83AB6" w:rsidP="00A83AB6">
      <w:pPr>
        <w:rPr>
          <w:sz w:val="24"/>
          <w:szCs w:val="24"/>
        </w:rPr>
      </w:pPr>
      <w:r w:rsidRPr="0012760D">
        <w:rPr>
          <w:sz w:val="24"/>
          <w:szCs w:val="24"/>
        </w:rPr>
        <w:t>The Act makes it an offence for a person to take detrimental action against a person in reprisal for a protected disclosure.</w:t>
      </w:r>
    </w:p>
    <w:p w:rsidR="00B93117" w:rsidRPr="0012760D" w:rsidRDefault="00B93117" w:rsidP="00A83AB6">
      <w:pPr>
        <w:rPr>
          <w:sz w:val="24"/>
          <w:szCs w:val="24"/>
        </w:rPr>
      </w:pPr>
    </w:p>
    <w:p w:rsidR="00A83AB6" w:rsidRPr="0012760D" w:rsidRDefault="00A83AB6" w:rsidP="00A83AB6">
      <w:pPr>
        <w:rPr>
          <w:sz w:val="24"/>
          <w:szCs w:val="24"/>
        </w:rPr>
      </w:pPr>
      <w:r w:rsidRPr="0012760D">
        <w:rPr>
          <w:sz w:val="24"/>
          <w:szCs w:val="24"/>
        </w:rPr>
        <w:t>Detrimental action includes:</w:t>
      </w:r>
    </w:p>
    <w:p w:rsidR="00A83AB6" w:rsidRPr="0012760D" w:rsidRDefault="00A83AB6" w:rsidP="00A83AB6">
      <w:pPr>
        <w:rPr>
          <w:sz w:val="24"/>
          <w:szCs w:val="24"/>
        </w:rPr>
      </w:pPr>
      <w:r w:rsidRPr="0012760D">
        <w:rPr>
          <w:sz w:val="24"/>
          <w:szCs w:val="24"/>
        </w:rPr>
        <w:t>• action causing injury, loss or damage</w:t>
      </w:r>
    </w:p>
    <w:p w:rsidR="00A83AB6" w:rsidRPr="0012760D" w:rsidRDefault="00A83AB6" w:rsidP="00A83AB6">
      <w:pPr>
        <w:rPr>
          <w:sz w:val="24"/>
          <w:szCs w:val="24"/>
        </w:rPr>
      </w:pPr>
      <w:r w:rsidRPr="0012760D">
        <w:rPr>
          <w:sz w:val="24"/>
          <w:szCs w:val="24"/>
        </w:rPr>
        <w:t>• intimidation or harassment</w:t>
      </w:r>
    </w:p>
    <w:p w:rsidR="00A83AB6" w:rsidRDefault="00A83AB6" w:rsidP="00A83AB6">
      <w:pPr>
        <w:rPr>
          <w:sz w:val="24"/>
          <w:szCs w:val="24"/>
        </w:rPr>
      </w:pPr>
      <w:r w:rsidRPr="0012760D">
        <w:rPr>
          <w:sz w:val="24"/>
          <w:szCs w:val="24"/>
        </w:rPr>
        <w:t>• discrimination, disadvantage or adverse treatment in relation to a person's employment, career, profession, trade or business, including the taking of disciplinary action.</w:t>
      </w:r>
    </w:p>
    <w:p w:rsidR="00B93117" w:rsidRDefault="00B93117" w:rsidP="00A83AB6">
      <w:pPr>
        <w:rPr>
          <w:sz w:val="24"/>
          <w:szCs w:val="24"/>
        </w:rPr>
      </w:pPr>
    </w:p>
    <w:p w:rsidR="00B93117" w:rsidRDefault="00B93117" w:rsidP="00A83AB6">
      <w:pPr>
        <w:rPr>
          <w:sz w:val="24"/>
          <w:szCs w:val="24"/>
        </w:rPr>
      </w:pPr>
      <w:r>
        <w:rPr>
          <w:sz w:val="24"/>
          <w:szCs w:val="24"/>
        </w:rPr>
        <w:t>&lt;box&gt;</w:t>
      </w:r>
    </w:p>
    <w:p w:rsidR="00B93117" w:rsidRDefault="00B93117" w:rsidP="00A83AB6">
      <w:pPr>
        <w:rPr>
          <w:sz w:val="24"/>
          <w:szCs w:val="24"/>
        </w:rPr>
      </w:pPr>
    </w:p>
    <w:p w:rsidR="00B93117" w:rsidRPr="0012760D" w:rsidRDefault="00B93117" w:rsidP="00A83AB6">
      <w:pPr>
        <w:rPr>
          <w:sz w:val="24"/>
          <w:szCs w:val="24"/>
        </w:rPr>
      </w:pPr>
    </w:p>
    <w:p w:rsidR="00A83AB6" w:rsidRDefault="00A83AB6" w:rsidP="00B93117">
      <w:pPr>
        <w:pStyle w:val="Heading3"/>
      </w:pPr>
      <w:r w:rsidRPr="0012760D">
        <w:t>Examples</w:t>
      </w:r>
    </w:p>
    <w:p w:rsidR="00B93117" w:rsidRPr="0012760D" w:rsidRDefault="00B93117" w:rsidP="00A83AB6">
      <w:pPr>
        <w:rPr>
          <w:sz w:val="24"/>
          <w:szCs w:val="24"/>
        </w:rPr>
      </w:pPr>
    </w:p>
    <w:p w:rsidR="00A83AB6" w:rsidRPr="0012760D" w:rsidRDefault="00A83AB6" w:rsidP="00A83AB6">
      <w:pPr>
        <w:rPr>
          <w:sz w:val="24"/>
          <w:szCs w:val="24"/>
        </w:rPr>
      </w:pPr>
      <w:r w:rsidRPr="0012760D">
        <w:rPr>
          <w:sz w:val="24"/>
          <w:szCs w:val="24"/>
        </w:rPr>
        <w:t>• a public body refuses a deserved promotion of a person who makes a disclosure.</w:t>
      </w:r>
    </w:p>
    <w:p w:rsidR="00A83AB6" w:rsidRPr="0012760D" w:rsidRDefault="00A83AB6" w:rsidP="00A83AB6">
      <w:pPr>
        <w:rPr>
          <w:sz w:val="24"/>
          <w:szCs w:val="24"/>
        </w:rPr>
      </w:pPr>
      <w:r w:rsidRPr="0012760D">
        <w:rPr>
          <w:sz w:val="24"/>
          <w:szCs w:val="24"/>
        </w:rPr>
        <w:t>• a public body demotes, transfers, isolates in the workplace or changes the duties of a whistleblower due to the making of a disclosure.</w:t>
      </w:r>
    </w:p>
    <w:p w:rsidR="00A83AB6" w:rsidRPr="0012760D" w:rsidRDefault="00A83AB6" w:rsidP="00A83AB6">
      <w:pPr>
        <w:rPr>
          <w:sz w:val="24"/>
          <w:szCs w:val="24"/>
        </w:rPr>
      </w:pPr>
      <w:r w:rsidRPr="0012760D">
        <w:rPr>
          <w:sz w:val="24"/>
          <w:szCs w:val="24"/>
        </w:rPr>
        <w:t>• a person threatens, abuses or carries out other forms of harassment directly or indirectly against the whistleblower, his/her family or friends.</w:t>
      </w:r>
    </w:p>
    <w:p w:rsidR="00A83AB6" w:rsidRDefault="00A83AB6" w:rsidP="00A83AB6">
      <w:pPr>
        <w:rPr>
          <w:sz w:val="24"/>
          <w:szCs w:val="24"/>
        </w:rPr>
      </w:pPr>
      <w:r w:rsidRPr="0012760D">
        <w:rPr>
          <w:sz w:val="24"/>
          <w:szCs w:val="24"/>
        </w:rPr>
        <w:t>• a public body discriminates against the whistleblower or his/her family and associates in subsequent applications for jobs, permits or tenders.</w:t>
      </w:r>
    </w:p>
    <w:p w:rsidR="00B93117" w:rsidRDefault="00B93117" w:rsidP="00A83AB6">
      <w:pPr>
        <w:rPr>
          <w:sz w:val="24"/>
          <w:szCs w:val="24"/>
        </w:rPr>
      </w:pPr>
      <w:r>
        <w:rPr>
          <w:sz w:val="24"/>
          <w:szCs w:val="24"/>
        </w:rPr>
        <w:t>&lt;/box&gt;</w:t>
      </w:r>
    </w:p>
    <w:p w:rsidR="00B93117" w:rsidRDefault="00B93117" w:rsidP="00A83AB6">
      <w:pPr>
        <w:rPr>
          <w:sz w:val="24"/>
          <w:szCs w:val="24"/>
        </w:rPr>
      </w:pPr>
    </w:p>
    <w:p w:rsidR="00B93117" w:rsidRPr="0012760D" w:rsidRDefault="00B93117" w:rsidP="00A83AB6">
      <w:pPr>
        <w:rPr>
          <w:sz w:val="24"/>
          <w:szCs w:val="24"/>
        </w:rPr>
      </w:pPr>
    </w:p>
    <w:p w:rsidR="00A83AB6" w:rsidRDefault="00A83AB6" w:rsidP="00B93117">
      <w:pPr>
        <w:pStyle w:val="Heading2"/>
      </w:pPr>
      <w:r w:rsidRPr="0012760D">
        <w:t>4.4 Public Body</w:t>
      </w:r>
    </w:p>
    <w:p w:rsidR="00B93117" w:rsidRPr="0012760D" w:rsidRDefault="00B93117" w:rsidP="00A83AB6">
      <w:pPr>
        <w:rPr>
          <w:sz w:val="24"/>
          <w:szCs w:val="24"/>
        </w:rPr>
      </w:pPr>
    </w:p>
    <w:p w:rsidR="00A83AB6" w:rsidRDefault="00A83AB6" w:rsidP="00A83AB6">
      <w:pPr>
        <w:rPr>
          <w:sz w:val="24"/>
          <w:szCs w:val="24"/>
        </w:rPr>
      </w:pPr>
      <w:r w:rsidRPr="0012760D">
        <w:rPr>
          <w:sz w:val="24"/>
          <w:szCs w:val="24"/>
        </w:rPr>
        <w:t>A public body is defined in Section 3 (1) of the Act. For the purposes of the Act, SV is a public body.</w:t>
      </w:r>
    </w:p>
    <w:p w:rsidR="00B93117" w:rsidRDefault="00B93117" w:rsidP="00A83AB6">
      <w:pPr>
        <w:rPr>
          <w:sz w:val="24"/>
          <w:szCs w:val="24"/>
        </w:rPr>
      </w:pPr>
    </w:p>
    <w:p w:rsidR="00B93117" w:rsidRPr="0012760D" w:rsidRDefault="00B93117" w:rsidP="00A83AB6">
      <w:pPr>
        <w:rPr>
          <w:sz w:val="24"/>
          <w:szCs w:val="24"/>
        </w:rPr>
      </w:pPr>
    </w:p>
    <w:p w:rsidR="00A83AB6" w:rsidRDefault="00A83AB6" w:rsidP="00B93117">
      <w:pPr>
        <w:pStyle w:val="Heading2"/>
      </w:pPr>
      <w:r w:rsidRPr="0012760D">
        <w:t>4.5 Public Officer</w:t>
      </w:r>
    </w:p>
    <w:p w:rsidR="00B93117" w:rsidRPr="0012760D" w:rsidRDefault="00B93117" w:rsidP="00A83AB6">
      <w:pPr>
        <w:rPr>
          <w:sz w:val="24"/>
          <w:szCs w:val="24"/>
        </w:rPr>
      </w:pPr>
    </w:p>
    <w:p w:rsidR="00A83AB6" w:rsidRDefault="00A83AB6" w:rsidP="00A83AB6">
      <w:pPr>
        <w:rPr>
          <w:sz w:val="24"/>
          <w:szCs w:val="24"/>
        </w:rPr>
      </w:pPr>
      <w:r w:rsidRPr="0012760D">
        <w:rPr>
          <w:sz w:val="24"/>
          <w:szCs w:val="24"/>
        </w:rPr>
        <w:t>A public officer is defined in Section 3 (1) of the Act. For the purposes of the Act, all SV employees are public officers.</w:t>
      </w:r>
    </w:p>
    <w:p w:rsidR="00B93117" w:rsidRDefault="00B93117" w:rsidP="00A83AB6">
      <w:pPr>
        <w:rPr>
          <w:sz w:val="24"/>
          <w:szCs w:val="24"/>
        </w:rPr>
      </w:pPr>
    </w:p>
    <w:p w:rsidR="00B93117" w:rsidRPr="0012760D" w:rsidRDefault="00B93117" w:rsidP="00A83AB6">
      <w:pPr>
        <w:rPr>
          <w:sz w:val="24"/>
          <w:szCs w:val="24"/>
        </w:rPr>
      </w:pPr>
    </w:p>
    <w:p w:rsidR="00A83AB6" w:rsidRDefault="00A83AB6" w:rsidP="00B93117">
      <w:pPr>
        <w:pStyle w:val="Heading2"/>
      </w:pPr>
      <w:r w:rsidRPr="0012760D">
        <w:t>4.6 Protected Disclosure</w:t>
      </w:r>
    </w:p>
    <w:p w:rsidR="00B93117" w:rsidRPr="0012760D" w:rsidRDefault="00B93117" w:rsidP="00A83AB6">
      <w:pPr>
        <w:rPr>
          <w:sz w:val="24"/>
          <w:szCs w:val="24"/>
        </w:rPr>
      </w:pPr>
    </w:p>
    <w:p w:rsidR="00A83AB6" w:rsidRPr="0012760D" w:rsidRDefault="00A83AB6" w:rsidP="00A83AB6">
      <w:pPr>
        <w:rPr>
          <w:sz w:val="24"/>
          <w:szCs w:val="24"/>
        </w:rPr>
      </w:pPr>
      <w:r w:rsidRPr="0012760D">
        <w:rPr>
          <w:sz w:val="24"/>
          <w:szCs w:val="24"/>
        </w:rPr>
        <w:t>A protected disclosure is a disclosure of improper or corrupt conduct made in accordance with Part 2 of the Act. It must satisfy the following criteria:</w:t>
      </w:r>
    </w:p>
    <w:p w:rsidR="00A83AB6" w:rsidRPr="0012760D" w:rsidRDefault="00A83AB6" w:rsidP="00A83AB6">
      <w:pPr>
        <w:rPr>
          <w:sz w:val="24"/>
          <w:szCs w:val="24"/>
        </w:rPr>
      </w:pPr>
      <w:r w:rsidRPr="0012760D">
        <w:rPr>
          <w:sz w:val="24"/>
          <w:szCs w:val="24"/>
        </w:rPr>
        <w:t>• a natural person (that is, an individual person rather than a corporation) is making the disclosure.</w:t>
      </w:r>
    </w:p>
    <w:p w:rsidR="00A83AB6" w:rsidRPr="0012760D" w:rsidRDefault="00A83AB6" w:rsidP="00A83AB6">
      <w:pPr>
        <w:rPr>
          <w:sz w:val="24"/>
          <w:szCs w:val="24"/>
        </w:rPr>
      </w:pPr>
      <w:r w:rsidRPr="0012760D">
        <w:rPr>
          <w:sz w:val="24"/>
          <w:szCs w:val="24"/>
        </w:rPr>
        <w:t>• The disclosure relates to conduct of a public body or public officer acting in their official capacity.</w:t>
      </w:r>
    </w:p>
    <w:p w:rsidR="00A83AB6" w:rsidRPr="0012760D" w:rsidRDefault="00A83AB6" w:rsidP="00A83AB6">
      <w:pPr>
        <w:rPr>
          <w:sz w:val="24"/>
          <w:szCs w:val="24"/>
        </w:rPr>
      </w:pPr>
      <w:r w:rsidRPr="0012760D">
        <w:rPr>
          <w:sz w:val="24"/>
          <w:szCs w:val="24"/>
        </w:rPr>
        <w:lastRenderedPageBreak/>
        <w:t>• The alleged conduct is either improper conduct or detrimental action taken against a person in reprisal for making a protected disclosure.</w:t>
      </w:r>
    </w:p>
    <w:p w:rsidR="00A83AB6" w:rsidRDefault="00A83AB6" w:rsidP="00A83AB6">
      <w:pPr>
        <w:rPr>
          <w:sz w:val="24"/>
          <w:szCs w:val="24"/>
        </w:rPr>
      </w:pPr>
      <w:r w:rsidRPr="0012760D">
        <w:rPr>
          <w:sz w:val="24"/>
          <w:szCs w:val="24"/>
        </w:rPr>
        <w:t>• The person making a disclosure has reasonable grounds for believing the alleged conduct has occurred.</w:t>
      </w:r>
    </w:p>
    <w:p w:rsidR="00B93117" w:rsidRDefault="00B93117" w:rsidP="00A83AB6">
      <w:pPr>
        <w:rPr>
          <w:sz w:val="24"/>
          <w:szCs w:val="24"/>
        </w:rPr>
      </w:pPr>
    </w:p>
    <w:p w:rsidR="00B93117" w:rsidRPr="0012760D" w:rsidRDefault="00B93117" w:rsidP="00A83AB6">
      <w:pPr>
        <w:rPr>
          <w:sz w:val="24"/>
          <w:szCs w:val="24"/>
        </w:rPr>
      </w:pPr>
    </w:p>
    <w:p w:rsidR="00A83AB6" w:rsidRDefault="00A83AB6" w:rsidP="00B93117">
      <w:pPr>
        <w:pStyle w:val="Heading2"/>
      </w:pPr>
      <w:r w:rsidRPr="0012760D">
        <w:t>4.7 Protected Disclosure Coordinator</w:t>
      </w:r>
    </w:p>
    <w:p w:rsidR="00B93117" w:rsidRPr="0012760D" w:rsidRDefault="00B93117" w:rsidP="00A83AB6">
      <w:pPr>
        <w:rPr>
          <w:sz w:val="24"/>
          <w:szCs w:val="24"/>
        </w:rPr>
      </w:pPr>
    </w:p>
    <w:p w:rsidR="00A83AB6" w:rsidRDefault="00A83AB6" w:rsidP="00A83AB6">
      <w:pPr>
        <w:rPr>
          <w:sz w:val="24"/>
          <w:szCs w:val="24"/>
        </w:rPr>
      </w:pPr>
      <w:r w:rsidRPr="0012760D">
        <w:rPr>
          <w:sz w:val="24"/>
          <w:szCs w:val="24"/>
        </w:rPr>
        <w:t>The Protected Disclosure Coordinator (PDC) is the SV employee nominated to receive disclosures of improper or corrupt conduct made in accordance with Part 2 of the Act.</w:t>
      </w:r>
    </w:p>
    <w:p w:rsidR="00B93117" w:rsidRDefault="00B93117" w:rsidP="00A83AB6">
      <w:pPr>
        <w:rPr>
          <w:sz w:val="24"/>
          <w:szCs w:val="24"/>
        </w:rPr>
      </w:pPr>
    </w:p>
    <w:p w:rsidR="00B93117" w:rsidRPr="0012760D" w:rsidRDefault="00B93117" w:rsidP="00A83AB6">
      <w:pPr>
        <w:rPr>
          <w:sz w:val="24"/>
          <w:szCs w:val="24"/>
        </w:rPr>
      </w:pPr>
    </w:p>
    <w:p w:rsidR="00A83AB6" w:rsidRDefault="00A83AB6" w:rsidP="00B93117">
      <w:pPr>
        <w:pStyle w:val="Heading2"/>
      </w:pPr>
      <w:r w:rsidRPr="0012760D">
        <w:t>4.8 Whistleblower</w:t>
      </w:r>
    </w:p>
    <w:p w:rsidR="00B93117" w:rsidRPr="0012760D" w:rsidRDefault="00B93117" w:rsidP="00A83AB6">
      <w:pPr>
        <w:rPr>
          <w:sz w:val="24"/>
          <w:szCs w:val="24"/>
        </w:rPr>
      </w:pPr>
    </w:p>
    <w:p w:rsidR="00A83AB6" w:rsidRDefault="00A83AB6" w:rsidP="00A83AB6">
      <w:pPr>
        <w:rPr>
          <w:sz w:val="24"/>
          <w:szCs w:val="24"/>
        </w:rPr>
      </w:pPr>
      <w:r w:rsidRPr="0012760D">
        <w:rPr>
          <w:sz w:val="24"/>
          <w:szCs w:val="24"/>
        </w:rPr>
        <w:t>A whistleblower is any person who believes on reasonable grounds that a public officer or public body has engaged in or proposes to engage in improper conduct or reprisals against a whistleblower and who makes a disclosure in accordance with the Act about that improper conduct or reprisal with a view to the matter being investigated and appropriate action being taken.</w:t>
      </w:r>
    </w:p>
    <w:p w:rsidR="00B93117" w:rsidRDefault="00B93117" w:rsidP="00A83AB6">
      <w:pPr>
        <w:rPr>
          <w:sz w:val="24"/>
          <w:szCs w:val="24"/>
        </w:rPr>
      </w:pPr>
    </w:p>
    <w:p w:rsidR="00B93117" w:rsidRPr="0012760D" w:rsidRDefault="00B93117" w:rsidP="00A83AB6">
      <w:pPr>
        <w:rPr>
          <w:sz w:val="24"/>
          <w:szCs w:val="24"/>
        </w:rPr>
      </w:pPr>
    </w:p>
    <w:p w:rsidR="00A83AB6" w:rsidRDefault="00A83AB6" w:rsidP="00B93117">
      <w:pPr>
        <w:pStyle w:val="Heading2"/>
      </w:pPr>
      <w:r w:rsidRPr="0012760D">
        <w:t>5. The reporting process</w:t>
      </w:r>
    </w:p>
    <w:p w:rsidR="00B93117" w:rsidRPr="0012760D" w:rsidRDefault="00B93117" w:rsidP="00A83AB6">
      <w:pPr>
        <w:rPr>
          <w:sz w:val="24"/>
          <w:szCs w:val="24"/>
        </w:rPr>
      </w:pPr>
    </w:p>
    <w:p w:rsidR="00A83AB6" w:rsidRDefault="00A83AB6" w:rsidP="00B93117">
      <w:pPr>
        <w:pStyle w:val="Heading2"/>
      </w:pPr>
      <w:r w:rsidRPr="0012760D">
        <w:t>5.1 Contact Persons Within SV</w:t>
      </w:r>
    </w:p>
    <w:p w:rsidR="00B93117" w:rsidRPr="0012760D" w:rsidRDefault="00B93117" w:rsidP="00A83AB6">
      <w:pPr>
        <w:rPr>
          <w:sz w:val="24"/>
          <w:szCs w:val="24"/>
        </w:rPr>
      </w:pPr>
    </w:p>
    <w:p w:rsidR="00A83AB6" w:rsidRPr="0012760D" w:rsidRDefault="00A83AB6" w:rsidP="00A83AB6">
      <w:pPr>
        <w:rPr>
          <w:sz w:val="24"/>
          <w:szCs w:val="24"/>
        </w:rPr>
      </w:pPr>
      <w:r w:rsidRPr="0012760D">
        <w:rPr>
          <w:sz w:val="24"/>
          <w:szCs w:val="24"/>
        </w:rPr>
        <w:t>Disclosures of improper conduct or detrimental action by SV or our employees may be made to the SV PDC:</w:t>
      </w:r>
    </w:p>
    <w:p w:rsidR="00A83AB6" w:rsidRPr="0012760D" w:rsidRDefault="00A83AB6" w:rsidP="00A83AB6">
      <w:pPr>
        <w:rPr>
          <w:sz w:val="24"/>
          <w:szCs w:val="24"/>
        </w:rPr>
      </w:pPr>
    </w:p>
    <w:p w:rsidR="00A83AB6" w:rsidRPr="0012760D" w:rsidRDefault="00A83AB6" w:rsidP="00A83AB6">
      <w:pPr>
        <w:rPr>
          <w:sz w:val="24"/>
          <w:szCs w:val="24"/>
        </w:rPr>
      </w:pPr>
      <w:r w:rsidRPr="0012760D">
        <w:rPr>
          <w:bCs/>
          <w:sz w:val="24"/>
          <w:szCs w:val="24"/>
        </w:rPr>
        <w:t>Ms Suzanne Knight</w:t>
      </w:r>
    </w:p>
    <w:p w:rsidR="00A83AB6" w:rsidRPr="0012760D" w:rsidRDefault="00A83AB6" w:rsidP="00A83AB6">
      <w:pPr>
        <w:rPr>
          <w:sz w:val="24"/>
          <w:szCs w:val="24"/>
        </w:rPr>
      </w:pPr>
      <w:r w:rsidRPr="0012760D">
        <w:rPr>
          <w:sz w:val="24"/>
          <w:szCs w:val="24"/>
        </w:rPr>
        <w:t>Executive Advisor</w:t>
      </w:r>
    </w:p>
    <w:p w:rsidR="00A83AB6" w:rsidRPr="0012760D" w:rsidRDefault="00A83AB6" w:rsidP="00A83AB6">
      <w:pPr>
        <w:rPr>
          <w:sz w:val="24"/>
          <w:szCs w:val="24"/>
        </w:rPr>
      </w:pPr>
      <w:r w:rsidRPr="0012760D">
        <w:rPr>
          <w:sz w:val="24"/>
          <w:szCs w:val="24"/>
        </w:rPr>
        <w:t>Level 28, Urban Workshop</w:t>
      </w:r>
    </w:p>
    <w:p w:rsidR="00A83AB6" w:rsidRPr="0012760D" w:rsidRDefault="00A83AB6" w:rsidP="00A83AB6">
      <w:pPr>
        <w:rPr>
          <w:sz w:val="24"/>
          <w:szCs w:val="24"/>
        </w:rPr>
      </w:pPr>
      <w:r w:rsidRPr="0012760D">
        <w:rPr>
          <w:sz w:val="24"/>
          <w:szCs w:val="24"/>
        </w:rPr>
        <w:t>50 Lonsdale street</w:t>
      </w:r>
    </w:p>
    <w:p w:rsidR="00A83AB6" w:rsidRPr="0012760D" w:rsidRDefault="00A83AB6" w:rsidP="00A83AB6">
      <w:pPr>
        <w:rPr>
          <w:sz w:val="24"/>
          <w:szCs w:val="24"/>
        </w:rPr>
      </w:pPr>
      <w:r w:rsidRPr="0012760D">
        <w:rPr>
          <w:sz w:val="24"/>
          <w:szCs w:val="24"/>
        </w:rPr>
        <w:t>Melbourne Victoria 3000</w:t>
      </w:r>
    </w:p>
    <w:p w:rsidR="00A83AB6" w:rsidRPr="0012760D" w:rsidRDefault="00A83AB6" w:rsidP="00A83AB6">
      <w:pPr>
        <w:rPr>
          <w:sz w:val="24"/>
          <w:szCs w:val="24"/>
        </w:rPr>
      </w:pPr>
      <w:r w:rsidRPr="0012760D">
        <w:rPr>
          <w:sz w:val="24"/>
          <w:szCs w:val="24"/>
        </w:rPr>
        <w:t>Telephone: (03) 8</w:t>
      </w:r>
      <w:r w:rsidR="009A6AAD">
        <w:rPr>
          <w:sz w:val="24"/>
          <w:szCs w:val="24"/>
        </w:rPr>
        <w:t xml:space="preserve"> </w:t>
      </w:r>
      <w:r w:rsidRPr="0012760D">
        <w:rPr>
          <w:sz w:val="24"/>
          <w:szCs w:val="24"/>
        </w:rPr>
        <w:t>6</w:t>
      </w:r>
      <w:r w:rsidR="009A6AAD">
        <w:rPr>
          <w:sz w:val="24"/>
          <w:szCs w:val="24"/>
        </w:rPr>
        <w:t xml:space="preserve"> </w:t>
      </w:r>
      <w:r w:rsidRPr="0012760D">
        <w:rPr>
          <w:sz w:val="24"/>
          <w:szCs w:val="24"/>
        </w:rPr>
        <w:t>2</w:t>
      </w:r>
      <w:r w:rsidR="009A6AAD">
        <w:rPr>
          <w:sz w:val="24"/>
          <w:szCs w:val="24"/>
        </w:rPr>
        <w:t xml:space="preserve"> </w:t>
      </w:r>
      <w:r w:rsidRPr="0012760D">
        <w:rPr>
          <w:sz w:val="24"/>
          <w:szCs w:val="24"/>
        </w:rPr>
        <w:t>6 8</w:t>
      </w:r>
      <w:r w:rsidR="009A6AAD">
        <w:rPr>
          <w:sz w:val="24"/>
          <w:szCs w:val="24"/>
        </w:rPr>
        <w:t xml:space="preserve"> </w:t>
      </w:r>
      <w:r w:rsidRPr="0012760D">
        <w:rPr>
          <w:sz w:val="24"/>
          <w:szCs w:val="24"/>
        </w:rPr>
        <w:t>7</w:t>
      </w:r>
      <w:r w:rsidR="009A6AAD">
        <w:rPr>
          <w:sz w:val="24"/>
          <w:szCs w:val="24"/>
        </w:rPr>
        <w:t xml:space="preserve"> </w:t>
      </w:r>
      <w:r w:rsidRPr="0012760D">
        <w:rPr>
          <w:sz w:val="24"/>
          <w:szCs w:val="24"/>
        </w:rPr>
        <w:t>0</w:t>
      </w:r>
      <w:r w:rsidR="009A6AAD">
        <w:rPr>
          <w:sz w:val="24"/>
          <w:szCs w:val="24"/>
        </w:rPr>
        <w:t xml:space="preserve"> </w:t>
      </w:r>
      <w:r w:rsidRPr="0012760D">
        <w:rPr>
          <w:sz w:val="24"/>
          <w:szCs w:val="24"/>
        </w:rPr>
        <w:t>0</w:t>
      </w:r>
    </w:p>
    <w:p w:rsidR="00A83AB6" w:rsidRPr="0012760D" w:rsidRDefault="00A83AB6" w:rsidP="00A83AB6">
      <w:pPr>
        <w:rPr>
          <w:sz w:val="24"/>
          <w:szCs w:val="24"/>
        </w:rPr>
      </w:pPr>
      <w:r w:rsidRPr="0012760D">
        <w:rPr>
          <w:sz w:val="24"/>
          <w:szCs w:val="24"/>
        </w:rPr>
        <w:t>Facsimile: (03) 9</w:t>
      </w:r>
      <w:r w:rsidR="009A6AAD">
        <w:rPr>
          <w:sz w:val="24"/>
          <w:szCs w:val="24"/>
        </w:rPr>
        <w:t xml:space="preserve"> </w:t>
      </w:r>
      <w:r w:rsidRPr="0012760D">
        <w:rPr>
          <w:sz w:val="24"/>
          <w:szCs w:val="24"/>
        </w:rPr>
        <w:t>6</w:t>
      </w:r>
      <w:r w:rsidR="009A6AAD">
        <w:rPr>
          <w:sz w:val="24"/>
          <w:szCs w:val="24"/>
        </w:rPr>
        <w:t xml:space="preserve"> </w:t>
      </w:r>
      <w:r w:rsidRPr="0012760D">
        <w:rPr>
          <w:sz w:val="24"/>
          <w:szCs w:val="24"/>
        </w:rPr>
        <w:t>6</w:t>
      </w:r>
      <w:r w:rsidR="009A6AAD">
        <w:rPr>
          <w:sz w:val="24"/>
          <w:szCs w:val="24"/>
        </w:rPr>
        <w:t xml:space="preserve"> </w:t>
      </w:r>
      <w:r w:rsidRPr="0012760D">
        <w:rPr>
          <w:sz w:val="24"/>
          <w:szCs w:val="24"/>
        </w:rPr>
        <w:t>3 1</w:t>
      </w:r>
      <w:r w:rsidR="009A6AAD">
        <w:rPr>
          <w:sz w:val="24"/>
          <w:szCs w:val="24"/>
        </w:rPr>
        <w:t xml:space="preserve"> </w:t>
      </w:r>
      <w:r w:rsidRPr="0012760D">
        <w:rPr>
          <w:sz w:val="24"/>
          <w:szCs w:val="24"/>
        </w:rPr>
        <w:t>0</w:t>
      </w:r>
      <w:r w:rsidR="009A6AAD">
        <w:rPr>
          <w:sz w:val="24"/>
          <w:szCs w:val="24"/>
        </w:rPr>
        <w:t xml:space="preserve"> </w:t>
      </w:r>
      <w:r w:rsidRPr="0012760D">
        <w:rPr>
          <w:sz w:val="24"/>
          <w:szCs w:val="24"/>
        </w:rPr>
        <w:t>0</w:t>
      </w:r>
      <w:r w:rsidR="009A6AAD">
        <w:rPr>
          <w:sz w:val="24"/>
          <w:szCs w:val="24"/>
        </w:rPr>
        <w:t xml:space="preserve"> </w:t>
      </w:r>
      <w:r w:rsidRPr="0012760D">
        <w:rPr>
          <w:sz w:val="24"/>
          <w:szCs w:val="24"/>
        </w:rPr>
        <w:t>7</w:t>
      </w:r>
    </w:p>
    <w:p w:rsidR="00A83AB6" w:rsidRPr="0012760D" w:rsidRDefault="00A83AB6" w:rsidP="00A83AB6">
      <w:pPr>
        <w:rPr>
          <w:sz w:val="24"/>
          <w:szCs w:val="24"/>
        </w:rPr>
      </w:pPr>
      <w:r w:rsidRPr="0012760D">
        <w:rPr>
          <w:sz w:val="24"/>
          <w:szCs w:val="24"/>
        </w:rPr>
        <w:t xml:space="preserve">email: </w:t>
      </w:r>
      <w:hyperlink r:id="rId18" w:history="1">
        <w:r w:rsidRPr="0012760D">
          <w:rPr>
            <w:sz w:val="24"/>
            <w:szCs w:val="24"/>
          </w:rPr>
          <w:t>suzanne.knight@sustainability.vic.gov.au</w:t>
        </w:r>
      </w:hyperlink>
    </w:p>
    <w:p w:rsidR="00A83AB6" w:rsidRPr="0012760D" w:rsidRDefault="00A83AB6" w:rsidP="00A83AB6">
      <w:pPr>
        <w:rPr>
          <w:sz w:val="24"/>
          <w:szCs w:val="24"/>
        </w:rPr>
      </w:pPr>
    </w:p>
    <w:p w:rsidR="00A83AB6" w:rsidRPr="0012760D" w:rsidRDefault="00A83AB6" w:rsidP="00A83AB6">
      <w:pPr>
        <w:rPr>
          <w:sz w:val="24"/>
          <w:szCs w:val="24"/>
        </w:rPr>
      </w:pPr>
      <w:r w:rsidRPr="0012760D">
        <w:rPr>
          <w:sz w:val="24"/>
          <w:szCs w:val="24"/>
        </w:rPr>
        <w:t>All correspondence, telephone calls and emails or any other form of communication, from internal or external whistleblowers, will be referred to the PDC.</w:t>
      </w:r>
    </w:p>
    <w:p w:rsidR="007E67C2" w:rsidRDefault="007E67C2" w:rsidP="007E67C2">
      <w:pPr>
        <w:rPr>
          <w:bCs/>
          <w:sz w:val="24"/>
          <w:szCs w:val="24"/>
        </w:rPr>
      </w:pPr>
      <w:r w:rsidRPr="0012760D">
        <w:rPr>
          <w:bCs/>
          <w:sz w:val="24"/>
          <w:szCs w:val="24"/>
        </w:rPr>
        <w:t>&lt;pp&gt; 76</w:t>
      </w:r>
    </w:p>
    <w:p w:rsidR="00B93117" w:rsidRPr="0012760D" w:rsidRDefault="00B93117" w:rsidP="007E67C2">
      <w:pPr>
        <w:rPr>
          <w:sz w:val="24"/>
          <w:szCs w:val="24"/>
        </w:rPr>
      </w:pPr>
    </w:p>
    <w:p w:rsidR="007E67C2" w:rsidRDefault="007E67C2" w:rsidP="007E67C2">
      <w:pPr>
        <w:rPr>
          <w:sz w:val="24"/>
          <w:szCs w:val="24"/>
        </w:rPr>
      </w:pPr>
      <w:r w:rsidRPr="0012760D">
        <w:rPr>
          <w:sz w:val="24"/>
          <w:szCs w:val="24"/>
        </w:rPr>
        <w:t>Where a person is contemplating making a disclosure and is concerned about approaching the PDC in the workplace, he/she can call the relevant officer and request a meeting in a discreet location away from the workplace.</w:t>
      </w:r>
    </w:p>
    <w:p w:rsidR="00B93117" w:rsidRDefault="00B93117" w:rsidP="007E67C2">
      <w:pPr>
        <w:rPr>
          <w:sz w:val="24"/>
          <w:szCs w:val="24"/>
        </w:rPr>
      </w:pPr>
    </w:p>
    <w:p w:rsidR="00B93117" w:rsidRPr="0012760D" w:rsidRDefault="00B93117" w:rsidP="007E67C2">
      <w:pPr>
        <w:rPr>
          <w:sz w:val="24"/>
          <w:szCs w:val="24"/>
        </w:rPr>
      </w:pPr>
    </w:p>
    <w:p w:rsidR="007E67C2" w:rsidRDefault="007E67C2" w:rsidP="00B93117">
      <w:pPr>
        <w:pStyle w:val="Heading2"/>
      </w:pPr>
      <w:r w:rsidRPr="0012760D">
        <w:t>5.2 Alternative Contact Persons</w:t>
      </w:r>
    </w:p>
    <w:p w:rsidR="00B93117" w:rsidRPr="0012760D" w:rsidRDefault="00B93117" w:rsidP="007E67C2">
      <w:pPr>
        <w:rPr>
          <w:sz w:val="24"/>
          <w:szCs w:val="24"/>
        </w:rPr>
      </w:pPr>
    </w:p>
    <w:p w:rsidR="007E67C2" w:rsidRPr="0012760D" w:rsidRDefault="007E67C2" w:rsidP="007E67C2">
      <w:pPr>
        <w:rPr>
          <w:sz w:val="24"/>
          <w:szCs w:val="24"/>
        </w:rPr>
      </w:pPr>
      <w:r w:rsidRPr="0012760D">
        <w:rPr>
          <w:sz w:val="24"/>
          <w:szCs w:val="24"/>
        </w:rPr>
        <w:t xml:space="preserve">A disclosure about improper conduct or detrimental action by SV or our employees </w:t>
      </w:r>
      <w:r w:rsidRPr="0012760D">
        <w:rPr>
          <w:sz w:val="24"/>
          <w:szCs w:val="24"/>
        </w:rPr>
        <w:lastRenderedPageBreak/>
        <w:t>may also be made directly to the ombudsman:</w:t>
      </w:r>
    </w:p>
    <w:p w:rsidR="007E67C2" w:rsidRPr="0012760D" w:rsidRDefault="007E67C2" w:rsidP="007E67C2">
      <w:pPr>
        <w:rPr>
          <w:sz w:val="24"/>
          <w:szCs w:val="24"/>
        </w:rPr>
      </w:pPr>
    </w:p>
    <w:p w:rsidR="007E67C2" w:rsidRPr="0012760D" w:rsidRDefault="007E67C2" w:rsidP="007E67C2">
      <w:pPr>
        <w:rPr>
          <w:sz w:val="24"/>
          <w:szCs w:val="24"/>
        </w:rPr>
      </w:pPr>
      <w:r w:rsidRPr="0012760D">
        <w:rPr>
          <w:bCs/>
          <w:sz w:val="24"/>
          <w:szCs w:val="24"/>
        </w:rPr>
        <w:t>Mr George Brouwer</w:t>
      </w:r>
    </w:p>
    <w:p w:rsidR="007E67C2" w:rsidRPr="0012760D" w:rsidRDefault="007E67C2" w:rsidP="007E67C2">
      <w:pPr>
        <w:rPr>
          <w:sz w:val="24"/>
          <w:szCs w:val="24"/>
        </w:rPr>
      </w:pPr>
      <w:r w:rsidRPr="0012760D">
        <w:rPr>
          <w:sz w:val="24"/>
          <w:szCs w:val="24"/>
        </w:rPr>
        <w:t>Ombudsman Victoria</w:t>
      </w:r>
    </w:p>
    <w:p w:rsidR="007E67C2" w:rsidRPr="0012760D" w:rsidRDefault="007E67C2" w:rsidP="007E67C2">
      <w:pPr>
        <w:rPr>
          <w:sz w:val="24"/>
          <w:szCs w:val="24"/>
        </w:rPr>
      </w:pPr>
      <w:r w:rsidRPr="0012760D">
        <w:rPr>
          <w:sz w:val="24"/>
          <w:szCs w:val="24"/>
        </w:rPr>
        <w:t>Level 9, North Tower</w:t>
      </w:r>
    </w:p>
    <w:p w:rsidR="007E67C2" w:rsidRPr="0012760D" w:rsidRDefault="007E67C2" w:rsidP="007E67C2">
      <w:pPr>
        <w:rPr>
          <w:sz w:val="24"/>
          <w:szCs w:val="24"/>
        </w:rPr>
      </w:pPr>
      <w:r w:rsidRPr="0012760D">
        <w:rPr>
          <w:sz w:val="24"/>
          <w:szCs w:val="24"/>
        </w:rPr>
        <w:t>459 Collins street</w:t>
      </w:r>
    </w:p>
    <w:p w:rsidR="007E67C2" w:rsidRPr="0012760D" w:rsidRDefault="007E67C2" w:rsidP="007E67C2">
      <w:pPr>
        <w:rPr>
          <w:sz w:val="24"/>
          <w:szCs w:val="24"/>
        </w:rPr>
      </w:pPr>
      <w:r w:rsidRPr="0012760D">
        <w:rPr>
          <w:sz w:val="24"/>
          <w:szCs w:val="24"/>
        </w:rPr>
        <w:t>Melbourne Victoria 3000</w:t>
      </w:r>
    </w:p>
    <w:p w:rsidR="007E67C2" w:rsidRPr="0012760D" w:rsidRDefault="007E67C2" w:rsidP="007E67C2">
      <w:pPr>
        <w:rPr>
          <w:sz w:val="24"/>
          <w:szCs w:val="24"/>
        </w:rPr>
      </w:pPr>
      <w:r w:rsidRPr="0012760D">
        <w:rPr>
          <w:sz w:val="24"/>
          <w:szCs w:val="24"/>
        </w:rPr>
        <w:t>(DX 2</w:t>
      </w:r>
      <w:r w:rsidR="009A6AAD">
        <w:rPr>
          <w:sz w:val="24"/>
          <w:szCs w:val="24"/>
        </w:rPr>
        <w:t xml:space="preserve"> </w:t>
      </w:r>
      <w:r w:rsidRPr="0012760D">
        <w:rPr>
          <w:sz w:val="24"/>
          <w:szCs w:val="24"/>
        </w:rPr>
        <w:t>1</w:t>
      </w:r>
      <w:r w:rsidR="009A6AAD">
        <w:rPr>
          <w:sz w:val="24"/>
          <w:szCs w:val="24"/>
        </w:rPr>
        <w:t xml:space="preserve"> </w:t>
      </w:r>
      <w:r w:rsidRPr="0012760D">
        <w:rPr>
          <w:sz w:val="24"/>
          <w:szCs w:val="24"/>
        </w:rPr>
        <w:t>0</w:t>
      </w:r>
      <w:r w:rsidR="009A6AAD">
        <w:rPr>
          <w:sz w:val="24"/>
          <w:szCs w:val="24"/>
        </w:rPr>
        <w:t xml:space="preserve"> </w:t>
      </w:r>
      <w:r w:rsidRPr="0012760D">
        <w:rPr>
          <w:sz w:val="24"/>
          <w:szCs w:val="24"/>
        </w:rPr>
        <w:t>1</w:t>
      </w:r>
      <w:r w:rsidR="009A6AAD">
        <w:rPr>
          <w:sz w:val="24"/>
          <w:szCs w:val="24"/>
        </w:rPr>
        <w:t xml:space="preserve"> </w:t>
      </w:r>
      <w:r w:rsidRPr="0012760D">
        <w:rPr>
          <w:sz w:val="24"/>
          <w:szCs w:val="24"/>
        </w:rPr>
        <w:t>7</w:t>
      </w:r>
      <w:r w:rsidR="009A6AAD">
        <w:rPr>
          <w:sz w:val="24"/>
          <w:szCs w:val="24"/>
        </w:rPr>
        <w:t xml:space="preserve"> </w:t>
      </w:r>
      <w:r w:rsidRPr="0012760D">
        <w:rPr>
          <w:sz w:val="24"/>
          <w:szCs w:val="24"/>
        </w:rPr>
        <w:t>4)</w:t>
      </w:r>
    </w:p>
    <w:p w:rsidR="007E67C2" w:rsidRPr="0012760D" w:rsidRDefault="007E67C2" w:rsidP="007E67C2">
      <w:pPr>
        <w:rPr>
          <w:sz w:val="24"/>
          <w:szCs w:val="24"/>
        </w:rPr>
      </w:pPr>
      <w:r w:rsidRPr="0012760D">
        <w:rPr>
          <w:sz w:val="24"/>
          <w:szCs w:val="24"/>
        </w:rPr>
        <w:t>Telephone: 9</w:t>
      </w:r>
      <w:r w:rsidR="009A6AAD">
        <w:rPr>
          <w:sz w:val="24"/>
          <w:szCs w:val="24"/>
        </w:rPr>
        <w:t xml:space="preserve"> </w:t>
      </w:r>
      <w:r w:rsidRPr="0012760D">
        <w:rPr>
          <w:sz w:val="24"/>
          <w:szCs w:val="24"/>
        </w:rPr>
        <w:t>6</w:t>
      </w:r>
      <w:r w:rsidR="009A6AAD">
        <w:rPr>
          <w:sz w:val="24"/>
          <w:szCs w:val="24"/>
        </w:rPr>
        <w:t xml:space="preserve"> </w:t>
      </w:r>
      <w:r w:rsidRPr="0012760D">
        <w:rPr>
          <w:sz w:val="24"/>
          <w:szCs w:val="24"/>
        </w:rPr>
        <w:t>1</w:t>
      </w:r>
      <w:r w:rsidR="009A6AAD">
        <w:rPr>
          <w:sz w:val="24"/>
          <w:szCs w:val="24"/>
        </w:rPr>
        <w:t xml:space="preserve"> </w:t>
      </w:r>
      <w:r w:rsidRPr="0012760D">
        <w:rPr>
          <w:sz w:val="24"/>
          <w:szCs w:val="24"/>
        </w:rPr>
        <w:t>3 6</w:t>
      </w:r>
      <w:r w:rsidR="009A6AAD">
        <w:rPr>
          <w:sz w:val="24"/>
          <w:szCs w:val="24"/>
        </w:rPr>
        <w:t xml:space="preserve"> </w:t>
      </w:r>
      <w:r w:rsidRPr="0012760D">
        <w:rPr>
          <w:sz w:val="24"/>
          <w:szCs w:val="24"/>
        </w:rPr>
        <w:t>2</w:t>
      </w:r>
      <w:r w:rsidR="009A6AAD">
        <w:rPr>
          <w:sz w:val="24"/>
          <w:szCs w:val="24"/>
        </w:rPr>
        <w:t xml:space="preserve"> </w:t>
      </w:r>
      <w:r w:rsidRPr="0012760D">
        <w:rPr>
          <w:sz w:val="24"/>
          <w:szCs w:val="24"/>
        </w:rPr>
        <w:t>2</w:t>
      </w:r>
      <w:r w:rsidR="009A6AAD">
        <w:rPr>
          <w:sz w:val="24"/>
          <w:szCs w:val="24"/>
        </w:rPr>
        <w:t xml:space="preserve"> </w:t>
      </w:r>
      <w:r w:rsidRPr="0012760D">
        <w:rPr>
          <w:sz w:val="24"/>
          <w:szCs w:val="24"/>
        </w:rPr>
        <w:t>2 or toll free: 1</w:t>
      </w:r>
      <w:r w:rsidR="009A6AAD">
        <w:rPr>
          <w:sz w:val="24"/>
          <w:szCs w:val="24"/>
        </w:rPr>
        <w:t xml:space="preserve"> </w:t>
      </w:r>
      <w:r w:rsidRPr="0012760D">
        <w:rPr>
          <w:sz w:val="24"/>
          <w:szCs w:val="24"/>
        </w:rPr>
        <w:t>800 8</w:t>
      </w:r>
      <w:r w:rsidR="009A6AAD">
        <w:rPr>
          <w:sz w:val="24"/>
          <w:szCs w:val="24"/>
        </w:rPr>
        <w:t xml:space="preserve"> </w:t>
      </w:r>
      <w:r w:rsidRPr="0012760D">
        <w:rPr>
          <w:sz w:val="24"/>
          <w:szCs w:val="24"/>
        </w:rPr>
        <w:t>0</w:t>
      </w:r>
      <w:r w:rsidR="009A6AAD">
        <w:rPr>
          <w:sz w:val="24"/>
          <w:szCs w:val="24"/>
        </w:rPr>
        <w:t xml:space="preserve"> </w:t>
      </w:r>
      <w:r w:rsidRPr="0012760D">
        <w:rPr>
          <w:sz w:val="24"/>
          <w:szCs w:val="24"/>
        </w:rPr>
        <w:t>6 3</w:t>
      </w:r>
      <w:r w:rsidR="009A6AAD">
        <w:rPr>
          <w:sz w:val="24"/>
          <w:szCs w:val="24"/>
        </w:rPr>
        <w:t xml:space="preserve"> </w:t>
      </w:r>
      <w:r w:rsidRPr="0012760D">
        <w:rPr>
          <w:sz w:val="24"/>
          <w:szCs w:val="24"/>
        </w:rPr>
        <w:t>1</w:t>
      </w:r>
      <w:r w:rsidR="009A6AAD">
        <w:rPr>
          <w:sz w:val="24"/>
          <w:szCs w:val="24"/>
        </w:rPr>
        <w:t xml:space="preserve"> </w:t>
      </w:r>
      <w:r w:rsidRPr="0012760D">
        <w:rPr>
          <w:sz w:val="24"/>
          <w:szCs w:val="24"/>
        </w:rPr>
        <w:t>4</w:t>
      </w:r>
    </w:p>
    <w:p w:rsidR="007E67C2" w:rsidRPr="0012760D" w:rsidRDefault="007E67C2" w:rsidP="007E67C2">
      <w:pPr>
        <w:rPr>
          <w:sz w:val="24"/>
          <w:szCs w:val="24"/>
        </w:rPr>
      </w:pPr>
      <w:r w:rsidRPr="0012760D">
        <w:rPr>
          <w:sz w:val="24"/>
          <w:szCs w:val="24"/>
        </w:rPr>
        <w:t xml:space="preserve">Internet: </w:t>
      </w:r>
      <w:hyperlink r:id="rId19" w:history="1">
        <w:r w:rsidRPr="0012760D">
          <w:rPr>
            <w:sz w:val="24"/>
            <w:szCs w:val="24"/>
          </w:rPr>
          <w:t>www.ombudsman.vic.gov.au</w:t>
        </w:r>
      </w:hyperlink>
    </w:p>
    <w:p w:rsidR="007E67C2" w:rsidRPr="0012760D" w:rsidRDefault="007E67C2" w:rsidP="007E67C2">
      <w:pPr>
        <w:rPr>
          <w:sz w:val="24"/>
          <w:szCs w:val="24"/>
        </w:rPr>
      </w:pPr>
      <w:r w:rsidRPr="0012760D">
        <w:rPr>
          <w:sz w:val="24"/>
          <w:szCs w:val="24"/>
        </w:rPr>
        <w:t xml:space="preserve">email: </w:t>
      </w:r>
      <w:hyperlink r:id="rId20" w:history="1">
        <w:r w:rsidRPr="0012760D">
          <w:rPr>
            <w:sz w:val="24"/>
            <w:szCs w:val="24"/>
          </w:rPr>
          <w:t>ombudvic@ombudsman.vic.gov.au</w:t>
        </w:r>
      </w:hyperlink>
    </w:p>
    <w:p w:rsidR="007E67C2" w:rsidRPr="0012760D" w:rsidRDefault="007E67C2" w:rsidP="007E67C2">
      <w:pPr>
        <w:rPr>
          <w:sz w:val="24"/>
          <w:szCs w:val="24"/>
        </w:rPr>
      </w:pPr>
    </w:p>
    <w:p w:rsidR="007E67C2" w:rsidRPr="0012760D" w:rsidRDefault="007E67C2" w:rsidP="007E67C2">
      <w:pPr>
        <w:rPr>
          <w:sz w:val="24"/>
          <w:szCs w:val="24"/>
        </w:rPr>
      </w:pPr>
      <w:r w:rsidRPr="0012760D">
        <w:rPr>
          <w:sz w:val="24"/>
          <w:szCs w:val="24"/>
        </w:rPr>
        <w:t>The following table sets out where disclosures about persons other than employees of SV should be made.</w:t>
      </w:r>
    </w:p>
    <w:p w:rsidR="007E67C2" w:rsidRPr="0012760D" w:rsidRDefault="007E67C2" w:rsidP="007E67C2">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4349"/>
        <w:gridCol w:w="4760"/>
      </w:tblGrid>
      <w:tr w:rsidR="007E67C2" w:rsidRPr="0012760D" w:rsidTr="001B3A3E">
        <w:tblPrEx>
          <w:tblCellMar>
            <w:top w:w="0" w:type="dxa"/>
            <w:bottom w:w="0" w:type="dxa"/>
          </w:tblCellMar>
        </w:tblPrEx>
        <w:tc>
          <w:tcPr>
            <w:tcW w:w="2387" w:type="pct"/>
            <w:shd w:val="clear" w:color="auto" w:fill="auto"/>
          </w:tcPr>
          <w:p w:rsidR="007E67C2" w:rsidRPr="0012760D" w:rsidRDefault="007E67C2" w:rsidP="001B3A3E">
            <w:pPr>
              <w:rPr>
                <w:sz w:val="24"/>
                <w:szCs w:val="24"/>
              </w:rPr>
            </w:pPr>
            <w:r w:rsidRPr="0012760D">
              <w:rPr>
                <w:bCs/>
                <w:sz w:val="24"/>
                <w:szCs w:val="24"/>
              </w:rPr>
              <w:t>Person who is the subject of the disclosure</w:t>
            </w:r>
          </w:p>
        </w:tc>
        <w:tc>
          <w:tcPr>
            <w:tcW w:w="2613" w:type="pct"/>
            <w:shd w:val="clear" w:color="auto" w:fill="auto"/>
          </w:tcPr>
          <w:p w:rsidR="007E67C2" w:rsidRPr="0012760D" w:rsidRDefault="007E67C2" w:rsidP="001B3A3E">
            <w:pPr>
              <w:rPr>
                <w:sz w:val="24"/>
                <w:szCs w:val="24"/>
              </w:rPr>
            </w:pPr>
            <w:r w:rsidRPr="0012760D">
              <w:rPr>
                <w:bCs/>
                <w:sz w:val="24"/>
                <w:szCs w:val="24"/>
              </w:rPr>
              <w:t>Person/body to whom the disclosure must be made</w:t>
            </w:r>
          </w:p>
        </w:tc>
      </w:tr>
      <w:tr w:rsidR="007E67C2" w:rsidRPr="0012760D" w:rsidTr="001B3A3E">
        <w:tblPrEx>
          <w:tblCellMar>
            <w:top w:w="0" w:type="dxa"/>
            <w:bottom w:w="0" w:type="dxa"/>
          </w:tblCellMar>
        </w:tblPrEx>
        <w:tc>
          <w:tcPr>
            <w:tcW w:w="2387" w:type="pct"/>
            <w:shd w:val="clear" w:color="auto" w:fill="auto"/>
          </w:tcPr>
          <w:p w:rsidR="007E67C2" w:rsidRPr="0012760D" w:rsidRDefault="007E67C2" w:rsidP="001B3A3E">
            <w:pPr>
              <w:rPr>
                <w:sz w:val="24"/>
                <w:szCs w:val="24"/>
              </w:rPr>
            </w:pPr>
            <w:r w:rsidRPr="0012760D">
              <w:rPr>
                <w:sz w:val="24"/>
                <w:szCs w:val="24"/>
              </w:rPr>
              <w:t>Employee of a public body (e.g. employee of SV)</w:t>
            </w:r>
          </w:p>
        </w:tc>
        <w:tc>
          <w:tcPr>
            <w:tcW w:w="2613" w:type="pct"/>
            <w:shd w:val="clear" w:color="auto" w:fill="auto"/>
          </w:tcPr>
          <w:p w:rsidR="007E67C2" w:rsidRPr="0012760D" w:rsidRDefault="007E67C2" w:rsidP="001B3A3E">
            <w:pPr>
              <w:rPr>
                <w:sz w:val="24"/>
                <w:szCs w:val="24"/>
              </w:rPr>
            </w:pPr>
            <w:r w:rsidRPr="0012760D">
              <w:rPr>
                <w:sz w:val="24"/>
                <w:szCs w:val="24"/>
              </w:rPr>
              <w:t>That public body (i.e. SV for SV employees), or the Ombudsman</w:t>
            </w:r>
          </w:p>
        </w:tc>
      </w:tr>
      <w:tr w:rsidR="007E67C2" w:rsidRPr="0012760D" w:rsidTr="001B3A3E">
        <w:tblPrEx>
          <w:tblCellMar>
            <w:top w:w="0" w:type="dxa"/>
            <w:bottom w:w="0" w:type="dxa"/>
          </w:tblCellMar>
        </w:tblPrEx>
        <w:tc>
          <w:tcPr>
            <w:tcW w:w="2387" w:type="pct"/>
            <w:shd w:val="clear" w:color="auto" w:fill="auto"/>
          </w:tcPr>
          <w:p w:rsidR="007E67C2" w:rsidRPr="0012760D" w:rsidRDefault="007E67C2" w:rsidP="001B3A3E">
            <w:pPr>
              <w:rPr>
                <w:sz w:val="24"/>
                <w:szCs w:val="24"/>
              </w:rPr>
            </w:pPr>
            <w:r w:rsidRPr="0012760D">
              <w:rPr>
                <w:sz w:val="24"/>
                <w:szCs w:val="24"/>
              </w:rPr>
              <w:t>Member of Parliament (Legislative Assembly)</w:t>
            </w:r>
          </w:p>
        </w:tc>
        <w:tc>
          <w:tcPr>
            <w:tcW w:w="2613" w:type="pct"/>
            <w:shd w:val="clear" w:color="auto" w:fill="auto"/>
          </w:tcPr>
          <w:p w:rsidR="007E67C2" w:rsidRPr="0012760D" w:rsidRDefault="007E67C2" w:rsidP="001B3A3E">
            <w:pPr>
              <w:rPr>
                <w:sz w:val="24"/>
                <w:szCs w:val="24"/>
              </w:rPr>
            </w:pPr>
            <w:r w:rsidRPr="0012760D">
              <w:rPr>
                <w:sz w:val="24"/>
                <w:szCs w:val="24"/>
              </w:rPr>
              <w:t>Speaker of the Legislative Assembly</w:t>
            </w:r>
          </w:p>
        </w:tc>
      </w:tr>
      <w:tr w:rsidR="007E67C2" w:rsidRPr="0012760D" w:rsidTr="001B3A3E">
        <w:tblPrEx>
          <w:tblCellMar>
            <w:top w:w="0" w:type="dxa"/>
            <w:bottom w:w="0" w:type="dxa"/>
          </w:tblCellMar>
        </w:tblPrEx>
        <w:tc>
          <w:tcPr>
            <w:tcW w:w="2387" w:type="pct"/>
            <w:shd w:val="clear" w:color="auto" w:fill="auto"/>
          </w:tcPr>
          <w:p w:rsidR="007E67C2" w:rsidRPr="0012760D" w:rsidRDefault="007E67C2" w:rsidP="001B3A3E">
            <w:pPr>
              <w:rPr>
                <w:sz w:val="24"/>
                <w:szCs w:val="24"/>
              </w:rPr>
            </w:pPr>
            <w:r w:rsidRPr="0012760D">
              <w:rPr>
                <w:sz w:val="24"/>
                <w:szCs w:val="24"/>
              </w:rPr>
              <w:t>Member of Parliament (Legislative Council)</w:t>
            </w:r>
          </w:p>
        </w:tc>
        <w:tc>
          <w:tcPr>
            <w:tcW w:w="2613" w:type="pct"/>
            <w:shd w:val="clear" w:color="auto" w:fill="auto"/>
          </w:tcPr>
          <w:p w:rsidR="007E67C2" w:rsidRPr="0012760D" w:rsidRDefault="007E67C2" w:rsidP="001B3A3E">
            <w:pPr>
              <w:rPr>
                <w:sz w:val="24"/>
                <w:szCs w:val="24"/>
              </w:rPr>
            </w:pPr>
            <w:r w:rsidRPr="0012760D">
              <w:rPr>
                <w:sz w:val="24"/>
                <w:szCs w:val="24"/>
              </w:rPr>
              <w:t>President of the Legislative Council</w:t>
            </w:r>
          </w:p>
        </w:tc>
      </w:tr>
      <w:tr w:rsidR="007E67C2" w:rsidRPr="0012760D" w:rsidTr="001B3A3E">
        <w:tblPrEx>
          <w:tblCellMar>
            <w:top w:w="0" w:type="dxa"/>
            <w:bottom w:w="0" w:type="dxa"/>
          </w:tblCellMar>
        </w:tblPrEx>
        <w:tc>
          <w:tcPr>
            <w:tcW w:w="2387" w:type="pct"/>
            <w:shd w:val="clear" w:color="auto" w:fill="auto"/>
          </w:tcPr>
          <w:p w:rsidR="007E67C2" w:rsidRPr="0012760D" w:rsidRDefault="007E67C2" w:rsidP="001B3A3E">
            <w:pPr>
              <w:rPr>
                <w:sz w:val="24"/>
                <w:szCs w:val="24"/>
              </w:rPr>
            </w:pPr>
            <w:r w:rsidRPr="0012760D">
              <w:rPr>
                <w:sz w:val="24"/>
                <w:szCs w:val="24"/>
              </w:rPr>
              <w:t>Councillor</w:t>
            </w:r>
          </w:p>
        </w:tc>
        <w:tc>
          <w:tcPr>
            <w:tcW w:w="2613" w:type="pct"/>
            <w:shd w:val="clear" w:color="auto" w:fill="auto"/>
          </w:tcPr>
          <w:p w:rsidR="007E67C2" w:rsidRPr="0012760D" w:rsidRDefault="007E67C2" w:rsidP="001B3A3E">
            <w:pPr>
              <w:rPr>
                <w:sz w:val="24"/>
                <w:szCs w:val="24"/>
              </w:rPr>
            </w:pPr>
            <w:r w:rsidRPr="0012760D">
              <w:rPr>
                <w:sz w:val="24"/>
                <w:szCs w:val="24"/>
              </w:rPr>
              <w:t>The Ombudsman</w:t>
            </w:r>
          </w:p>
        </w:tc>
      </w:tr>
      <w:tr w:rsidR="007E67C2" w:rsidRPr="0012760D" w:rsidTr="001B3A3E">
        <w:tblPrEx>
          <w:tblCellMar>
            <w:top w:w="0" w:type="dxa"/>
            <w:bottom w:w="0" w:type="dxa"/>
          </w:tblCellMar>
        </w:tblPrEx>
        <w:tc>
          <w:tcPr>
            <w:tcW w:w="2387" w:type="pct"/>
            <w:shd w:val="clear" w:color="auto" w:fill="auto"/>
          </w:tcPr>
          <w:p w:rsidR="007E67C2" w:rsidRPr="0012760D" w:rsidRDefault="007E67C2" w:rsidP="001B3A3E">
            <w:pPr>
              <w:rPr>
                <w:sz w:val="24"/>
                <w:szCs w:val="24"/>
              </w:rPr>
            </w:pPr>
            <w:r w:rsidRPr="0012760D">
              <w:rPr>
                <w:sz w:val="24"/>
                <w:szCs w:val="24"/>
              </w:rPr>
              <w:t>Chief Commissioner of Police</w:t>
            </w:r>
          </w:p>
        </w:tc>
        <w:tc>
          <w:tcPr>
            <w:tcW w:w="2613" w:type="pct"/>
            <w:shd w:val="clear" w:color="auto" w:fill="auto"/>
          </w:tcPr>
          <w:p w:rsidR="007E67C2" w:rsidRPr="0012760D" w:rsidRDefault="007E67C2" w:rsidP="001B3A3E">
            <w:pPr>
              <w:rPr>
                <w:sz w:val="24"/>
                <w:szCs w:val="24"/>
              </w:rPr>
            </w:pPr>
            <w:r w:rsidRPr="0012760D">
              <w:rPr>
                <w:sz w:val="24"/>
                <w:szCs w:val="24"/>
              </w:rPr>
              <w:t>The Ombudsman or Deputy Ombudsman</w:t>
            </w:r>
          </w:p>
        </w:tc>
      </w:tr>
      <w:tr w:rsidR="007E67C2" w:rsidRPr="0012760D" w:rsidTr="001B3A3E">
        <w:tblPrEx>
          <w:tblCellMar>
            <w:top w:w="0" w:type="dxa"/>
            <w:bottom w:w="0" w:type="dxa"/>
          </w:tblCellMar>
        </w:tblPrEx>
        <w:tc>
          <w:tcPr>
            <w:tcW w:w="2387" w:type="pct"/>
            <w:shd w:val="clear" w:color="auto" w:fill="auto"/>
          </w:tcPr>
          <w:p w:rsidR="007E67C2" w:rsidRPr="0012760D" w:rsidRDefault="007E67C2" w:rsidP="001B3A3E">
            <w:pPr>
              <w:rPr>
                <w:sz w:val="24"/>
                <w:szCs w:val="24"/>
              </w:rPr>
            </w:pPr>
            <w:r w:rsidRPr="0012760D">
              <w:rPr>
                <w:sz w:val="24"/>
                <w:szCs w:val="24"/>
              </w:rPr>
              <w:t>Member of the police force</w:t>
            </w:r>
          </w:p>
        </w:tc>
        <w:tc>
          <w:tcPr>
            <w:tcW w:w="2613" w:type="pct"/>
            <w:shd w:val="clear" w:color="auto" w:fill="auto"/>
          </w:tcPr>
          <w:p w:rsidR="007E67C2" w:rsidRPr="0012760D" w:rsidRDefault="007E67C2" w:rsidP="001B3A3E">
            <w:pPr>
              <w:rPr>
                <w:sz w:val="24"/>
                <w:szCs w:val="24"/>
              </w:rPr>
            </w:pPr>
            <w:r w:rsidRPr="0012760D">
              <w:rPr>
                <w:sz w:val="24"/>
                <w:szCs w:val="24"/>
              </w:rPr>
              <w:t>The Ombudsman, Deputy Ombudsman or Chief Commissioner of Police</w:t>
            </w:r>
          </w:p>
        </w:tc>
      </w:tr>
    </w:tbl>
    <w:p w:rsidR="007E67C2" w:rsidRPr="0012760D" w:rsidRDefault="007E67C2" w:rsidP="007E67C2">
      <w:pPr>
        <w:rPr>
          <w:sz w:val="24"/>
          <w:szCs w:val="24"/>
        </w:rPr>
      </w:pPr>
    </w:p>
    <w:p w:rsidR="007E67C2" w:rsidRPr="0012760D" w:rsidRDefault="007E67C2" w:rsidP="007E67C2">
      <w:pPr>
        <w:rPr>
          <w:bCs/>
          <w:sz w:val="24"/>
          <w:szCs w:val="24"/>
        </w:rPr>
      </w:pPr>
    </w:p>
    <w:p w:rsidR="007E67C2" w:rsidRDefault="007E67C2" w:rsidP="00B93117">
      <w:pPr>
        <w:pStyle w:val="Heading2"/>
      </w:pPr>
      <w:r w:rsidRPr="0012760D">
        <w:t>6. Roles and Responsibilities</w:t>
      </w:r>
    </w:p>
    <w:p w:rsidR="00B93117" w:rsidRPr="0012760D" w:rsidRDefault="00B93117" w:rsidP="007E67C2">
      <w:pPr>
        <w:rPr>
          <w:sz w:val="24"/>
          <w:szCs w:val="24"/>
        </w:rPr>
      </w:pPr>
    </w:p>
    <w:p w:rsidR="007E67C2" w:rsidRDefault="007E67C2" w:rsidP="00B93117">
      <w:pPr>
        <w:pStyle w:val="Heading2"/>
      </w:pPr>
      <w:r w:rsidRPr="0012760D">
        <w:t>6.1 Employees</w:t>
      </w:r>
    </w:p>
    <w:p w:rsidR="00B93117" w:rsidRPr="0012760D" w:rsidRDefault="00B93117" w:rsidP="007E67C2">
      <w:pPr>
        <w:rPr>
          <w:sz w:val="24"/>
          <w:szCs w:val="24"/>
        </w:rPr>
      </w:pPr>
    </w:p>
    <w:p w:rsidR="007E67C2" w:rsidRDefault="007E67C2" w:rsidP="007E67C2">
      <w:pPr>
        <w:rPr>
          <w:sz w:val="24"/>
          <w:szCs w:val="24"/>
        </w:rPr>
      </w:pPr>
      <w:r w:rsidRPr="0012760D">
        <w:rPr>
          <w:sz w:val="24"/>
          <w:szCs w:val="24"/>
        </w:rPr>
        <w:t>Employees are encouraged to report known or suspected incidences of improper conduct or detrimental action in accordance with these procedures. All employees of SV have an important role to play in supporting those who have made a legitimate disclosure. They must refrain from any activity that is, or could be perceived to be, victimisation or harassment of a person who makes a disclosure. Furthermore, they should protect and maintain the confidentiality of a person they know or suspect to have made a disclosure.</w:t>
      </w:r>
    </w:p>
    <w:p w:rsidR="00B93117" w:rsidRDefault="00B93117" w:rsidP="007E67C2">
      <w:pPr>
        <w:rPr>
          <w:sz w:val="24"/>
          <w:szCs w:val="24"/>
        </w:rPr>
      </w:pPr>
    </w:p>
    <w:p w:rsidR="00B93117" w:rsidRPr="0012760D" w:rsidRDefault="00B93117" w:rsidP="007E67C2">
      <w:pPr>
        <w:rPr>
          <w:sz w:val="24"/>
          <w:szCs w:val="24"/>
        </w:rPr>
      </w:pPr>
    </w:p>
    <w:p w:rsidR="007E67C2" w:rsidRDefault="007E67C2" w:rsidP="00B93117">
      <w:pPr>
        <w:pStyle w:val="Heading2"/>
      </w:pPr>
      <w:r w:rsidRPr="0012760D">
        <w:t>6.2 PDC</w:t>
      </w:r>
    </w:p>
    <w:p w:rsidR="00B93117" w:rsidRPr="0012760D" w:rsidRDefault="00B93117" w:rsidP="007E67C2">
      <w:pPr>
        <w:rPr>
          <w:sz w:val="24"/>
          <w:szCs w:val="24"/>
        </w:rPr>
      </w:pPr>
    </w:p>
    <w:p w:rsidR="007E67C2" w:rsidRPr="0012760D" w:rsidRDefault="007E67C2" w:rsidP="007E67C2">
      <w:pPr>
        <w:rPr>
          <w:sz w:val="24"/>
          <w:szCs w:val="24"/>
        </w:rPr>
      </w:pPr>
      <w:r w:rsidRPr="0012760D">
        <w:rPr>
          <w:sz w:val="24"/>
          <w:szCs w:val="24"/>
        </w:rPr>
        <w:t>The PDC has a central "clearing house" role in the internal reporting system; she or he will:</w:t>
      </w:r>
    </w:p>
    <w:p w:rsidR="007E67C2" w:rsidRPr="0012760D" w:rsidRDefault="007E67C2" w:rsidP="007E67C2">
      <w:pPr>
        <w:rPr>
          <w:sz w:val="24"/>
          <w:szCs w:val="24"/>
        </w:rPr>
      </w:pPr>
      <w:r w:rsidRPr="0012760D">
        <w:rPr>
          <w:sz w:val="24"/>
          <w:szCs w:val="24"/>
        </w:rPr>
        <w:t>• receive all disclosures forwarded from the PDC</w:t>
      </w:r>
    </w:p>
    <w:p w:rsidR="007E67C2" w:rsidRPr="0012760D" w:rsidRDefault="007E67C2" w:rsidP="007E67C2">
      <w:pPr>
        <w:rPr>
          <w:sz w:val="24"/>
          <w:szCs w:val="24"/>
        </w:rPr>
      </w:pPr>
      <w:r w:rsidRPr="0012760D">
        <w:rPr>
          <w:sz w:val="24"/>
          <w:szCs w:val="24"/>
        </w:rPr>
        <w:t>• receive all phone calls, emails and letters from members of the public or employees seeking to make a disclosure</w:t>
      </w:r>
    </w:p>
    <w:p w:rsidR="007E67C2" w:rsidRPr="0012760D" w:rsidRDefault="007E67C2" w:rsidP="007E67C2">
      <w:pPr>
        <w:rPr>
          <w:sz w:val="24"/>
          <w:szCs w:val="24"/>
        </w:rPr>
      </w:pPr>
      <w:r w:rsidRPr="0012760D">
        <w:rPr>
          <w:sz w:val="24"/>
          <w:szCs w:val="24"/>
        </w:rPr>
        <w:lastRenderedPageBreak/>
        <w:t>• impartially assess each disclosure to determine whether it is a public interest disclosure</w:t>
      </w:r>
    </w:p>
    <w:p w:rsidR="007E67C2" w:rsidRPr="0012760D" w:rsidRDefault="007E67C2" w:rsidP="007E67C2">
      <w:pPr>
        <w:rPr>
          <w:sz w:val="24"/>
          <w:szCs w:val="24"/>
        </w:rPr>
      </w:pPr>
      <w:r w:rsidRPr="0012760D">
        <w:rPr>
          <w:sz w:val="24"/>
          <w:szCs w:val="24"/>
        </w:rPr>
        <w:t>• refer all public interest disclosures to the Ombudsman</w:t>
      </w:r>
    </w:p>
    <w:p w:rsidR="007E67C2" w:rsidRPr="0012760D" w:rsidRDefault="007E67C2" w:rsidP="007E67C2">
      <w:pPr>
        <w:rPr>
          <w:sz w:val="24"/>
          <w:szCs w:val="24"/>
        </w:rPr>
      </w:pPr>
      <w:r w:rsidRPr="0012760D">
        <w:rPr>
          <w:sz w:val="24"/>
          <w:szCs w:val="24"/>
        </w:rPr>
        <w:t>• be responsible for carrying out, or appointing an investigator to carry out, an investigation referred to the public body by the Ombudsman</w:t>
      </w:r>
    </w:p>
    <w:p w:rsidR="007E67C2" w:rsidRPr="0012760D" w:rsidRDefault="007E67C2" w:rsidP="007E67C2">
      <w:pPr>
        <w:rPr>
          <w:sz w:val="24"/>
          <w:szCs w:val="24"/>
        </w:rPr>
      </w:pPr>
      <w:r w:rsidRPr="0012760D">
        <w:rPr>
          <w:sz w:val="24"/>
          <w:szCs w:val="24"/>
        </w:rPr>
        <w:t>• be responsible for overseeing and coordinating an investigation where an investigator has been appointed</w:t>
      </w:r>
    </w:p>
    <w:p w:rsidR="007E67C2" w:rsidRPr="0012760D" w:rsidRDefault="007E67C2" w:rsidP="007E67C2">
      <w:pPr>
        <w:rPr>
          <w:sz w:val="24"/>
          <w:szCs w:val="24"/>
        </w:rPr>
      </w:pPr>
      <w:r w:rsidRPr="0012760D">
        <w:rPr>
          <w:sz w:val="24"/>
          <w:szCs w:val="24"/>
        </w:rPr>
        <w:t>• appoint a Welfare Manager to support the whistleblower and to protect him/her from any reprisals</w:t>
      </w:r>
    </w:p>
    <w:p w:rsidR="007E67C2" w:rsidRPr="0012760D" w:rsidRDefault="007E67C2" w:rsidP="007E67C2">
      <w:pPr>
        <w:rPr>
          <w:sz w:val="24"/>
          <w:szCs w:val="24"/>
        </w:rPr>
      </w:pPr>
      <w:r w:rsidRPr="0012760D">
        <w:rPr>
          <w:sz w:val="24"/>
          <w:szCs w:val="24"/>
        </w:rPr>
        <w:t>• advise the whistleblower of the progress of an investigation into the disclosed matter</w:t>
      </w:r>
    </w:p>
    <w:p w:rsidR="007E67C2" w:rsidRPr="0012760D" w:rsidRDefault="007E67C2" w:rsidP="007E67C2">
      <w:pPr>
        <w:rPr>
          <w:sz w:val="24"/>
          <w:szCs w:val="24"/>
        </w:rPr>
      </w:pPr>
      <w:r w:rsidRPr="0012760D">
        <w:rPr>
          <w:sz w:val="24"/>
          <w:szCs w:val="24"/>
        </w:rPr>
        <w:t>• establish and manage a confidential fling system</w:t>
      </w:r>
    </w:p>
    <w:p w:rsidR="007E67C2" w:rsidRPr="0012760D" w:rsidRDefault="007E67C2" w:rsidP="007E67C2">
      <w:pPr>
        <w:rPr>
          <w:sz w:val="24"/>
          <w:szCs w:val="24"/>
        </w:rPr>
      </w:pPr>
      <w:r w:rsidRPr="0012760D">
        <w:rPr>
          <w:sz w:val="24"/>
          <w:szCs w:val="24"/>
        </w:rPr>
        <w:t>• collate and publish statistics on disclosures made</w:t>
      </w:r>
    </w:p>
    <w:p w:rsidR="007E67C2" w:rsidRPr="0012760D" w:rsidRDefault="007E67C2" w:rsidP="007E67C2">
      <w:pPr>
        <w:rPr>
          <w:sz w:val="24"/>
          <w:szCs w:val="24"/>
        </w:rPr>
      </w:pPr>
      <w:r w:rsidRPr="0012760D">
        <w:rPr>
          <w:sz w:val="24"/>
          <w:szCs w:val="24"/>
        </w:rPr>
        <w:t>• take all necessary steps to ensure the identity of the whistleblower and the identity of the person who is the subject of the disclosure are kept confidential</w:t>
      </w:r>
    </w:p>
    <w:p w:rsidR="007E67C2" w:rsidRPr="0012760D" w:rsidRDefault="007E67C2" w:rsidP="007E67C2">
      <w:pPr>
        <w:rPr>
          <w:sz w:val="24"/>
          <w:szCs w:val="24"/>
        </w:rPr>
      </w:pPr>
      <w:r w:rsidRPr="0012760D">
        <w:rPr>
          <w:sz w:val="24"/>
          <w:szCs w:val="24"/>
        </w:rPr>
        <w:t>• liaise with the Chief Executive Officer (CEO) of the public body</w:t>
      </w:r>
    </w:p>
    <w:p w:rsidR="007E67C2" w:rsidRPr="0012760D" w:rsidRDefault="007E67C2" w:rsidP="007E67C2">
      <w:pPr>
        <w:rPr>
          <w:sz w:val="24"/>
          <w:szCs w:val="24"/>
        </w:rPr>
      </w:pPr>
      <w:r w:rsidRPr="0012760D">
        <w:rPr>
          <w:sz w:val="24"/>
          <w:szCs w:val="24"/>
        </w:rPr>
        <w:t>• be a contact point for general advice about the operation of the Act for any person wishing to make a disclosure about improper conduct or detrimental action</w:t>
      </w:r>
    </w:p>
    <w:p w:rsidR="007E67C2" w:rsidRPr="0012760D" w:rsidRDefault="007E67C2" w:rsidP="007E67C2">
      <w:pPr>
        <w:rPr>
          <w:sz w:val="24"/>
          <w:szCs w:val="24"/>
        </w:rPr>
      </w:pPr>
      <w:r w:rsidRPr="0012760D">
        <w:rPr>
          <w:sz w:val="24"/>
          <w:szCs w:val="24"/>
        </w:rPr>
        <w:t>• make arrangements for a disclosure to be made privately and discreetly and, if necessary, away from the workplace</w:t>
      </w:r>
    </w:p>
    <w:p w:rsidR="007E67C2" w:rsidRPr="0012760D" w:rsidRDefault="007E67C2" w:rsidP="007E67C2">
      <w:pPr>
        <w:rPr>
          <w:sz w:val="24"/>
          <w:szCs w:val="24"/>
        </w:rPr>
      </w:pPr>
      <w:r w:rsidRPr="0012760D">
        <w:rPr>
          <w:sz w:val="24"/>
          <w:szCs w:val="24"/>
        </w:rPr>
        <w:t>• receive any disclosure made orally or in writing (from internal and external whistleblowers)</w:t>
      </w:r>
    </w:p>
    <w:p w:rsidR="007E67C2" w:rsidRPr="0012760D" w:rsidRDefault="007E67C2" w:rsidP="007E67C2">
      <w:pPr>
        <w:rPr>
          <w:sz w:val="24"/>
          <w:szCs w:val="24"/>
        </w:rPr>
      </w:pPr>
      <w:r w:rsidRPr="0012760D">
        <w:rPr>
          <w:sz w:val="24"/>
          <w:szCs w:val="24"/>
        </w:rPr>
        <w:t>• commit to writing any disclosure made orally</w:t>
      </w:r>
    </w:p>
    <w:p w:rsidR="007E67C2" w:rsidRPr="0012760D" w:rsidRDefault="007E67C2" w:rsidP="007E67C2">
      <w:pPr>
        <w:rPr>
          <w:sz w:val="24"/>
          <w:szCs w:val="24"/>
        </w:rPr>
      </w:pPr>
      <w:r w:rsidRPr="0012760D">
        <w:rPr>
          <w:sz w:val="24"/>
          <w:szCs w:val="24"/>
        </w:rPr>
        <w:t>• impartially assess the allegation and determine whether it is a disclosure made in accordance with Part 2 of the Act (that is, a protected disclosure)</w:t>
      </w:r>
    </w:p>
    <w:p w:rsidR="007E67C2" w:rsidRPr="0012760D" w:rsidRDefault="007E67C2" w:rsidP="007E67C2">
      <w:pPr>
        <w:rPr>
          <w:sz w:val="24"/>
          <w:szCs w:val="24"/>
        </w:rPr>
      </w:pPr>
      <w:r w:rsidRPr="0012760D">
        <w:rPr>
          <w:sz w:val="24"/>
          <w:szCs w:val="24"/>
        </w:rPr>
        <w:t>• take all necessary steps to ensure that the identity of the whistleblower and the identity of the person who is the subject of the disclosure are kept confidential</w:t>
      </w:r>
    </w:p>
    <w:p w:rsidR="007E67C2" w:rsidRPr="0012760D" w:rsidRDefault="007E67C2" w:rsidP="007E67C2">
      <w:pPr>
        <w:rPr>
          <w:sz w:val="24"/>
          <w:szCs w:val="24"/>
        </w:rPr>
      </w:pPr>
      <w:r w:rsidRPr="0012760D">
        <w:rPr>
          <w:sz w:val="24"/>
          <w:szCs w:val="24"/>
        </w:rPr>
        <w:t>• forward all disclosures and supporting evidence to the PDC.</w:t>
      </w:r>
    </w:p>
    <w:p w:rsidR="001B3A3E" w:rsidRDefault="001B3A3E" w:rsidP="001B3A3E">
      <w:pPr>
        <w:rPr>
          <w:bCs/>
          <w:sz w:val="24"/>
          <w:szCs w:val="24"/>
        </w:rPr>
      </w:pPr>
      <w:r w:rsidRPr="0012760D">
        <w:rPr>
          <w:bCs/>
          <w:sz w:val="24"/>
          <w:szCs w:val="24"/>
        </w:rPr>
        <w:t>&lt;pp&gt; 77</w:t>
      </w:r>
    </w:p>
    <w:p w:rsidR="00B93117" w:rsidRDefault="00B93117" w:rsidP="001B3A3E">
      <w:pPr>
        <w:rPr>
          <w:bCs/>
          <w:sz w:val="24"/>
          <w:szCs w:val="24"/>
        </w:rPr>
      </w:pPr>
    </w:p>
    <w:p w:rsidR="00B93117" w:rsidRPr="0012760D" w:rsidRDefault="00B93117" w:rsidP="001B3A3E">
      <w:pPr>
        <w:rPr>
          <w:sz w:val="24"/>
          <w:szCs w:val="24"/>
        </w:rPr>
      </w:pPr>
    </w:p>
    <w:p w:rsidR="001B3A3E" w:rsidRDefault="001B3A3E" w:rsidP="00B93117">
      <w:pPr>
        <w:pStyle w:val="Heading2"/>
      </w:pPr>
      <w:r w:rsidRPr="0012760D">
        <w:t>6.3 Investigator</w:t>
      </w:r>
    </w:p>
    <w:p w:rsidR="00B93117" w:rsidRPr="0012760D" w:rsidRDefault="00B93117" w:rsidP="001B3A3E">
      <w:pPr>
        <w:rPr>
          <w:sz w:val="24"/>
          <w:szCs w:val="24"/>
        </w:rPr>
      </w:pPr>
    </w:p>
    <w:p w:rsidR="001B3A3E" w:rsidRDefault="001B3A3E" w:rsidP="001B3A3E">
      <w:pPr>
        <w:rPr>
          <w:sz w:val="24"/>
          <w:szCs w:val="24"/>
        </w:rPr>
      </w:pPr>
      <w:r w:rsidRPr="0012760D">
        <w:rPr>
          <w:sz w:val="24"/>
          <w:szCs w:val="24"/>
        </w:rPr>
        <w:t>The investigator to be appointed by the PDC will be responsible for carrying out an internal investigation into a disclosure where the Ombudsman has referred a matter to the public body.</w:t>
      </w:r>
    </w:p>
    <w:p w:rsidR="00B93117" w:rsidRDefault="00B93117" w:rsidP="001B3A3E">
      <w:pPr>
        <w:rPr>
          <w:sz w:val="24"/>
          <w:szCs w:val="24"/>
        </w:rPr>
      </w:pPr>
    </w:p>
    <w:p w:rsidR="00B93117" w:rsidRPr="0012760D" w:rsidRDefault="00B93117" w:rsidP="001B3A3E">
      <w:pPr>
        <w:rPr>
          <w:sz w:val="24"/>
          <w:szCs w:val="24"/>
        </w:rPr>
      </w:pPr>
    </w:p>
    <w:p w:rsidR="001B3A3E" w:rsidRDefault="001B3A3E" w:rsidP="00B93117">
      <w:pPr>
        <w:pStyle w:val="Heading2"/>
      </w:pPr>
      <w:r w:rsidRPr="0012760D">
        <w:t>6.4 Welfare Manager</w:t>
      </w:r>
    </w:p>
    <w:p w:rsidR="00B93117" w:rsidRPr="0012760D" w:rsidRDefault="00B93117" w:rsidP="001B3A3E">
      <w:pPr>
        <w:rPr>
          <w:sz w:val="24"/>
          <w:szCs w:val="24"/>
        </w:rPr>
      </w:pPr>
    </w:p>
    <w:p w:rsidR="001B3A3E" w:rsidRPr="0012760D" w:rsidRDefault="001B3A3E" w:rsidP="001B3A3E">
      <w:pPr>
        <w:rPr>
          <w:sz w:val="24"/>
          <w:szCs w:val="24"/>
        </w:rPr>
      </w:pPr>
      <w:r w:rsidRPr="0012760D">
        <w:rPr>
          <w:sz w:val="24"/>
          <w:szCs w:val="24"/>
        </w:rPr>
        <w:t>The Welfare Manager (SV's Manager People and Culture) is responsible for looking after the general welfare of the whistleblower. The Welfare Manager will:</w:t>
      </w:r>
    </w:p>
    <w:p w:rsidR="001B3A3E" w:rsidRPr="0012760D" w:rsidRDefault="001B3A3E" w:rsidP="001B3A3E">
      <w:pPr>
        <w:rPr>
          <w:sz w:val="24"/>
          <w:szCs w:val="24"/>
        </w:rPr>
      </w:pPr>
      <w:r w:rsidRPr="0012760D">
        <w:rPr>
          <w:sz w:val="24"/>
          <w:szCs w:val="24"/>
        </w:rPr>
        <w:t>1. examine the immediate welfare and protection needs of a whistleblower who has made a disclosure and seek to foster a supportive work environment</w:t>
      </w:r>
    </w:p>
    <w:p w:rsidR="001B3A3E" w:rsidRPr="0012760D" w:rsidRDefault="001B3A3E" w:rsidP="001B3A3E">
      <w:pPr>
        <w:rPr>
          <w:sz w:val="24"/>
          <w:szCs w:val="24"/>
        </w:rPr>
      </w:pPr>
      <w:r w:rsidRPr="0012760D">
        <w:rPr>
          <w:sz w:val="24"/>
          <w:szCs w:val="24"/>
        </w:rPr>
        <w:t>2. advise the whistleblower of the legislative and administrative protections available to him/her</w:t>
      </w:r>
    </w:p>
    <w:p w:rsidR="001B3A3E" w:rsidRPr="0012760D" w:rsidRDefault="001B3A3E" w:rsidP="001B3A3E">
      <w:pPr>
        <w:rPr>
          <w:sz w:val="24"/>
          <w:szCs w:val="24"/>
        </w:rPr>
      </w:pPr>
      <w:r w:rsidRPr="0012760D">
        <w:rPr>
          <w:sz w:val="24"/>
          <w:szCs w:val="24"/>
        </w:rPr>
        <w:t>3. listen and respond to any concerns of harassment, intimidation or victimisation in reprisal for making disclosure</w:t>
      </w:r>
    </w:p>
    <w:p w:rsidR="001B3A3E" w:rsidRDefault="001B3A3E" w:rsidP="001B3A3E">
      <w:pPr>
        <w:rPr>
          <w:sz w:val="24"/>
          <w:szCs w:val="24"/>
        </w:rPr>
      </w:pPr>
      <w:r w:rsidRPr="0012760D">
        <w:rPr>
          <w:sz w:val="24"/>
          <w:szCs w:val="24"/>
        </w:rPr>
        <w:t>4. ensure the expectations of the whistleblower are realistic.</w:t>
      </w:r>
    </w:p>
    <w:p w:rsidR="00B93117" w:rsidRDefault="00B93117" w:rsidP="001B3A3E">
      <w:pPr>
        <w:rPr>
          <w:sz w:val="24"/>
          <w:szCs w:val="24"/>
        </w:rPr>
      </w:pPr>
    </w:p>
    <w:p w:rsidR="00B93117" w:rsidRPr="0012760D" w:rsidRDefault="00B93117" w:rsidP="001B3A3E">
      <w:pPr>
        <w:rPr>
          <w:sz w:val="24"/>
          <w:szCs w:val="24"/>
        </w:rPr>
      </w:pPr>
    </w:p>
    <w:p w:rsidR="001B3A3E" w:rsidRDefault="001B3A3E" w:rsidP="00B93117">
      <w:pPr>
        <w:pStyle w:val="Heading2"/>
      </w:pPr>
      <w:r w:rsidRPr="0012760D">
        <w:t>7. Confidentiality</w:t>
      </w:r>
    </w:p>
    <w:p w:rsidR="00B93117" w:rsidRPr="0012760D" w:rsidRDefault="00B93117" w:rsidP="001B3A3E">
      <w:pPr>
        <w:rPr>
          <w:sz w:val="24"/>
          <w:szCs w:val="24"/>
        </w:rPr>
      </w:pPr>
    </w:p>
    <w:p w:rsidR="001B3A3E" w:rsidRDefault="001B3A3E" w:rsidP="001B3A3E">
      <w:pPr>
        <w:rPr>
          <w:sz w:val="24"/>
          <w:szCs w:val="24"/>
        </w:rPr>
      </w:pPr>
      <w:r w:rsidRPr="0012760D">
        <w:rPr>
          <w:sz w:val="24"/>
          <w:szCs w:val="24"/>
        </w:rPr>
        <w:t>SV will take all reasonable steps to protect the identity of the whistleblower. Maintaining confidentiality is crucial in ensuring that reprisals are not made against a whistleblower.</w:t>
      </w:r>
    </w:p>
    <w:p w:rsidR="00B93117" w:rsidRPr="0012760D" w:rsidRDefault="00B93117" w:rsidP="001B3A3E">
      <w:pPr>
        <w:rPr>
          <w:sz w:val="24"/>
          <w:szCs w:val="24"/>
        </w:rPr>
      </w:pPr>
    </w:p>
    <w:p w:rsidR="001B3A3E" w:rsidRDefault="001B3A3E" w:rsidP="001B3A3E">
      <w:pPr>
        <w:rPr>
          <w:sz w:val="24"/>
          <w:szCs w:val="24"/>
        </w:rPr>
      </w:pPr>
      <w:r w:rsidRPr="0012760D">
        <w:rPr>
          <w:sz w:val="24"/>
          <w:szCs w:val="24"/>
        </w:rPr>
        <w:t>The Act requires any person who receives information due to the handling or investigation of a protected disclosure not to disclose that information, except in certain limited circumstances. Disclosure of information, in breach of Section 22 of the Act, constitutes an offence that is punishable by a maximum fine of 60 penalty units* (see page 82) or six months' imprisonment, or both.</w:t>
      </w:r>
    </w:p>
    <w:p w:rsidR="00B93117" w:rsidRPr="0012760D" w:rsidRDefault="00B93117" w:rsidP="001B3A3E">
      <w:pPr>
        <w:rPr>
          <w:sz w:val="24"/>
          <w:szCs w:val="24"/>
        </w:rPr>
      </w:pPr>
    </w:p>
    <w:p w:rsidR="001B3A3E" w:rsidRPr="0012760D" w:rsidRDefault="001B3A3E" w:rsidP="001B3A3E">
      <w:pPr>
        <w:rPr>
          <w:sz w:val="24"/>
          <w:szCs w:val="24"/>
        </w:rPr>
      </w:pPr>
      <w:r w:rsidRPr="0012760D">
        <w:rPr>
          <w:sz w:val="24"/>
          <w:szCs w:val="24"/>
        </w:rPr>
        <w:t>The circumstances in which a person may disclose information obtained about a protected disclosure include:</w:t>
      </w:r>
    </w:p>
    <w:p w:rsidR="001B3A3E" w:rsidRPr="0012760D" w:rsidRDefault="009A6AAD" w:rsidP="001B3A3E">
      <w:pPr>
        <w:rPr>
          <w:sz w:val="24"/>
          <w:szCs w:val="24"/>
        </w:rPr>
      </w:pPr>
      <w:r>
        <w:rPr>
          <w:sz w:val="24"/>
          <w:szCs w:val="24"/>
        </w:rPr>
        <w:t xml:space="preserve">• </w:t>
      </w:r>
      <w:r w:rsidR="001B3A3E" w:rsidRPr="0012760D">
        <w:rPr>
          <w:sz w:val="24"/>
          <w:szCs w:val="24"/>
        </w:rPr>
        <w:t>where exercising the functions of the public body under the Act</w:t>
      </w:r>
    </w:p>
    <w:p w:rsidR="001B3A3E" w:rsidRPr="0012760D" w:rsidRDefault="009A6AAD" w:rsidP="001B3A3E">
      <w:pPr>
        <w:rPr>
          <w:sz w:val="24"/>
          <w:szCs w:val="24"/>
        </w:rPr>
      </w:pPr>
      <w:r>
        <w:rPr>
          <w:sz w:val="24"/>
          <w:szCs w:val="24"/>
        </w:rPr>
        <w:t xml:space="preserve">• </w:t>
      </w:r>
      <w:r w:rsidR="001B3A3E" w:rsidRPr="0012760D">
        <w:rPr>
          <w:sz w:val="24"/>
          <w:szCs w:val="24"/>
        </w:rPr>
        <w:t>when making a report or recommendation under the Act</w:t>
      </w:r>
    </w:p>
    <w:p w:rsidR="001B3A3E" w:rsidRPr="0012760D" w:rsidRDefault="009A6AAD" w:rsidP="001B3A3E">
      <w:pPr>
        <w:rPr>
          <w:sz w:val="24"/>
          <w:szCs w:val="24"/>
        </w:rPr>
      </w:pPr>
      <w:r>
        <w:rPr>
          <w:sz w:val="24"/>
          <w:szCs w:val="24"/>
        </w:rPr>
        <w:t xml:space="preserve">• </w:t>
      </w:r>
      <w:r w:rsidR="001B3A3E" w:rsidRPr="0012760D">
        <w:rPr>
          <w:sz w:val="24"/>
          <w:szCs w:val="24"/>
        </w:rPr>
        <w:t>when publishing statistics in the annual report of a public body</w:t>
      </w:r>
    </w:p>
    <w:p w:rsidR="001B3A3E" w:rsidRDefault="009A6AAD" w:rsidP="001B3A3E">
      <w:pPr>
        <w:rPr>
          <w:sz w:val="24"/>
          <w:szCs w:val="24"/>
        </w:rPr>
      </w:pPr>
      <w:r>
        <w:rPr>
          <w:sz w:val="24"/>
          <w:szCs w:val="24"/>
        </w:rPr>
        <w:t xml:space="preserve">• </w:t>
      </w:r>
      <w:r w:rsidR="001B3A3E" w:rsidRPr="0012760D">
        <w:rPr>
          <w:sz w:val="24"/>
          <w:szCs w:val="24"/>
        </w:rPr>
        <w:t>in criminal proceedings for certain offences in the Act.</w:t>
      </w:r>
    </w:p>
    <w:p w:rsidR="00B93117" w:rsidRPr="0012760D" w:rsidRDefault="00B93117" w:rsidP="001B3A3E">
      <w:pPr>
        <w:rPr>
          <w:sz w:val="24"/>
          <w:szCs w:val="24"/>
        </w:rPr>
      </w:pPr>
    </w:p>
    <w:p w:rsidR="001B3A3E" w:rsidRDefault="001B3A3E" w:rsidP="001B3A3E">
      <w:pPr>
        <w:rPr>
          <w:sz w:val="24"/>
          <w:szCs w:val="24"/>
        </w:rPr>
      </w:pPr>
      <w:r w:rsidRPr="0012760D">
        <w:rPr>
          <w:sz w:val="24"/>
          <w:szCs w:val="24"/>
        </w:rPr>
        <w:t>However, the Act prohibits the inclusion of particulars in any report or recommendation that is likely to lead to the identification of the whistleblower. The Act also prohibits the identification of the person who is the subject of the disclosure in any particulars included in an annual report.</w:t>
      </w:r>
    </w:p>
    <w:p w:rsidR="00B93117" w:rsidRPr="0012760D" w:rsidRDefault="00B93117" w:rsidP="001B3A3E">
      <w:pPr>
        <w:rPr>
          <w:sz w:val="24"/>
          <w:szCs w:val="24"/>
        </w:rPr>
      </w:pPr>
    </w:p>
    <w:p w:rsidR="001B3A3E" w:rsidRDefault="001B3A3E" w:rsidP="001B3A3E">
      <w:pPr>
        <w:rPr>
          <w:sz w:val="24"/>
          <w:szCs w:val="24"/>
        </w:rPr>
      </w:pPr>
      <w:r w:rsidRPr="0012760D">
        <w:rPr>
          <w:sz w:val="24"/>
          <w:szCs w:val="24"/>
        </w:rPr>
        <w:t>SV will ensure that all files, whether paper or electronic, are kept in a secure room and can only be accessed by the PDC, the investigator or Welfare Manager (in relation to welfare matters). All printed material will be kept in files that are clearly marked as a Whistleblower Protection Act matter, and warn of the criminal penalties that apply to any unauthorised divulging information concerning a protected disclosure. All electronic files will be produced and stored on a stand-alone computer and be given password protection. Backup files will be kept on floppy disc. All materials relevant to an investigation, such as tapes from interviews, will also be stored securely with the whistleblower files.</w:t>
      </w:r>
    </w:p>
    <w:p w:rsidR="00B93117" w:rsidRPr="0012760D" w:rsidRDefault="00B93117" w:rsidP="001B3A3E">
      <w:pPr>
        <w:rPr>
          <w:sz w:val="24"/>
          <w:szCs w:val="24"/>
        </w:rPr>
      </w:pPr>
    </w:p>
    <w:p w:rsidR="001B3A3E" w:rsidRDefault="001B3A3E" w:rsidP="001B3A3E">
      <w:pPr>
        <w:rPr>
          <w:sz w:val="24"/>
          <w:szCs w:val="24"/>
        </w:rPr>
      </w:pPr>
      <w:r w:rsidRPr="0012760D">
        <w:rPr>
          <w:sz w:val="24"/>
          <w:szCs w:val="24"/>
        </w:rPr>
        <w:t>SV will not email documents relevant to a whistleblower matter and will ensure all phone calls and meetings are conducted in private.</w:t>
      </w:r>
    </w:p>
    <w:p w:rsidR="00B93117" w:rsidRDefault="00B93117" w:rsidP="001B3A3E">
      <w:pPr>
        <w:rPr>
          <w:sz w:val="24"/>
          <w:szCs w:val="24"/>
        </w:rPr>
      </w:pPr>
    </w:p>
    <w:p w:rsidR="00B93117" w:rsidRPr="0012760D" w:rsidRDefault="00B93117" w:rsidP="001B3A3E">
      <w:pPr>
        <w:rPr>
          <w:sz w:val="24"/>
          <w:szCs w:val="24"/>
        </w:rPr>
      </w:pPr>
    </w:p>
    <w:p w:rsidR="001B3A3E" w:rsidRDefault="001B3A3E" w:rsidP="00B93117">
      <w:pPr>
        <w:pStyle w:val="Heading2"/>
      </w:pPr>
      <w:r w:rsidRPr="0012760D">
        <w:t>8. Collating and publishing statistics</w:t>
      </w:r>
    </w:p>
    <w:p w:rsidR="00B93117" w:rsidRPr="0012760D" w:rsidRDefault="00B93117" w:rsidP="001B3A3E">
      <w:pPr>
        <w:rPr>
          <w:sz w:val="24"/>
          <w:szCs w:val="24"/>
        </w:rPr>
      </w:pPr>
    </w:p>
    <w:p w:rsidR="001B3A3E" w:rsidRDefault="001B3A3E" w:rsidP="001B3A3E">
      <w:pPr>
        <w:rPr>
          <w:sz w:val="24"/>
          <w:szCs w:val="24"/>
        </w:rPr>
      </w:pPr>
      <w:r w:rsidRPr="0012760D">
        <w:rPr>
          <w:sz w:val="24"/>
          <w:szCs w:val="24"/>
        </w:rPr>
        <w:t>The PDC will establish a secure register to record the information required to be published in the annual report, and to generally keep account of the status of whistleblower disclosures. The register will be confidential and will not record any information that may identify the whistleblower.</w:t>
      </w:r>
    </w:p>
    <w:p w:rsidR="00B93117" w:rsidRPr="0012760D" w:rsidRDefault="00B93117" w:rsidP="001B3A3E">
      <w:pPr>
        <w:rPr>
          <w:sz w:val="24"/>
          <w:szCs w:val="24"/>
        </w:rPr>
      </w:pPr>
    </w:p>
    <w:p w:rsidR="001B3A3E" w:rsidRPr="0012760D" w:rsidRDefault="001B3A3E" w:rsidP="001B3A3E">
      <w:pPr>
        <w:rPr>
          <w:sz w:val="24"/>
          <w:szCs w:val="24"/>
        </w:rPr>
      </w:pPr>
      <w:r w:rsidRPr="0012760D">
        <w:rPr>
          <w:sz w:val="24"/>
          <w:szCs w:val="24"/>
        </w:rPr>
        <w:t>The register will contain the following information:</w:t>
      </w:r>
    </w:p>
    <w:p w:rsidR="001B3A3E" w:rsidRPr="0012760D" w:rsidRDefault="001B3A3E" w:rsidP="001B3A3E">
      <w:pPr>
        <w:rPr>
          <w:sz w:val="24"/>
          <w:szCs w:val="24"/>
        </w:rPr>
      </w:pPr>
      <w:r w:rsidRPr="0012760D">
        <w:rPr>
          <w:sz w:val="24"/>
          <w:szCs w:val="24"/>
        </w:rPr>
        <w:t>1. the number and types of disclosures made to public bodies during the year</w:t>
      </w:r>
    </w:p>
    <w:p w:rsidR="001B3A3E" w:rsidRPr="0012760D" w:rsidRDefault="001B3A3E" w:rsidP="001B3A3E">
      <w:pPr>
        <w:rPr>
          <w:sz w:val="24"/>
          <w:szCs w:val="24"/>
        </w:rPr>
      </w:pPr>
      <w:r w:rsidRPr="0012760D">
        <w:rPr>
          <w:sz w:val="24"/>
          <w:szCs w:val="24"/>
        </w:rPr>
        <w:t>2. the number of disclosures referred to the Ombudsman for determination as to whether they are public interest disclosures</w:t>
      </w:r>
    </w:p>
    <w:p w:rsidR="001B3A3E" w:rsidRPr="0012760D" w:rsidRDefault="001B3A3E" w:rsidP="001B3A3E">
      <w:pPr>
        <w:rPr>
          <w:sz w:val="24"/>
          <w:szCs w:val="24"/>
        </w:rPr>
      </w:pPr>
      <w:r w:rsidRPr="0012760D">
        <w:rPr>
          <w:sz w:val="24"/>
          <w:szCs w:val="24"/>
        </w:rPr>
        <w:lastRenderedPageBreak/>
        <w:t>3. the number and types of disclosed matters referred to the public body by the Ombudsman for investigation</w:t>
      </w:r>
    </w:p>
    <w:p w:rsidR="001B3A3E" w:rsidRPr="0012760D" w:rsidRDefault="001B3A3E" w:rsidP="001B3A3E">
      <w:pPr>
        <w:rPr>
          <w:sz w:val="24"/>
          <w:szCs w:val="24"/>
        </w:rPr>
      </w:pPr>
      <w:r w:rsidRPr="0012760D">
        <w:rPr>
          <w:sz w:val="24"/>
          <w:szCs w:val="24"/>
        </w:rPr>
        <w:t>4. the number and types of disclosures referred by the public body to the Ombudsman for investigation</w:t>
      </w:r>
    </w:p>
    <w:p w:rsidR="001B3A3E" w:rsidRPr="0012760D" w:rsidRDefault="001B3A3E" w:rsidP="001B3A3E">
      <w:pPr>
        <w:rPr>
          <w:sz w:val="24"/>
          <w:szCs w:val="24"/>
        </w:rPr>
      </w:pPr>
      <w:r w:rsidRPr="0012760D">
        <w:rPr>
          <w:sz w:val="24"/>
          <w:szCs w:val="24"/>
        </w:rPr>
        <w:t>5. the number and types of investigations taken over from the public body by the Ombudsman</w:t>
      </w:r>
    </w:p>
    <w:p w:rsidR="001B3A3E" w:rsidRPr="0012760D" w:rsidRDefault="001B3A3E" w:rsidP="001B3A3E">
      <w:pPr>
        <w:rPr>
          <w:sz w:val="24"/>
          <w:szCs w:val="24"/>
        </w:rPr>
      </w:pPr>
      <w:r w:rsidRPr="0012760D">
        <w:rPr>
          <w:sz w:val="24"/>
          <w:szCs w:val="24"/>
        </w:rPr>
        <w:t>6. the number of requests made to the Ombudsman to take over an investigation by the public body</w:t>
      </w:r>
    </w:p>
    <w:p w:rsidR="001B3A3E" w:rsidRPr="0012760D" w:rsidRDefault="001B3A3E" w:rsidP="001B3A3E">
      <w:pPr>
        <w:rPr>
          <w:sz w:val="24"/>
          <w:szCs w:val="24"/>
        </w:rPr>
      </w:pPr>
      <w:r w:rsidRPr="0012760D">
        <w:rPr>
          <w:sz w:val="24"/>
          <w:szCs w:val="24"/>
        </w:rPr>
        <w:t>7. the number and types of disclosed matters that the public body has declined to investigate</w:t>
      </w:r>
    </w:p>
    <w:p w:rsidR="001B3A3E" w:rsidRPr="0012760D" w:rsidRDefault="001B3A3E" w:rsidP="001B3A3E">
      <w:pPr>
        <w:rPr>
          <w:sz w:val="24"/>
          <w:szCs w:val="24"/>
        </w:rPr>
      </w:pPr>
      <w:r w:rsidRPr="0012760D">
        <w:rPr>
          <w:sz w:val="24"/>
          <w:szCs w:val="24"/>
        </w:rPr>
        <w:t>8. the number and types of disclosed matters that were substantiated upon investigation and the action taken on completion of the investigation</w:t>
      </w:r>
    </w:p>
    <w:p w:rsidR="001B3A3E" w:rsidRPr="0012760D" w:rsidRDefault="001B3A3E" w:rsidP="001B3A3E">
      <w:pPr>
        <w:rPr>
          <w:sz w:val="24"/>
          <w:szCs w:val="24"/>
        </w:rPr>
      </w:pPr>
      <w:r w:rsidRPr="0012760D">
        <w:rPr>
          <w:sz w:val="24"/>
          <w:szCs w:val="24"/>
        </w:rPr>
        <w:t>9. any recommendations made by the Ombudsman that relate to the public body.</w:t>
      </w:r>
    </w:p>
    <w:p w:rsidR="00B058BE" w:rsidRDefault="00B058BE" w:rsidP="00B058BE">
      <w:pPr>
        <w:rPr>
          <w:bCs/>
          <w:sz w:val="24"/>
          <w:szCs w:val="24"/>
        </w:rPr>
      </w:pPr>
      <w:r w:rsidRPr="0012760D">
        <w:rPr>
          <w:bCs/>
          <w:sz w:val="24"/>
          <w:szCs w:val="24"/>
        </w:rPr>
        <w:t>&lt;pp&gt; 78</w:t>
      </w:r>
    </w:p>
    <w:p w:rsidR="00B93117" w:rsidRDefault="00B93117" w:rsidP="00B058BE">
      <w:pPr>
        <w:rPr>
          <w:bCs/>
          <w:sz w:val="24"/>
          <w:szCs w:val="24"/>
        </w:rPr>
      </w:pPr>
    </w:p>
    <w:p w:rsidR="00B93117" w:rsidRPr="0012760D" w:rsidRDefault="00B93117" w:rsidP="00B058BE">
      <w:pPr>
        <w:rPr>
          <w:sz w:val="24"/>
          <w:szCs w:val="24"/>
        </w:rPr>
      </w:pPr>
    </w:p>
    <w:p w:rsidR="00B058BE" w:rsidRDefault="00B058BE" w:rsidP="00B93117">
      <w:pPr>
        <w:pStyle w:val="Heading2"/>
      </w:pPr>
      <w:r w:rsidRPr="0012760D">
        <w:t>9. Receiving and assessing disclosures</w:t>
      </w:r>
    </w:p>
    <w:p w:rsidR="00B93117" w:rsidRPr="0012760D" w:rsidRDefault="00B93117" w:rsidP="00B058BE">
      <w:pPr>
        <w:rPr>
          <w:sz w:val="24"/>
          <w:szCs w:val="24"/>
        </w:rPr>
      </w:pPr>
    </w:p>
    <w:p w:rsidR="00B058BE" w:rsidRDefault="00B058BE" w:rsidP="00B93117">
      <w:pPr>
        <w:pStyle w:val="Heading2"/>
      </w:pPr>
      <w:r w:rsidRPr="0012760D">
        <w:t>9.1 Has the Disclosure Been Made in Accordance with Part 2 of the Act?</w:t>
      </w:r>
    </w:p>
    <w:p w:rsidR="00B93117" w:rsidRPr="0012760D" w:rsidRDefault="00B93117" w:rsidP="00B058BE">
      <w:pPr>
        <w:rPr>
          <w:sz w:val="24"/>
          <w:szCs w:val="24"/>
        </w:rPr>
      </w:pPr>
    </w:p>
    <w:p w:rsidR="00B058BE" w:rsidRDefault="00B058BE" w:rsidP="00B058BE">
      <w:pPr>
        <w:rPr>
          <w:sz w:val="24"/>
          <w:szCs w:val="24"/>
        </w:rPr>
      </w:pPr>
      <w:r w:rsidRPr="0012760D">
        <w:rPr>
          <w:sz w:val="24"/>
          <w:szCs w:val="24"/>
        </w:rPr>
        <w:t>Where a disclosure has been received by the PDC, he/she will assess whether the disclosure has been made in accordance with Part 2 of the Act and is, therefore, a protected disclosure.</w:t>
      </w:r>
    </w:p>
    <w:p w:rsidR="00B93117" w:rsidRDefault="00B93117" w:rsidP="00B058BE">
      <w:pPr>
        <w:rPr>
          <w:sz w:val="24"/>
          <w:szCs w:val="24"/>
        </w:rPr>
      </w:pPr>
    </w:p>
    <w:p w:rsidR="00B93117" w:rsidRPr="0012760D" w:rsidRDefault="00B93117" w:rsidP="00B058BE">
      <w:pPr>
        <w:rPr>
          <w:sz w:val="24"/>
          <w:szCs w:val="24"/>
        </w:rPr>
      </w:pPr>
    </w:p>
    <w:p w:rsidR="00B058BE" w:rsidRDefault="00B058BE" w:rsidP="00B93117">
      <w:pPr>
        <w:pStyle w:val="Heading2"/>
      </w:pPr>
      <w:r w:rsidRPr="0012760D">
        <w:t>9.1.1 Has the Disclosure Been Made to the Appropriate Person?</w:t>
      </w:r>
    </w:p>
    <w:p w:rsidR="00B93117" w:rsidRPr="0012760D" w:rsidRDefault="00B93117" w:rsidP="00B058BE">
      <w:pPr>
        <w:rPr>
          <w:sz w:val="24"/>
          <w:szCs w:val="24"/>
        </w:rPr>
      </w:pPr>
    </w:p>
    <w:p w:rsidR="00B058BE" w:rsidRDefault="00B058BE" w:rsidP="00B058BE">
      <w:pPr>
        <w:rPr>
          <w:sz w:val="24"/>
          <w:szCs w:val="24"/>
        </w:rPr>
      </w:pPr>
      <w:r w:rsidRPr="0012760D">
        <w:rPr>
          <w:sz w:val="24"/>
          <w:szCs w:val="24"/>
        </w:rPr>
        <w:t>For the disclosure to be responded to by SV, it must concern an employee, member or officer of SV. If the disclosure concerns an employee, officer or member of another public body, the person who has made the disclosure must be advised of the correct person or body to whom the disclosure should be directed (see the table in 5.2). If the disclosure has been made anonymously, it should be referred to the Ombudsman.</w:t>
      </w:r>
    </w:p>
    <w:p w:rsidR="00B93117" w:rsidRDefault="00B93117" w:rsidP="00B058BE">
      <w:pPr>
        <w:rPr>
          <w:sz w:val="24"/>
          <w:szCs w:val="24"/>
        </w:rPr>
      </w:pPr>
    </w:p>
    <w:p w:rsidR="00B93117" w:rsidRPr="0012760D" w:rsidRDefault="00B93117" w:rsidP="00B058BE">
      <w:pPr>
        <w:rPr>
          <w:sz w:val="24"/>
          <w:szCs w:val="24"/>
        </w:rPr>
      </w:pPr>
    </w:p>
    <w:p w:rsidR="00B058BE" w:rsidRDefault="00B058BE" w:rsidP="00B93117">
      <w:pPr>
        <w:pStyle w:val="Heading2"/>
      </w:pPr>
      <w:r w:rsidRPr="0012760D">
        <w:t>9.1.2 Does the Disclosure Contain the Essential Elements of a Protected Disclosure?</w:t>
      </w:r>
    </w:p>
    <w:p w:rsidR="00B93117" w:rsidRPr="0012760D" w:rsidRDefault="00B93117" w:rsidP="00B058BE">
      <w:pPr>
        <w:rPr>
          <w:sz w:val="24"/>
          <w:szCs w:val="24"/>
        </w:rPr>
      </w:pPr>
    </w:p>
    <w:p w:rsidR="00B058BE" w:rsidRPr="0012760D" w:rsidRDefault="00B058BE" w:rsidP="00B058BE">
      <w:pPr>
        <w:rPr>
          <w:sz w:val="24"/>
          <w:szCs w:val="24"/>
        </w:rPr>
      </w:pPr>
      <w:r w:rsidRPr="0012760D">
        <w:rPr>
          <w:sz w:val="24"/>
          <w:szCs w:val="24"/>
        </w:rPr>
        <w:t>To be a protected disclosure, a disclosure must satisfy the following criteria:</w:t>
      </w:r>
    </w:p>
    <w:p w:rsidR="00B058BE" w:rsidRPr="0012760D" w:rsidRDefault="00B058BE" w:rsidP="00B058BE">
      <w:pPr>
        <w:rPr>
          <w:sz w:val="24"/>
          <w:szCs w:val="24"/>
        </w:rPr>
      </w:pPr>
      <w:r w:rsidRPr="0012760D">
        <w:rPr>
          <w:sz w:val="24"/>
          <w:szCs w:val="24"/>
        </w:rPr>
        <w:t>• Did a natural person (that is, an individual person rather than a corporation) make the disclosure?</w:t>
      </w:r>
    </w:p>
    <w:p w:rsidR="00B058BE" w:rsidRPr="0012760D" w:rsidRDefault="00B058BE" w:rsidP="00B058BE">
      <w:pPr>
        <w:rPr>
          <w:sz w:val="24"/>
          <w:szCs w:val="24"/>
        </w:rPr>
      </w:pPr>
      <w:r w:rsidRPr="0012760D">
        <w:rPr>
          <w:sz w:val="24"/>
          <w:szCs w:val="24"/>
        </w:rPr>
        <w:t>• Does the disclosure relate to conduct of a public body or public officer acting in their official capacity?</w:t>
      </w:r>
    </w:p>
    <w:p w:rsidR="00B058BE" w:rsidRPr="0012760D" w:rsidRDefault="00B058BE" w:rsidP="00B058BE">
      <w:pPr>
        <w:rPr>
          <w:sz w:val="24"/>
          <w:szCs w:val="24"/>
        </w:rPr>
      </w:pPr>
      <w:r w:rsidRPr="0012760D">
        <w:rPr>
          <w:sz w:val="24"/>
          <w:szCs w:val="24"/>
        </w:rPr>
        <w:t>• Is the alleged conduct either improper conduct or detrimental action taken against a person in reprisal for making a protected disclosure?</w:t>
      </w:r>
    </w:p>
    <w:p w:rsidR="00B058BE" w:rsidRPr="0012760D" w:rsidRDefault="00B058BE" w:rsidP="00B058BE">
      <w:pPr>
        <w:rPr>
          <w:sz w:val="24"/>
          <w:szCs w:val="24"/>
        </w:rPr>
      </w:pPr>
      <w:r w:rsidRPr="0012760D">
        <w:rPr>
          <w:sz w:val="24"/>
          <w:szCs w:val="24"/>
        </w:rPr>
        <w:t>• Does the person making a disclosure have reasonable grounds for believing the alleged conduct has occurred?</w:t>
      </w:r>
    </w:p>
    <w:p w:rsidR="00B93117" w:rsidRDefault="00B93117" w:rsidP="00B058BE">
      <w:pPr>
        <w:rPr>
          <w:sz w:val="24"/>
          <w:szCs w:val="24"/>
        </w:rPr>
      </w:pPr>
    </w:p>
    <w:p w:rsidR="00B058BE" w:rsidRPr="0012760D" w:rsidRDefault="00B058BE" w:rsidP="00B058BE">
      <w:pPr>
        <w:rPr>
          <w:sz w:val="24"/>
          <w:szCs w:val="24"/>
        </w:rPr>
      </w:pPr>
      <w:r w:rsidRPr="0012760D">
        <w:rPr>
          <w:sz w:val="24"/>
          <w:szCs w:val="24"/>
        </w:rPr>
        <w:t>Where a disclosure is assessed to be a protected disclosure, it is referred to the PDC. The PDC will determine whether the disclosure is a public interest disclosure.</w:t>
      </w:r>
    </w:p>
    <w:p w:rsidR="00B93117" w:rsidRDefault="00B93117" w:rsidP="00B058BE">
      <w:pPr>
        <w:rPr>
          <w:sz w:val="24"/>
          <w:szCs w:val="24"/>
        </w:rPr>
      </w:pPr>
    </w:p>
    <w:p w:rsidR="00B058BE" w:rsidRDefault="00B058BE" w:rsidP="00B058BE">
      <w:pPr>
        <w:rPr>
          <w:sz w:val="24"/>
          <w:szCs w:val="24"/>
        </w:rPr>
      </w:pPr>
      <w:r w:rsidRPr="0012760D">
        <w:rPr>
          <w:sz w:val="24"/>
          <w:szCs w:val="24"/>
        </w:rPr>
        <w:t>Where a disclosure is assessed not to be a protected disclosure, the matter does not need to be dealt with under the Act. The PDC will decide how the matter should be responded to.</w:t>
      </w:r>
    </w:p>
    <w:p w:rsidR="00B93117" w:rsidRDefault="00B93117" w:rsidP="00B058BE">
      <w:pPr>
        <w:rPr>
          <w:sz w:val="24"/>
          <w:szCs w:val="24"/>
        </w:rPr>
      </w:pPr>
    </w:p>
    <w:p w:rsidR="00B93117" w:rsidRPr="0012760D" w:rsidRDefault="00B93117" w:rsidP="00B058BE">
      <w:pPr>
        <w:rPr>
          <w:sz w:val="24"/>
          <w:szCs w:val="24"/>
        </w:rPr>
      </w:pPr>
    </w:p>
    <w:p w:rsidR="00B058BE" w:rsidRDefault="00B058BE" w:rsidP="00B93117">
      <w:pPr>
        <w:pStyle w:val="Heading2"/>
      </w:pPr>
      <w:r w:rsidRPr="0012760D">
        <w:t>9.2 Is the Disclosure a Public Interest Disclosure?</w:t>
      </w:r>
    </w:p>
    <w:p w:rsidR="00B93117" w:rsidRPr="0012760D" w:rsidRDefault="00B93117" w:rsidP="00B058BE">
      <w:pPr>
        <w:rPr>
          <w:sz w:val="24"/>
          <w:szCs w:val="24"/>
        </w:rPr>
      </w:pPr>
    </w:p>
    <w:p w:rsidR="00B058BE" w:rsidRDefault="00B058BE" w:rsidP="00B058BE">
      <w:pPr>
        <w:rPr>
          <w:sz w:val="24"/>
          <w:szCs w:val="24"/>
        </w:rPr>
      </w:pPr>
      <w:r w:rsidRPr="0012760D">
        <w:rPr>
          <w:sz w:val="24"/>
          <w:szCs w:val="24"/>
        </w:rPr>
        <w:t>Where the PDC has received a disclosure that has been assessed to be a protected disclosure, the PDC will determine whether the disclosure amounts to a public interest disclosure. This assessment will be made within 45 days of the receipt of the disclosure.</w:t>
      </w:r>
    </w:p>
    <w:p w:rsidR="00B93117" w:rsidRPr="0012760D" w:rsidRDefault="00B93117" w:rsidP="00B058BE">
      <w:pPr>
        <w:rPr>
          <w:sz w:val="24"/>
          <w:szCs w:val="24"/>
        </w:rPr>
      </w:pPr>
    </w:p>
    <w:p w:rsidR="00B058BE" w:rsidRPr="0012760D" w:rsidRDefault="00B058BE" w:rsidP="00B058BE">
      <w:pPr>
        <w:rPr>
          <w:sz w:val="24"/>
          <w:szCs w:val="24"/>
        </w:rPr>
      </w:pPr>
      <w:r w:rsidRPr="0012760D">
        <w:rPr>
          <w:sz w:val="24"/>
          <w:szCs w:val="24"/>
        </w:rPr>
        <w:t>In reaching a conclusion as to whether a protected disclosure is a public interest disclosure, the PDC will consider whether the disclosure shows, or tends to show, that the public officer to whom the disclosure relates:</w:t>
      </w:r>
    </w:p>
    <w:p w:rsidR="00B058BE" w:rsidRPr="0012760D" w:rsidRDefault="00B058BE" w:rsidP="00B058BE">
      <w:pPr>
        <w:rPr>
          <w:sz w:val="24"/>
          <w:szCs w:val="24"/>
        </w:rPr>
      </w:pPr>
      <w:r w:rsidRPr="0012760D">
        <w:rPr>
          <w:sz w:val="24"/>
          <w:szCs w:val="24"/>
        </w:rPr>
        <w:t>1. has engaged, is engaging or proposes to engage in improper conduct in his/her capacity as a public officer, or</w:t>
      </w:r>
    </w:p>
    <w:p w:rsidR="00B058BE" w:rsidRPr="0012760D" w:rsidRDefault="00B058BE" w:rsidP="00B058BE">
      <w:pPr>
        <w:rPr>
          <w:sz w:val="24"/>
          <w:szCs w:val="24"/>
        </w:rPr>
      </w:pPr>
      <w:r w:rsidRPr="0012760D">
        <w:rPr>
          <w:sz w:val="24"/>
          <w:szCs w:val="24"/>
        </w:rPr>
        <w:t>2. has taken, is taking or proposes to take detrimental action in reprisal for the making of the protected disclosure.</w:t>
      </w:r>
    </w:p>
    <w:p w:rsidR="00B93117" w:rsidRDefault="00B93117" w:rsidP="00B058BE">
      <w:pPr>
        <w:rPr>
          <w:sz w:val="24"/>
          <w:szCs w:val="24"/>
        </w:rPr>
      </w:pPr>
    </w:p>
    <w:p w:rsidR="00B058BE" w:rsidRPr="0012760D" w:rsidRDefault="00B058BE" w:rsidP="00B058BE">
      <w:pPr>
        <w:rPr>
          <w:sz w:val="24"/>
          <w:szCs w:val="24"/>
        </w:rPr>
      </w:pPr>
      <w:r w:rsidRPr="0012760D">
        <w:rPr>
          <w:sz w:val="24"/>
          <w:szCs w:val="24"/>
        </w:rPr>
        <w:t>Where the PDC concludes that the disclosure amounts to a public interest disclosure, he/she will:</w:t>
      </w:r>
    </w:p>
    <w:p w:rsidR="00B058BE" w:rsidRPr="0012760D" w:rsidRDefault="00B058BE" w:rsidP="00B058BE">
      <w:pPr>
        <w:rPr>
          <w:sz w:val="24"/>
          <w:szCs w:val="24"/>
        </w:rPr>
      </w:pPr>
      <w:r w:rsidRPr="0012760D">
        <w:rPr>
          <w:sz w:val="24"/>
          <w:szCs w:val="24"/>
        </w:rPr>
        <w:t>1. notify the person who made the disclosure of that conclusion</w:t>
      </w:r>
    </w:p>
    <w:p w:rsidR="00B058BE" w:rsidRPr="0012760D" w:rsidRDefault="00B058BE" w:rsidP="00B058BE">
      <w:pPr>
        <w:rPr>
          <w:sz w:val="24"/>
          <w:szCs w:val="24"/>
        </w:rPr>
      </w:pPr>
      <w:r w:rsidRPr="0012760D">
        <w:rPr>
          <w:sz w:val="24"/>
          <w:szCs w:val="24"/>
        </w:rPr>
        <w:t>2. refer the disclosure to the Ombudsman for formal determination as to whether it is indeed a public interest disclosure.</w:t>
      </w:r>
    </w:p>
    <w:p w:rsidR="00B93117" w:rsidRDefault="00B93117" w:rsidP="00B058BE">
      <w:pPr>
        <w:rPr>
          <w:sz w:val="24"/>
          <w:szCs w:val="24"/>
        </w:rPr>
      </w:pPr>
    </w:p>
    <w:p w:rsidR="00B058BE" w:rsidRPr="0012760D" w:rsidRDefault="00B058BE" w:rsidP="00B058BE">
      <w:pPr>
        <w:rPr>
          <w:sz w:val="24"/>
          <w:szCs w:val="24"/>
        </w:rPr>
      </w:pPr>
      <w:r w:rsidRPr="0012760D">
        <w:rPr>
          <w:sz w:val="24"/>
          <w:szCs w:val="24"/>
        </w:rPr>
        <w:t>Where the PDC concludes that the disclosure is not a public interest disclosure, he/she will:</w:t>
      </w:r>
    </w:p>
    <w:p w:rsidR="00B058BE" w:rsidRPr="0012760D" w:rsidRDefault="00B058BE" w:rsidP="00B058BE">
      <w:pPr>
        <w:rPr>
          <w:sz w:val="24"/>
          <w:szCs w:val="24"/>
        </w:rPr>
      </w:pPr>
      <w:r w:rsidRPr="0012760D">
        <w:rPr>
          <w:sz w:val="24"/>
          <w:szCs w:val="24"/>
        </w:rPr>
        <w:t>1. notify the person who made the disclosure of that conclusion</w:t>
      </w:r>
    </w:p>
    <w:p w:rsidR="00B058BE" w:rsidRPr="0012760D" w:rsidRDefault="00B058BE" w:rsidP="00B058BE">
      <w:pPr>
        <w:rPr>
          <w:sz w:val="24"/>
          <w:szCs w:val="24"/>
        </w:rPr>
      </w:pPr>
      <w:r w:rsidRPr="0012760D">
        <w:rPr>
          <w:sz w:val="24"/>
          <w:szCs w:val="24"/>
        </w:rPr>
        <w:t>2. advise that person that he/she may request the public body to refer the disclosure to the Ombudsman for a formal determination as to whether the disclosure is a public interest disclosure, and that this request must be made within 28 days of the notification.</w:t>
      </w:r>
    </w:p>
    <w:p w:rsidR="00B93117" w:rsidRDefault="00B93117" w:rsidP="00B058BE">
      <w:pPr>
        <w:rPr>
          <w:sz w:val="24"/>
          <w:szCs w:val="24"/>
        </w:rPr>
      </w:pPr>
    </w:p>
    <w:p w:rsidR="00B058BE" w:rsidRPr="0012760D" w:rsidRDefault="00B058BE" w:rsidP="00B058BE">
      <w:pPr>
        <w:rPr>
          <w:sz w:val="24"/>
          <w:szCs w:val="24"/>
        </w:rPr>
      </w:pPr>
      <w:r w:rsidRPr="0012760D">
        <w:rPr>
          <w:sz w:val="24"/>
          <w:szCs w:val="24"/>
        </w:rPr>
        <w:t>In either case, the PDC will make the notification and the referral within 14 days of the conclusion being reached by the public body. Notification to the whistleblower is not necessary where the disclosure has been made anonymously.</w:t>
      </w:r>
    </w:p>
    <w:p w:rsidR="00F60D44" w:rsidRDefault="00F60D44" w:rsidP="00F60D44">
      <w:pPr>
        <w:rPr>
          <w:bCs/>
          <w:sz w:val="24"/>
          <w:szCs w:val="24"/>
        </w:rPr>
      </w:pPr>
      <w:r w:rsidRPr="0012760D">
        <w:rPr>
          <w:bCs/>
          <w:sz w:val="24"/>
          <w:szCs w:val="24"/>
        </w:rPr>
        <w:t>&lt;pp&gt; 79</w:t>
      </w:r>
    </w:p>
    <w:p w:rsidR="00B93117" w:rsidRDefault="00B93117" w:rsidP="00F60D44">
      <w:pPr>
        <w:rPr>
          <w:bCs/>
          <w:sz w:val="24"/>
          <w:szCs w:val="24"/>
        </w:rPr>
      </w:pPr>
    </w:p>
    <w:p w:rsidR="00B93117" w:rsidRPr="0012760D" w:rsidRDefault="00B93117" w:rsidP="00F60D44">
      <w:pPr>
        <w:rPr>
          <w:sz w:val="24"/>
          <w:szCs w:val="24"/>
        </w:rPr>
      </w:pPr>
    </w:p>
    <w:p w:rsidR="00F60D44" w:rsidRDefault="00F60D44" w:rsidP="00B93117">
      <w:pPr>
        <w:pStyle w:val="Heading2"/>
      </w:pPr>
      <w:r w:rsidRPr="0012760D">
        <w:t>10. Investigations</w:t>
      </w:r>
    </w:p>
    <w:p w:rsidR="00B93117" w:rsidRPr="0012760D" w:rsidRDefault="00B93117" w:rsidP="00F60D44">
      <w:pPr>
        <w:rPr>
          <w:sz w:val="24"/>
          <w:szCs w:val="24"/>
        </w:rPr>
      </w:pPr>
    </w:p>
    <w:p w:rsidR="00F60D44" w:rsidRDefault="00F60D44" w:rsidP="00B93117">
      <w:pPr>
        <w:pStyle w:val="Heading2"/>
      </w:pPr>
      <w:r w:rsidRPr="0012760D">
        <w:t>10.1 Introduction</w:t>
      </w:r>
    </w:p>
    <w:p w:rsidR="00B93117" w:rsidRPr="0012760D" w:rsidRDefault="00B93117" w:rsidP="00F60D44">
      <w:pPr>
        <w:rPr>
          <w:sz w:val="24"/>
          <w:szCs w:val="24"/>
        </w:rPr>
      </w:pPr>
    </w:p>
    <w:p w:rsidR="00F60D44" w:rsidRDefault="00F60D44" w:rsidP="00F60D44">
      <w:pPr>
        <w:rPr>
          <w:sz w:val="24"/>
          <w:szCs w:val="24"/>
        </w:rPr>
      </w:pPr>
      <w:r w:rsidRPr="0012760D">
        <w:rPr>
          <w:sz w:val="24"/>
          <w:szCs w:val="24"/>
        </w:rPr>
        <w:t>Where the Ombudsman refers a protected disclosure to SV for investigation, the PDC will appoint an investigator to carry out the investigation.</w:t>
      </w:r>
    </w:p>
    <w:p w:rsidR="00B93117" w:rsidRPr="0012760D" w:rsidRDefault="00B93117" w:rsidP="00F60D44">
      <w:pPr>
        <w:rPr>
          <w:sz w:val="24"/>
          <w:szCs w:val="24"/>
        </w:rPr>
      </w:pPr>
    </w:p>
    <w:p w:rsidR="00F60D44" w:rsidRPr="0012760D" w:rsidRDefault="00F60D44" w:rsidP="00F60D44">
      <w:pPr>
        <w:rPr>
          <w:sz w:val="24"/>
          <w:szCs w:val="24"/>
        </w:rPr>
      </w:pPr>
      <w:r w:rsidRPr="0012760D">
        <w:rPr>
          <w:sz w:val="24"/>
          <w:szCs w:val="24"/>
        </w:rPr>
        <w:t>The objectives of an investigation will be:</w:t>
      </w:r>
    </w:p>
    <w:p w:rsidR="00F60D44" w:rsidRPr="0012760D" w:rsidRDefault="00F60D44" w:rsidP="00F60D44">
      <w:pPr>
        <w:rPr>
          <w:sz w:val="24"/>
          <w:szCs w:val="24"/>
        </w:rPr>
      </w:pPr>
      <w:r w:rsidRPr="0012760D">
        <w:rPr>
          <w:sz w:val="24"/>
          <w:szCs w:val="24"/>
        </w:rPr>
        <w:t xml:space="preserve">• to collate information relating to the allegation as quickly as possible. This may </w:t>
      </w:r>
      <w:r w:rsidRPr="0012760D">
        <w:rPr>
          <w:sz w:val="24"/>
          <w:szCs w:val="24"/>
        </w:rPr>
        <w:lastRenderedPageBreak/>
        <w:t>involve taking steps to protect or preserve documents, materials and equipment</w:t>
      </w:r>
    </w:p>
    <w:p w:rsidR="00F60D44" w:rsidRPr="0012760D" w:rsidRDefault="00F60D44" w:rsidP="00F60D44">
      <w:pPr>
        <w:rPr>
          <w:sz w:val="24"/>
          <w:szCs w:val="24"/>
        </w:rPr>
      </w:pPr>
      <w:r w:rsidRPr="0012760D">
        <w:rPr>
          <w:sz w:val="24"/>
          <w:szCs w:val="24"/>
        </w:rPr>
        <w:t>• to consider the information collected and to draw conclusions objectively and impartially</w:t>
      </w:r>
    </w:p>
    <w:p w:rsidR="00F60D44" w:rsidRPr="0012760D" w:rsidRDefault="00F60D44" w:rsidP="00F60D44">
      <w:pPr>
        <w:rPr>
          <w:sz w:val="24"/>
          <w:szCs w:val="24"/>
        </w:rPr>
      </w:pPr>
      <w:r w:rsidRPr="0012760D">
        <w:rPr>
          <w:sz w:val="24"/>
          <w:szCs w:val="24"/>
        </w:rPr>
        <w:t>• to maintain procedural fairness in the treatment of witnesses and the person who is the subject of the disclosure</w:t>
      </w:r>
    </w:p>
    <w:p w:rsidR="00F60D44" w:rsidRDefault="00F60D44" w:rsidP="00F60D44">
      <w:pPr>
        <w:rPr>
          <w:sz w:val="24"/>
          <w:szCs w:val="24"/>
        </w:rPr>
      </w:pPr>
      <w:r w:rsidRPr="0012760D">
        <w:rPr>
          <w:sz w:val="24"/>
          <w:szCs w:val="24"/>
        </w:rPr>
        <w:t>• to make recommendations arising from the conclusions drawn concerning remedial or other appropriate action.</w:t>
      </w:r>
    </w:p>
    <w:p w:rsidR="00B93117" w:rsidRDefault="00B93117" w:rsidP="00F60D44">
      <w:pPr>
        <w:rPr>
          <w:sz w:val="24"/>
          <w:szCs w:val="24"/>
        </w:rPr>
      </w:pPr>
    </w:p>
    <w:p w:rsidR="00B93117" w:rsidRPr="0012760D" w:rsidRDefault="00B93117" w:rsidP="00F60D44">
      <w:pPr>
        <w:rPr>
          <w:sz w:val="24"/>
          <w:szCs w:val="24"/>
        </w:rPr>
      </w:pPr>
    </w:p>
    <w:p w:rsidR="00F60D44" w:rsidRDefault="00F60D44" w:rsidP="00B93117">
      <w:pPr>
        <w:pStyle w:val="Heading2"/>
      </w:pPr>
      <w:r w:rsidRPr="0012760D">
        <w:t>10.2 Terms of Reference</w:t>
      </w:r>
    </w:p>
    <w:p w:rsidR="00B93117" w:rsidRPr="0012760D" w:rsidRDefault="00B93117" w:rsidP="00F60D44">
      <w:pPr>
        <w:rPr>
          <w:sz w:val="24"/>
          <w:szCs w:val="24"/>
        </w:rPr>
      </w:pPr>
    </w:p>
    <w:p w:rsidR="00F60D44" w:rsidRDefault="00F60D44" w:rsidP="00F60D44">
      <w:pPr>
        <w:rPr>
          <w:sz w:val="24"/>
          <w:szCs w:val="24"/>
        </w:rPr>
      </w:pPr>
      <w:r w:rsidRPr="0012760D">
        <w:rPr>
          <w:sz w:val="24"/>
          <w:szCs w:val="24"/>
        </w:rPr>
        <w:t>Before commencing an investigation, the PDC will draw up terms of reference and obtain authorisation for those terms by the CEO. The terms of reference will set a date by which the investigation report is to be concluded, and will describe the resources available to the investigator to complete the investigation within the time set. The PDC may approve, if reasonable, an extension of time requested by the investigator. The terms of reference will require the investigator to make regular reports to the PDC who, in turn, is to keep the Ombudsman informed of general progress.</w:t>
      </w:r>
    </w:p>
    <w:p w:rsidR="00B93117" w:rsidRDefault="00B93117" w:rsidP="00F60D44">
      <w:pPr>
        <w:rPr>
          <w:sz w:val="24"/>
          <w:szCs w:val="24"/>
        </w:rPr>
      </w:pPr>
    </w:p>
    <w:p w:rsidR="00B93117" w:rsidRPr="0012760D" w:rsidRDefault="00B93117" w:rsidP="00F60D44">
      <w:pPr>
        <w:rPr>
          <w:sz w:val="24"/>
          <w:szCs w:val="24"/>
        </w:rPr>
      </w:pPr>
    </w:p>
    <w:p w:rsidR="00F60D44" w:rsidRDefault="00F60D44" w:rsidP="00B93117">
      <w:pPr>
        <w:pStyle w:val="Heading2"/>
      </w:pPr>
      <w:r w:rsidRPr="0012760D">
        <w:t>10.3 Investigation Plan</w:t>
      </w:r>
    </w:p>
    <w:p w:rsidR="00B93117" w:rsidRPr="0012760D" w:rsidRDefault="00B93117" w:rsidP="00F60D44">
      <w:pPr>
        <w:rPr>
          <w:sz w:val="24"/>
          <w:szCs w:val="24"/>
        </w:rPr>
      </w:pPr>
    </w:p>
    <w:p w:rsidR="00F60D44" w:rsidRPr="0012760D" w:rsidRDefault="00F60D44" w:rsidP="00F60D44">
      <w:pPr>
        <w:rPr>
          <w:sz w:val="24"/>
          <w:szCs w:val="24"/>
        </w:rPr>
      </w:pPr>
      <w:r w:rsidRPr="0012760D">
        <w:rPr>
          <w:sz w:val="24"/>
          <w:szCs w:val="24"/>
        </w:rPr>
        <w:t>The investigator will prepare an investigation plan for approval by the PDC. The plan will list the issues to be substantiated and describe the avenue of inquiry. It will address the following issues:</w:t>
      </w:r>
    </w:p>
    <w:p w:rsidR="00F60D44" w:rsidRPr="0012760D" w:rsidRDefault="00F60D44" w:rsidP="00F60D44">
      <w:pPr>
        <w:rPr>
          <w:sz w:val="24"/>
          <w:szCs w:val="24"/>
        </w:rPr>
      </w:pPr>
      <w:r w:rsidRPr="0012760D">
        <w:rPr>
          <w:sz w:val="24"/>
          <w:szCs w:val="24"/>
        </w:rPr>
        <w:t>• What is being alleged?</w:t>
      </w:r>
    </w:p>
    <w:p w:rsidR="00F60D44" w:rsidRPr="0012760D" w:rsidRDefault="00F60D44" w:rsidP="00F60D44">
      <w:pPr>
        <w:rPr>
          <w:sz w:val="24"/>
          <w:szCs w:val="24"/>
        </w:rPr>
      </w:pPr>
      <w:r w:rsidRPr="0012760D">
        <w:rPr>
          <w:sz w:val="24"/>
          <w:szCs w:val="24"/>
        </w:rPr>
        <w:t>• What are the possible findings or offences?</w:t>
      </w:r>
    </w:p>
    <w:p w:rsidR="00F60D44" w:rsidRPr="0012760D" w:rsidRDefault="00F60D44" w:rsidP="00F60D44">
      <w:pPr>
        <w:rPr>
          <w:sz w:val="24"/>
          <w:szCs w:val="24"/>
        </w:rPr>
      </w:pPr>
      <w:r w:rsidRPr="0012760D">
        <w:rPr>
          <w:sz w:val="24"/>
          <w:szCs w:val="24"/>
        </w:rPr>
        <w:t>• What are the facts in issue?</w:t>
      </w:r>
    </w:p>
    <w:p w:rsidR="00F60D44" w:rsidRPr="0012760D" w:rsidRDefault="00F60D44" w:rsidP="00F60D44">
      <w:pPr>
        <w:rPr>
          <w:sz w:val="24"/>
          <w:szCs w:val="24"/>
        </w:rPr>
      </w:pPr>
      <w:r w:rsidRPr="0012760D">
        <w:rPr>
          <w:sz w:val="24"/>
          <w:szCs w:val="24"/>
        </w:rPr>
        <w:t>• How is the inquiry to be conducted?</w:t>
      </w:r>
    </w:p>
    <w:p w:rsidR="00F60D44" w:rsidRPr="0012760D" w:rsidRDefault="00F60D44" w:rsidP="00F60D44">
      <w:pPr>
        <w:rPr>
          <w:sz w:val="24"/>
          <w:szCs w:val="24"/>
        </w:rPr>
      </w:pPr>
      <w:r w:rsidRPr="0012760D">
        <w:rPr>
          <w:sz w:val="24"/>
          <w:szCs w:val="24"/>
        </w:rPr>
        <w:t>• What resources are required?</w:t>
      </w:r>
    </w:p>
    <w:p w:rsidR="00B93117" w:rsidRDefault="00B93117" w:rsidP="00F60D44">
      <w:pPr>
        <w:rPr>
          <w:sz w:val="24"/>
          <w:szCs w:val="24"/>
        </w:rPr>
      </w:pPr>
    </w:p>
    <w:p w:rsidR="00F60D44" w:rsidRPr="0012760D" w:rsidRDefault="00F60D44" w:rsidP="00F60D44">
      <w:pPr>
        <w:rPr>
          <w:sz w:val="24"/>
          <w:szCs w:val="24"/>
        </w:rPr>
      </w:pPr>
      <w:r w:rsidRPr="0012760D">
        <w:rPr>
          <w:sz w:val="24"/>
          <w:szCs w:val="24"/>
        </w:rPr>
        <w:t>At the commencement of the investigation, the whistleblower should be:</w:t>
      </w:r>
    </w:p>
    <w:p w:rsidR="00F60D44" w:rsidRPr="0012760D" w:rsidRDefault="00F60D44" w:rsidP="00F60D44">
      <w:pPr>
        <w:rPr>
          <w:sz w:val="24"/>
          <w:szCs w:val="24"/>
        </w:rPr>
      </w:pPr>
      <w:r w:rsidRPr="0012760D">
        <w:rPr>
          <w:sz w:val="24"/>
          <w:szCs w:val="24"/>
        </w:rPr>
        <w:t>• notified by the investigator that he/she has been appointed to conduct the investigation</w:t>
      </w:r>
    </w:p>
    <w:p w:rsidR="00F60D44" w:rsidRPr="0012760D" w:rsidRDefault="00F60D44" w:rsidP="00F60D44">
      <w:pPr>
        <w:rPr>
          <w:sz w:val="24"/>
          <w:szCs w:val="24"/>
        </w:rPr>
      </w:pPr>
      <w:r w:rsidRPr="0012760D">
        <w:rPr>
          <w:sz w:val="24"/>
          <w:szCs w:val="24"/>
        </w:rPr>
        <w:t>• asked to clarify any matters, and</w:t>
      </w:r>
    </w:p>
    <w:p w:rsidR="00F60D44" w:rsidRPr="0012760D" w:rsidRDefault="00F60D44" w:rsidP="00F60D44">
      <w:pPr>
        <w:rPr>
          <w:sz w:val="24"/>
          <w:szCs w:val="24"/>
        </w:rPr>
      </w:pPr>
      <w:r w:rsidRPr="0012760D">
        <w:rPr>
          <w:sz w:val="24"/>
          <w:szCs w:val="24"/>
        </w:rPr>
        <w:t>• provide any additional material he/she might have.</w:t>
      </w:r>
    </w:p>
    <w:p w:rsidR="00B93117" w:rsidRDefault="00B93117" w:rsidP="00F60D44">
      <w:pPr>
        <w:rPr>
          <w:sz w:val="24"/>
          <w:szCs w:val="24"/>
        </w:rPr>
      </w:pPr>
    </w:p>
    <w:p w:rsidR="00F60D44" w:rsidRDefault="00F60D44" w:rsidP="00F60D44">
      <w:pPr>
        <w:rPr>
          <w:sz w:val="24"/>
          <w:szCs w:val="24"/>
        </w:rPr>
      </w:pPr>
      <w:r w:rsidRPr="0012760D">
        <w:rPr>
          <w:sz w:val="24"/>
          <w:szCs w:val="24"/>
        </w:rPr>
        <w:t>The investigator will be sensitive to the whistleblower’s possible fear of reprisals and will be aware of the statutory protections provided to the whistleblower.</w:t>
      </w:r>
    </w:p>
    <w:p w:rsidR="00B93117" w:rsidRDefault="00B93117" w:rsidP="00F60D44">
      <w:pPr>
        <w:rPr>
          <w:sz w:val="24"/>
          <w:szCs w:val="24"/>
        </w:rPr>
      </w:pPr>
    </w:p>
    <w:p w:rsidR="00B93117" w:rsidRPr="0012760D" w:rsidRDefault="00B93117" w:rsidP="00F60D44">
      <w:pPr>
        <w:rPr>
          <w:sz w:val="24"/>
          <w:szCs w:val="24"/>
        </w:rPr>
      </w:pPr>
    </w:p>
    <w:p w:rsidR="00F60D44" w:rsidRDefault="00F60D44" w:rsidP="00B93117">
      <w:pPr>
        <w:pStyle w:val="Heading2"/>
      </w:pPr>
      <w:r w:rsidRPr="0012760D">
        <w:t>10.4 Natural Justice</w:t>
      </w:r>
    </w:p>
    <w:p w:rsidR="00B93117" w:rsidRPr="0012760D" w:rsidRDefault="00B93117" w:rsidP="00F60D44">
      <w:pPr>
        <w:rPr>
          <w:sz w:val="24"/>
          <w:szCs w:val="24"/>
        </w:rPr>
      </w:pPr>
    </w:p>
    <w:p w:rsidR="00F60D44" w:rsidRDefault="00F60D44" w:rsidP="00F60D44">
      <w:pPr>
        <w:rPr>
          <w:sz w:val="24"/>
          <w:szCs w:val="24"/>
        </w:rPr>
      </w:pPr>
      <w:r w:rsidRPr="0012760D">
        <w:rPr>
          <w:sz w:val="24"/>
          <w:szCs w:val="24"/>
        </w:rPr>
        <w:t>The principles of natural justice will be followed in any investigation of a public interest disclosure. The principles of natural justice concern procedural fairness and ensure that a fair decision is reached by an objective decision maker. Maintaining procedural fairness protects the rights of individuals and enhances public confidence in the process.</w:t>
      </w:r>
    </w:p>
    <w:p w:rsidR="00B93117" w:rsidRPr="0012760D" w:rsidRDefault="00B93117" w:rsidP="00F60D44">
      <w:pPr>
        <w:rPr>
          <w:sz w:val="24"/>
          <w:szCs w:val="24"/>
        </w:rPr>
      </w:pPr>
    </w:p>
    <w:p w:rsidR="00F60D44" w:rsidRPr="0012760D" w:rsidRDefault="00F60D44" w:rsidP="00F60D44">
      <w:pPr>
        <w:rPr>
          <w:sz w:val="24"/>
          <w:szCs w:val="24"/>
        </w:rPr>
      </w:pPr>
      <w:r w:rsidRPr="0012760D">
        <w:rPr>
          <w:sz w:val="24"/>
          <w:szCs w:val="24"/>
        </w:rPr>
        <w:lastRenderedPageBreak/>
        <w:t>SV will have regard to the following issues in ensuring procedural fairness:</w:t>
      </w:r>
    </w:p>
    <w:p w:rsidR="00F60D44" w:rsidRPr="0012760D" w:rsidRDefault="00F60D44" w:rsidP="00F60D44">
      <w:pPr>
        <w:rPr>
          <w:sz w:val="24"/>
          <w:szCs w:val="24"/>
        </w:rPr>
      </w:pPr>
      <w:r w:rsidRPr="0012760D">
        <w:rPr>
          <w:sz w:val="24"/>
          <w:szCs w:val="24"/>
        </w:rPr>
        <w:t>• The person who is the subject of the disclosure is entitled to know the allegations made against him/her and must be given the right to respond. (This does not mean that the person must be advised of the allegation as soon as the disclosure is received or the investigation has commenced.)</w:t>
      </w:r>
    </w:p>
    <w:p w:rsidR="00F60D44" w:rsidRPr="0012760D" w:rsidRDefault="00F60D44" w:rsidP="00F60D44">
      <w:pPr>
        <w:rPr>
          <w:sz w:val="24"/>
          <w:szCs w:val="24"/>
        </w:rPr>
      </w:pPr>
      <w:r w:rsidRPr="0012760D">
        <w:rPr>
          <w:sz w:val="24"/>
          <w:szCs w:val="24"/>
        </w:rPr>
        <w:t>• If the investigator is contemplating making a report adverse to the interests of any person, that person should be given the opportunity to put forward further material that may influence the outcome of the report, and that person’s defence should be fairly set out in the report.</w:t>
      </w:r>
    </w:p>
    <w:p w:rsidR="00F60D44" w:rsidRPr="0012760D" w:rsidRDefault="00F60D44" w:rsidP="00F60D44">
      <w:pPr>
        <w:rPr>
          <w:sz w:val="24"/>
          <w:szCs w:val="24"/>
        </w:rPr>
      </w:pPr>
      <w:r w:rsidRPr="0012760D">
        <w:rPr>
          <w:sz w:val="24"/>
          <w:szCs w:val="24"/>
        </w:rPr>
        <w:t>• All relevant parties to a matter should be heard and all submissions should be considered.</w:t>
      </w:r>
    </w:p>
    <w:p w:rsidR="00F60D44" w:rsidRPr="0012760D" w:rsidRDefault="00F60D44" w:rsidP="00F60D44">
      <w:pPr>
        <w:rPr>
          <w:sz w:val="24"/>
          <w:szCs w:val="24"/>
        </w:rPr>
      </w:pPr>
      <w:r w:rsidRPr="0012760D">
        <w:rPr>
          <w:sz w:val="24"/>
          <w:szCs w:val="24"/>
        </w:rPr>
        <w:t>• A decision should not be made until all reasonable inquiries have been made.</w:t>
      </w:r>
    </w:p>
    <w:p w:rsidR="00F60D44" w:rsidRPr="0012760D" w:rsidRDefault="00F60D44" w:rsidP="00F60D44">
      <w:pPr>
        <w:rPr>
          <w:sz w:val="24"/>
          <w:szCs w:val="24"/>
        </w:rPr>
      </w:pPr>
      <w:r w:rsidRPr="0012760D">
        <w:rPr>
          <w:sz w:val="24"/>
          <w:szCs w:val="24"/>
        </w:rPr>
        <w:t>• The investigator or any decision maker should not have a personal or direct interest in the matter being investigated.</w:t>
      </w:r>
    </w:p>
    <w:p w:rsidR="00F60D44" w:rsidRPr="0012760D" w:rsidRDefault="00F60D44" w:rsidP="00F60D44">
      <w:pPr>
        <w:rPr>
          <w:sz w:val="24"/>
          <w:szCs w:val="24"/>
        </w:rPr>
      </w:pPr>
      <w:r w:rsidRPr="0012760D">
        <w:rPr>
          <w:sz w:val="24"/>
          <w:szCs w:val="24"/>
        </w:rPr>
        <w:t>• All proceedings must be carried out fairly and without bias. Care should be taken to exclude perceived bias from the process.</w:t>
      </w:r>
    </w:p>
    <w:p w:rsidR="00F60D44" w:rsidRPr="0012760D" w:rsidRDefault="00F60D44" w:rsidP="00F60D44">
      <w:pPr>
        <w:rPr>
          <w:sz w:val="24"/>
          <w:szCs w:val="24"/>
        </w:rPr>
      </w:pPr>
      <w:r w:rsidRPr="0012760D">
        <w:rPr>
          <w:sz w:val="24"/>
          <w:szCs w:val="24"/>
        </w:rPr>
        <w:t>• The investigator must be impartial in assessing the credibility of the whistleblowers and any witnesses. Where appropriate, conclusions as to credibility should be included in the investigation report.</w:t>
      </w:r>
    </w:p>
    <w:p w:rsidR="004418F4" w:rsidRDefault="004418F4" w:rsidP="004418F4">
      <w:pPr>
        <w:rPr>
          <w:bCs/>
          <w:sz w:val="24"/>
          <w:szCs w:val="24"/>
        </w:rPr>
      </w:pPr>
      <w:r w:rsidRPr="0012760D">
        <w:rPr>
          <w:bCs/>
          <w:sz w:val="24"/>
          <w:szCs w:val="24"/>
        </w:rPr>
        <w:t>&lt;pp&gt; 80</w:t>
      </w:r>
    </w:p>
    <w:p w:rsidR="00B470E0" w:rsidRDefault="00B470E0" w:rsidP="004418F4">
      <w:pPr>
        <w:rPr>
          <w:bCs/>
          <w:sz w:val="24"/>
          <w:szCs w:val="24"/>
        </w:rPr>
      </w:pPr>
    </w:p>
    <w:p w:rsidR="00B470E0" w:rsidRPr="0012760D" w:rsidRDefault="00B470E0" w:rsidP="004418F4">
      <w:pPr>
        <w:rPr>
          <w:sz w:val="24"/>
          <w:szCs w:val="24"/>
        </w:rPr>
      </w:pPr>
    </w:p>
    <w:p w:rsidR="004418F4" w:rsidRDefault="004418F4" w:rsidP="00B470E0">
      <w:pPr>
        <w:pStyle w:val="Heading2"/>
      </w:pPr>
      <w:r w:rsidRPr="0012760D">
        <w:t>10.5 Conduct of the Investigation</w:t>
      </w:r>
    </w:p>
    <w:p w:rsidR="00B470E0" w:rsidRPr="0012760D" w:rsidRDefault="00B470E0" w:rsidP="004418F4">
      <w:pPr>
        <w:rPr>
          <w:sz w:val="24"/>
          <w:szCs w:val="24"/>
        </w:rPr>
      </w:pPr>
    </w:p>
    <w:p w:rsidR="004418F4" w:rsidRDefault="004418F4" w:rsidP="004418F4">
      <w:pPr>
        <w:rPr>
          <w:sz w:val="24"/>
          <w:szCs w:val="24"/>
        </w:rPr>
      </w:pPr>
      <w:r w:rsidRPr="0012760D">
        <w:rPr>
          <w:sz w:val="24"/>
          <w:szCs w:val="24"/>
        </w:rPr>
        <w:t>The investigator will make contemporaneous notes of all discussions and phone calls, and all interviews with witnesses will be taped. All information gathered in an investigation will be stored securely. Interviews will be conducted in private and the investigator will take all reasonable steps to protect the identity of the whistleblower. Where disclosure of the identity of the whistleblower cannot be avoided, due to the nature of the allegations, the investigator will warn the whistleblower and his/her Welfare Manager of this probability.</w:t>
      </w:r>
    </w:p>
    <w:p w:rsidR="00B470E0" w:rsidRPr="0012760D" w:rsidRDefault="00B470E0" w:rsidP="004418F4">
      <w:pPr>
        <w:rPr>
          <w:sz w:val="24"/>
          <w:szCs w:val="24"/>
        </w:rPr>
      </w:pPr>
    </w:p>
    <w:p w:rsidR="004418F4" w:rsidRDefault="004418F4" w:rsidP="004418F4">
      <w:pPr>
        <w:rPr>
          <w:sz w:val="24"/>
          <w:szCs w:val="24"/>
        </w:rPr>
      </w:pPr>
      <w:r w:rsidRPr="0012760D">
        <w:rPr>
          <w:sz w:val="24"/>
          <w:szCs w:val="24"/>
        </w:rPr>
        <w:t>It is in the discretion of the investigator to allow any witness to have legal or other representation or support during an interview. If a witness has a special need for legal representation or support, permission should be granted.</w:t>
      </w:r>
    </w:p>
    <w:p w:rsidR="00B470E0" w:rsidRDefault="00B470E0" w:rsidP="004418F4">
      <w:pPr>
        <w:rPr>
          <w:sz w:val="24"/>
          <w:szCs w:val="24"/>
        </w:rPr>
      </w:pPr>
    </w:p>
    <w:p w:rsidR="00B470E0" w:rsidRPr="0012760D" w:rsidRDefault="00B470E0" w:rsidP="004418F4">
      <w:pPr>
        <w:rPr>
          <w:sz w:val="24"/>
          <w:szCs w:val="24"/>
        </w:rPr>
      </w:pPr>
    </w:p>
    <w:p w:rsidR="004418F4" w:rsidRDefault="004418F4" w:rsidP="00B470E0">
      <w:pPr>
        <w:pStyle w:val="Heading2"/>
      </w:pPr>
      <w:r w:rsidRPr="0012760D">
        <w:t>10.6 Referral of an Investigation to the Ombudsman</w:t>
      </w:r>
    </w:p>
    <w:p w:rsidR="00B470E0" w:rsidRPr="0012760D" w:rsidRDefault="00B470E0" w:rsidP="004418F4">
      <w:pPr>
        <w:rPr>
          <w:sz w:val="24"/>
          <w:szCs w:val="24"/>
        </w:rPr>
      </w:pPr>
    </w:p>
    <w:p w:rsidR="004418F4" w:rsidRPr="0012760D" w:rsidRDefault="004418F4" w:rsidP="004418F4">
      <w:pPr>
        <w:rPr>
          <w:sz w:val="24"/>
          <w:szCs w:val="24"/>
        </w:rPr>
      </w:pPr>
      <w:r w:rsidRPr="0012760D">
        <w:rPr>
          <w:sz w:val="24"/>
          <w:szCs w:val="24"/>
        </w:rPr>
        <w:t>The PDC will make a decision regarding the referral of an investigation to the Ombudsman where, on the advice of the investigator:</w:t>
      </w:r>
    </w:p>
    <w:p w:rsidR="004418F4" w:rsidRPr="0012760D" w:rsidRDefault="004418F4" w:rsidP="004418F4">
      <w:pPr>
        <w:rPr>
          <w:sz w:val="24"/>
          <w:szCs w:val="24"/>
        </w:rPr>
      </w:pPr>
      <w:r w:rsidRPr="0012760D">
        <w:rPr>
          <w:sz w:val="24"/>
          <w:szCs w:val="24"/>
        </w:rPr>
        <w:t>• the investigation is being obstructed by, for example, the non-cooperation of key witnesses, or</w:t>
      </w:r>
    </w:p>
    <w:p w:rsidR="004418F4" w:rsidRDefault="004418F4" w:rsidP="004418F4">
      <w:pPr>
        <w:rPr>
          <w:sz w:val="24"/>
          <w:szCs w:val="24"/>
        </w:rPr>
      </w:pPr>
      <w:r w:rsidRPr="0012760D">
        <w:rPr>
          <w:sz w:val="24"/>
          <w:szCs w:val="24"/>
        </w:rPr>
        <w:t>• the investigation has revealed conduct that may constitute a criminal offence.</w:t>
      </w:r>
    </w:p>
    <w:p w:rsidR="00B470E0" w:rsidRDefault="00B470E0" w:rsidP="004418F4">
      <w:pPr>
        <w:rPr>
          <w:sz w:val="24"/>
          <w:szCs w:val="24"/>
        </w:rPr>
      </w:pPr>
    </w:p>
    <w:p w:rsidR="00B470E0" w:rsidRPr="0012760D" w:rsidRDefault="00B470E0" w:rsidP="004418F4">
      <w:pPr>
        <w:rPr>
          <w:sz w:val="24"/>
          <w:szCs w:val="24"/>
        </w:rPr>
      </w:pPr>
    </w:p>
    <w:p w:rsidR="004418F4" w:rsidRDefault="004418F4" w:rsidP="00B470E0">
      <w:pPr>
        <w:pStyle w:val="Heading2"/>
      </w:pPr>
      <w:r w:rsidRPr="0012760D">
        <w:t>10.7 Reporting Requirements</w:t>
      </w:r>
    </w:p>
    <w:p w:rsidR="00B470E0" w:rsidRPr="0012760D" w:rsidRDefault="00B470E0" w:rsidP="004418F4">
      <w:pPr>
        <w:rPr>
          <w:sz w:val="24"/>
          <w:szCs w:val="24"/>
        </w:rPr>
      </w:pPr>
    </w:p>
    <w:p w:rsidR="004418F4" w:rsidRDefault="004418F4" w:rsidP="004418F4">
      <w:pPr>
        <w:rPr>
          <w:sz w:val="24"/>
          <w:szCs w:val="24"/>
        </w:rPr>
      </w:pPr>
      <w:r w:rsidRPr="0012760D">
        <w:rPr>
          <w:sz w:val="24"/>
          <w:szCs w:val="24"/>
        </w:rPr>
        <w:t>The PDC will ensure the whistleblower is kept regularly informed concerning the handling of a protected disclosure and an investigation.</w:t>
      </w:r>
    </w:p>
    <w:p w:rsidR="00B470E0" w:rsidRPr="0012760D" w:rsidRDefault="00B470E0" w:rsidP="004418F4">
      <w:pPr>
        <w:rPr>
          <w:sz w:val="24"/>
          <w:szCs w:val="24"/>
        </w:rPr>
      </w:pPr>
    </w:p>
    <w:p w:rsidR="004418F4" w:rsidRDefault="004418F4" w:rsidP="004418F4">
      <w:pPr>
        <w:rPr>
          <w:sz w:val="24"/>
          <w:szCs w:val="24"/>
        </w:rPr>
      </w:pPr>
      <w:r w:rsidRPr="0012760D">
        <w:rPr>
          <w:sz w:val="24"/>
          <w:szCs w:val="24"/>
        </w:rPr>
        <w:t>The PDC will report to the Ombudsman about the progress of an investigation.</w:t>
      </w:r>
    </w:p>
    <w:p w:rsidR="00B470E0" w:rsidRPr="0012760D" w:rsidRDefault="00B470E0" w:rsidP="004418F4">
      <w:pPr>
        <w:rPr>
          <w:sz w:val="24"/>
          <w:szCs w:val="24"/>
        </w:rPr>
      </w:pPr>
    </w:p>
    <w:p w:rsidR="004418F4" w:rsidRDefault="004418F4" w:rsidP="004418F4">
      <w:pPr>
        <w:rPr>
          <w:sz w:val="24"/>
          <w:szCs w:val="24"/>
        </w:rPr>
      </w:pPr>
      <w:r w:rsidRPr="0012760D">
        <w:rPr>
          <w:sz w:val="24"/>
          <w:szCs w:val="24"/>
        </w:rPr>
        <w:t>Where the ombudsman or the whistleblower requests information about the progress of an investigation, that information will be provided within 28 days of the date of the request.</w:t>
      </w:r>
    </w:p>
    <w:p w:rsidR="00B470E0" w:rsidRDefault="00B470E0" w:rsidP="004418F4">
      <w:pPr>
        <w:rPr>
          <w:sz w:val="24"/>
          <w:szCs w:val="24"/>
        </w:rPr>
      </w:pPr>
    </w:p>
    <w:p w:rsidR="00B470E0" w:rsidRPr="0012760D" w:rsidRDefault="00B470E0" w:rsidP="004418F4">
      <w:pPr>
        <w:rPr>
          <w:sz w:val="24"/>
          <w:szCs w:val="24"/>
        </w:rPr>
      </w:pPr>
    </w:p>
    <w:p w:rsidR="004418F4" w:rsidRDefault="004418F4" w:rsidP="00B470E0">
      <w:pPr>
        <w:pStyle w:val="Heading2"/>
      </w:pPr>
      <w:r w:rsidRPr="0012760D">
        <w:t>11. Action taken after an investigation</w:t>
      </w:r>
    </w:p>
    <w:p w:rsidR="00B470E0" w:rsidRPr="0012760D" w:rsidRDefault="00B470E0" w:rsidP="004418F4">
      <w:pPr>
        <w:rPr>
          <w:sz w:val="24"/>
          <w:szCs w:val="24"/>
        </w:rPr>
      </w:pPr>
    </w:p>
    <w:p w:rsidR="004418F4" w:rsidRDefault="004418F4" w:rsidP="00B470E0">
      <w:pPr>
        <w:pStyle w:val="Heading2"/>
      </w:pPr>
      <w:r w:rsidRPr="0012760D">
        <w:t>11.1 Investigator’s Final Report</w:t>
      </w:r>
    </w:p>
    <w:p w:rsidR="00B470E0" w:rsidRPr="0012760D" w:rsidRDefault="00B470E0" w:rsidP="004418F4">
      <w:pPr>
        <w:rPr>
          <w:sz w:val="24"/>
          <w:szCs w:val="24"/>
        </w:rPr>
      </w:pPr>
    </w:p>
    <w:p w:rsidR="004418F4" w:rsidRPr="0012760D" w:rsidRDefault="004418F4" w:rsidP="004418F4">
      <w:pPr>
        <w:rPr>
          <w:sz w:val="24"/>
          <w:szCs w:val="24"/>
        </w:rPr>
      </w:pPr>
      <w:r w:rsidRPr="0012760D">
        <w:rPr>
          <w:sz w:val="24"/>
          <w:szCs w:val="24"/>
        </w:rPr>
        <w:t>At the conclusion of the investigation, the investigator will submit a written report of his/her findings to the PDC. The report will contain:</w:t>
      </w:r>
    </w:p>
    <w:p w:rsidR="00B470E0" w:rsidRDefault="00B470E0" w:rsidP="004418F4">
      <w:pPr>
        <w:rPr>
          <w:sz w:val="24"/>
          <w:szCs w:val="24"/>
        </w:rPr>
      </w:pPr>
    </w:p>
    <w:p w:rsidR="004418F4" w:rsidRPr="0012760D" w:rsidRDefault="004418F4" w:rsidP="004418F4">
      <w:pPr>
        <w:rPr>
          <w:sz w:val="24"/>
          <w:szCs w:val="24"/>
        </w:rPr>
      </w:pPr>
      <w:r w:rsidRPr="0012760D">
        <w:rPr>
          <w:sz w:val="24"/>
          <w:szCs w:val="24"/>
        </w:rPr>
        <w:t>• The allegation(s):</w:t>
      </w:r>
    </w:p>
    <w:p w:rsidR="004418F4" w:rsidRPr="0012760D" w:rsidRDefault="004418F4" w:rsidP="004418F4">
      <w:pPr>
        <w:rPr>
          <w:sz w:val="24"/>
          <w:szCs w:val="24"/>
        </w:rPr>
      </w:pPr>
      <w:r w:rsidRPr="0012760D">
        <w:rPr>
          <w:sz w:val="24"/>
          <w:szCs w:val="24"/>
        </w:rPr>
        <w:t>- an account of all relevant information received and, if the investigator has rejected evidence as being unreliable, the reasons for this opinion being formed</w:t>
      </w:r>
    </w:p>
    <w:p w:rsidR="004418F4" w:rsidRPr="0012760D" w:rsidRDefault="004418F4" w:rsidP="004418F4">
      <w:pPr>
        <w:rPr>
          <w:sz w:val="24"/>
          <w:szCs w:val="24"/>
        </w:rPr>
      </w:pPr>
      <w:r w:rsidRPr="0012760D">
        <w:rPr>
          <w:sz w:val="24"/>
          <w:szCs w:val="24"/>
        </w:rPr>
        <w:t>- the conclusions reached and the basis for them</w:t>
      </w:r>
    </w:p>
    <w:p w:rsidR="004418F4" w:rsidRDefault="004418F4" w:rsidP="004418F4">
      <w:pPr>
        <w:rPr>
          <w:sz w:val="24"/>
          <w:szCs w:val="24"/>
        </w:rPr>
      </w:pPr>
      <w:r w:rsidRPr="0012760D">
        <w:rPr>
          <w:sz w:val="24"/>
          <w:szCs w:val="24"/>
        </w:rPr>
        <w:t>- any recommendations arising from the conclusions.</w:t>
      </w:r>
    </w:p>
    <w:p w:rsidR="00B470E0" w:rsidRPr="0012760D" w:rsidRDefault="00B470E0" w:rsidP="004418F4">
      <w:pPr>
        <w:rPr>
          <w:sz w:val="24"/>
          <w:szCs w:val="24"/>
        </w:rPr>
      </w:pPr>
    </w:p>
    <w:p w:rsidR="004418F4" w:rsidRPr="0012760D" w:rsidRDefault="004418F4" w:rsidP="004418F4">
      <w:pPr>
        <w:rPr>
          <w:sz w:val="24"/>
          <w:szCs w:val="24"/>
        </w:rPr>
      </w:pPr>
      <w:r w:rsidRPr="0012760D">
        <w:rPr>
          <w:sz w:val="24"/>
          <w:szCs w:val="24"/>
        </w:rPr>
        <w:t>• Where the investigator has found that the conduct disclosed by the whistleblower has occurred, recommendations made by the investigator will include:</w:t>
      </w:r>
    </w:p>
    <w:p w:rsidR="004418F4" w:rsidRPr="0012760D" w:rsidRDefault="004418F4" w:rsidP="004418F4">
      <w:pPr>
        <w:rPr>
          <w:sz w:val="24"/>
          <w:szCs w:val="24"/>
        </w:rPr>
      </w:pPr>
      <w:r w:rsidRPr="0012760D">
        <w:rPr>
          <w:sz w:val="24"/>
          <w:szCs w:val="24"/>
        </w:rPr>
        <w:t>- the steps that need to be taken by SV to prevent the conduct from continuing or occurring in the future</w:t>
      </w:r>
    </w:p>
    <w:p w:rsidR="004418F4" w:rsidRDefault="004418F4" w:rsidP="004418F4">
      <w:pPr>
        <w:rPr>
          <w:sz w:val="24"/>
          <w:szCs w:val="24"/>
        </w:rPr>
      </w:pPr>
      <w:r w:rsidRPr="0012760D">
        <w:rPr>
          <w:sz w:val="24"/>
          <w:szCs w:val="24"/>
        </w:rPr>
        <w:t>- any action that should be taken by SV to remedy any harm or loss arising from the conduct. This action may include bringing disciplinary proceedings against the person responsible for the conduct, and referring the matter to an appropriate authority for further consideration.</w:t>
      </w:r>
    </w:p>
    <w:p w:rsidR="00B470E0" w:rsidRPr="0012760D" w:rsidRDefault="00B470E0" w:rsidP="004418F4">
      <w:pPr>
        <w:rPr>
          <w:sz w:val="24"/>
          <w:szCs w:val="24"/>
        </w:rPr>
      </w:pPr>
    </w:p>
    <w:p w:rsidR="004418F4" w:rsidRPr="0012760D" w:rsidRDefault="004418F4" w:rsidP="004418F4">
      <w:pPr>
        <w:rPr>
          <w:sz w:val="24"/>
          <w:szCs w:val="24"/>
        </w:rPr>
      </w:pPr>
      <w:r w:rsidRPr="0012760D">
        <w:rPr>
          <w:sz w:val="24"/>
          <w:szCs w:val="24"/>
        </w:rPr>
        <w:t>• The report will be accompanied by:</w:t>
      </w:r>
    </w:p>
    <w:p w:rsidR="004418F4" w:rsidRPr="0012760D" w:rsidRDefault="004418F4" w:rsidP="004418F4">
      <w:pPr>
        <w:rPr>
          <w:sz w:val="24"/>
          <w:szCs w:val="24"/>
        </w:rPr>
      </w:pPr>
      <w:r w:rsidRPr="0012760D">
        <w:rPr>
          <w:sz w:val="24"/>
          <w:szCs w:val="24"/>
        </w:rPr>
        <w:t>- the transcript or other record of any oral evidence taken, including tape recordings</w:t>
      </w:r>
    </w:p>
    <w:p w:rsidR="004418F4" w:rsidRPr="0012760D" w:rsidRDefault="004418F4" w:rsidP="004418F4">
      <w:pPr>
        <w:rPr>
          <w:sz w:val="24"/>
          <w:szCs w:val="24"/>
        </w:rPr>
      </w:pPr>
      <w:r w:rsidRPr="0012760D">
        <w:rPr>
          <w:sz w:val="24"/>
          <w:szCs w:val="24"/>
        </w:rPr>
        <w:t>- all documents, statements or other exhibits received by the officer and accepted as evidence during the course of the investigation.</w:t>
      </w:r>
    </w:p>
    <w:p w:rsidR="00B470E0" w:rsidRDefault="00B470E0" w:rsidP="004418F4">
      <w:pPr>
        <w:rPr>
          <w:sz w:val="24"/>
          <w:szCs w:val="24"/>
        </w:rPr>
      </w:pPr>
    </w:p>
    <w:p w:rsidR="004418F4" w:rsidRPr="0012760D" w:rsidRDefault="004418F4" w:rsidP="004418F4">
      <w:pPr>
        <w:rPr>
          <w:sz w:val="24"/>
          <w:szCs w:val="24"/>
        </w:rPr>
      </w:pPr>
      <w:r w:rsidRPr="0012760D">
        <w:rPr>
          <w:sz w:val="24"/>
          <w:szCs w:val="24"/>
        </w:rPr>
        <w:t>Where the investigator’s report is to include an adverse comment against any person, that person will be given the opportunity to respond and his/her defence will be fairly included in the report.</w:t>
      </w:r>
    </w:p>
    <w:p w:rsidR="00B470E0" w:rsidRDefault="00B470E0" w:rsidP="004418F4">
      <w:pPr>
        <w:rPr>
          <w:sz w:val="24"/>
          <w:szCs w:val="24"/>
        </w:rPr>
      </w:pPr>
    </w:p>
    <w:p w:rsidR="004418F4" w:rsidRDefault="004418F4" w:rsidP="004418F4">
      <w:pPr>
        <w:rPr>
          <w:sz w:val="24"/>
          <w:szCs w:val="24"/>
        </w:rPr>
      </w:pPr>
      <w:r w:rsidRPr="0012760D">
        <w:rPr>
          <w:sz w:val="24"/>
          <w:szCs w:val="24"/>
        </w:rPr>
        <w:t>The report will not disclose particulars likely to lead to the identification of the whistleblower.</w:t>
      </w:r>
    </w:p>
    <w:p w:rsidR="00B470E0" w:rsidRDefault="00B470E0" w:rsidP="004418F4">
      <w:pPr>
        <w:rPr>
          <w:sz w:val="24"/>
          <w:szCs w:val="24"/>
        </w:rPr>
      </w:pPr>
    </w:p>
    <w:p w:rsidR="00B470E0" w:rsidRPr="0012760D" w:rsidRDefault="00B470E0" w:rsidP="004418F4">
      <w:pPr>
        <w:rPr>
          <w:sz w:val="24"/>
          <w:szCs w:val="24"/>
        </w:rPr>
      </w:pPr>
    </w:p>
    <w:p w:rsidR="004418F4" w:rsidRDefault="004418F4" w:rsidP="00B470E0">
      <w:pPr>
        <w:pStyle w:val="Heading2"/>
      </w:pPr>
      <w:r w:rsidRPr="0012760D">
        <w:t>11.2 Action To Be Taken</w:t>
      </w:r>
    </w:p>
    <w:p w:rsidR="00B470E0" w:rsidRPr="0012760D" w:rsidRDefault="00B470E0" w:rsidP="004418F4">
      <w:pPr>
        <w:rPr>
          <w:sz w:val="24"/>
          <w:szCs w:val="24"/>
        </w:rPr>
      </w:pPr>
    </w:p>
    <w:p w:rsidR="004418F4" w:rsidRPr="0012760D" w:rsidRDefault="004418F4" w:rsidP="004418F4">
      <w:pPr>
        <w:rPr>
          <w:sz w:val="24"/>
          <w:szCs w:val="24"/>
        </w:rPr>
      </w:pPr>
      <w:r w:rsidRPr="0012760D">
        <w:rPr>
          <w:sz w:val="24"/>
          <w:szCs w:val="24"/>
        </w:rPr>
        <w:t>If the PDC is satisfied that the investigation has found that the disclosed conduct has occurred, he/she will recommend to the CEO the action that must be taken to prevent the conduct from continuing or occurring in the future. The PDC may also recommend that action be taken to remedy any harm or loss arising from the conduct.</w:t>
      </w:r>
    </w:p>
    <w:p w:rsidR="00AF5042" w:rsidRDefault="00AF5042" w:rsidP="00AF5042">
      <w:pPr>
        <w:rPr>
          <w:bCs/>
          <w:sz w:val="24"/>
          <w:szCs w:val="24"/>
        </w:rPr>
      </w:pPr>
      <w:r w:rsidRPr="0012760D">
        <w:rPr>
          <w:bCs/>
          <w:sz w:val="24"/>
          <w:szCs w:val="24"/>
        </w:rPr>
        <w:lastRenderedPageBreak/>
        <w:t>&lt;pp&gt; 81</w:t>
      </w:r>
    </w:p>
    <w:p w:rsidR="00B470E0" w:rsidRPr="0012760D" w:rsidRDefault="00B470E0" w:rsidP="00AF5042">
      <w:pPr>
        <w:rPr>
          <w:sz w:val="24"/>
          <w:szCs w:val="24"/>
        </w:rPr>
      </w:pPr>
    </w:p>
    <w:p w:rsidR="00AF5042" w:rsidRDefault="00AF5042" w:rsidP="00AF5042">
      <w:pPr>
        <w:rPr>
          <w:sz w:val="24"/>
          <w:szCs w:val="24"/>
        </w:rPr>
      </w:pPr>
      <w:r w:rsidRPr="0012760D">
        <w:rPr>
          <w:sz w:val="24"/>
          <w:szCs w:val="24"/>
        </w:rPr>
        <w:t>The PDC will provide a written report to the Minister for Environment and Climate Change, the Ombudsman and the whistleblower setting out the findings of the investigation and any remedial steps taken.</w:t>
      </w:r>
    </w:p>
    <w:p w:rsidR="00B470E0" w:rsidRPr="0012760D" w:rsidRDefault="00B470E0" w:rsidP="00AF5042">
      <w:pPr>
        <w:rPr>
          <w:sz w:val="24"/>
          <w:szCs w:val="24"/>
        </w:rPr>
      </w:pPr>
    </w:p>
    <w:p w:rsidR="00AF5042" w:rsidRDefault="00AF5042" w:rsidP="00AF5042">
      <w:pPr>
        <w:rPr>
          <w:sz w:val="24"/>
          <w:szCs w:val="24"/>
        </w:rPr>
      </w:pPr>
      <w:r w:rsidRPr="0012760D">
        <w:rPr>
          <w:sz w:val="24"/>
          <w:szCs w:val="24"/>
        </w:rPr>
        <w:t>Where the investigation concludes that the disclosed conduct did not occur, the PDC would report these findings to the Ombudsman and to the whistleblower.</w:t>
      </w:r>
    </w:p>
    <w:p w:rsidR="00B470E0" w:rsidRDefault="00B470E0" w:rsidP="00AF5042">
      <w:pPr>
        <w:rPr>
          <w:sz w:val="24"/>
          <w:szCs w:val="24"/>
        </w:rPr>
      </w:pPr>
    </w:p>
    <w:p w:rsidR="00B470E0" w:rsidRPr="0012760D" w:rsidRDefault="00B470E0" w:rsidP="00AF5042">
      <w:pPr>
        <w:rPr>
          <w:sz w:val="24"/>
          <w:szCs w:val="24"/>
        </w:rPr>
      </w:pPr>
    </w:p>
    <w:p w:rsidR="00AF5042" w:rsidRDefault="00AF5042" w:rsidP="00B470E0">
      <w:pPr>
        <w:pStyle w:val="Heading2"/>
      </w:pPr>
      <w:r w:rsidRPr="0012760D">
        <w:t>12. Managing the welfare of the whistleblower</w:t>
      </w:r>
    </w:p>
    <w:p w:rsidR="00B470E0" w:rsidRPr="0012760D" w:rsidRDefault="00B470E0" w:rsidP="00AF5042">
      <w:pPr>
        <w:rPr>
          <w:sz w:val="24"/>
          <w:szCs w:val="24"/>
        </w:rPr>
      </w:pPr>
    </w:p>
    <w:p w:rsidR="00AF5042" w:rsidRDefault="00AF5042" w:rsidP="00B470E0">
      <w:pPr>
        <w:pStyle w:val="Heading2"/>
      </w:pPr>
      <w:r w:rsidRPr="0012760D">
        <w:t>12.1 Commitment to Protecting Whistleblowers</w:t>
      </w:r>
    </w:p>
    <w:p w:rsidR="00B470E0" w:rsidRPr="0012760D" w:rsidRDefault="00B470E0" w:rsidP="00AF5042">
      <w:pPr>
        <w:rPr>
          <w:sz w:val="24"/>
          <w:szCs w:val="24"/>
        </w:rPr>
      </w:pPr>
    </w:p>
    <w:p w:rsidR="00AF5042" w:rsidRDefault="00AF5042" w:rsidP="00AF5042">
      <w:pPr>
        <w:rPr>
          <w:sz w:val="24"/>
          <w:szCs w:val="24"/>
        </w:rPr>
      </w:pPr>
      <w:r w:rsidRPr="0012760D">
        <w:rPr>
          <w:sz w:val="24"/>
          <w:szCs w:val="24"/>
        </w:rPr>
        <w:t>SV is committed to the protection of genuine whistleblowers against detrimental action taken in reprisal for the making of protected disclosures. The PDC is responsible for ensuring that whistleblowers are protected from direct and indirect detrimental action, and that the culture of the workplace is supportive of protected disclosures being made.</w:t>
      </w:r>
    </w:p>
    <w:p w:rsidR="00B470E0" w:rsidRPr="0012760D" w:rsidRDefault="00B470E0" w:rsidP="00AF5042">
      <w:pPr>
        <w:rPr>
          <w:sz w:val="24"/>
          <w:szCs w:val="24"/>
        </w:rPr>
      </w:pPr>
    </w:p>
    <w:p w:rsidR="00AF5042" w:rsidRPr="0012760D" w:rsidRDefault="00AF5042" w:rsidP="00AF5042">
      <w:pPr>
        <w:rPr>
          <w:sz w:val="24"/>
          <w:szCs w:val="24"/>
        </w:rPr>
      </w:pPr>
      <w:r w:rsidRPr="0012760D">
        <w:rPr>
          <w:sz w:val="24"/>
          <w:szCs w:val="24"/>
        </w:rPr>
        <w:t>The PDC will appoint a Welfare Manager to all whistleblowers who have made a protected disclosure. The Welfare manager will:</w:t>
      </w:r>
    </w:p>
    <w:p w:rsidR="00AF5042" w:rsidRPr="0012760D" w:rsidRDefault="00AF5042" w:rsidP="00AF5042">
      <w:pPr>
        <w:rPr>
          <w:sz w:val="24"/>
          <w:szCs w:val="24"/>
        </w:rPr>
      </w:pPr>
      <w:r w:rsidRPr="0012760D">
        <w:rPr>
          <w:sz w:val="24"/>
          <w:szCs w:val="24"/>
        </w:rPr>
        <w:t>• examine the immediate welfare and protection needs of a whistleblower who has made a disclosure and, where the whistleblower is an employee, seek to foster a supportive work environment</w:t>
      </w:r>
    </w:p>
    <w:p w:rsidR="00AF5042" w:rsidRPr="0012760D" w:rsidRDefault="00AF5042" w:rsidP="00AF5042">
      <w:pPr>
        <w:rPr>
          <w:sz w:val="24"/>
          <w:szCs w:val="24"/>
        </w:rPr>
      </w:pPr>
      <w:r w:rsidRPr="0012760D">
        <w:rPr>
          <w:sz w:val="24"/>
          <w:szCs w:val="24"/>
        </w:rPr>
        <w:t>• advise the whistleblower of the legislative and administrative protections available to him/her</w:t>
      </w:r>
    </w:p>
    <w:p w:rsidR="00AF5042" w:rsidRPr="0012760D" w:rsidRDefault="00AF5042" w:rsidP="00AF5042">
      <w:pPr>
        <w:rPr>
          <w:sz w:val="24"/>
          <w:szCs w:val="24"/>
        </w:rPr>
      </w:pPr>
      <w:r w:rsidRPr="0012760D">
        <w:rPr>
          <w:sz w:val="24"/>
          <w:szCs w:val="24"/>
        </w:rPr>
        <w:t>• listen and respond to any concerns of harassment, intimidation or victimisation in reprisal for making disclosure</w:t>
      </w:r>
    </w:p>
    <w:p w:rsidR="00AF5042" w:rsidRPr="0012760D" w:rsidRDefault="00AF5042" w:rsidP="00AF5042">
      <w:pPr>
        <w:rPr>
          <w:sz w:val="24"/>
          <w:szCs w:val="24"/>
        </w:rPr>
      </w:pPr>
      <w:r w:rsidRPr="0012760D">
        <w:rPr>
          <w:sz w:val="24"/>
          <w:szCs w:val="24"/>
        </w:rPr>
        <w:t>• keep a contemporaneous record of all aspects of the case management of the whistleblower including all contact and follow-up action</w:t>
      </w:r>
    </w:p>
    <w:p w:rsidR="00AF5042" w:rsidRPr="0012760D" w:rsidRDefault="00AF5042" w:rsidP="00AF5042">
      <w:pPr>
        <w:rPr>
          <w:sz w:val="24"/>
          <w:szCs w:val="24"/>
        </w:rPr>
      </w:pPr>
      <w:r w:rsidRPr="0012760D">
        <w:rPr>
          <w:sz w:val="24"/>
          <w:szCs w:val="24"/>
        </w:rPr>
        <w:t>• ensure the expectations of the whistleblower are realistic.</w:t>
      </w:r>
    </w:p>
    <w:p w:rsidR="00B470E0" w:rsidRDefault="00B470E0" w:rsidP="00AF5042">
      <w:pPr>
        <w:rPr>
          <w:sz w:val="24"/>
          <w:szCs w:val="24"/>
        </w:rPr>
      </w:pPr>
    </w:p>
    <w:p w:rsidR="00AF5042" w:rsidRDefault="00AF5042" w:rsidP="00AF5042">
      <w:pPr>
        <w:rPr>
          <w:sz w:val="24"/>
          <w:szCs w:val="24"/>
        </w:rPr>
      </w:pPr>
      <w:r w:rsidRPr="0012760D">
        <w:rPr>
          <w:sz w:val="24"/>
          <w:szCs w:val="24"/>
        </w:rPr>
        <w:t>All employees will be advised that it is an offence for a person to take detrimental action in reprisal for a protected disclosure. The maximum penalty is a fine of 240 penalty units* (see page 82) or two years' imprisonment, or both. The taking of detrimental action in breach of this provision can also be grounds for making a disclosure under the Act and can result in an investigation.</w:t>
      </w:r>
    </w:p>
    <w:p w:rsidR="00B470E0" w:rsidRPr="0012760D" w:rsidRDefault="00B470E0" w:rsidP="00AF5042">
      <w:pPr>
        <w:rPr>
          <w:sz w:val="24"/>
          <w:szCs w:val="24"/>
        </w:rPr>
      </w:pPr>
    </w:p>
    <w:p w:rsidR="00AF5042" w:rsidRPr="0012760D" w:rsidRDefault="00AF5042" w:rsidP="00AF5042">
      <w:pPr>
        <w:rPr>
          <w:sz w:val="24"/>
          <w:szCs w:val="24"/>
        </w:rPr>
      </w:pPr>
      <w:r w:rsidRPr="0012760D">
        <w:rPr>
          <w:sz w:val="24"/>
          <w:szCs w:val="24"/>
        </w:rPr>
        <w:t>Detrimental action includes:</w:t>
      </w:r>
    </w:p>
    <w:p w:rsidR="00AF5042" w:rsidRPr="0012760D" w:rsidRDefault="00AF5042" w:rsidP="00AF5042">
      <w:pPr>
        <w:rPr>
          <w:sz w:val="24"/>
          <w:szCs w:val="24"/>
        </w:rPr>
      </w:pPr>
      <w:r w:rsidRPr="0012760D">
        <w:rPr>
          <w:sz w:val="24"/>
          <w:szCs w:val="24"/>
        </w:rPr>
        <w:t>• causing injury, loss or damage</w:t>
      </w:r>
    </w:p>
    <w:p w:rsidR="00AF5042" w:rsidRPr="0012760D" w:rsidRDefault="00AF5042" w:rsidP="00AF5042">
      <w:pPr>
        <w:rPr>
          <w:sz w:val="24"/>
          <w:szCs w:val="24"/>
        </w:rPr>
      </w:pPr>
      <w:r w:rsidRPr="0012760D">
        <w:rPr>
          <w:sz w:val="24"/>
          <w:szCs w:val="24"/>
        </w:rPr>
        <w:t>• intimidation or harassment</w:t>
      </w:r>
    </w:p>
    <w:p w:rsidR="00AF5042" w:rsidRDefault="00AF5042" w:rsidP="00AF5042">
      <w:pPr>
        <w:rPr>
          <w:sz w:val="24"/>
          <w:szCs w:val="24"/>
        </w:rPr>
      </w:pPr>
      <w:r w:rsidRPr="0012760D">
        <w:rPr>
          <w:sz w:val="24"/>
          <w:szCs w:val="24"/>
        </w:rPr>
        <w:t>• discrimination, disadvantage or adverse treatment in relation to a person's employment, career, profession, trade or business (including the taking of disciplinary action).</w:t>
      </w:r>
    </w:p>
    <w:p w:rsidR="00B470E0" w:rsidRDefault="00B470E0" w:rsidP="00AF5042">
      <w:pPr>
        <w:rPr>
          <w:sz w:val="24"/>
          <w:szCs w:val="24"/>
        </w:rPr>
      </w:pPr>
    </w:p>
    <w:p w:rsidR="00B470E0" w:rsidRPr="0012760D" w:rsidRDefault="00B470E0" w:rsidP="00AF5042">
      <w:pPr>
        <w:rPr>
          <w:sz w:val="24"/>
          <w:szCs w:val="24"/>
        </w:rPr>
      </w:pPr>
    </w:p>
    <w:p w:rsidR="00AF5042" w:rsidRDefault="00AF5042" w:rsidP="00B470E0">
      <w:pPr>
        <w:pStyle w:val="Heading2"/>
      </w:pPr>
      <w:r w:rsidRPr="0012760D">
        <w:t>12.2 Keeping the Whistleblower Informed</w:t>
      </w:r>
    </w:p>
    <w:p w:rsidR="00B470E0" w:rsidRPr="0012760D" w:rsidRDefault="00B470E0" w:rsidP="00AF5042">
      <w:pPr>
        <w:rPr>
          <w:sz w:val="24"/>
          <w:szCs w:val="24"/>
        </w:rPr>
      </w:pPr>
    </w:p>
    <w:p w:rsidR="00AF5042" w:rsidRDefault="00AF5042" w:rsidP="00AF5042">
      <w:pPr>
        <w:rPr>
          <w:sz w:val="24"/>
          <w:szCs w:val="24"/>
        </w:rPr>
      </w:pPr>
      <w:r w:rsidRPr="0012760D">
        <w:rPr>
          <w:sz w:val="24"/>
          <w:szCs w:val="24"/>
        </w:rPr>
        <w:t xml:space="preserve">The PDC will ensure the whistleblower is kept informed of action taken in relation to </w:t>
      </w:r>
      <w:r w:rsidRPr="0012760D">
        <w:rPr>
          <w:sz w:val="24"/>
          <w:szCs w:val="24"/>
        </w:rPr>
        <w:lastRenderedPageBreak/>
        <w:t>his/her disclosure, and the time frames that apply. The whistleblower will be informed of the objectives of an investigation, the findings of an investigation and the steps taken by SV to address any improper conduct that has been found to have occurred. The whistleblower will be given reasons for decisions made by SV in relation to a protected disclosure. All communication with the whistleblower will be in plain English.</w:t>
      </w:r>
    </w:p>
    <w:p w:rsidR="00B470E0" w:rsidRDefault="00B470E0" w:rsidP="00AF5042">
      <w:pPr>
        <w:rPr>
          <w:sz w:val="24"/>
          <w:szCs w:val="24"/>
        </w:rPr>
      </w:pPr>
    </w:p>
    <w:p w:rsidR="00B470E0" w:rsidRPr="0012760D" w:rsidRDefault="00B470E0" w:rsidP="00AF5042">
      <w:pPr>
        <w:rPr>
          <w:sz w:val="24"/>
          <w:szCs w:val="24"/>
        </w:rPr>
      </w:pPr>
    </w:p>
    <w:p w:rsidR="00AF5042" w:rsidRDefault="00AF5042" w:rsidP="00B470E0">
      <w:pPr>
        <w:pStyle w:val="Heading2"/>
      </w:pPr>
      <w:r w:rsidRPr="0012760D">
        <w:t>12.3 Occurrence of Detrimental Action</w:t>
      </w:r>
    </w:p>
    <w:p w:rsidR="00B470E0" w:rsidRPr="0012760D" w:rsidRDefault="00B470E0" w:rsidP="00AF5042">
      <w:pPr>
        <w:rPr>
          <w:sz w:val="24"/>
          <w:szCs w:val="24"/>
        </w:rPr>
      </w:pPr>
    </w:p>
    <w:p w:rsidR="00AF5042" w:rsidRPr="0012760D" w:rsidRDefault="00AF5042" w:rsidP="00AF5042">
      <w:pPr>
        <w:rPr>
          <w:sz w:val="24"/>
          <w:szCs w:val="24"/>
        </w:rPr>
      </w:pPr>
      <w:r w:rsidRPr="0012760D">
        <w:rPr>
          <w:sz w:val="24"/>
          <w:szCs w:val="24"/>
        </w:rPr>
        <w:t>If a whistleblower reports an incident of harassment, discrimination or adverse treatment that would amount to detrimental action taken in reprisal for the making of the disclosure, the Welfare Manager will:</w:t>
      </w:r>
    </w:p>
    <w:p w:rsidR="00AF5042" w:rsidRPr="0012760D" w:rsidRDefault="00AF5042" w:rsidP="00AF5042">
      <w:pPr>
        <w:rPr>
          <w:sz w:val="24"/>
          <w:szCs w:val="24"/>
        </w:rPr>
      </w:pPr>
      <w:r w:rsidRPr="0012760D">
        <w:rPr>
          <w:sz w:val="24"/>
          <w:szCs w:val="24"/>
        </w:rPr>
        <w:t>• record details of the incident</w:t>
      </w:r>
    </w:p>
    <w:p w:rsidR="00AF5042" w:rsidRPr="0012760D" w:rsidRDefault="00AF5042" w:rsidP="00AF5042">
      <w:pPr>
        <w:rPr>
          <w:sz w:val="24"/>
          <w:szCs w:val="24"/>
        </w:rPr>
      </w:pPr>
      <w:r w:rsidRPr="0012760D">
        <w:rPr>
          <w:sz w:val="24"/>
          <w:szCs w:val="24"/>
        </w:rPr>
        <w:t>• advise the whistleblower of his/her rights under the Act</w:t>
      </w:r>
    </w:p>
    <w:p w:rsidR="00AF5042" w:rsidRPr="0012760D" w:rsidRDefault="00AF5042" w:rsidP="00AF5042">
      <w:pPr>
        <w:rPr>
          <w:sz w:val="24"/>
          <w:szCs w:val="24"/>
        </w:rPr>
      </w:pPr>
      <w:r w:rsidRPr="0012760D">
        <w:rPr>
          <w:sz w:val="24"/>
          <w:szCs w:val="24"/>
        </w:rPr>
        <w:t>• advise the PDC or CEO of the detrimental action.</w:t>
      </w:r>
    </w:p>
    <w:p w:rsidR="00B470E0" w:rsidRDefault="00B470E0" w:rsidP="00AF5042">
      <w:pPr>
        <w:rPr>
          <w:sz w:val="24"/>
          <w:szCs w:val="24"/>
        </w:rPr>
      </w:pPr>
    </w:p>
    <w:p w:rsidR="00AF5042" w:rsidRDefault="00AF5042" w:rsidP="00AF5042">
      <w:pPr>
        <w:rPr>
          <w:sz w:val="24"/>
          <w:szCs w:val="24"/>
        </w:rPr>
      </w:pPr>
      <w:r w:rsidRPr="0012760D">
        <w:rPr>
          <w:sz w:val="24"/>
          <w:szCs w:val="24"/>
        </w:rPr>
        <w:t>The taking of detrimental action in reprisal for the making of a disclosure can be an offence against the Act as well as grounds for making a further disclosure. Where such detrimental action is reported, the PDC will assess the report as a new disclosure under the Act. Where the PDC is satisfied that the disclosure is a public interest disclosure, he/she will refer it to the Ombudsman. If the Ombudsman subsequently determines the matter to be a public interest disclosure, the Ombudsman may investigate the matter or refer it to another body for investigation as outlined in the Act.</w:t>
      </w:r>
    </w:p>
    <w:p w:rsidR="00B470E0" w:rsidRDefault="00B470E0" w:rsidP="00AF5042">
      <w:pPr>
        <w:rPr>
          <w:sz w:val="24"/>
          <w:szCs w:val="24"/>
        </w:rPr>
      </w:pPr>
    </w:p>
    <w:p w:rsidR="00B470E0" w:rsidRPr="0012760D" w:rsidRDefault="00B470E0" w:rsidP="00AF5042">
      <w:pPr>
        <w:rPr>
          <w:sz w:val="24"/>
          <w:szCs w:val="24"/>
        </w:rPr>
      </w:pPr>
    </w:p>
    <w:p w:rsidR="00AF5042" w:rsidRDefault="00AF5042" w:rsidP="00B470E0">
      <w:pPr>
        <w:pStyle w:val="Heading2"/>
      </w:pPr>
      <w:r w:rsidRPr="0012760D">
        <w:t>12.4 Whistleblowers Implicated in Improper Conduct</w:t>
      </w:r>
    </w:p>
    <w:p w:rsidR="00B470E0" w:rsidRPr="0012760D" w:rsidRDefault="00B470E0" w:rsidP="00AF5042">
      <w:pPr>
        <w:rPr>
          <w:sz w:val="24"/>
          <w:szCs w:val="24"/>
        </w:rPr>
      </w:pPr>
    </w:p>
    <w:p w:rsidR="00AF5042" w:rsidRDefault="00AF5042" w:rsidP="00AF5042">
      <w:pPr>
        <w:rPr>
          <w:sz w:val="24"/>
          <w:szCs w:val="24"/>
        </w:rPr>
      </w:pPr>
      <w:r w:rsidRPr="0012760D">
        <w:rPr>
          <w:sz w:val="24"/>
          <w:szCs w:val="24"/>
        </w:rPr>
        <w:t>Where a person who makes a disclosure is implicated in misconduct, SV will handle the disclosure and protect the whistleblower from reprisals in accordance with the Act, the Ombudsman's guidelines and these procedures. SV acknowledges that the act of whistleblowing should not shield whistleblowers from the reasonable consequences flowing from any involvement in improper conduct. section 17 of the Act specifically provides that a person's liability for his/her own conduct is not affected by the person's disclosure of that conduct under the Act. However, in some circumstances, an admission may be a mitigating factor when considering disciplinary or other action.</w:t>
      </w:r>
    </w:p>
    <w:p w:rsidR="00B470E0" w:rsidRPr="0012760D" w:rsidRDefault="00B470E0" w:rsidP="00AF5042">
      <w:pPr>
        <w:rPr>
          <w:sz w:val="24"/>
          <w:szCs w:val="24"/>
        </w:rPr>
      </w:pPr>
    </w:p>
    <w:p w:rsidR="00AF5042" w:rsidRPr="0012760D" w:rsidRDefault="00AF5042" w:rsidP="00AF5042">
      <w:pPr>
        <w:rPr>
          <w:sz w:val="24"/>
          <w:szCs w:val="24"/>
        </w:rPr>
      </w:pPr>
      <w:r w:rsidRPr="0012760D">
        <w:rPr>
          <w:sz w:val="24"/>
          <w:szCs w:val="24"/>
        </w:rPr>
        <w:t>The CEO will make the final decision on the advice of the PDC as to whether disciplinary or other action will be taken against a whistleblower. Where disciplinary or other action relates to conduct that is the subject of the whistleblower's disclosure, the disciplinary or other action will be taken only after the</w:t>
      </w:r>
    </w:p>
    <w:p w:rsidR="00273EC4" w:rsidRPr="0012760D" w:rsidRDefault="00273EC4" w:rsidP="00273EC4">
      <w:pPr>
        <w:rPr>
          <w:sz w:val="24"/>
          <w:szCs w:val="24"/>
        </w:rPr>
      </w:pPr>
      <w:r w:rsidRPr="0012760D">
        <w:rPr>
          <w:bCs/>
          <w:sz w:val="24"/>
          <w:szCs w:val="24"/>
        </w:rPr>
        <w:t>&lt;pp&gt; 82</w:t>
      </w:r>
    </w:p>
    <w:p w:rsidR="00273EC4" w:rsidRPr="0012760D" w:rsidRDefault="00273EC4" w:rsidP="00273EC4">
      <w:pPr>
        <w:rPr>
          <w:sz w:val="24"/>
          <w:szCs w:val="24"/>
        </w:rPr>
      </w:pPr>
      <w:r w:rsidRPr="0012760D">
        <w:rPr>
          <w:sz w:val="24"/>
          <w:szCs w:val="24"/>
        </w:rPr>
        <w:t>disclosed matter has been appropriately dealt with. In all cases where disciplinary or other action is being contemplated, the CEO must be satisfied that it has been clearly demonstrated that:</w:t>
      </w:r>
    </w:p>
    <w:p w:rsidR="00273EC4" w:rsidRPr="0012760D" w:rsidRDefault="00273EC4" w:rsidP="00273EC4">
      <w:pPr>
        <w:rPr>
          <w:sz w:val="24"/>
          <w:szCs w:val="24"/>
        </w:rPr>
      </w:pPr>
      <w:r w:rsidRPr="0012760D">
        <w:rPr>
          <w:sz w:val="24"/>
          <w:szCs w:val="24"/>
        </w:rPr>
        <w:t>• the intention to proceed with disciplinary action is not causally connected to the making of the disclosure (as opposed to the content of the disclosure or other available information)</w:t>
      </w:r>
    </w:p>
    <w:p w:rsidR="00273EC4" w:rsidRPr="0012760D" w:rsidRDefault="00273EC4" w:rsidP="00273EC4">
      <w:pPr>
        <w:rPr>
          <w:sz w:val="24"/>
          <w:szCs w:val="24"/>
        </w:rPr>
      </w:pPr>
      <w:r w:rsidRPr="0012760D">
        <w:rPr>
          <w:sz w:val="24"/>
          <w:szCs w:val="24"/>
        </w:rPr>
        <w:lastRenderedPageBreak/>
        <w:t>• there are good and sufficient grounds that would fully justify action against any non-whistleblower in the same circumstances</w:t>
      </w:r>
    </w:p>
    <w:p w:rsidR="00273EC4" w:rsidRPr="0012760D" w:rsidRDefault="00273EC4" w:rsidP="00273EC4">
      <w:pPr>
        <w:rPr>
          <w:sz w:val="24"/>
          <w:szCs w:val="24"/>
        </w:rPr>
      </w:pPr>
      <w:r w:rsidRPr="0012760D">
        <w:rPr>
          <w:sz w:val="24"/>
          <w:szCs w:val="24"/>
        </w:rPr>
        <w:t>• there are good and sufficient grounds that justify exercising any discretion to institute disciplinary or other action.</w:t>
      </w:r>
    </w:p>
    <w:p w:rsidR="00B470E0" w:rsidRDefault="00B470E0" w:rsidP="00273EC4">
      <w:pPr>
        <w:rPr>
          <w:sz w:val="24"/>
          <w:szCs w:val="24"/>
        </w:rPr>
      </w:pPr>
    </w:p>
    <w:p w:rsidR="00273EC4" w:rsidRDefault="00273EC4" w:rsidP="00273EC4">
      <w:pPr>
        <w:rPr>
          <w:sz w:val="24"/>
          <w:szCs w:val="24"/>
        </w:rPr>
      </w:pPr>
      <w:r w:rsidRPr="0012760D">
        <w:rPr>
          <w:sz w:val="24"/>
          <w:szCs w:val="24"/>
        </w:rPr>
        <w:t>The PDC will thoroughly document the process, including recording the reasons why the disciplinary or other action is being taken, and the reasons why the action is not in retribution for the making of the disclosure. The PDC will clearly advise the whistleblower of the proposed action to be taken, and of any mitigating factors that have been taken into account.</w:t>
      </w:r>
    </w:p>
    <w:p w:rsidR="00B470E0" w:rsidRDefault="00B470E0" w:rsidP="00273EC4">
      <w:pPr>
        <w:rPr>
          <w:sz w:val="24"/>
          <w:szCs w:val="24"/>
        </w:rPr>
      </w:pPr>
    </w:p>
    <w:p w:rsidR="00B470E0" w:rsidRPr="0012760D" w:rsidRDefault="00B470E0" w:rsidP="00273EC4">
      <w:pPr>
        <w:rPr>
          <w:sz w:val="24"/>
          <w:szCs w:val="24"/>
        </w:rPr>
      </w:pPr>
    </w:p>
    <w:p w:rsidR="00273EC4" w:rsidRDefault="00273EC4" w:rsidP="00B470E0">
      <w:pPr>
        <w:pStyle w:val="Heading2"/>
      </w:pPr>
      <w:r w:rsidRPr="0012760D">
        <w:t>13. Management of the person against whom a disclosure has been made</w:t>
      </w:r>
    </w:p>
    <w:p w:rsidR="00B470E0" w:rsidRPr="0012760D" w:rsidRDefault="00B470E0" w:rsidP="00273EC4">
      <w:pPr>
        <w:rPr>
          <w:sz w:val="24"/>
          <w:szCs w:val="24"/>
        </w:rPr>
      </w:pPr>
    </w:p>
    <w:p w:rsidR="00273EC4" w:rsidRDefault="00273EC4" w:rsidP="00273EC4">
      <w:pPr>
        <w:rPr>
          <w:sz w:val="24"/>
          <w:szCs w:val="24"/>
        </w:rPr>
      </w:pPr>
      <w:r w:rsidRPr="0012760D">
        <w:rPr>
          <w:sz w:val="24"/>
          <w:szCs w:val="24"/>
        </w:rPr>
        <w:t>SV recognises that employees against whom disclosures are made must also be supported during the handling and investigation of disclosures.</w:t>
      </w:r>
    </w:p>
    <w:p w:rsidR="00B470E0" w:rsidRPr="0012760D" w:rsidRDefault="00B470E0" w:rsidP="00273EC4">
      <w:pPr>
        <w:rPr>
          <w:sz w:val="24"/>
          <w:szCs w:val="24"/>
        </w:rPr>
      </w:pPr>
    </w:p>
    <w:p w:rsidR="00273EC4" w:rsidRDefault="00273EC4" w:rsidP="00273EC4">
      <w:pPr>
        <w:rPr>
          <w:sz w:val="24"/>
          <w:szCs w:val="24"/>
        </w:rPr>
      </w:pPr>
      <w:r w:rsidRPr="0012760D">
        <w:rPr>
          <w:sz w:val="24"/>
          <w:szCs w:val="24"/>
        </w:rPr>
        <w:t>SV will take all reasonable steps to ensure the confidentiality of the person who is the subject of the disclosure during the assessment and investigation process. Where investigations do not substantiate disclosures, the fact that the investigation has been carried out, the results of the investigation and the identity of the person who is the subject of the disclosure will remain confidential.</w:t>
      </w:r>
    </w:p>
    <w:p w:rsidR="00B470E0" w:rsidRPr="0012760D" w:rsidRDefault="00B470E0" w:rsidP="00273EC4">
      <w:pPr>
        <w:rPr>
          <w:sz w:val="24"/>
          <w:szCs w:val="24"/>
        </w:rPr>
      </w:pPr>
    </w:p>
    <w:p w:rsidR="00273EC4" w:rsidRPr="0012760D" w:rsidRDefault="00273EC4" w:rsidP="00273EC4">
      <w:pPr>
        <w:rPr>
          <w:sz w:val="24"/>
          <w:szCs w:val="24"/>
        </w:rPr>
      </w:pPr>
      <w:r w:rsidRPr="0012760D">
        <w:rPr>
          <w:sz w:val="24"/>
          <w:szCs w:val="24"/>
        </w:rPr>
        <w:t>The PDC will ensure the person who is the subject of any disclosure investigated by or on behalf of a public body is:</w:t>
      </w:r>
    </w:p>
    <w:p w:rsidR="00273EC4" w:rsidRPr="0012760D" w:rsidRDefault="00273EC4" w:rsidP="00273EC4">
      <w:pPr>
        <w:rPr>
          <w:sz w:val="24"/>
          <w:szCs w:val="24"/>
        </w:rPr>
      </w:pPr>
      <w:r w:rsidRPr="0012760D">
        <w:rPr>
          <w:sz w:val="24"/>
          <w:szCs w:val="24"/>
        </w:rPr>
        <w:t>• informed as to the substance of the allegations</w:t>
      </w:r>
    </w:p>
    <w:p w:rsidR="00273EC4" w:rsidRPr="0012760D" w:rsidRDefault="00273EC4" w:rsidP="00273EC4">
      <w:pPr>
        <w:rPr>
          <w:sz w:val="24"/>
          <w:szCs w:val="24"/>
        </w:rPr>
      </w:pPr>
      <w:r w:rsidRPr="0012760D">
        <w:rPr>
          <w:sz w:val="24"/>
          <w:szCs w:val="24"/>
        </w:rPr>
        <w:t>• given the opportunity to answer the allegations before a final decision is made</w:t>
      </w:r>
    </w:p>
    <w:p w:rsidR="00273EC4" w:rsidRPr="0012760D" w:rsidRDefault="00273EC4" w:rsidP="00273EC4">
      <w:pPr>
        <w:rPr>
          <w:sz w:val="24"/>
          <w:szCs w:val="24"/>
        </w:rPr>
      </w:pPr>
      <w:r w:rsidRPr="0012760D">
        <w:rPr>
          <w:sz w:val="24"/>
          <w:szCs w:val="24"/>
        </w:rPr>
        <w:t>• informed as to the substance of any adverse comment that may be included in any report arising from the investigation</w:t>
      </w:r>
    </w:p>
    <w:p w:rsidR="00273EC4" w:rsidRPr="0012760D" w:rsidRDefault="00273EC4" w:rsidP="00273EC4">
      <w:pPr>
        <w:rPr>
          <w:sz w:val="24"/>
          <w:szCs w:val="24"/>
        </w:rPr>
      </w:pPr>
      <w:r w:rsidRPr="0012760D">
        <w:rPr>
          <w:sz w:val="24"/>
          <w:szCs w:val="24"/>
        </w:rPr>
        <w:t>• his/her defence set out fairly in any report.</w:t>
      </w:r>
    </w:p>
    <w:p w:rsidR="00B470E0" w:rsidRDefault="00B470E0" w:rsidP="00273EC4">
      <w:pPr>
        <w:rPr>
          <w:sz w:val="24"/>
          <w:szCs w:val="24"/>
        </w:rPr>
      </w:pPr>
    </w:p>
    <w:p w:rsidR="00273EC4" w:rsidRDefault="00273EC4" w:rsidP="00273EC4">
      <w:pPr>
        <w:rPr>
          <w:sz w:val="24"/>
          <w:szCs w:val="24"/>
        </w:rPr>
      </w:pPr>
      <w:r w:rsidRPr="0012760D">
        <w:rPr>
          <w:sz w:val="24"/>
          <w:szCs w:val="24"/>
        </w:rPr>
        <w:t>Where the allegations in a disclosure have been investigated, and the person who is the subject of the disclosure is aware of the allegations or the fact of the investigation, the PDC will formally advise the person who is the subject of the disclosure of the outcome of the investigation.</w:t>
      </w:r>
    </w:p>
    <w:p w:rsidR="00B470E0" w:rsidRPr="0012760D" w:rsidRDefault="00B470E0" w:rsidP="00273EC4">
      <w:pPr>
        <w:rPr>
          <w:sz w:val="24"/>
          <w:szCs w:val="24"/>
        </w:rPr>
      </w:pPr>
    </w:p>
    <w:p w:rsidR="00273EC4" w:rsidRDefault="00273EC4" w:rsidP="00273EC4">
      <w:pPr>
        <w:rPr>
          <w:sz w:val="24"/>
          <w:szCs w:val="24"/>
        </w:rPr>
      </w:pPr>
      <w:r w:rsidRPr="0012760D">
        <w:rPr>
          <w:sz w:val="24"/>
          <w:szCs w:val="24"/>
        </w:rPr>
        <w:t>SV will give its full support to a person who is the subject of a disclosure where the allegations contained in a disclosure are clearly wrong or unsubstantiated. If the matter has been publicly disclosed, the CEO of SV will consider any request by that person to issue a statement of support setting out that the allegations were clearly wrong or unsubstantiated.</w:t>
      </w:r>
    </w:p>
    <w:p w:rsidR="00B470E0" w:rsidRDefault="00B470E0" w:rsidP="00273EC4">
      <w:pPr>
        <w:rPr>
          <w:sz w:val="24"/>
          <w:szCs w:val="24"/>
        </w:rPr>
      </w:pPr>
    </w:p>
    <w:p w:rsidR="00B470E0" w:rsidRPr="0012760D" w:rsidRDefault="00B470E0" w:rsidP="00273EC4">
      <w:pPr>
        <w:rPr>
          <w:sz w:val="24"/>
          <w:szCs w:val="24"/>
        </w:rPr>
      </w:pPr>
    </w:p>
    <w:p w:rsidR="00273EC4" w:rsidRDefault="00273EC4" w:rsidP="00B470E0">
      <w:pPr>
        <w:pStyle w:val="Heading2"/>
      </w:pPr>
      <w:r w:rsidRPr="0012760D">
        <w:t>14. Criminal offences</w:t>
      </w:r>
    </w:p>
    <w:p w:rsidR="00B470E0" w:rsidRPr="0012760D" w:rsidRDefault="00B470E0" w:rsidP="00273EC4">
      <w:pPr>
        <w:rPr>
          <w:sz w:val="24"/>
          <w:szCs w:val="24"/>
        </w:rPr>
      </w:pPr>
    </w:p>
    <w:p w:rsidR="00273EC4" w:rsidRPr="0012760D" w:rsidRDefault="00273EC4" w:rsidP="00273EC4">
      <w:pPr>
        <w:rPr>
          <w:sz w:val="24"/>
          <w:szCs w:val="24"/>
        </w:rPr>
      </w:pPr>
      <w:r w:rsidRPr="0012760D">
        <w:rPr>
          <w:sz w:val="24"/>
          <w:szCs w:val="24"/>
        </w:rPr>
        <w:t>SV will ensure that officers appointed to handle protected disclosures and all other employees are aware of the following offences created by the Act:</w:t>
      </w:r>
    </w:p>
    <w:p w:rsidR="00273EC4" w:rsidRPr="0012760D" w:rsidRDefault="00273EC4" w:rsidP="00273EC4">
      <w:pPr>
        <w:rPr>
          <w:sz w:val="24"/>
          <w:szCs w:val="24"/>
        </w:rPr>
      </w:pPr>
      <w:r w:rsidRPr="0012760D">
        <w:rPr>
          <w:sz w:val="24"/>
          <w:szCs w:val="24"/>
        </w:rPr>
        <w:t>1. It is an offence for a person to take detrimental action against a person in reprisal for a protected disclosure being made. The Act provides a maximum penalty of a fine of 240 penalty units* or two years' imprisonment, or both.</w:t>
      </w:r>
    </w:p>
    <w:p w:rsidR="00273EC4" w:rsidRPr="0012760D" w:rsidRDefault="00273EC4" w:rsidP="00273EC4">
      <w:pPr>
        <w:rPr>
          <w:sz w:val="24"/>
          <w:szCs w:val="24"/>
        </w:rPr>
      </w:pPr>
      <w:r w:rsidRPr="0012760D">
        <w:rPr>
          <w:sz w:val="24"/>
          <w:szCs w:val="24"/>
        </w:rPr>
        <w:lastRenderedPageBreak/>
        <w:t>2. It is an offence for a person to divulge information obtained as a result of the handling or investigation of a protected disclosure without legislative authority. The Act provides a maximum penalty of 60 penalty units* or six months' imprisonment, or both.</w:t>
      </w:r>
    </w:p>
    <w:p w:rsidR="00273EC4" w:rsidRPr="0012760D" w:rsidRDefault="00273EC4" w:rsidP="00273EC4">
      <w:pPr>
        <w:rPr>
          <w:sz w:val="24"/>
          <w:szCs w:val="24"/>
        </w:rPr>
      </w:pPr>
      <w:r w:rsidRPr="0012760D">
        <w:rPr>
          <w:sz w:val="24"/>
          <w:szCs w:val="24"/>
        </w:rPr>
        <w:t>3. It is an offence for a person to obstruct the Ombudsman in performing his responsibilities under the Act. The Act provides a maximum penalty of 240 penalty units* or two years' imprisonment, or both.</w:t>
      </w:r>
    </w:p>
    <w:p w:rsidR="00273EC4" w:rsidRDefault="00273EC4" w:rsidP="00273EC4">
      <w:pPr>
        <w:rPr>
          <w:sz w:val="24"/>
          <w:szCs w:val="24"/>
        </w:rPr>
      </w:pPr>
      <w:r w:rsidRPr="0012760D">
        <w:rPr>
          <w:sz w:val="24"/>
          <w:szCs w:val="24"/>
        </w:rPr>
        <w:t>4. It is an offence for a person to knowingly provide false information under the Act with the intention that it be acted on as a disclosed matter. The Act provides a maximum penalty of 240 penalty units* or two years' imprisonment, or both.</w:t>
      </w:r>
    </w:p>
    <w:p w:rsidR="00B470E0" w:rsidRDefault="00B470E0" w:rsidP="00273EC4">
      <w:pPr>
        <w:rPr>
          <w:sz w:val="24"/>
          <w:szCs w:val="24"/>
        </w:rPr>
      </w:pPr>
    </w:p>
    <w:p w:rsidR="00B470E0" w:rsidRPr="0012760D" w:rsidRDefault="00B470E0" w:rsidP="00273EC4">
      <w:pPr>
        <w:rPr>
          <w:sz w:val="24"/>
          <w:szCs w:val="24"/>
        </w:rPr>
      </w:pPr>
    </w:p>
    <w:p w:rsidR="00273EC4" w:rsidRDefault="00273EC4" w:rsidP="00B470E0">
      <w:pPr>
        <w:pStyle w:val="Heading2"/>
      </w:pPr>
      <w:r w:rsidRPr="0012760D">
        <w:t>15. Review</w:t>
      </w:r>
    </w:p>
    <w:p w:rsidR="00B470E0" w:rsidRPr="0012760D" w:rsidRDefault="00B470E0" w:rsidP="00273EC4">
      <w:pPr>
        <w:rPr>
          <w:sz w:val="24"/>
          <w:szCs w:val="24"/>
        </w:rPr>
      </w:pPr>
    </w:p>
    <w:p w:rsidR="00273EC4" w:rsidRDefault="00273EC4" w:rsidP="00273EC4">
      <w:pPr>
        <w:rPr>
          <w:sz w:val="24"/>
          <w:szCs w:val="24"/>
        </w:rPr>
      </w:pPr>
      <w:r w:rsidRPr="0012760D">
        <w:rPr>
          <w:sz w:val="24"/>
          <w:szCs w:val="24"/>
        </w:rPr>
        <w:t>These procedures will be reviewed annually to ensure they meet the objectives of the Act and accord with the Ombudsman's guidelines.</w:t>
      </w:r>
    </w:p>
    <w:p w:rsidR="00B470E0" w:rsidRDefault="00B470E0" w:rsidP="00273EC4">
      <w:pPr>
        <w:rPr>
          <w:sz w:val="24"/>
          <w:szCs w:val="24"/>
        </w:rPr>
      </w:pPr>
    </w:p>
    <w:p w:rsidR="00B470E0" w:rsidRPr="0012760D" w:rsidRDefault="00B470E0" w:rsidP="00273EC4">
      <w:pPr>
        <w:rPr>
          <w:sz w:val="24"/>
          <w:szCs w:val="24"/>
        </w:rPr>
      </w:pPr>
    </w:p>
    <w:p w:rsidR="00273EC4" w:rsidRDefault="00273EC4" w:rsidP="00B470E0">
      <w:pPr>
        <w:pStyle w:val="Heading3"/>
      </w:pPr>
      <w:r w:rsidRPr="0012760D">
        <w:t>Notes:</w:t>
      </w:r>
    </w:p>
    <w:p w:rsidR="00B470E0" w:rsidRPr="0012760D" w:rsidRDefault="00B470E0" w:rsidP="00273EC4">
      <w:pPr>
        <w:rPr>
          <w:sz w:val="24"/>
          <w:szCs w:val="24"/>
        </w:rPr>
      </w:pPr>
    </w:p>
    <w:p w:rsidR="00273EC4" w:rsidRDefault="00273EC4" w:rsidP="00273EC4">
      <w:pPr>
        <w:rPr>
          <w:bCs/>
          <w:sz w:val="24"/>
          <w:szCs w:val="24"/>
        </w:rPr>
      </w:pPr>
      <w:r w:rsidRPr="0012760D">
        <w:rPr>
          <w:bCs/>
          <w:sz w:val="24"/>
          <w:szCs w:val="24"/>
        </w:rPr>
        <w:t>*1 penalty unit = $140.84 as at 1 July 2012 (for the 2012/2013 financial year).</w:t>
      </w:r>
    </w:p>
    <w:p w:rsidR="00B470E0" w:rsidRPr="0012760D" w:rsidRDefault="00B470E0" w:rsidP="00273EC4">
      <w:pPr>
        <w:rPr>
          <w:sz w:val="24"/>
          <w:szCs w:val="24"/>
        </w:rPr>
      </w:pPr>
    </w:p>
    <w:p w:rsidR="00273EC4" w:rsidRPr="0012760D" w:rsidRDefault="00273EC4" w:rsidP="00273EC4">
      <w:pPr>
        <w:rPr>
          <w:sz w:val="24"/>
          <w:szCs w:val="24"/>
        </w:rPr>
      </w:pPr>
      <w:r w:rsidRPr="0012760D">
        <w:rPr>
          <w:sz w:val="24"/>
          <w:szCs w:val="24"/>
        </w:rPr>
        <w:t xml:space="preserve">Penalty units are set in the Monetary Units Act 2004, and are used to define the amount payable for fines for many offences. The rate for penalty units is indexed annually so that it is raised in line with inflation. Any change to the value of a penalty unit will happen on 1 July each year. The latest information on penalty units can be obtained at: </w:t>
      </w:r>
      <w:hyperlink r:id="rId21" w:history="1">
        <w:r w:rsidRPr="0012760D">
          <w:rPr>
            <w:sz w:val="24"/>
            <w:szCs w:val="24"/>
          </w:rPr>
          <w:t>www.ocpc.vic.gov.au</w:t>
        </w:r>
      </w:hyperlink>
      <w:r w:rsidRPr="0012760D">
        <w:rPr>
          <w:sz w:val="24"/>
          <w:szCs w:val="24"/>
        </w:rPr>
        <w:t>.</w:t>
      </w:r>
    </w:p>
    <w:p w:rsidR="00DD262E" w:rsidRPr="0012760D" w:rsidRDefault="00DD262E" w:rsidP="0078679E">
      <w:pPr>
        <w:rPr>
          <w:sz w:val="24"/>
          <w:szCs w:val="24"/>
        </w:rPr>
        <w:sectPr w:rsidR="00DD262E" w:rsidRPr="0012760D" w:rsidSect="00830E84">
          <w:pgSz w:w="11909" w:h="16834"/>
          <w:pgMar w:top="1440" w:right="1440" w:bottom="1440" w:left="1440" w:header="720" w:footer="720" w:gutter="0"/>
          <w:cols w:space="720"/>
          <w:noEndnote/>
        </w:sectPr>
      </w:pPr>
    </w:p>
    <w:p w:rsidR="00D26C53" w:rsidRDefault="00D26C53" w:rsidP="00D26C53">
      <w:pPr>
        <w:rPr>
          <w:bCs/>
          <w:sz w:val="24"/>
          <w:szCs w:val="24"/>
        </w:rPr>
      </w:pPr>
      <w:r w:rsidRPr="0012760D">
        <w:rPr>
          <w:bCs/>
          <w:sz w:val="24"/>
          <w:szCs w:val="24"/>
        </w:rPr>
        <w:lastRenderedPageBreak/>
        <w:t>&lt;pp&gt; 83</w:t>
      </w:r>
    </w:p>
    <w:p w:rsidR="00B470E0" w:rsidRDefault="00B470E0" w:rsidP="00D26C53">
      <w:pPr>
        <w:rPr>
          <w:bCs/>
          <w:sz w:val="24"/>
          <w:szCs w:val="24"/>
        </w:rPr>
      </w:pPr>
    </w:p>
    <w:p w:rsidR="00B470E0" w:rsidRPr="0012760D" w:rsidRDefault="00B470E0" w:rsidP="00D26C53">
      <w:pPr>
        <w:rPr>
          <w:sz w:val="24"/>
          <w:szCs w:val="24"/>
        </w:rPr>
      </w:pPr>
    </w:p>
    <w:p w:rsidR="00D26C53" w:rsidRDefault="00D26C53" w:rsidP="00B470E0">
      <w:pPr>
        <w:pStyle w:val="Heading1"/>
      </w:pPr>
      <w:r w:rsidRPr="0012760D">
        <w:t>Appendix 9</w:t>
      </w:r>
      <w:r w:rsidR="00B470E0">
        <w:br/>
      </w:r>
      <w:r w:rsidRPr="0012760D">
        <w:t>Sustainability Fund Allocations</w:t>
      </w:r>
    </w:p>
    <w:p w:rsidR="00B470E0" w:rsidRPr="0012760D" w:rsidRDefault="00B470E0" w:rsidP="00D26C53">
      <w:pPr>
        <w:rPr>
          <w:sz w:val="24"/>
          <w:szCs w:val="24"/>
        </w:rPr>
      </w:pPr>
    </w:p>
    <w:p w:rsidR="00D26C53" w:rsidRPr="0012760D" w:rsidRDefault="00D26C53" w:rsidP="00B470E0">
      <w:pPr>
        <w:pStyle w:val="Heading2"/>
      </w:pPr>
      <w:r w:rsidRPr="0012760D">
        <w:t>Sustainability Fund Allocations 2012 to 13</w:t>
      </w:r>
    </w:p>
    <w:p w:rsidR="00D26C53" w:rsidRPr="0012760D" w:rsidRDefault="00D26C53" w:rsidP="00B470E0">
      <w:pPr>
        <w:pStyle w:val="Heading2"/>
      </w:pPr>
      <w:r w:rsidRPr="0012760D">
        <w:t>New Commitments made from the Sustainability Fund</w:t>
      </w:r>
    </w:p>
    <w:p w:rsidR="00D26C53" w:rsidRPr="0012760D" w:rsidRDefault="00D26C53" w:rsidP="00D26C53">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5077"/>
        <w:gridCol w:w="6728"/>
        <w:gridCol w:w="2229"/>
      </w:tblGrid>
      <w:tr w:rsidR="00C17424" w:rsidRPr="0012760D" w:rsidTr="00C17424">
        <w:tblPrEx>
          <w:tblCellMar>
            <w:top w:w="0" w:type="dxa"/>
            <w:bottom w:w="0" w:type="dxa"/>
          </w:tblCellMar>
        </w:tblPrEx>
        <w:tc>
          <w:tcPr>
            <w:tcW w:w="1809" w:type="pct"/>
            <w:shd w:val="clear" w:color="auto" w:fill="auto"/>
          </w:tcPr>
          <w:p w:rsidR="00D26C53" w:rsidRPr="0012760D" w:rsidRDefault="00D26C53" w:rsidP="00C17424">
            <w:pPr>
              <w:rPr>
                <w:sz w:val="24"/>
                <w:szCs w:val="24"/>
              </w:rPr>
            </w:pPr>
            <w:r w:rsidRPr="0012760D">
              <w:rPr>
                <w:bCs/>
                <w:sz w:val="24"/>
                <w:szCs w:val="24"/>
              </w:rPr>
              <w:t>Organisation</w:t>
            </w:r>
          </w:p>
        </w:tc>
        <w:tc>
          <w:tcPr>
            <w:tcW w:w="2397" w:type="pct"/>
            <w:shd w:val="clear" w:color="auto" w:fill="auto"/>
          </w:tcPr>
          <w:p w:rsidR="00D26C53" w:rsidRPr="0012760D" w:rsidRDefault="00D26C53" w:rsidP="00C17424">
            <w:pPr>
              <w:rPr>
                <w:sz w:val="24"/>
                <w:szCs w:val="24"/>
              </w:rPr>
            </w:pPr>
            <w:r w:rsidRPr="0012760D">
              <w:rPr>
                <w:bCs/>
                <w:sz w:val="24"/>
                <w:szCs w:val="24"/>
              </w:rPr>
              <w:t>Program</w:t>
            </w:r>
          </w:p>
        </w:tc>
        <w:tc>
          <w:tcPr>
            <w:tcW w:w="794" w:type="pct"/>
            <w:shd w:val="clear" w:color="auto" w:fill="auto"/>
          </w:tcPr>
          <w:p w:rsidR="00D26C53" w:rsidRPr="0012760D" w:rsidRDefault="00D26C53" w:rsidP="00C17424">
            <w:pPr>
              <w:rPr>
                <w:sz w:val="24"/>
                <w:szCs w:val="24"/>
              </w:rPr>
            </w:pPr>
            <w:r w:rsidRPr="0012760D">
              <w:rPr>
                <w:bCs/>
                <w:sz w:val="24"/>
                <w:szCs w:val="24"/>
              </w:rPr>
              <w:t>Funding support $</w:t>
            </w:r>
          </w:p>
        </w:tc>
      </w:tr>
      <w:tr w:rsidR="00C17424" w:rsidRPr="0012760D" w:rsidTr="00C17424">
        <w:tblPrEx>
          <w:tblCellMar>
            <w:top w:w="0" w:type="dxa"/>
            <w:bottom w:w="0" w:type="dxa"/>
          </w:tblCellMar>
        </w:tblPrEx>
        <w:tc>
          <w:tcPr>
            <w:tcW w:w="1809" w:type="pct"/>
            <w:shd w:val="clear" w:color="auto" w:fill="auto"/>
          </w:tcPr>
          <w:p w:rsidR="00D26C53" w:rsidRPr="0012760D" w:rsidRDefault="00D26C53" w:rsidP="00C17424">
            <w:pPr>
              <w:rPr>
                <w:sz w:val="24"/>
                <w:szCs w:val="24"/>
              </w:rPr>
            </w:pPr>
            <w:r w:rsidRPr="0012760D">
              <w:rPr>
                <w:sz w:val="24"/>
                <w:szCs w:val="24"/>
              </w:rPr>
              <w:t>Sustainability Victoria</w:t>
            </w:r>
          </w:p>
        </w:tc>
        <w:tc>
          <w:tcPr>
            <w:tcW w:w="2397" w:type="pct"/>
            <w:shd w:val="clear" w:color="auto" w:fill="auto"/>
          </w:tcPr>
          <w:p w:rsidR="00D26C53" w:rsidRPr="0012760D" w:rsidRDefault="00D26C53" w:rsidP="00C17424">
            <w:pPr>
              <w:rPr>
                <w:sz w:val="24"/>
                <w:szCs w:val="24"/>
              </w:rPr>
            </w:pPr>
            <w:r w:rsidRPr="0012760D">
              <w:rPr>
                <w:sz w:val="24"/>
                <w:szCs w:val="24"/>
              </w:rPr>
              <w:t>FirstRate5</w:t>
            </w:r>
            <w:r w:rsidRPr="0012760D">
              <w:rPr>
                <w:sz w:val="24"/>
                <w:szCs w:val="24"/>
                <w:vertAlign w:val="superscript"/>
              </w:rPr>
              <w:t>®</w:t>
            </w:r>
          </w:p>
        </w:tc>
        <w:tc>
          <w:tcPr>
            <w:tcW w:w="794" w:type="pct"/>
            <w:shd w:val="clear" w:color="auto" w:fill="auto"/>
          </w:tcPr>
          <w:p w:rsidR="00D26C53" w:rsidRPr="0012760D" w:rsidRDefault="00D26C53" w:rsidP="00C17424">
            <w:pPr>
              <w:jc w:val="right"/>
              <w:rPr>
                <w:sz w:val="24"/>
                <w:szCs w:val="24"/>
              </w:rPr>
            </w:pPr>
            <w:r w:rsidRPr="0012760D">
              <w:rPr>
                <w:sz w:val="24"/>
                <w:szCs w:val="24"/>
              </w:rPr>
              <w:t>862,800</w:t>
            </w:r>
          </w:p>
        </w:tc>
      </w:tr>
      <w:tr w:rsidR="00C17424" w:rsidRPr="0012760D" w:rsidTr="00C17424">
        <w:tblPrEx>
          <w:tblCellMar>
            <w:top w:w="0" w:type="dxa"/>
            <w:bottom w:w="0" w:type="dxa"/>
          </w:tblCellMar>
        </w:tblPrEx>
        <w:tc>
          <w:tcPr>
            <w:tcW w:w="1809" w:type="pct"/>
            <w:shd w:val="clear" w:color="auto" w:fill="auto"/>
          </w:tcPr>
          <w:p w:rsidR="00D26C53" w:rsidRPr="0012760D" w:rsidRDefault="00D26C53" w:rsidP="00C17424">
            <w:pPr>
              <w:rPr>
                <w:sz w:val="24"/>
                <w:szCs w:val="24"/>
              </w:rPr>
            </w:pPr>
            <w:r w:rsidRPr="0012760D">
              <w:rPr>
                <w:sz w:val="24"/>
                <w:szCs w:val="24"/>
              </w:rPr>
              <w:t>Towong Shire Council</w:t>
            </w:r>
          </w:p>
        </w:tc>
        <w:tc>
          <w:tcPr>
            <w:tcW w:w="2397" w:type="pct"/>
            <w:shd w:val="clear" w:color="auto" w:fill="auto"/>
          </w:tcPr>
          <w:p w:rsidR="00D26C53" w:rsidRPr="0012760D" w:rsidRDefault="00D26C53" w:rsidP="00C17424">
            <w:pPr>
              <w:rPr>
                <w:sz w:val="24"/>
                <w:szCs w:val="24"/>
              </w:rPr>
            </w:pPr>
            <w:r w:rsidRPr="0012760D">
              <w:rPr>
                <w:sz w:val="24"/>
                <w:szCs w:val="24"/>
              </w:rPr>
              <w:t>Tallangatta Eco-education Hub</w:t>
            </w:r>
          </w:p>
        </w:tc>
        <w:tc>
          <w:tcPr>
            <w:tcW w:w="794" w:type="pct"/>
            <w:shd w:val="clear" w:color="auto" w:fill="auto"/>
          </w:tcPr>
          <w:p w:rsidR="00D26C53" w:rsidRPr="0012760D" w:rsidRDefault="00D26C53" w:rsidP="00C17424">
            <w:pPr>
              <w:jc w:val="right"/>
              <w:rPr>
                <w:sz w:val="24"/>
                <w:szCs w:val="24"/>
              </w:rPr>
            </w:pPr>
            <w:r w:rsidRPr="0012760D">
              <w:rPr>
                <w:sz w:val="24"/>
                <w:szCs w:val="24"/>
              </w:rPr>
              <w:t>500,000</w:t>
            </w:r>
          </w:p>
        </w:tc>
      </w:tr>
    </w:tbl>
    <w:p w:rsidR="005A26D3" w:rsidRDefault="005A26D3" w:rsidP="00D26C53">
      <w:pPr>
        <w:rPr>
          <w:sz w:val="24"/>
          <w:szCs w:val="24"/>
        </w:rPr>
      </w:pPr>
    </w:p>
    <w:p w:rsidR="005A26D3" w:rsidRDefault="005A26D3" w:rsidP="00D26C53">
      <w:pPr>
        <w:rPr>
          <w:sz w:val="24"/>
          <w:szCs w:val="24"/>
        </w:rPr>
      </w:pPr>
    </w:p>
    <w:p w:rsidR="00D26C53" w:rsidRPr="0012760D" w:rsidRDefault="00D26C53" w:rsidP="005A26D3">
      <w:pPr>
        <w:pStyle w:val="Heading2"/>
      </w:pPr>
      <w:r w:rsidRPr="0012760D">
        <w:t>New Allocations Made Under Existing Sustainability Fund Supported Programs</w:t>
      </w:r>
    </w:p>
    <w:p w:rsidR="00D26C53" w:rsidRPr="0012760D" w:rsidRDefault="00D26C53" w:rsidP="00D26C53">
      <w:pPr>
        <w:rPr>
          <w:sz w:val="24"/>
          <w:szCs w:val="24"/>
        </w:rPr>
      </w:pPr>
    </w:p>
    <w:p w:rsidR="00D26C53" w:rsidRDefault="00D26C53" w:rsidP="00D26C53">
      <w:pPr>
        <w:rPr>
          <w:bCs/>
          <w:sz w:val="24"/>
          <w:szCs w:val="24"/>
        </w:rPr>
      </w:pPr>
      <w:r w:rsidRPr="0012760D">
        <w:rPr>
          <w:bCs/>
          <w:sz w:val="24"/>
          <w:szCs w:val="24"/>
        </w:rPr>
        <w:t>Overseen by the Department of Environment and Primary Industries</w:t>
      </w:r>
      <w:r w:rsidR="005A26D3">
        <w:rPr>
          <w:bCs/>
          <w:sz w:val="24"/>
          <w:szCs w:val="24"/>
        </w:rPr>
        <w:t>.</w:t>
      </w:r>
    </w:p>
    <w:p w:rsidR="005A26D3" w:rsidRDefault="005A26D3" w:rsidP="00D26C53">
      <w:pPr>
        <w:rPr>
          <w:bCs/>
          <w:sz w:val="24"/>
          <w:szCs w:val="24"/>
        </w:rPr>
      </w:pPr>
    </w:p>
    <w:p w:rsidR="005A26D3" w:rsidRPr="005A26D3" w:rsidRDefault="005A26D3" w:rsidP="00D26C53">
      <w:pPr>
        <w:rPr>
          <w:sz w:val="24"/>
          <w:szCs w:val="24"/>
        </w:rPr>
      </w:pPr>
    </w:p>
    <w:p w:rsidR="00D26C53" w:rsidRPr="0012760D" w:rsidRDefault="00D26C53" w:rsidP="005A26D3">
      <w:pPr>
        <w:pStyle w:val="Heading3"/>
      </w:pPr>
      <w:r w:rsidRPr="0012760D">
        <w:t>Funding program: Communities for nature grants program - round 2</w:t>
      </w:r>
    </w:p>
    <w:p w:rsidR="00D26C53" w:rsidRPr="0012760D" w:rsidRDefault="00D26C53" w:rsidP="00D26C53">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5173"/>
        <w:gridCol w:w="6624"/>
        <w:gridCol w:w="2237"/>
      </w:tblGrid>
      <w:tr w:rsidR="00D26C53" w:rsidRPr="0012760D" w:rsidTr="00C17424">
        <w:tblPrEx>
          <w:tblCellMar>
            <w:top w:w="0" w:type="dxa"/>
            <w:bottom w:w="0" w:type="dxa"/>
          </w:tblCellMar>
        </w:tblPrEx>
        <w:tc>
          <w:tcPr>
            <w:tcW w:w="1843" w:type="pct"/>
            <w:shd w:val="clear" w:color="auto" w:fill="auto"/>
          </w:tcPr>
          <w:p w:rsidR="00D26C53" w:rsidRPr="0012760D" w:rsidRDefault="00D26C53" w:rsidP="00C17424">
            <w:pPr>
              <w:rPr>
                <w:sz w:val="24"/>
                <w:szCs w:val="24"/>
              </w:rPr>
            </w:pPr>
            <w:r w:rsidRPr="0012760D">
              <w:rPr>
                <w:bCs/>
                <w:sz w:val="24"/>
                <w:szCs w:val="24"/>
              </w:rPr>
              <w:t>Organisation</w:t>
            </w:r>
          </w:p>
        </w:tc>
        <w:tc>
          <w:tcPr>
            <w:tcW w:w="2360" w:type="pct"/>
            <w:shd w:val="clear" w:color="auto" w:fill="auto"/>
          </w:tcPr>
          <w:p w:rsidR="00D26C53" w:rsidRPr="0012760D" w:rsidRDefault="00D26C53" w:rsidP="00C17424">
            <w:pPr>
              <w:rPr>
                <w:sz w:val="24"/>
                <w:szCs w:val="24"/>
              </w:rPr>
            </w:pPr>
            <w:r w:rsidRPr="0012760D">
              <w:rPr>
                <w:bCs/>
                <w:sz w:val="24"/>
                <w:szCs w:val="24"/>
              </w:rPr>
              <w:t>Project</w:t>
            </w:r>
          </w:p>
        </w:tc>
        <w:tc>
          <w:tcPr>
            <w:tcW w:w="797" w:type="pct"/>
            <w:shd w:val="clear" w:color="auto" w:fill="auto"/>
          </w:tcPr>
          <w:p w:rsidR="00D26C53" w:rsidRPr="0012760D" w:rsidRDefault="00D26C53" w:rsidP="00C17424">
            <w:pPr>
              <w:rPr>
                <w:sz w:val="24"/>
                <w:szCs w:val="24"/>
              </w:rPr>
            </w:pPr>
            <w:r w:rsidRPr="0012760D">
              <w:rPr>
                <w:bCs/>
                <w:sz w:val="24"/>
                <w:szCs w:val="24"/>
              </w:rPr>
              <w:t>Funding support $</w:t>
            </w:r>
          </w:p>
        </w:tc>
      </w:tr>
      <w:tr w:rsidR="00D26C53" w:rsidRPr="0012760D" w:rsidTr="00C17424">
        <w:tblPrEx>
          <w:tblCellMar>
            <w:top w:w="0" w:type="dxa"/>
            <w:bottom w:w="0" w:type="dxa"/>
          </w:tblCellMar>
        </w:tblPrEx>
        <w:tc>
          <w:tcPr>
            <w:tcW w:w="1843" w:type="pct"/>
            <w:shd w:val="clear" w:color="auto" w:fill="auto"/>
          </w:tcPr>
          <w:p w:rsidR="00D26C53" w:rsidRPr="0012760D" w:rsidRDefault="00D26C53" w:rsidP="00C17424">
            <w:pPr>
              <w:rPr>
                <w:sz w:val="24"/>
                <w:szCs w:val="24"/>
              </w:rPr>
            </w:pPr>
            <w:r w:rsidRPr="0012760D">
              <w:rPr>
                <w:sz w:val="24"/>
                <w:szCs w:val="24"/>
              </w:rPr>
              <w:t>Mid-Loddon Sub-Catchment Management Group</w:t>
            </w:r>
          </w:p>
        </w:tc>
        <w:tc>
          <w:tcPr>
            <w:tcW w:w="2360" w:type="pct"/>
            <w:shd w:val="clear" w:color="auto" w:fill="auto"/>
          </w:tcPr>
          <w:p w:rsidR="00D26C53" w:rsidRPr="0012760D" w:rsidRDefault="00D26C53" w:rsidP="00C17424">
            <w:pPr>
              <w:rPr>
                <w:sz w:val="24"/>
                <w:szCs w:val="24"/>
              </w:rPr>
            </w:pPr>
            <w:r w:rsidRPr="0012760D">
              <w:rPr>
                <w:sz w:val="24"/>
                <w:szCs w:val="24"/>
              </w:rPr>
              <w:t>Protection and enhancement of mid-Loddon woodland ecosystems-filling in the gaps</w:t>
            </w:r>
          </w:p>
        </w:tc>
        <w:tc>
          <w:tcPr>
            <w:tcW w:w="797" w:type="pct"/>
            <w:shd w:val="clear" w:color="auto" w:fill="auto"/>
          </w:tcPr>
          <w:p w:rsidR="00D26C53" w:rsidRPr="0012760D" w:rsidRDefault="00D26C53" w:rsidP="00C17424">
            <w:pPr>
              <w:jc w:val="right"/>
              <w:rPr>
                <w:sz w:val="24"/>
                <w:szCs w:val="24"/>
              </w:rPr>
            </w:pPr>
            <w:r w:rsidRPr="0012760D">
              <w:rPr>
                <w:sz w:val="24"/>
                <w:szCs w:val="24"/>
              </w:rPr>
              <w:t>5,576</w:t>
            </w:r>
          </w:p>
        </w:tc>
      </w:tr>
      <w:tr w:rsidR="00D26C53" w:rsidRPr="0012760D" w:rsidTr="00C17424">
        <w:tblPrEx>
          <w:tblCellMar>
            <w:top w:w="0" w:type="dxa"/>
            <w:bottom w:w="0" w:type="dxa"/>
          </w:tblCellMar>
        </w:tblPrEx>
        <w:tc>
          <w:tcPr>
            <w:tcW w:w="1843" w:type="pct"/>
            <w:shd w:val="clear" w:color="auto" w:fill="auto"/>
          </w:tcPr>
          <w:p w:rsidR="00D26C53" w:rsidRPr="0012760D" w:rsidRDefault="00D26C53" w:rsidP="00C17424">
            <w:pPr>
              <w:rPr>
                <w:sz w:val="24"/>
                <w:szCs w:val="24"/>
              </w:rPr>
            </w:pPr>
            <w:r w:rsidRPr="0012760D">
              <w:rPr>
                <w:sz w:val="24"/>
                <w:szCs w:val="24"/>
              </w:rPr>
              <w:t>Ashbourne Landcare Group</w:t>
            </w:r>
          </w:p>
        </w:tc>
        <w:tc>
          <w:tcPr>
            <w:tcW w:w="2360" w:type="pct"/>
            <w:shd w:val="clear" w:color="auto" w:fill="auto"/>
          </w:tcPr>
          <w:p w:rsidR="00D26C53" w:rsidRPr="0012760D" w:rsidRDefault="00D26C53" w:rsidP="00C17424">
            <w:pPr>
              <w:rPr>
                <w:sz w:val="24"/>
                <w:szCs w:val="24"/>
              </w:rPr>
            </w:pPr>
            <w:r w:rsidRPr="0012760D">
              <w:rPr>
                <w:sz w:val="24"/>
                <w:szCs w:val="24"/>
              </w:rPr>
              <w:t>Upper Campapse River Riparian Zone Restoration</w:t>
            </w:r>
          </w:p>
        </w:tc>
        <w:tc>
          <w:tcPr>
            <w:tcW w:w="797" w:type="pct"/>
            <w:shd w:val="clear" w:color="auto" w:fill="auto"/>
          </w:tcPr>
          <w:p w:rsidR="00D26C53" w:rsidRPr="0012760D" w:rsidRDefault="00D26C53" w:rsidP="00C17424">
            <w:pPr>
              <w:jc w:val="right"/>
              <w:rPr>
                <w:sz w:val="24"/>
                <w:szCs w:val="24"/>
              </w:rPr>
            </w:pPr>
            <w:r w:rsidRPr="0012760D">
              <w:rPr>
                <w:sz w:val="24"/>
                <w:szCs w:val="24"/>
              </w:rPr>
              <w:t>9,962</w:t>
            </w:r>
          </w:p>
        </w:tc>
      </w:tr>
      <w:tr w:rsidR="00D26C53" w:rsidRPr="0012760D" w:rsidTr="00C17424">
        <w:tblPrEx>
          <w:tblCellMar>
            <w:top w:w="0" w:type="dxa"/>
            <w:bottom w:w="0" w:type="dxa"/>
          </w:tblCellMar>
        </w:tblPrEx>
        <w:tc>
          <w:tcPr>
            <w:tcW w:w="1843" w:type="pct"/>
            <w:shd w:val="clear" w:color="auto" w:fill="auto"/>
          </w:tcPr>
          <w:p w:rsidR="00D26C53" w:rsidRPr="0012760D" w:rsidRDefault="00D26C53" w:rsidP="00C17424">
            <w:pPr>
              <w:rPr>
                <w:sz w:val="24"/>
                <w:szCs w:val="24"/>
              </w:rPr>
            </w:pPr>
            <w:r w:rsidRPr="0012760D">
              <w:rPr>
                <w:sz w:val="24"/>
                <w:szCs w:val="24"/>
              </w:rPr>
              <w:t>Wedderburn Conservation Management Network</w:t>
            </w:r>
          </w:p>
        </w:tc>
        <w:tc>
          <w:tcPr>
            <w:tcW w:w="2360" w:type="pct"/>
            <w:shd w:val="clear" w:color="auto" w:fill="auto"/>
          </w:tcPr>
          <w:p w:rsidR="00D26C53" w:rsidRPr="0012760D" w:rsidRDefault="00D26C53" w:rsidP="00C17424">
            <w:pPr>
              <w:rPr>
                <w:sz w:val="24"/>
                <w:szCs w:val="24"/>
              </w:rPr>
            </w:pPr>
            <w:r w:rsidRPr="0012760D">
              <w:rPr>
                <w:sz w:val="24"/>
                <w:szCs w:val="24"/>
              </w:rPr>
              <w:t>Conserving Malleefowl at Wychitella NCR</w:t>
            </w:r>
          </w:p>
        </w:tc>
        <w:tc>
          <w:tcPr>
            <w:tcW w:w="797" w:type="pct"/>
            <w:shd w:val="clear" w:color="auto" w:fill="auto"/>
          </w:tcPr>
          <w:p w:rsidR="00D26C53" w:rsidRPr="0012760D" w:rsidRDefault="00D26C53" w:rsidP="00C17424">
            <w:pPr>
              <w:jc w:val="right"/>
              <w:rPr>
                <w:sz w:val="24"/>
                <w:szCs w:val="24"/>
              </w:rPr>
            </w:pPr>
            <w:r w:rsidRPr="0012760D">
              <w:rPr>
                <w:sz w:val="24"/>
                <w:szCs w:val="24"/>
              </w:rPr>
              <w:t>10,000</w:t>
            </w:r>
          </w:p>
        </w:tc>
      </w:tr>
      <w:tr w:rsidR="00D26C53" w:rsidRPr="0012760D" w:rsidTr="00C17424">
        <w:tblPrEx>
          <w:tblCellMar>
            <w:top w:w="0" w:type="dxa"/>
            <w:bottom w:w="0" w:type="dxa"/>
          </w:tblCellMar>
        </w:tblPrEx>
        <w:tc>
          <w:tcPr>
            <w:tcW w:w="1843" w:type="pct"/>
            <w:shd w:val="clear" w:color="auto" w:fill="auto"/>
          </w:tcPr>
          <w:p w:rsidR="00D26C53" w:rsidRPr="0012760D" w:rsidRDefault="00D26C53" w:rsidP="00C17424">
            <w:pPr>
              <w:rPr>
                <w:sz w:val="24"/>
                <w:szCs w:val="24"/>
              </w:rPr>
            </w:pPr>
            <w:r w:rsidRPr="0012760D">
              <w:rPr>
                <w:sz w:val="24"/>
                <w:szCs w:val="24"/>
              </w:rPr>
              <w:t>Friends of the Box-Ironbark Forest Inc. (Mount Alexander Region)</w:t>
            </w:r>
          </w:p>
        </w:tc>
        <w:tc>
          <w:tcPr>
            <w:tcW w:w="2360" w:type="pct"/>
            <w:shd w:val="clear" w:color="auto" w:fill="auto"/>
          </w:tcPr>
          <w:p w:rsidR="00D26C53" w:rsidRPr="0012760D" w:rsidRDefault="00D26C53" w:rsidP="00C17424">
            <w:pPr>
              <w:rPr>
                <w:sz w:val="24"/>
                <w:szCs w:val="24"/>
              </w:rPr>
            </w:pPr>
            <w:r w:rsidRPr="0012760D">
              <w:rPr>
                <w:sz w:val="24"/>
                <w:szCs w:val="24"/>
              </w:rPr>
              <w:t>Promoting natural regeneration through Forest Creek catchment by stopping the spread of Saint John's wort</w:t>
            </w:r>
          </w:p>
        </w:tc>
        <w:tc>
          <w:tcPr>
            <w:tcW w:w="797" w:type="pct"/>
            <w:shd w:val="clear" w:color="auto" w:fill="auto"/>
          </w:tcPr>
          <w:p w:rsidR="00D26C53" w:rsidRPr="0012760D" w:rsidRDefault="00D26C53" w:rsidP="00C17424">
            <w:pPr>
              <w:jc w:val="right"/>
              <w:rPr>
                <w:sz w:val="24"/>
                <w:szCs w:val="24"/>
              </w:rPr>
            </w:pPr>
            <w:r w:rsidRPr="0012760D">
              <w:rPr>
                <w:sz w:val="24"/>
                <w:szCs w:val="24"/>
              </w:rPr>
              <w:t>4,200</w:t>
            </w:r>
          </w:p>
        </w:tc>
      </w:tr>
      <w:tr w:rsidR="00D26C53" w:rsidRPr="0012760D" w:rsidTr="00C17424">
        <w:tblPrEx>
          <w:tblCellMar>
            <w:top w:w="0" w:type="dxa"/>
            <w:bottom w:w="0" w:type="dxa"/>
          </w:tblCellMar>
        </w:tblPrEx>
        <w:tc>
          <w:tcPr>
            <w:tcW w:w="1843" w:type="pct"/>
            <w:shd w:val="clear" w:color="auto" w:fill="auto"/>
          </w:tcPr>
          <w:p w:rsidR="00D26C53" w:rsidRPr="0012760D" w:rsidRDefault="00D26C53" w:rsidP="00C17424">
            <w:pPr>
              <w:rPr>
                <w:sz w:val="24"/>
                <w:szCs w:val="24"/>
              </w:rPr>
            </w:pPr>
            <w:r w:rsidRPr="0012760D">
              <w:rPr>
                <w:sz w:val="24"/>
                <w:szCs w:val="24"/>
              </w:rPr>
              <w:lastRenderedPageBreak/>
              <w:t>Baynton Sidonia Landcare Group</w:t>
            </w:r>
          </w:p>
        </w:tc>
        <w:tc>
          <w:tcPr>
            <w:tcW w:w="2360" w:type="pct"/>
            <w:shd w:val="clear" w:color="auto" w:fill="auto"/>
          </w:tcPr>
          <w:p w:rsidR="00D26C53" w:rsidRPr="0012760D" w:rsidRDefault="00D26C53" w:rsidP="00C17424">
            <w:pPr>
              <w:rPr>
                <w:sz w:val="24"/>
                <w:szCs w:val="24"/>
              </w:rPr>
            </w:pPr>
            <w:r w:rsidRPr="0012760D">
              <w:rPr>
                <w:sz w:val="24"/>
                <w:szCs w:val="24"/>
              </w:rPr>
              <w:t>Prendergasts Lane Gorse Eradication Extension Project</w:t>
            </w:r>
          </w:p>
        </w:tc>
        <w:tc>
          <w:tcPr>
            <w:tcW w:w="797" w:type="pct"/>
            <w:shd w:val="clear" w:color="auto" w:fill="auto"/>
          </w:tcPr>
          <w:p w:rsidR="00D26C53" w:rsidRPr="0012760D" w:rsidRDefault="00D26C53" w:rsidP="00C17424">
            <w:pPr>
              <w:jc w:val="right"/>
              <w:rPr>
                <w:sz w:val="24"/>
                <w:szCs w:val="24"/>
              </w:rPr>
            </w:pPr>
            <w:r w:rsidRPr="0012760D">
              <w:rPr>
                <w:sz w:val="24"/>
                <w:szCs w:val="24"/>
              </w:rPr>
              <w:t>9,980</w:t>
            </w:r>
          </w:p>
        </w:tc>
      </w:tr>
      <w:tr w:rsidR="00D26C53" w:rsidRPr="0012760D" w:rsidTr="00C17424">
        <w:tblPrEx>
          <w:tblCellMar>
            <w:top w:w="0" w:type="dxa"/>
            <w:bottom w:w="0" w:type="dxa"/>
          </w:tblCellMar>
        </w:tblPrEx>
        <w:tc>
          <w:tcPr>
            <w:tcW w:w="1843" w:type="pct"/>
            <w:shd w:val="clear" w:color="auto" w:fill="auto"/>
          </w:tcPr>
          <w:p w:rsidR="00D26C53" w:rsidRPr="0012760D" w:rsidRDefault="00D26C53" w:rsidP="00C17424">
            <w:pPr>
              <w:rPr>
                <w:sz w:val="24"/>
                <w:szCs w:val="24"/>
              </w:rPr>
            </w:pPr>
            <w:r w:rsidRPr="0012760D">
              <w:rPr>
                <w:sz w:val="24"/>
                <w:szCs w:val="24"/>
              </w:rPr>
              <w:t>Sutton Grange Landcare Group Inc.</w:t>
            </w:r>
          </w:p>
        </w:tc>
        <w:tc>
          <w:tcPr>
            <w:tcW w:w="2360" w:type="pct"/>
            <w:shd w:val="clear" w:color="auto" w:fill="auto"/>
          </w:tcPr>
          <w:p w:rsidR="00D26C53" w:rsidRPr="0012760D" w:rsidRDefault="00D26C53" w:rsidP="00C17424">
            <w:pPr>
              <w:rPr>
                <w:sz w:val="24"/>
                <w:szCs w:val="24"/>
              </w:rPr>
            </w:pPr>
            <w:r w:rsidRPr="0012760D">
              <w:rPr>
                <w:sz w:val="24"/>
                <w:szCs w:val="24"/>
              </w:rPr>
              <w:t>Weed Control in the headwaters of Axe Creek</w:t>
            </w:r>
          </w:p>
        </w:tc>
        <w:tc>
          <w:tcPr>
            <w:tcW w:w="797" w:type="pct"/>
            <w:shd w:val="clear" w:color="auto" w:fill="auto"/>
          </w:tcPr>
          <w:p w:rsidR="00D26C53" w:rsidRPr="0012760D" w:rsidRDefault="00D26C53" w:rsidP="00C17424">
            <w:pPr>
              <w:jc w:val="right"/>
              <w:rPr>
                <w:sz w:val="24"/>
                <w:szCs w:val="24"/>
              </w:rPr>
            </w:pPr>
            <w:r w:rsidRPr="0012760D">
              <w:rPr>
                <w:sz w:val="24"/>
                <w:szCs w:val="24"/>
              </w:rPr>
              <w:t>9,200</w:t>
            </w:r>
          </w:p>
        </w:tc>
      </w:tr>
      <w:tr w:rsidR="00D26C53" w:rsidRPr="0012760D" w:rsidTr="00C17424">
        <w:tblPrEx>
          <w:tblCellMar>
            <w:top w:w="0" w:type="dxa"/>
            <w:bottom w:w="0" w:type="dxa"/>
          </w:tblCellMar>
        </w:tblPrEx>
        <w:tc>
          <w:tcPr>
            <w:tcW w:w="1843" w:type="pct"/>
            <w:shd w:val="clear" w:color="auto" w:fill="auto"/>
          </w:tcPr>
          <w:p w:rsidR="00D26C53" w:rsidRPr="0012760D" w:rsidRDefault="00D26C53" w:rsidP="00C17424">
            <w:pPr>
              <w:rPr>
                <w:sz w:val="24"/>
                <w:szCs w:val="24"/>
              </w:rPr>
            </w:pPr>
            <w:r w:rsidRPr="0012760D">
              <w:rPr>
                <w:sz w:val="24"/>
                <w:szCs w:val="24"/>
              </w:rPr>
              <w:t>Johns Hill Landcare Group Inc.</w:t>
            </w:r>
          </w:p>
        </w:tc>
        <w:tc>
          <w:tcPr>
            <w:tcW w:w="2360" w:type="pct"/>
            <w:shd w:val="clear" w:color="auto" w:fill="auto"/>
          </w:tcPr>
          <w:p w:rsidR="00D26C53" w:rsidRPr="0012760D" w:rsidRDefault="00D26C53" w:rsidP="00C17424">
            <w:pPr>
              <w:rPr>
                <w:sz w:val="24"/>
                <w:szCs w:val="24"/>
              </w:rPr>
            </w:pPr>
            <w:r w:rsidRPr="0012760D">
              <w:rPr>
                <w:sz w:val="24"/>
                <w:szCs w:val="24"/>
              </w:rPr>
              <w:t>Emerald's latest bushland reserve</w:t>
            </w:r>
          </w:p>
        </w:tc>
        <w:tc>
          <w:tcPr>
            <w:tcW w:w="797" w:type="pct"/>
            <w:shd w:val="clear" w:color="auto" w:fill="auto"/>
          </w:tcPr>
          <w:p w:rsidR="00D26C53" w:rsidRPr="0012760D" w:rsidRDefault="00D26C53" w:rsidP="00C17424">
            <w:pPr>
              <w:jc w:val="right"/>
              <w:rPr>
                <w:sz w:val="24"/>
                <w:szCs w:val="24"/>
              </w:rPr>
            </w:pPr>
            <w:r w:rsidRPr="0012760D">
              <w:rPr>
                <w:sz w:val="24"/>
                <w:szCs w:val="24"/>
              </w:rPr>
              <w:t>9,925</w:t>
            </w:r>
          </w:p>
        </w:tc>
      </w:tr>
      <w:tr w:rsidR="00D26C53" w:rsidRPr="0012760D" w:rsidTr="00C17424">
        <w:tblPrEx>
          <w:tblCellMar>
            <w:top w:w="0" w:type="dxa"/>
            <w:bottom w:w="0" w:type="dxa"/>
          </w:tblCellMar>
        </w:tblPrEx>
        <w:tc>
          <w:tcPr>
            <w:tcW w:w="1843" w:type="pct"/>
            <w:shd w:val="clear" w:color="auto" w:fill="auto"/>
          </w:tcPr>
          <w:p w:rsidR="00D26C53" w:rsidRPr="0012760D" w:rsidRDefault="00D26C53" w:rsidP="00C17424">
            <w:pPr>
              <w:rPr>
                <w:sz w:val="24"/>
                <w:szCs w:val="24"/>
              </w:rPr>
            </w:pPr>
            <w:r w:rsidRPr="0012760D">
              <w:rPr>
                <w:sz w:val="24"/>
                <w:szCs w:val="24"/>
              </w:rPr>
              <w:t>Australasian Native Orchid Society (Geelong Group)</w:t>
            </w:r>
          </w:p>
        </w:tc>
        <w:tc>
          <w:tcPr>
            <w:tcW w:w="2360" w:type="pct"/>
            <w:shd w:val="clear" w:color="auto" w:fill="auto"/>
          </w:tcPr>
          <w:p w:rsidR="00D26C53" w:rsidRPr="0012760D" w:rsidRDefault="00D26C53" w:rsidP="00C17424">
            <w:pPr>
              <w:rPr>
                <w:sz w:val="24"/>
                <w:szCs w:val="24"/>
              </w:rPr>
            </w:pPr>
            <w:r w:rsidRPr="0012760D">
              <w:rPr>
                <w:sz w:val="24"/>
                <w:szCs w:val="24"/>
              </w:rPr>
              <w:t>Plains Grassy Woodland maintenance, Caladenia pumila propagation and restoration</w:t>
            </w:r>
          </w:p>
        </w:tc>
        <w:tc>
          <w:tcPr>
            <w:tcW w:w="797" w:type="pct"/>
            <w:shd w:val="clear" w:color="auto" w:fill="auto"/>
          </w:tcPr>
          <w:p w:rsidR="00D26C53" w:rsidRPr="0012760D" w:rsidRDefault="00D26C53" w:rsidP="00C17424">
            <w:pPr>
              <w:jc w:val="right"/>
              <w:rPr>
                <w:sz w:val="24"/>
                <w:szCs w:val="24"/>
              </w:rPr>
            </w:pPr>
            <w:r w:rsidRPr="0012760D">
              <w:rPr>
                <w:sz w:val="24"/>
                <w:szCs w:val="24"/>
              </w:rPr>
              <w:t>9,204</w:t>
            </w:r>
          </w:p>
        </w:tc>
      </w:tr>
      <w:tr w:rsidR="00D26C53" w:rsidRPr="0012760D" w:rsidTr="00C17424">
        <w:tblPrEx>
          <w:tblCellMar>
            <w:top w:w="0" w:type="dxa"/>
            <w:bottom w:w="0" w:type="dxa"/>
          </w:tblCellMar>
        </w:tblPrEx>
        <w:tc>
          <w:tcPr>
            <w:tcW w:w="1843" w:type="pct"/>
            <w:shd w:val="clear" w:color="auto" w:fill="auto"/>
          </w:tcPr>
          <w:p w:rsidR="00D26C53" w:rsidRPr="0012760D" w:rsidRDefault="00D26C53" w:rsidP="00C17424">
            <w:pPr>
              <w:rPr>
                <w:sz w:val="24"/>
                <w:szCs w:val="24"/>
              </w:rPr>
            </w:pPr>
            <w:r w:rsidRPr="0012760D">
              <w:rPr>
                <w:sz w:val="24"/>
                <w:szCs w:val="24"/>
              </w:rPr>
              <w:t>Wedderburn P to 12 college</w:t>
            </w:r>
          </w:p>
        </w:tc>
        <w:tc>
          <w:tcPr>
            <w:tcW w:w="2360" w:type="pct"/>
            <w:shd w:val="clear" w:color="auto" w:fill="auto"/>
          </w:tcPr>
          <w:p w:rsidR="00D26C53" w:rsidRPr="0012760D" w:rsidRDefault="00D26C53" w:rsidP="00C17424">
            <w:pPr>
              <w:rPr>
                <w:sz w:val="24"/>
                <w:szCs w:val="24"/>
              </w:rPr>
            </w:pPr>
            <w:r w:rsidRPr="0012760D">
              <w:rPr>
                <w:sz w:val="24"/>
                <w:szCs w:val="24"/>
              </w:rPr>
              <w:t>Wedderburn College Indigenous Ecosystem Project</w:t>
            </w:r>
          </w:p>
        </w:tc>
        <w:tc>
          <w:tcPr>
            <w:tcW w:w="797" w:type="pct"/>
            <w:shd w:val="clear" w:color="auto" w:fill="auto"/>
          </w:tcPr>
          <w:p w:rsidR="00D26C53" w:rsidRPr="0012760D" w:rsidRDefault="00D26C53" w:rsidP="00C17424">
            <w:pPr>
              <w:jc w:val="right"/>
              <w:rPr>
                <w:sz w:val="24"/>
                <w:szCs w:val="24"/>
              </w:rPr>
            </w:pPr>
            <w:r w:rsidRPr="0012760D">
              <w:rPr>
                <w:sz w:val="24"/>
                <w:szCs w:val="24"/>
              </w:rPr>
              <w:t>10,000</w:t>
            </w:r>
          </w:p>
        </w:tc>
      </w:tr>
      <w:tr w:rsidR="00D26C53" w:rsidRPr="0012760D" w:rsidTr="00C17424">
        <w:tblPrEx>
          <w:tblCellMar>
            <w:top w:w="0" w:type="dxa"/>
            <w:bottom w:w="0" w:type="dxa"/>
          </w:tblCellMar>
        </w:tblPrEx>
        <w:tc>
          <w:tcPr>
            <w:tcW w:w="1843" w:type="pct"/>
            <w:shd w:val="clear" w:color="auto" w:fill="auto"/>
          </w:tcPr>
          <w:p w:rsidR="00D26C53" w:rsidRPr="0012760D" w:rsidRDefault="00D26C53" w:rsidP="00C17424">
            <w:pPr>
              <w:rPr>
                <w:sz w:val="24"/>
                <w:szCs w:val="24"/>
              </w:rPr>
            </w:pPr>
            <w:r w:rsidRPr="0012760D">
              <w:rPr>
                <w:sz w:val="24"/>
                <w:szCs w:val="24"/>
              </w:rPr>
              <w:t>Bendigo Mountain Bike Club</w:t>
            </w:r>
          </w:p>
        </w:tc>
        <w:tc>
          <w:tcPr>
            <w:tcW w:w="2360" w:type="pct"/>
            <w:shd w:val="clear" w:color="auto" w:fill="auto"/>
          </w:tcPr>
          <w:p w:rsidR="00D26C53" w:rsidRPr="0012760D" w:rsidRDefault="00D26C53" w:rsidP="00C17424">
            <w:pPr>
              <w:rPr>
                <w:sz w:val="24"/>
                <w:szCs w:val="24"/>
              </w:rPr>
            </w:pPr>
            <w:r w:rsidRPr="0012760D">
              <w:rPr>
                <w:sz w:val="24"/>
                <w:szCs w:val="24"/>
              </w:rPr>
              <w:t>Rationalisation and redevelopment of Mountain Bike Cross-Country trails in Bendigo Regional Park</w:t>
            </w:r>
          </w:p>
        </w:tc>
        <w:tc>
          <w:tcPr>
            <w:tcW w:w="797" w:type="pct"/>
            <w:shd w:val="clear" w:color="auto" w:fill="auto"/>
          </w:tcPr>
          <w:p w:rsidR="00D26C53" w:rsidRPr="0012760D" w:rsidRDefault="00D26C53" w:rsidP="00C17424">
            <w:pPr>
              <w:jc w:val="right"/>
              <w:rPr>
                <w:sz w:val="24"/>
                <w:szCs w:val="24"/>
              </w:rPr>
            </w:pPr>
            <w:r w:rsidRPr="0012760D">
              <w:rPr>
                <w:sz w:val="24"/>
                <w:szCs w:val="24"/>
              </w:rPr>
              <w:t>10,000</w:t>
            </w:r>
          </w:p>
        </w:tc>
      </w:tr>
      <w:tr w:rsidR="00D26C53" w:rsidRPr="0012760D" w:rsidTr="00C17424">
        <w:tblPrEx>
          <w:tblCellMar>
            <w:top w:w="0" w:type="dxa"/>
            <w:bottom w:w="0" w:type="dxa"/>
          </w:tblCellMar>
        </w:tblPrEx>
        <w:tc>
          <w:tcPr>
            <w:tcW w:w="1843" w:type="pct"/>
            <w:shd w:val="clear" w:color="auto" w:fill="auto"/>
          </w:tcPr>
          <w:p w:rsidR="00D26C53" w:rsidRPr="0012760D" w:rsidRDefault="00D26C53" w:rsidP="00C17424">
            <w:pPr>
              <w:rPr>
                <w:sz w:val="24"/>
                <w:szCs w:val="24"/>
              </w:rPr>
            </w:pPr>
            <w:r w:rsidRPr="0012760D">
              <w:rPr>
                <w:sz w:val="24"/>
                <w:szCs w:val="24"/>
              </w:rPr>
              <w:t>Barongarook Landcare Group</w:t>
            </w:r>
          </w:p>
        </w:tc>
        <w:tc>
          <w:tcPr>
            <w:tcW w:w="2360" w:type="pct"/>
            <w:shd w:val="clear" w:color="auto" w:fill="auto"/>
          </w:tcPr>
          <w:p w:rsidR="00D26C53" w:rsidRPr="0012760D" w:rsidRDefault="00D26C53" w:rsidP="00C17424">
            <w:pPr>
              <w:rPr>
                <w:sz w:val="24"/>
                <w:szCs w:val="24"/>
              </w:rPr>
            </w:pPr>
            <w:r w:rsidRPr="0012760D">
              <w:rPr>
                <w:sz w:val="24"/>
                <w:szCs w:val="24"/>
              </w:rPr>
              <w:t>Joining Forces - Cleaning Up Barongarook Water Courses</w:t>
            </w:r>
          </w:p>
        </w:tc>
        <w:tc>
          <w:tcPr>
            <w:tcW w:w="797" w:type="pct"/>
            <w:shd w:val="clear" w:color="auto" w:fill="auto"/>
          </w:tcPr>
          <w:p w:rsidR="00D26C53" w:rsidRPr="0012760D" w:rsidRDefault="00D26C53" w:rsidP="00C17424">
            <w:pPr>
              <w:jc w:val="right"/>
              <w:rPr>
                <w:sz w:val="24"/>
                <w:szCs w:val="24"/>
              </w:rPr>
            </w:pPr>
            <w:r w:rsidRPr="0012760D">
              <w:rPr>
                <w:sz w:val="24"/>
                <w:szCs w:val="24"/>
              </w:rPr>
              <w:t>9,944</w:t>
            </w:r>
          </w:p>
        </w:tc>
      </w:tr>
    </w:tbl>
    <w:p w:rsidR="00D26C53" w:rsidRPr="0012760D" w:rsidRDefault="00D26C53">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5151"/>
        <w:gridCol w:w="6635"/>
        <w:gridCol w:w="2248"/>
      </w:tblGrid>
      <w:tr w:rsidR="00D26C53" w:rsidRPr="0012760D" w:rsidTr="00356EA1">
        <w:tblPrEx>
          <w:tblCellMar>
            <w:top w:w="0" w:type="dxa"/>
            <w:bottom w:w="0" w:type="dxa"/>
          </w:tblCellMar>
        </w:tblPrEx>
        <w:tc>
          <w:tcPr>
            <w:tcW w:w="1835" w:type="pct"/>
            <w:shd w:val="clear" w:color="auto" w:fill="auto"/>
          </w:tcPr>
          <w:p w:rsidR="00D26C53" w:rsidRPr="0012760D" w:rsidRDefault="00D26C53" w:rsidP="00C17424">
            <w:pPr>
              <w:rPr>
                <w:sz w:val="24"/>
                <w:szCs w:val="24"/>
              </w:rPr>
            </w:pPr>
            <w:r w:rsidRPr="0012760D">
              <w:rPr>
                <w:sz w:val="24"/>
                <w:szCs w:val="24"/>
              </w:rPr>
              <w:t>Balcombe and Moorooduc Landcare Group</w:t>
            </w:r>
          </w:p>
        </w:tc>
        <w:tc>
          <w:tcPr>
            <w:tcW w:w="2364" w:type="pct"/>
            <w:shd w:val="clear" w:color="auto" w:fill="auto"/>
          </w:tcPr>
          <w:p w:rsidR="00D26C53" w:rsidRPr="0012760D" w:rsidRDefault="00D26C53" w:rsidP="00C17424">
            <w:pPr>
              <w:rPr>
                <w:sz w:val="24"/>
                <w:szCs w:val="24"/>
              </w:rPr>
            </w:pPr>
            <w:r w:rsidRPr="0012760D">
              <w:rPr>
                <w:sz w:val="24"/>
                <w:szCs w:val="24"/>
              </w:rPr>
              <w:t>Balcombe Nature Trail: Habitat enhancement along Balcombe Creek, Mount Martha</w:t>
            </w:r>
          </w:p>
        </w:tc>
        <w:tc>
          <w:tcPr>
            <w:tcW w:w="801" w:type="pct"/>
            <w:shd w:val="clear" w:color="auto" w:fill="auto"/>
          </w:tcPr>
          <w:p w:rsidR="00D26C53" w:rsidRPr="0012760D" w:rsidRDefault="00D26C53" w:rsidP="00C17424">
            <w:pPr>
              <w:jc w:val="right"/>
              <w:rPr>
                <w:sz w:val="24"/>
                <w:szCs w:val="24"/>
              </w:rPr>
            </w:pPr>
            <w:r w:rsidRPr="0012760D">
              <w:rPr>
                <w:sz w:val="24"/>
                <w:szCs w:val="24"/>
              </w:rPr>
              <w:t>10,000</w:t>
            </w:r>
          </w:p>
        </w:tc>
      </w:tr>
      <w:tr w:rsidR="00D26C53" w:rsidRPr="0012760D" w:rsidTr="00356EA1">
        <w:tblPrEx>
          <w:tblCellMar>
            <w:top w:w="0" w:type="dxa"/>
            <w:bottom w:w="0" w:type="dxa"/>
          </w:tblCellMar>
        </w:tblPrEx>
        <w:tc>
          <w:tcPr>
            <w:tcW w:w="1835" w:type="pct"/>
            <w:shd w:val="clear" w:color="auto" w:fill="auto"/>
          </w:tcPr>
          <w:p w:rsidR="00D26C53" w:rsidRPr="0012760D" w:rsidRDefault="00D26C53" w:rsidP="00C17424">
            <w:pPr>
              <w:rPr>
                <w:sz w:val="24"/>
                <w:szCs w:val="24"/>
              </w:rPr>
            </w:pPr>
            <w:r w:rsidRPr="0012760D">
              <w:rPr>
                <w:sz w:val="24"/>
                <w:szCs w:val="24"/>
              </w:rPr>
              <w:t>Alvie Tree Planters</w:t>
            </w:r>
          </w:p>
        </w:tc>
        <w:tc>
          <w:tcPr>
            <w:tcW w:w="2364" w:type="pct"/>
            <w:shd w:val="clear" w:color="auto" w:fill="auto"/>
          </w:tcPr>
          <w:p w:rsidR="00D26C53" w:rsidRPr="0012760D" w:rsidRDefault="00D26C53" w:rsidP="00C17424">
            <w:pPr>
              <w:rPr>
                <w:sz w:val="24"/>
                <w:szCs w:val="24"/>
              </w:rPr>
            </w:pPr>
            <w:r w:rsidRPr="0012760D">
              <w:rPr>
                <w:sz w:val="24"/>
                <w:szCs w:val="24"/>
              </w:rPr>
              <w:t>Lake Purdigulac revegetation</w:t>
            </w:r>
          </w:p>
        </w:tc>
        <w:tc>
          <w:tcPr>
            <w:tcW w:w="801" w:type="pct"/>
            <w:shd w:val="clear" w:color="auto" w:fill="auto"/>
          </w:tcPr>
          <w:p w:rsidR="00D26C53" w:rsidRPr="0012760D" w:rsidRDefault="00D26C53" w:rsidP="00C17424">
            <w:pPr>
              <w:jc w:val="right"/>
              <w:rPr>
                <w:sz w:val="24"/>
                <w:szCs w:val="24"/>
              </w:rPr>
            </w:pPr>
            <w:r w:rsidRPr="0012760D">
              <w:rPr>
                <w:sz w:val="24"/>
                <w:szCs w:val="24"/>
              </w:rPr>
              <w:t>8,950</w:t>
            </w:r>
          </w:p>
        </w:tc>
      </w:tr>
      <w:tr w:rsidR="00D26C53" w:rsidRPr="0012760D" w:rsidTr="00356EA1">
        <w:tblPrEx>
          <w:tblCellMar>
            <w:top w:w="0" w:type="dxa"/>
            <w:bottom w:w="0" w:type="dxa"/>
          </w:tblCellMar>
        </w:tblPrEx>
        <w:tc>
          <w:tcPr>
            <w:tcW w:w="1835" w:type="pct"/>
            <w:shd w:val="clear" w:color="auto" w:fill="auto"/>
          </w:tcPr>
          <w:p w:rsidR="00D26C53" w:rsidRPr="0012760D" w:rsidRDefault="00D26C53" w:rsidP="00C17424">
            <w:pPr>
              <w:rPr>
                <w:sz w:val="24"/>
                <w:szCs w:val="24"/>
              </w:rPr>
            </w:pPr>
            <w:r w:rsidRPr="0012760D">
              <w:rPr>
                <w:sz w:val="24"/>
                <w:szCs w:val="24"/>
              </w:rPr>
              <w:t>Mornington Railway Preservation Society Inc</w:t>
            </w:r>
          </w:p>
        </w:tc>
        <w:tc>
          <w:tcPr>
            <w:tcW w:w="2364" w:type="pct"/>
            <w:shd w:val="clear" w:color="auto" w:fill="auto"/>
          </w:tcPr>
          <w:p w:rsidR="00D26C53" w:rsidRPr="0012760D" w:rsidRDefault="00D26C53" w:rsidP="00C17424">
            <w:pPr>
              <w:rPr>
                <w:sz w:val="24"/>
                <w:szCs w:val="24"/>
              </w:rPr>
            </w:pPr>
            <w:r w:rsidRPr="0012760D">
              <w:rPr>
                <w:sz w:val="24"/>
                <w:szCs w:val="24"/>
              </w:rPr>
              <w:t>Protection of Diuris Punctata Orchid and Snow Gum Grassy Woodland, Mornington Tourist Railway, 2013</w:t>
            </w:r>
          </w:p>
        </w:tc>
        <w:tc>
          <w:tcPr>
            <w:tcW w:w="801" w:type="pct"/>
            <w:shd w:val="clear" w:color="auto" w:fill="auto"/>
          </w:tcPr>
          <w:p w:rsidR="00D26C53" w:rsidRPr="0012760D" w:rsidRDefault="00D26C53" w:rsidP="00C17424">
            <w:pPr>
              <w:jc w:val="right"/>
              <w:rPr>
                <w:sz w:val="24"/>
                <w:szCs w:val="24"/>
              </w:rPr>
            </w:pPr>
            <w:r w:rsidRPr="0012760D">
              <w:rPr>
                <w:sz w:val="24"/>
                <w:szCs w:val="24"/>
              </w:rPr>
              <w:t>7,198</w:t>
            </w:r>
          </w:p>
        </w:tc>
      </w:tr>
      <w:tr w:rsidR="00D26C53" w:rsidRPr="0012760D" w:rsidTr="00356EA1">
        <w:tblPrEx>
          <w:tblCellMar>
            <w:top w:w="0" w:type="dxa"/>
            <w:bottom w:w="0" w:type="dxa"/>
          </w:tblCellMar>
        </w:tblPrEx>
        <w:tc>
          <w:tcPr>
            <w:tcW w:w="1835" w:type="pct"/>
            <w:shd w:val="clear" w:color="auto" w:fill="auto"/>
          </w:tcPr>
          <w:p w:rsidR="00D26C53" w:rsidRPr="0012760D" w:rsidRDefault="00D26C53" w:rsidP="00C17424">
            <w:pPr>
              <w:rPr>
                <w:sz w:val="24"/>
                <w:szCs w:val="24"/>
              </w:rPr>
            </w:pPr>
            <w:r w:rsidRPr="0012760D">
              <w:rPr>
                <w:sz w:val="24"/>
                <w:szCs w:val="24"/>
              </w:rPr>
              <w:t>Port Fairy Consolidated School</w:t>
            </w:r>
          </w:p>
        </w:tc>
        <w:tc>
          <w:tcPr>
            <w:tcW w:w="2364" w:type="pct"/>
            <w:shd w:val="clear" w:color="auto" w:fill="auto"/>
          </w:tcPr>
          <w:p w:rsidR="00D26C53" w:rsidRPr="0012760D" w:rsidRDefault="00D26C53" w:rsidP="00C17424">
            <w:pPr>
              <w:rPr>
                <w:sz w:val="24"/>
                <w:szCs w:val="24"/>
              </w:rPr>
            </w:pPr>
            <w:r w:rsidRPr="0012760D">
              <w:rPr>
                <w:sz w:val="24"/>
                <w:szCs w:val="24"/>
              </w:rPr>
              <w:t>Latham's Snipe Habitat Protection and Community Education Program</w:t>
            </w:r>
          </w:p>
        </w:tc>
        <w:tc>
          <w:tcPr>
            <w:tcW w:w="801" w:type="pct"/>
            <w:shd w:val="clear" w:color="auto" w:fill="auto"/>
          </w:tcPr>
          <w:p w:rsidR="00D26C53" w:rsidRPr="0012760D" w:rsidRDefault="00D26C53" w:rsidP="00C17424">
            <w:pPr>
              <w:jc w:val="right"/>
              <w:rPr>
                <w:sz w:val="24"/>
                <w:szCs w:val="24"/>
              </w:rPr>
            </w:pPr>
            <w:r w:rsidRPr="0012760D">
              <w:rPr>
                <w:sz w:val="24"/>
                <w:szCs w:val="24"/>
              </w:rPr>
              <w:t>9,910</w:t>
            </w:r>
          </w:p>
        </w:tc>
      </w:tr>
      <w:tr w:rsidR="00D26C53" w:rsidRPr="0012760D" w:rsidTr="00356EA1">
        <w:tblPrEx>
          <w:tblCellMar>
            <w:top w:w="0" w:type="dxa"/>
            <w:bottom w:w="0" w:type="dxa"/>
          </w:tblCellMar>
        </w:tblPrEx>
        <w:tc>
          <w:tcPr>
            <w:tcW w:w="1835" w:type="pct"/>
            <w:shd w:val="clear" w:color="auto" w:fill="auto"/>
          </w:tcPr>
          <w:p w:rsidR="00D26C53" w:rsidRPr="0012760D" w:rsidRDefault="00D26C53" w:rsidP="00C17424">
            <w:pPr>
              <w:rPr>
                <w:sz w:val="24"/>
                <w:szCs w:val="24"/>
              </w:rPr>
            </w:pPr>
            <w:r w:rsidRPr="0012760D">
              <w:rPr>
                <w:sz w:val="24"/>
                <w:szCs w:val="24"/>
              </w:rPr>
              <w:t>Victorian Mobile Landcare Group Inc. (VMLCG)</w:t>
            </w:r>
          </w:p>
        </w:tc>
        <w:tc>
          <w:tcPr>
            <w:tcW w:w="2364" w:type="pct"/>
            <w:shd w:val="clear" w:color="auto" w:fill="auto"/>
          </w:tcPr>
          <w:p w:rsidR="00D26C53" w:rsidRPr="0012760D" w:rsidRDefault="00D26C53" w:rsidP="00C17424">
            <w:pPr>
              <w:rPr>
                <w:sz w:val="24"/>
                <w:szCs w:val="24"/>
              </w:rPr>
            </w:pPr>
            <w:r w:rsidRPr="0012760D">
              <w:rPr>
                <w:sz w:val="24"/>
                <w:szCs w:val="24"/>
              </w:rPr>
              <w:t>Parks Vic/Fintona/VMLCG Willows Programme 2013</w:t>
            </w:r>
          </w:p>
        </w:tc>
        <w:tc>
          <w:tcPr>
            <w:tcW w:w="801" w:type="pct"/>
            <w:shd w:val="clear" w:color="auto" w:fill="auto"/>
          </w:tcPr>
          <w:p w:rsidR="00D26C53" w:rsidRPr="0012760D" w:rsidRDefault="00D26C53" w:rsidP="00C17424">
            <w:pPr>
              <w:jc w:val="right"/>
              <w:rPr>
                <w:sz w:val="24"/>
                <w:szCs w:val="24"/>
              </w:rPr>
            </w:pPr>
            <w:r w:rsidRPr="0012760D">
              <w:rPr>
                <w:sz w:val="24"/>
                <w:szCs w:val="24"/>
              </w:rPr>
              <w:t>6,132</w:t>
            </w:r>
          </w:p>
        </w:tc>
      </w:tr>
      <w:tr w:rsidR="00D26C53" w:rsidRPr="0012760D" w:rsidTr="00356EA1">
        <w:tblPrEx>
          <w:tblCellMar>
            <w:top w:w="0" w:type="dxa"/>
            <w:bottom w:w="0" w:type="dxa"/>
          </w:tblCellMar>
        </w:tblPrEx>
        <w:tc>
          <w:tcPr>
            <w:tcW w:w="1835" w:type="pct"/>
            <w:shd w:val="clear" w:color="auto" w:fill="auto"/>
          </w:tcPr>
          <w:p w:rsidR="00D26C53" w:rsidRPr="0012760D" w:rsidRDefault="00D26C53" w:rsidP="00C17424">
            <w:pPr>
              <w:rPr>
                <w:sz w:val="24"/>
                <w:szCs w:val="24"/>
              </w:rPr>
            </w:pPr>
            <w:r w:rsidRPr="0012760D">
              <w:rPr>
                <w:sz w:val="24"/>
                <w:szCs w:val="24"/>
              </w:rPr>
              <w:t>Euroa Arboretum</w:t>
            </w:r>
          </w:p>
        </w:tc>
        <w:tc>
          <w:tcPr>
            <w:tcW w:w="2364" w:type="pct"/>
            <w:shd w:val="clear" w:color="auto" w:fill="auto"/>
          </w:tcPr>
          <w:p w:rsidR="00D26C53" w:rsidRPr="0012760D" w:rsidRDefault="00D26C53" w:rsidP="00C17424">
            <w:pPr>
              <w:rPr>
                <w:sz w:val="24"/>
                <w:szCs w:val="24"/>
              </w:rPr>
            </w:pPr>
            <w:r w:rsidRPr="0012760D">
              <w:rPr>
                <w:sz w:val="24"/>
                <w:szCs w:val="24"/>
              </w:rPr>
              <w:t>Restoring wetlands at the Euroa Arboretum</w:t>
            </w:r>
          </w:p>
        </w:tc>
        <w:tc>
          <w:tcPr>
            <w:tcW w:w="801" w:type="pct"/>
            <w:shd w:val="clear" w:color="auto" w:fill="auto"/>
          </w:tcPr>
          <w:p w:rsidR="00D26C53" w:rsidRPr="0012760D" w:rsidRDefault="00D26C53" w:rsidP="00C17424">
            <w:pPr>
              <w:jc w:val="right"/>
              <w:rPr>
                <w:sz w:val="24"/>
                <w:szCs w:val="24"/>
              </w:rPr>
            </w:pPr>
            <w:r w:rsidRPr="0012760D">
              <w:rPr>
                <w:sz w:val="24"/>
                <w:szCs w:val="24"/>
              </w:rPr>
              <w:t>10,000</w:t>
            </w:r>
          </w:p>
        </w:tc>
      </w:tr>
      <w:tr w:rsidR="00D26C53" w:rsidRPr="0012760D" w:rsidTr="00356EA1">
        <w:tblPrEx>
          <w:tblCellMar>
            <w:top w:w="0" w:type="dxa"/>
            <w:bottom w:w="0" w:type="dxa"/>
          </w:tblCellMar>
        </w:tblPrEx>
        <w:tc>
          <w:tcPr>
            <w:tcW w:w="1835" w:type="pct"/>
            <w:shd w:val="clear" w:color="auto" w:fill="auto"/>
          </w:tcPr>
          <w:p w:rsidR="00D26C53" w:rsidRPr="0012760D" w:rsidRDefault="00D26C53" w:rsidP="00C17424">
            <w:pPr>
              <w:rPr>
                <w:sz w:val="24"/>
                <w:szCs w:val="24"/>
              </w:rPr>
            </w:pPr>
            <w:r w:rsidRPr="0012760D">
              <w:rPr>
                <w:sz w:val="24"/>
                <w:szCs w:val="24"/>
              </w:rPr>
              <w:t>Ultima Lions Club</w:t>
            </w:r>
          </w:p>
        </w:tc>
        <w:tc>
          <w:tcPr>
            <w:tcW w:w="2364" w:type="pct"/>
            <w:shd w:val="clear" w:color="auto" w:fill="auto"/>
          </w:tcPr>
          <w:p w:rsidR="00D26C53" w:rsidRPr="0012760D" w:rsidRDefault="00D26C53" w:rsidP="00C17424">
            <w:pPr>
              <w:rPr>
                <w:sz w:val="24"/>
                <w:szCs w:val="24"/>
              </w:rPr>
            </w:pPr>
            <w:r w:rsidRPr="0012760D">
              <w:rPr>
                <w:sz w:val="24"/>
                <w:szCs w:val="24"/>
              </w:rPr>
              <w:t>Bird Habitat Nesting Project</w:t>
            </w:r>
          </w:p>
        </w:tc>
        <w:tc>
          <w:tcPr>
            <w:tcW w:w="801" w:type="pct"/>
            <w:shd w:val="clear" w:color="auto" w:fill="auto"/>
          </w:tcPr>
          <w:p w:rsidR="00D26C53" w:rsidRPr="0012760D" w:rsidRDefault="00D26C53" w:rsidP="00C17424">
            <w:pPr>
              <w:jc w:val="right"/>
              <w:rPr>
                <w:sz w:val="24"/>
                <w:szCs w:val="24"/>
              </w:rPr>
            </w:pPr>
            <w:r w:rsidRPr="0012760D">
              <w:rPr>
                <w:sz w:val="24"/>
                <w:szCs w:val="24"/>
              </w:rPr>
              <w:t>6,944</w:t>
            </w:r>
          </w:p>
        </w:tc>
      </w:tr>
      <w:tr w:rsidR="00D26C53" w:rsidRPr="0012760D" w:rsidTr="00356EA1">
        <w:tblPrEx>
          <w:tblCellMar>
            <w:top w:w="0" w:type="dxa"/>
            <w:bottom w:w="0" w:type="dxa"/>
          </w:tblCellMar>
        </w:tblPrEx>
        <w:tc>
          <w:tcPr>
            <w:tcW w:w="1835" w:type="pct"/>
            <w:shd w:val="clear" w:color="auto" w:fill="auto"/>
          </w:tcPr>
          <w:p w:rsidR="00D26C53" w:rsidRPr="0012760D" w:rsidRDefault="00D26C53" w:rsidP="00C17424">
            <w:pPr>
              <w:rPr>
                <w:sz w:val="24"/>
                <w:szCs w:val="24"/>
              </w:rPr>
            </w:pPr>
            <w:r w:rsidRPr="0012760D">
              <w:rPr>
                <w:sz w:val="24"/>
                <w:szCs w:val="24"/>
              </w:rPr>
              <w:t>Jawbone Marine Sanctuary Care Group (JMSC)</w:t>
            </w:r>
          </w:p>
        </w:tc>
        <w:tc>
          <w:tcPr>
            <w:tcW w:w="2364" w:type="pct"/>
            <w:shd w:val="clear" w:color="auto" w:fill="auto"/>
          </w:tcPr>
          <w:p w:rsidR="00D26C53" w:rsidRPr="0012760D" w:rsidRDefault="00D26C53" w:rsidP="00C17424">
            <w:pPr>
              <w:rPr>
                <w:sz w:val="24"/>
                <w:szCs w:val="24"/>
              </w:rPr>
            </w:pPr>
            <w:r w:rsidRPr="0012760D">
              <w:rPr>
                <w:sz w:val="24"/>
                <w:szCs w:val="24"/>
              </w:rPr>
              <w:t>Community Protecting Jawbone Marine Sanctuary</w:t>
            </w:r>
          </w:p>
        </w:tc>
        <w:tc>
          <w:tcPr>
            <w:tcW w:w="801" w:type="pct"/>
            <w:shd w:val="clear" w:color="auto" w:fill="auto"/>
          </w:tcPr>
          <w:p w:rsidR="00D26C53" w:rsidRPr="0012760D" w:rsidRDefault="00D26C53" w:rsidP="00C17424">
            <w:pPr>
              <w:jc w:val="right"/>
              <w:rPr>
                <w:sz w:val="24"/>
                <w:szCs w:val="24"/>
              </w:rPr>
            </w:pPr>
            <w:r w:rsidRPr="0012760D">
              <w:rPr>
                <w:sz w:val="24"/>
                <w:szCs w:val="24"/>
              </w:rPr>
              <w:t>5,794</w:t>
            </w:r>
          </w:p>
        </w:tc>
      </w:tr>
      <w:tr w:rsidR="00D26C53" w:rsidRPr="0012760D" w:rsidTr="00356EA1">
        <w:tblPrEx>
          <w:tblCellMar>
            <w:top w:w="0" w:type="dxa"/>
            <w:bottom w:w="0" w:type="dxa"/>
          </w:tblCellMar>
        </w:tblPrEx>
        <w:tc>
          <w:tcPr>
            <w:tcW w:w="1835" w:type="pct"/>
            <w:shd w:val="clear" w:color="auto" w:fill="auto"/>
          </w:tcPr>
          <w:p w:rsidR="00D26C53" w:rsidRPr="0012760D" w:rsidRDefault="00D26C53" w:rsidP="00C17424">
            <w:pPr>
              <w:rPr>
                <w:sz w:val="24"/>
                <w:szCs w:val="24"/>
              </w:rPr>
            </w:pPr>
            <w:r w:rsidRPr="0012760D">
              <w:rPr>
                <w:sz w:val="24"/>
                <w:szCs w:val="24"/>
              </w:rPr>
              <w:t>McKenzie's Hill Action and Landcare Group</w:t>
            </w:r>
          </w:p>
        </w:tc>
        <w:tc>
          <w:tcPr>
            <w:tcW w:w="2364" w:type="pct"/>
            <w:shd w:val="clear" w:color="auto" w:fill="auto"/>
          </w:tcPr>
          <w:p w:rsidR="00D26C53" w:rsidRPr="0012760D" w:rsidRDefault="00D26C53" w:rsidP="00C17424">
            <w:pPr>
              <w:rPr>
                <w:sz w:val="24"/>
                <w:szCs w:val="24"/>
              </w:rPr>
            </w:pPr>
            <w:r w:rsidRPr="0012760D">
              <w:rPr>
                <w:sz w:val="24"/>
                <w:szCs w:val="24"/>
              </w:rPr>
              <w:t>Old Diamond Hill Community Parklands - The first step</w:t>
            </w:r>
          </w:p>
        </w:tc>
        <w:tc>
          <w:tcPr>
            <w:tcW w:w="801" w:type="pct"/>
            <w:shd w:val="clear" w:color="auto" w:fill="auto"/>
          </w:tcPr>
          <w:p w:rsidR="00D26C53" w:rsidRPr="0012760D" w:rsidRDefault="00D26C53" w:rsidP="00C17424">
            <w:pPr>
              <w:jc w:val="right"/>
              <w:rPr>
                <w:sz w:val="24"/>
                <w:szCs w:val="24"/>
              </w:rPr>
            </w:pPr>
            <w:r w:rsidRPr="0012760D">
              <w:rPr>
                <w:sz w:val="24"/>
                <w:szCs w:val="24"/>
              </w:rPr>
              <w:t>10,000</w:t>
            </w:r>
          </w:p>
        </w:tc>
      </w:tr>
      <w:tr w:rsidR="00D26C53" w:rsidRPr="0012760D" w:rsidTr="00356EA1">
        <w:tblPrEx>
          <w:tblCellMar>
            <w:top w:w="0" w:type="dxa"/>
            <w:bottom w:w="0" w:type="dxa"/>
          </w:tblCellMar>
        </w:tblPrEx>
        <w:tc>
          <w:tcPr>
            <w:tcW w:w="1835" w:type="pct"/>
            <w:shd w:val="clear" w:color="auto" w:fill="auto"/>
          </w:tcPr>
          <w:p w:rsidR="00D26C53" w:rsidRPr="0012760D" w:rsidRDefault="00D26C53" w:rsidP="00C17424">
            <w:pPr>
              <w:rPr>
                <w:sz w:val="24"/>
                <w:szCs w:val="24"/>
              </w:rPr>
            </w:pPr>
            <w:r w:rsidRPr="0012760D">
              <w:rPr>
                <w:sz w:val="24"/>
                <w:szCs w:val="24"/>
              </w:rPr>
              <w:t>Christmas Hills Landcare Group</w:t>
            </w:r>
          </w:p>
        </w:tc>
        <w:tc>
          <w:tcPr>
            <w:tcW w:w="2364" w:type="pct"/>
            <w:shd w:val="clear" w:color="auto" w:fill="auto"/>
          </w:tcPr>
          <w:p w:rsidR="00D26C53" w:rsidRPr="0012760D" w:rsidRDefault="00D26C53" w:rsidP="00C17424">
            <w:pPr>
              <w:rPr>
                <w:sz w:val="24"/>
                <w:szCs w:val="24"/>
              </w:rPr>
            </w:pPr>
            <w:r w:rsidRPr="0012760D">
              <w:rPr>
                <w:sz w:val="24"/>
                <w:szCs w:val="24"/>
              </w:rPr>
              <w:t>Nest boxes for Tuans in Christmas Hills</w:t>
            </w:r>
          </w:p>
        </w:tc>
        <w:tc>
          <w:tcPr>
            <w:tcW w:w="801" w:type="pct"/>
            <w:shd w:val="clear" w:color="auto" w:fill="auto"/>
          </w:tcPr>
          <w:p w:rsidR="00D26C53" w:rsidRPr="0012760D" w:rsidRDefault="00D26C53" w:rsidP="00C17424">
            <w:pPr>
              <w:jc w:val="right"/>
              <w:rPr>
                <w:sz w:val="24"/>
                <w:szCs w:val="24"/>
              </w:rPr>
            </w:pPr>
            <w:r w:rsidRPr="0012760D">
              <w:rPr>
                <w:sz w:val="24"/>
                <w:szCs w:val="24"/>
              </w:rPr>
              <w:t>9,830</w:t>
            </w:r>
          </w:p>
        </w:tc>
      </w:tr>
      <w:tr w:rsidR="00D26C53" w:rsidRPr="0012760D" w:rsidTr="00356EA1">
        <w:tblPrEx>
          <w:tblCellMar>
            <w:top w:w="0" w:type="dxa"/>
            <w:bottom w:w="0" w:type="dxa"/>
          </w:tblCellMar>
        </w:tblPrEx>
        <w:tc>
          <w:tcPr>
            <w:tcW w:w="1835" w:type="pct"/>
            <w:shd w:val="clear" w:color="auto" w:fill="auto"/>
          </w:tcPr>
          <w:p w:rsidR="00D26C53" w:rsidRPr="0012760D" w:rsidRDefault="00D26C53" w:rsidP="00C17424">
            <w:pPr>
              <w:rPr>
                <w:sz w:val="24"/>
                <w:szCs w:val="24"/>
              </w:rPr>
            </w:pPr>
            <w:r w:rsidRPr="0012760D">
              <w:rPr>
                <w:sz w:val="24"/>
                <w:szCs w:val="24"/>
              </w:rPr>
              <w:t>Turtle Bend Committee of Management</w:t>
            </w:r>
          </w:p>
        </w:tc>
        <w:tc>
          <w:tcPr>
            <w:tcW w:w="2364" w:type="pct"/>
            <w:shd w:val="clear" w:color="auto" w:fill="auto"/>
          </w:tcPr>
          <w:p w:rsidR="00D26C53" w:rsidRPr="0012760D" w:rsidRDefault="00D26C53" w:rsidP="00C17424">
            <w:pPr>
              <w:rPr>
                <w:sz w:val="24"/>
                <w:szCs w:val="24"/>
              </w:rPr>
            </w:pPr>
            <w:r w:rsidRPr="0012760D">
              <w:rPr>
                <w:sz w:val="24"/>
                <w:szCs w:val="24"/>
              </w:rPr>
              <w:t>Native Hut Creek - "Turtle Bend" Restoration</w:t>
            </w:r>
          </w:p>
        </w:tc>
        <w:tc>
          <w:tcPr>
            <w:tcW w:w="801" w:type="pct"/>
            <w:shd w:val="clear" w:color="auto" w:fill="auto"/>
          </w:tcPr>
          <w:p w:rsidR="00D26C53" w:rsidRPr="0012760D" w:rsidRDefault="00D26C53" w:rsidP="00C17424">
            <w:pPr>
              <w:jc w:val="right"/>
              <w:rPr>
                <w:sz w:val="24"/>
                <w:szCs w:val="24"/>
              </w:rPr>
            </w:pPr>
            <w:r w:rsidRPr="0012760D">
              <w:rPr>
                <w:sz w:val="24"/>
                <w:szCs w:val="24"/>
              </w:rPr>
              <w:t>9,262</w:t>
            </w:r>
          </w:p>
        </w:tc>
      </w:tr>
      <w:tr w:rsidR="00D26C53" w:rsidRPr="0012760D" w:rsidTr="00356EA1">
        <w:tblPrEx>
          <w:tblCellMar>
            <w:top w:w="0" w:type="dxa"/>
            <w:bottom w:w="0" w:type="dxa"/>
          </w:tblCellMar>
        </w:tblPrEx>
        <w:tc>
          <w:tcPr>
            <w:tcW w:w="1835" w:type="pct"/>
            <w:shd w:val="clear" w:color="auto" w:fill="auto"/>
          </w:tcPr>
          <w:p w:rsidR="00D26C53" w:rsidRPr="0012760D" w:rsidRDefault="00D26C53" w:rsidP="00C17424">
            <w:pPr>
              <w:rPr>
                <w:sz w:val="24"/>
                <w:szCs w:val="24"/>
              </w:rPr>
            </w:pPr>
            <w:r w:rsidRPr="0012760D">
              <w:rPr>
                <w:sz w:val="24"/>
                <w:szCs w:val="24"/>
              </w:rPr>
              <w:t>Kulkyne Way Landcare Group Inc.</w:t>
            </w:r>
          </w:p>
        </w:tc>
        <w:tc>
          <w:tcPr>
            <w:tcW w:w="2364" w:type="pct"/>
            <w:shd w:val="clear" w:color="auto" w:fill="auto"/>
          </w:tcPr>
          <w:p w:rsidR="00D26C53" w:rsidRPr="0012760D" w:rsidRDefault="00D26C53" w:rsidP="00C17424">
            <w:pPr>
              <w:rPr>
                <w:sz w:val="24"/>
                <w:szCs w:val="24"/>
              </w:rPr>
            </w:pPr>
            <w:r w:rsidRPr="0012760D">
              <w:rPr>
                <w:sz w:val="24"/>
                <w:szCs w:val="24"/>
              </w:rPr>
              <w:t xml:space="preserve">The Kulkyne Way Landcare Group: Vertebrate Pest Control Action </w:t>
            </w:r>
            <w:r w:rsidR="00236A13">
              <w:rPr>
                <w:sz w:val="24"/>
                <w:szCs w:val="24"/>
              </w:rPr>
              <w:t>and</w:t>
            </w:r>
            <w:r w:rsidRPr="0012760D">
              <w:rPr>
                <w:sz w:val="24"/>
                <w:szCs w:val="24"/>
              </w:rPr>
              <w:t xml:space="preserve"> Turtle Nest Site Protection Project</w:t>
            </w:r>
          </w:p>
        </w:tc>
        <w:tc>
          <w:tcPr>
            <w:tcW w:w="801" w:type="pct"/>
            <w:shd w:val="clear" w:color="auto" w:fill="auto"/>
          </w:tcPr>
          <w:p w:rsidR="00D26C53" w:rsidRPr="0012760D" w:rsidRDefault="00D26C53" w:rsidP="00C17424">
            <w:pPr>
              <w:jc w:val="right"/>
              <w:rPr>
                <w:sz w:val="24"/>
                <w:szCs w:val="24"/>
              </w:rPr>
            </w:pPr>
            <w:r w:rsidRPr="0012760D">
              <w:rPr>
                <w:sz w:val="24"/>
                <w:szCs w:val="24"/>
              </w:rPr>
              <w:t>10,000</w:t>
            </w:r>
          </w:p>
        </w:tc>
      </w:tr>
      <w:tr w:rsidR="00D26C53" w:rsidRPr="0012760D" w:rsidTr="00356EA1">
        <w:tblPrEx>
          <w:tblCellMar>
            <w:top w:w="0" w:type="dxa"/>
            <w:bottom w:w="0" w:type="dxa"/>
          </w:tblCellMar>
        </w:tblPrEx>
        <w:tc>
          <w:tcPr>
            <w:tcW w:w="1835" w:type="pct"/>
            <w:shd w:val="clear" w:color="auto" w:fill="auto"/>
          </w:tcPr>
          <w:p w:rsidR="00D26C53" w:rsidRPr="0012760D" w:rsidRDefault="00D26C53" w:rsidP="00C17424">
            <w:pPr>
              <w:rPr>
                <w:sz w:val="24"/>
                <w:szCs w:val="24"/>
              </w:rPr>
            </w:pPr>
            <w:r w:rsidRPr="0012760D">
              <w:rPr>
                <w:sz w:val="24"/>
                <w:szCs w:val="24"/>
              </w:rPr>
              <w:t>Northern Plains Conservation Management Network</w:t>
            </w:r>
          </w:p>
        </w:tc>
        <w:tc>
          <w:tcPr>
            <w:tcW w:w="2364" w:type="pct"/>
            <w:shd w:val="clear" w:color="auto" w:fill="auto"/>
          </w:tcPr>
          <w:p w:rsidR="00D26C53" w:rsidRPr="0012760D" w:rsidRDefault="00D26C53" w:rsidP="00C17424">
            <w:pPr>
              <w:rPr>
                <w:sz w:val="24"/>
                <w:szCs w:val="24"/>
              </w:rPr>
            </w:pPr>
            <w:r w:rsidRPr="0012760D">
              <w:rPr>
                <w:sz w:val="24"/>
                <w:szCs w:val="24"/>
              </w:rPr>
              <w:t>Patho Plains Fox Control Program (PPFCP)</w:t>
            </w:r>
          </w:p>
        </w:tc>
        <w:tc>
          <w:tcPr>
            <w:tcW w:w="801" w:type="pct"/>
            <w:shd w:val="clear" w:color="auto" w:fill="auto"/>
          </w:tcPr>
          <w:p w:rsidR="00D26C53" w:rsidRPr="0012760D" w:rsidRDefault="00D26C53" w:rsidP="00C17424">
            <w:pPr>
              <w:jc w:val="right"/>
              <w:rPr>
                <w:sz w:val="24"/>
                <w:szCs w:val="24"/>
              </w:rPr>
            </w:pPr>
            <w:r w:rsidRPr="0012760D">
              <w:rPr>
                <w:sz w:val="24"/>
                <w:szCs w:val="24"/>
              </w:rPr>
              <w:t>10,000</w:t>
            </w:r>
          </w:p>
        </w:tc>
      </w:tr>
      <w:tr w:rsidR="00D26C53" w:rsidRPr="0012760D" w:rsidTr="00356EA1">
        <w:tblPrEx>
          <w:tblCellMar>
            <w:top w:w="0" w:type="dxa"/>
            <w:bottom w:w="0" w:type="dxa"/>
          </w:tblCellMar>
        </w:tblPrEx>
        <w:tc>
          <w:tcPr>
            <w:tcW w:w="1835" w:type="pct"/>
            <w:shd w:val="clear" w:color="auto" w:fill="auto"/>
          </w:tcPr>
          <w:p w:rsidR="00D26C53" w:rsidRPr="0012760D" w:rsidRDefault="00D26C53" w:rsidP="00C17424">
            <w:pPr>
              <w:rPr>
                <w:sz w:val="24"/>
                <w:szCs w:val="24"/>
              </w:rPr>
            </w:pPr>
            <w:r w:rsidRPr="0012760D">
              <w:rPr>
                <w:sz w:val="24"/>
                <w:szCs w:val="24"/>
              </w:rPr>
              <w:lastRenderedPageBreak/>
              <w:t>East Loddon Landcare Group</w:t>
            </w:r>
          </w:p>
        </w:tc>
        <w:tc>
          <w:tcPr>
            <w:tcW w:w="2364" w:type="pct"/>
            <w:shd w:val="clear" w:color="auto" w:fill="auto"/>
          </w:tcPr>
          <w:p w:rsidR="00D26C53" w:rsidRPr="0012760D" w:rsidRDefault="00D26C53" w:rsidP="00C17424">
            <w:pPr>
              <w:rPr>
                <w:sz w:val="24"/>
                <w:szCs w:val="24"/>
              </w:rPr>
            </w:pPr>
            <w:r w:rsidRPr="0012760D">
              <w:rPr>
                <w:sz w:val="24"/>
                <w:szCs w:val="24"/>
              </w:rPr>
              <w:t>Calivil Recreation Reserve Restoration</w:t>
            </w:r>
          </w:p>
        </w:tc>
        <w:tc>
          <w:tcPr>
            <w:tcW w:w="801" w:type="pct"/>
            <w:shd w:val="clear" w:color="auto" w:fill="auto"/>
          </w:tcPr>
          <w:p w:rsidR="00D26C53" w:rsidRPr="0012760D" w:rsidRDefault="00D26C53" w:rsidP="00C17424">
            <w:pPr>
              <w:jc w:val="right"/>
              <w:rPr>
                <w:sz w:val="24"/>
                <w:szCs w:val="24"/>
              </w:rPr>
            </w:pPr>
            <w:r w:rsidRPr="0012760D">
              <w:rPr>
                <w:sz w:val="24"/>
                <w:szCs w:val="24"/>
              </w:rPr>
              <w:t>9,980</w:t>
            </w:r>
          </w:p>
        </w:tc>
      </w:tr>
      <w:tr w:rsidR="00D26C53" w:rsidRPr="0012760D" w:rsidTr="00356EA1">
        <w:tblPrEx>
          <w:tblCellMar>
            <w:top w:w="0" w:type="dxa"/>
            <w:bottom w:w="0" w:type="dxa"/>
          </w:tblCellMar>
        </w:tblPrEx>
        <w:tc>
          <w:tcPr>
            <w:tcW w:w="1835" w:type="pct"/>
            <w:shd w:val="clear" w:color="auto" w:fill="auto"/>
          </w:tcPr>
          <w:p w:rsidR="00D26C53" w:rsidRPr="0012760D" w:rsidRDefault="00D26C53" w:rsidP="00C17424">
            <w:pPr>
              <w:rPr>
                <w:sz w:val="24"/>
                <w:szCs w:val="24"/>
              </w:rPr>
            </w:pPr>
            <w:r w:rsidRPr="0012760D">
              <w:rPr>
                <w:sz w:val="24"/>
                <w:szCs w:val="24"/>
              </w:rPr>
              <w:t>Bullengarook Landcare Group</w:t>
            </w:r>
          </w:p>
        </w:tc>
        <w:tc>
          <w:tcPr>
            <w:tcW w:w="2364" w:type="pct"/>
            <w:shd w:val="clear" w:color="auto" w:fill="auto"/>
          </w:tcPr>
          <w:p w:rsidR="00D26C53" w:rsidRPr="0012760D" w:rsidRDefault="00D26C53" w:rsidP="00C17424">
            <w:pPr>
              <w:rPr>
                <w:sz w:val="24"/>
                <w:szCs w:val="24"/>
              </w:rPr>
            </w:pPr>
            <w:r w:rsidRPr="0012760D">
              <w:rPr>
                <w:sz w:val="24"/>
                <w:szCs w:val="24"/>
              </w:rPr>
              <w:t>Nest boxes for Arboreal Native Animals at Bullengarook</w:t>
            </w:r>
          </w:p>
        </w:tc>
        <w:tc>
          <w:tcPr>
            <w:tcW w:w="801" w:type="pct"/>
            <w:shd w:val="clear" w:color="auto" w:fill="auto"/>
          </w:tcPr>
          <w:p w:rsidR="00D26C53" w:rsidRPr="0012760D" w:rsidRDefault="00D26C53" w:rsidP="00C17424">
            <w:pPr>
              <w:jc w:val="right"/>
              <w:rPr>
                <w:sz w:val="24"/>
                <w:szCs w:val="24"/>
              </w:rPr>
            </w:pPr>
            <w:r w:rsidRPr="0012760D">
              <w:rPr>
                <w:sz w:val="24"/>
                <w:szCs w:val="24"/>
              </w:rPr>
              <w:t>9,280</w:t>
            </w:r>
          </w:p>
        </w:tc>
      </w:tr>
      <w:tr w:rsidR="00D26C53" w:rsidRPr="0012760D" w:rsidTr="00356EA1">
        <w:tblPrEx>
          <w:tblCellMar>
            <w:top w:w="0" w:type="dxa"/>
            <w:bottom w:w="0" w:type="dxa"/>
          </w:tblCellMar>
        </w:tblPrEx>
        <w:tc>
          <w:tcPr>
            <w:tcW w:w="1835" w:type="pct"/>
            <w:shd w:val="clear" w:color="auto" w:fill="auto"/>
          </w:tcPr>
          <w:p w:rsidR="00D26C53" w:rsidRPr="0012760D" w:rsidRDefault="00D26C53" w:rsidP="00C17424">
            <w:pPr>
              <w:rPr>
                <w:sz w:val="24"/>
                <w:szCs w:val="24"/>
              </w:rPr>
            </w:pPr>
            <w:r w:rsidRPr="0012760D">
              <w:rPr>
                <w:sz w:val="24"/>
                <w:szCs w:val="24"/>
              </w:rPr>
              <w:t>Wangaratta Sustainability Network</w:t>
            </w:r>
          </w:p>
        </w:tc>
        <w:tc>
          <w:tcPr>
            <w:tcW w:w="2364" w:type="pct"/>
            <w:shd w:val="clear" w:color="auto" w:fill="auto"/>
          </w:tcPr>
          <w:p w:rsidR="00D26C53" w:rsidRPr="0012760D" w:rsidRDefault="00D26C53" w:rsidP="00C17424">
            <w:pPr>
              <w:rPr>
                <w:sz w:val="24"/>
                <w:szCs w:val="24"/>
              </w:rPr>
            </w:pPr>
            <w:r w:rsidRPr="0012760D">
              <w:rPr>
                <w:sz w:val="24"/>
                <w:szCs w:val="24"/>
              </w:rPr>
              <w:t>Restoring Our Waterways Carp Muster</w:t>
            </w:r>
          </w:p>
        </w:tc>
        <w:tc>
          <w:tcPr>
            <w:tcW w:w="801" w:type="pct"/>
            <w:shd w:val="clear" w:color="auto" w:fill="auto"/>
          </w:tcPr>
          <w:p w:rsidR="00D26C53" w:rsidRPr="0012760D" w:rsidRDefault="00D26C53" w:rsidP="00C17424">
            <w:pPr>
              <w:jc w:val="right"/>
              <w:rPr>
                <w:sz w:val="24"/>
                <w:szCs w:val="24"/>
              </w:rPr>
            </w:pPr>
            <w:r w:rsidRPr="0012760D">
              <w:rPr>
                <w:sz w:val="24"/>
                <w:szCs w:val="24"/>
              </w:rPr>
              <w:t>8,920</w:t>
            </w:r>
          </w:p>
        </w:tc>
      </w:tr>
      <w:tr w:rsidR="00D26C53" w:rsidRPr="0012760D" w:rsidTr="00356EA1">
        <w:tblPrEx>
          <w:tblCellMar>
            <w:top w:w="0" w:type="dxa"/>
            <w:bottom w:w="0" w:type="dxa"/>
          </w:tblCellMar>
        </w:tblPrEx>
        <w:tc>
          <w:tcPr>
            <w:tcW w:w="1835" w:type="pct"/>
            <w:shd w:val="clear" w:color="auto" w:fill="auto"/>
          </w:tcPr>
          <w:p w:rsidR="00D26C53" w:rsidRPr="0012760D" w:rsidRDefault="00D26C53" w:rsidP="00C17424">
            <w:pPr>
              <w:rPr>
                <w:sz w:val="24"/>
                <w:szCs w:val="24"/>
              </w:rPr>
            </w:pPr>
            <w:r w:rsidRPr="0012760D">
              <w:rPr>
                <w:sz w:val="24"/>
                <w:szCs w:val="24"/>
              </w:rPr>
              <w:t>Friends of Flinders Coastline Inc.</w:t>
            </w:r>
          </w:p>
        </w:tc>
        <w:tc>
          <w:tcPr>
            <w:tcW w:w="2364" w:type="pct"/>
            <w:shd w:val="clear" w:color="auto" w:fill="auto"/>
          </w:tcPr>
          <w:p w:rsidR="00D26C53" w:rsidRPr="0012760D" w:rsidRDefault="00D26C53" w:rsidP="00C17424">
            <w:pPr>
              <w:rPr>
                <w:sz w:val="24"/>
                <w:szCs w:val="24"/>
              </w:rPr>
            </w:pPr>
            <w:r w:rsidRPr="0012760D">
              <w:rPr>
                <w:sz w:val="24"/>
                <w:szCs w:val="24"/>
              </w:rPr>
              <w:t>Coastal Flinders Restoration Project - Mornington Peninsula National Park</w:t>
            </w:r>
          </w:p>
        </w:tc>
        <w:tc>
          <w:tcPr>
            <w:tcW w:w="801" w:type="pct"/>
            <w:shd w:val="clear" w:color="auto" w:fill="auto"/>
          </w:tcPr>
          <w:p w:rsidR="00D26C53" w:rsidRPr="0012760D" w:rsidRDefault="00D26C53" w:rsidP="00C17424">
            <w:pPr>
              <w:jc w:val="right"/>
              <w:rPr>
                <w:sz w:val="24"/>
                <w:szCs w:val="24"/>
              </w:rPr>
            </w:pPr>
            <w:r w:rsidRPr="0012760D">
              <w:rPr>
                <w:sz w:val="24"/>
                <w:szCs w:val="24"/>
              </w:rPr>
              <w:t>6,530</w:t>
            </w:r>
          </w:p>
        </w:tc>
      </w:tr>
      <w:tr w:rsidR="00D26C53" w:rsidRPr="0012760D" w:rsidTr="00356EA1">
        <w:tblPrEx>
          <w:tblCellMar>
            <w:top w:w="0" w:type="dxa"/>
            <w:bottom w:w="0" w:type="dxa"/>
          </w:tblCellMar>
        </w:tblPrEx>
        <w:tc>
          <w:tcPr>
            <w:tcW w:w="1835" w:type="pct"/>
            <w:shd w:val="clear" w:color="auto" w:fill="auto"/>
          </w:tcPr>
          <w:p w:rsidR="00D26C53" w:rsidRPr="0012760D" w:rsidRDefault="00D26C53" w:rsidP="00C17424">
            <w:pPr>
              <w:rPr>
                <w:sz w:val="24"/>
                <w:szCs w:val="24"/>
              </w:rPr>
            </w:pPr>
            <w:r w:rsidRPr="0012760D">
              <w:rPr>
                <w:sz w:val="24"/>
                <w:szCs w:val="24"/>
              </w:rPr>
              <w:t>Newstead Landcare Group Inc.</w:t>
            </w:r>
          </w:p>
        </w:tc>
        <w:tc>
          <w:tcPr>
            <w:tcW w:w="2364" w:type="pct"/>
            <w:shd w:val="clear" w:color="auto" w:fill="auto"/>
          </w:tcPr>
          <w:p w:rsidR="00D26C53" w:rsidRPr="0012760D" w:rsidRDefault="00D26C53" w:rsidP="00C17424">
            <w:pPr>
              <w:rPr>
                <w:sz w:val="24"/>
                <w:szCs w:val="24"/>
              </w:rPr>
            </w:pPr>
            <w:r w:rsidRPr="0012760D">
              <w:rPr>
                <w:sz w:val="24"/>
                <w:szCs w:val="24"/>
              </w:rPr>
              <w:t>Riparian Protection and Restoration in the Newstead Area Stage 4</w:t>
            </w:r>
          </w:p>
        </w:tc>
        <w:tc>
          <w:tcPr>
            <w:tcW w:w="801" w:type="pct"/>
            <w:shd w:val="clear" w:color="auto" w:fill="auto"/>
          </w:tcPr>
          <w:p w:rsidR="00D26C53" w:rsidRPr="0012760D" w:rsidRDefault="00D26C53" w:rsidP="00C17424">
            <w:pPr>
              <w:jc w:val="right"/>
              <w:rPr>
                <w:sz w:val="24"/>
                <w:szCs w:val="24"/>
              </w:rPr>
            </w:pPr>
            <w:r w:rsidRPr="0012760D">
              <w:rPr>
                <w:sz w:val="24"/>
                <w:szCs w:val="24"/>
              </w:rPr>
              <w:t>10,000</w:t>
            </w:r>
          </w:p>
        </w:tc>
      </w:tr>
    </w:tbl>
    <w:p w:rsidR="000A1607" w:rsidRPr="0012760D" w:rsidRDefault="000A1607" w:rsidP="000A1607">
      <w:pPr>
        <w:rPr>
          <w:sz w:val="24"/>
          <w:szCs w:val="24"/>
        </w:rPr>
      </w:pPr>
      <w:r w:rsidRPr="0012760D">
        <w:rPr>
          <w:bCs/>
          <w:sz w:val="24"/>
          <w:szCs w:val="24"/>
        </w:rPr>
        <w:t>&lt;pp&gt; 84</w:t>
      </w: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5151"/>
        <w:gridCol w:w="6632"/>
        <w:gridCol w:w="2251"/>
      </w:tblGrid>
      <w:tr w:rsidR="000A1607" w:rsidRPr="0012760D" w:rsidTr="00C17424">
        <w:tblPrEx>
          <w:tblCellMar>
            <w:top w:w="0" w:type="dxa"/>
            <w:bottom w:w="0" w:type="dxa"/>
          </w:tblCellMar>
        </w:tblPrEx>
        <w:tc>
          <w:tcPr>
            <w:tcW w:w="1835" w:type="pct"/>
            <w:shd w:val="clear" w:color="auto" w:fill="auto"/>
          </w:tcPr>
          <w:p w:rsidR="000A1607" w:rsidRPr="0012760D" w:rsidRDefault="000A1607" w:rsidP="00C17424">
            <w:pPr>
              <w:rPr>
                <w:sz w:val="24"/>
                <w:szCs w:val="24"/>
              </w:rPr>
            </w:pPr>
            <w:r w:rsidRPr="0012760D">
              <w:rPr>
                <w:sz w:val="24"/>
                <w:szCs w:val="24"/>
              </w:rPr>
              <w:t xml:space="preserve">Manton </w:t>
            </w:r>
            <w:r w:rsidR="00236A13">
              <w:rPr>
                <w:sz w:val="24"/>
                <w:szCs w:val="24"/>
              </w:rPr>
              <w:t>and</w:t>
            </w:r>
            <w:r w:rsidRPr="0012760D">
              <w:rPr>
                <w:sz w:val="24"/>
                <w:szCs w:val="24"/>
              </w:rPr>
              <w:t xml:space="preserve"> Stony Creeks Landcare Group</w:t>
            </w:r>
          </w:p>
        </w:tc>
        <w:tc>
          <w:tcPr>
            <w:tcW w:w="2363" w:type="pct"/>
            <w:shd w:val="clear" w:color="auto" w:fill="auto"/>
          </w:tcPr>
          <w:p w:rsidR="000A1607" w:rsidRPr="0012760D" w:rsidRDefault="000A1607" w:rsidP="00C17424">
            <w:pPr>
              <w:rPr>
                <w:sz w:val="24"/>
                <w:szCs w:val="24"/>
              </w:rPr>
            </w:pPr>
            <w:r w:rsidRPr="0012760D">
              <w:rPr>
                <w:sz w:val="24"/>
                <w:szCs w:val="24"/>
              </w:rPr>
              <w:t>Red Hill South Landcare Biolink project</w:t>
            </w:r>
          </w:p>
        </w:tc>
        <w:tc>
          <w:tcPr>
            <w:tcW w:w="802" w:type="pct"/>
            <w:shd w:val="clear" w:color="auto" w:fill="auto"/>
          </w:tcPr>
          <w:p w:rsidR="000A1607" w:rsidRPr="0012760D" w:rsidRDefault="000A1607" w:rsidP="00C17424">
            <w:pPr>
              <w:jc w:val="right"/>
              <w:rPr>
                <w:sz w:val="24"/>
                <w:szCs w:val="24"/>
              </w:rPr>
            </w:pPr>
            <w:r w:rsidRPr="0012760D">
              <w:rPr>
                <w:sz w:val="24"/>
                <w:szCs w:val="24"/>
              </w:rPr>
              <w:t>10,000</w:t>
            </w:r>
          </w:p>
        </w:tc>
      </w:tr>
      <w:tr w:rsidR="000A1607" w:rsidRPr="0012760D" w:rsidTr="00C17424">
        <w:tblPrEx>
          <w:tblCellMar>
            <w:top w:w="0" w:type="dxa"/>
            <w:bottom w:w="0" w:type="dxa"/>
          </w:tblCellMar>
        </w:tblPrEx>
        <w:tc>
          <w:tcPr>
            <w:tcW w:w="1835" w:type="pct"/>
            <w:shd w:val="clear" w:color="auto" w:fill="auto"/>
          </w:tcPr>
          <w:p w:rsidR="000A1607" w:rsidRPr="0012760D" w:rsidRDefault="000A1607" w:rsidP="00C17424">
            <w:pPr>
              <w:rPr>
                <w:sz w:val="24"/>
                <w:szCs w:val="24"/>
              </w:rPr>
            </w:pPr>
            <w:r w:rsidRPr="0012760D">
              <w:rPr>
                <w:sz w:val="24"/>
                <w:szCs w:val="24"/>
              </w:rPr>
              <w:t>Manangatang Landcare Group</w:t>
            </w:r>
          </w:p>
        </w:tc>
        <w:tc>
          <w:tcPr>
            <w:tcW w:w="2363" w:type="pct"/>
            <w:shd w:val="clear" w:color="auto" w:fill="auto"/>
          </w:tcPr>
          <w:p w:rsidR="000A1607" w:rsidRPr="0012760D" w:rsidRDefault="000A1607" w:rsidP="00C17424">
            <w:pPr>
              <w:rPr>
                <w:sz w:val="24"/>
                <w:szCs w:val="24"/>
              </w:rPr>
            </w:pPr>
            <w:r w:rsidRPr="0012760D">
              <w:rPr>
                <w:sz w:val="24"/>
                <w:szCs w:val="24"/>
              </w:rPr>
              <w:t>Racing after Rabbits in Manangatang</w:t>
            </w:r>
          </w:p>
        </w:tc>
        <w:tc>
          <w:tcPr>
            <w:tcW w:w="802" w:type="pct"/>
            <w:shd w:val="clear" w:color="auto" w:fill="auto"/>
          </w:tcPr>
          <w:p w:rsidR="000A1607" w:rsidRPr="0012760D" w:rsidRDefault="000A1607" w:rsidP="00C17424">
            <w:pPr>
              <w:jc w:val="right"/>
              <w:rPr>
                <w:sz w:val="24"/>
                <w:szCs w:val="24"/>
              </w:rPr>
            </w:pPr>
            <w:r w:rsidRPr="0012760D">
              <w:rPr>
                <w:sz w:val="24"/>
                <w:szCs w:val="24"/>
              </w:rPr>
              <w:t>9,900</w:t>
            </w:r>
          </w:p>
        </w:tc>
      </w:tr>
      <w:tr w:rsidR="000A1607" w:rsidRPr="0012760D" w:rsidTr="00C17424">
        <w:tblPrEx>
          <w:tblCellMar>
            <w:top w:w="0" w:type="dxa"/>
            <w:bottom w:w="0" w:type="dxa"/>
          </w:tblCellMar>
        </w:tblPrEx>
        <w:tc>
          <w:tcPr>
            <w:tcW w:w="1835" w:type="pct"/>
            <w:shd w:val="clear" w:color="auto" w:fill="auto"/>
          </w:tcPr>
          <w:p w:rsidR="000A1607" w:rsidRPr="0012760D" w:rsidRDefault="000A1607" w:rsidP="00C17424">
            <w:pPr>
              <w:rPr>
                <w:sz w:val="24"/>
                <w:szCs w:val="24"/>
              </w:rPr>
            </w:pPr>
            <w:r w:rsidRPr="0012760D">
              <w:rPr>
                <w:sz w:val="24"/>
                <w:szCs w:val="24"/>
              </w:rPr>
              <w:t>Birchip Landcare Group</w:t>
            </w:r>
          </w:p>
        </w:tc>
        <w:tc>
          <w:tcPr>
            <w:tcW w:w="2363" w:type="pct"/>
            <w:shd w:val="clear" w:color="auto" w:fill="auto"/>
          </w:tcPr>
          <w:p w:rsidR="000A1607" w:rsidRPr="0012760D" w:rsidRDefault="000A1607" w:rsidP="00C17424">
            <w:pPr>
              <w:rPr>
                <w:sz w:val="24"/>
                <w:szCs w:val="24"/>
              </w:rPr>
            </w:pPr>
            <w:r w:rsidRPr="0012760D">
              <w:rPr>
                <w:sz w:val="24"/>
                <w:szCs w:val="24"/>
              </w:rPr>
              <w:t>Mahoods Corner to Goulds Reserve Biolink</w:t>
            </w:r>
          </w:p>
        </w:tc>
        <w:tc>
          <w:tcPr>
            <w:tcW w:w="802" w:type="pct"/>
            <w:shd w:val="clear" w:color="auto" w:fill="auto"/>
          </w:tcPr>
          <w:p w:rsidR="000A1607" w:rsidRPr="0012760D" w:rsidRDefault="000A1607" w:rsidP="00C17424">
            <w:pPr>
              <w:jc w:val="right"/>
              <w:rPr>
                <w:sz w:val="24"/>
                <w:szCs w:val="24"/>
              </w:rPr>
            </w:pPr>
            <w:r w:rsidRPr="0012760D">
              <w:rPr>
                <w:sz w:val="24"/>
                <w:szCs w:val="24"/>
              </w:rPr>
              <w:t>9,659</w:t>
            </w:r>
          </w:p>
        </w:tc>
      </w:tr>
      <w:tr w:rsidR="000A1607" w:rsidRPr="0012760D" w:rsidTr="00C17424">
        <w:tblPrEx>
          <w:tblCellMar>
            <w:top w:w="0" w:type="dxa"/>
            <w:bottom w:w="0" w:type="dxa"/>
          </w:tblCellMar>
        </w:tblPrEx>
        <w:tc>
          <w:tcPr>
            <w:tcW w:w="1835" w:type="pct"/>
            <w:shd w:val="clear" w:color="auto" w:fill="auto"/>
          </w:tcPr>
          <w:p w:rsidR="000A1607" w:rsidRPr="0012760D" w:rsidRDefault="000A1607" w:rsidP="00C17424">
            <w:pPr>
              <w:rPr>
                <w:sz w:val="24"/>
                <w:szCs w:val="24"/>
              </w:rPr>
            </w:pPr>
            <w:r w:rsidRPr="0012760D">
              <w:rPr>
                <w:sz w:val="24"/>
                <w:szCs w:val="24"/>
              </w:rPr>
              <w:t>Leitchville Landcare Group</w:t>
            </w:r>
          </w:p>
        </w:tc>
        <w:tc>
          <w:tcPr>
            <w:tcW w:w="2363" w:type="pct"/>
            <w:shd w:val="clear" w:color="auto" w:fill="auto"/>
          </w:tcPr>
          <w:p w:rsidR="000A1607" w:rsidRPr="0012760D" w:rsidRDefault="000A1607" w:rsidP="00C17424">
            <w:pPr>
              <w:rPr>
                <w:sz w:val="24"/>
                <w:szCs w:val="24"/>
              </w:rPr>
            </w:pPr>
            <w:r w:rsidRPr="0012760D">
              <w:rPr>
                <w:sz w:val="24"/>
                <w:szCs w:val="24"/>
              </w:rPr>
              <w:t>Treecare</w:t>
            </w:r>
          </w:p>
        </w:tc>
        <w:tc>
          <w:tcPr>
            <w:tcW w:w="802" w:type="pct"/>
            <w:shd w:val="clear" w:color="auto" w:fill="auto"/>
          </w:tcPr>
          <w:p w:rsidR="000A1607" w:rsidRPr="0012760D" w:rsidRDefault="000A1607" w:rsidP="00C17424">
            <w:pPr>
              <w:jc w:val="right"/>
              <w:rPr>
                <w:sz w:val="24"/>
                <w:szCs w:val="24"/>
              </w:rPr>
            </w:pPr>
            <w:r w:rsidRPr="0012760D">
              <w:rPr>
                <w:sz w:val="24"/>
                <w:szCs w:val="24"/>
              </w:rPr>
              <w:t>8,472</w:t>
            </w:r>
          </w:p>
        </w:tc>
      </w:tr>
      <w:tr w:rsidR="000A1607" w:rsidRPr="0012760D" w:rsidTr="00C17424">
        <w:tblPrEx>
          <w:tblCellMar>
            <w:top w:w="0" w:type="dxa"/>
            <w:bottom w:w="0" w:type="dxa"/>
          </w:tblCellMar>
        </w:tblPrEx>
        <w:tc>
          <w:tcPr>
            <w:tcW w:w="1835" w:type="pct"/>
            <w:shd w:val="clear" w:color="auto" w:fill="auto"/>
          </w:tcPr>
          <w:p w:rsidR="000A1607" w:rsidRPr="0012760D" w:rsidRDefault="000A1607" w:rsidP="00C17424">
            <w:pPr>
              <w:rPr>
                <w:sz w:val="24"/>
                <w:szCs w:val="24"/>
              </w:rPr>
            </w:pPr>
            <w:r w:rsidRPr="0012760D">
              <w:rPr>
                <w:sz w:val="24"/>
                <w:szCs w:val="24"/>
              </w:rPr>
              <w:t>Conservation Ecology Centre</w:t>
            </w:r>
          </w:p>
        </w:tc>
        <w:tc>
          <w:tcPr>
            <w:tcW w:w="2363" w:type="pct"/>
            <w:shd w:val="clear" w:color="auto" w:fill="auto"/>
          </w:tcPr>
          <w:p w:rsidR="000A1607" w:rsidRPr="0012760D" w:rsidRDefault="000A1607" w:rsidP="00C17424">
            <w:pPr>
              <w:rPr>
                <w:sz w:val="24"/>
                <w:szCs w:val="24"/>
              </w:rPr>
            </w:pPr>
            <w:r w:rsidRPr="0012760D">
              <w:rPr>
                <w:sz w:val="24"/>
                <w:szCs w:val="24"/>
              </w:rPr>
              <w:t>Re-vegetating and Restoring Manna Gum Reserve</w:t>
            </w:r>
          </w:p>
        </w:tc>
        <w:tc>
          <w:tcPr>
            <w:tcW w:w="802" w:type="pct"/>
            <w:shd w:val="clear" w:color="auto" w:fill="auto"/>
          </w:tcPr>
          <w:p w:rsidR="000A1607" w:rsidRPr="0012760D" w:rsidRDefault="000A1607" w:rsidP="00C17424">
            <w:pPr>
              <w:jc w:val="right"/>
              <w:rPr>
                <w:sz w:val="24"/>
                <w:szCs w:val="24"/>
              </w:rPr>
            </w:pPr>
            <w:r w:rsidRPr="0012760D">
              <w:rPr>
                <w:sz w:val="24"/>
                <w:szCs w:val="24"/>
              </w:rPr>
              <w:t>8,385</w:t>
            </w:r>
          </w:p>
        </w:tc>
      </w:tr>
      <w:tr w:rsidR="000A1607" w:rsidRPr="0012760D" w:rsidTr="00C17424">
        <w:tblPrEx>
          <w:tblCellMar>
            <w:top w:w="0" w:type="dxa"/>
            <w:bottom w:w="0" w:type="dxa"/>
          </w:tblCellMar>
        </w:tblPrEx>
        <w:tc>
          <w:tcPr>
            <w:tcW w:w="1835" w:type="pct"/>
            <w:shd w:val="clear" w:color="auto" w:fill="auto"/>
          </w:tcPr>
          <w:p w:rsidR="000A1607" w:rsidRPr="0012760D" w:rsidRDefault="000A1607" w:rsidP="00C17424">
            <w:pPr>
              <w:rPr>
                <w:sz w:val="24"/>
                <w:szCs w:val="24"/>
              </w:rPr>
            </w:pPr>
            <w:r w:rsidRPr="0012760D">
              <w:rPr>
                <w:sz w:val="24"/>
                <w:szCs w:val="24"/>
              </w:rPr>
              <w:t>Wonthaggi Seed Bank Inc.</w:t>
            </w:r>
          </w:p>
        </w:tc>
        <w:tc>
          <w:tcPr>
            <w:tcW w:w="2363" w:type="pct"/>
            <w:shd w:val="clear" w:color="auto" w:fill="auto"/>
          </w:tcPr>
          <w:p w:rsidR="000A1607" w:rsidRPr="0012760D" w:rsidRDefault="000A1607" w:rsidP="00C17424">
            <w:pPr>
              <w:rPr>
                <w:sz w:val="24"/>
                <w:szCs w:val="24"/>
              </w:rPr>
            </w:pPr>
            <w:r w:rsidRPr="0012760D">
              <w:rPr>
                <w:sz w:val="24"/>
                <w:szCs w:val="24"/>
              </w:rPr>
              <w:t>Construction of South Dudley Wetland Stage 1</w:t>
            </w:r>
          </w:p>
        </w:tc>
        <w:tc>
          <w:tcPr>
            <w:tcW w:w="802" w:type="pct"/>
            <w:shd w:val="clear" w:color="auto" w:fill="auto"/>
          </w:tcPr>
          <w:p w:rsidR="000A1607" w:rsidRPr="0012760D" w:rsidRDefault="000A1607" w:rsidP="00C17424">
            <w:pPr>
              <w:jc w:val="right"/>
              <w:rPr>
                <w:sz w:val="24"/>
                <w:szCs w:val="24"/>
              </w:rPr>
            </w:pPr>
            <w:r w:rsidRPr="0012760D">
              <w:rPr>
                <w:sz w:val="24"/>
                <w:szCs w:val="24"/>
              </w:rPr>
              <w:t>10,000</w:t>
            </w:r>
          </w:p>
        </w:tc>
      </w:tr>
      <w:tr w:rsidR="000A1607" w:rsidRPr="0012760D" w:rsidTr="00C17424">
        <w:tblPrEx>
          <w:tblCellMar>
            <w:top w:w="0" w:type="dxa"/>
            <w:bottom w:w="0" w:type="dxa"/>
          </w:tblCellMar>
        </w:tblPrEx>
        <w:tc>
          <w:tcPr>
            <w:tcW w:w="1835" w:type="pct"/>
            <w:shd w:val="clear" w:color="auto" w:fill="auto"/>
          </w:tcPr>
          <w:p w:rsidR="000A1607" w:rsidRPr="0012760D" w:rsidRDefault="000A1607" w:rsidP="00C17424">
            <w:pPr>
              <w:rPr>
                <w:sz w:val="24"/>
                <w:szCs w:val="24"/>
              </w:rPr>
            </w:pPr>
            <w:r w:rsidRPr="0012760D">
              <w:rPr>
                <w:sz w:val="24"/>
                <w:szCs w:val="24"/>
              </w:rPr>
              <w:t>Benambra Dinner Plain Omeo Landcare Group</w:t>
            </w:r>
          </w:p>
        </w:tc>
        <w:tc>
          <w:tcPr>
            <w:tcW w:w="2363" w:type="pct"/>
            <w:shd w:val="clear" w:color="auto" w:fill="auto"/>
          </w:tcPr>
          <w:p w:rsidR="000A1607" w:rsidRPr="0012760D" w:rsidRDefault="000A1607" w:rsidP="00C17424">
            <w:pPr>
              <w:rPr>
                <w:sz w:val="24"/>
                <w:szCs w:val="24"/>
              </w:rPr>
            </w:pPr>
            <w:r w:rsidRPr="0012760D">
              <w:rPr>
                <w:sz w:val="24"/>
                <w:szCs w:val="24"/>
              </w:rPr>
              <w:t>Habitat improvement to protect sub-alpine wet heathland within the Dinner Plain village</w:t>
            </w:r>
          </w:p>
        </w:tc>
        <w:tc>
          <w:tcPr>
            <w:tcW w:w="802" w:type="pct"/>
            <w:shd w:val="clear" w:color="auto" w:fill="auto"/>
          </w:tcPr>
          <w:p w:rsidR="000A1607" w:rsidRPr="0012760D" w:rsidRDefault="000A1607" w:rsidP="00C17424">
            <w:pPr>
              <w:jc w:val="right"/>
              <w:rPr>
                <w:sz w:val="24"/>
                <w:szCs w:val="24"/>
              </w:rPr>
            </w:pPr>
            <w:r w:rsidRPr="0012760D">
              <w:rPr>
                <w:sz w:val="24"/>
                <w:szCs w:val="24"/>
              </w:rPr>
              <w:t>10,000</w:t>
            </w:r>
          </w:p>
        </w:tc>
      </w:tr>
      <w:tr w:rsidR="000A1607" w:rsidRPr="0012760D" w:rsidTr="00C17424">
        <w:tblPrEx>
          <w:tblCellMar>
            <w:top w:w="0" w:type="dxa"/>
            <w:bottom w:w="0" w:type="dxa"/>
          </w:tblCellMar>
        </w:tblPrEx>
        <w:tc>
          <w:tcPr>
            <w:tcW w:w="1835" w:type="pct"/>
            <w:shd w:val="clear" w:color="auto" w:fill="auto"/>
          </w:tcPr>
          <w:p w:rsidR="000A1607" w:rsidRPr="0012760D" w:rsidRDefault="000A1607" w:rsidP="00C17424">
            <w:pPr>
              <w:rPr>
                <w:sz w:val="24"/>
                <w:szCs w:val="24"/>
              </w:rPr>
            </w:pPr>
            <w:r w:rsidRPr="0012760D">
              <w:rPr>
                <w:sz w:val="24"/>
                <w:szCs w:val="24"/>
              </w:rPr>
              <w:t>Breamlea Coastcare</w:t>
            </w:r>
          </w:p>
        </w:tc>
        <w:tc>
          <w:tcPr>
            <w:tcW w:w="2363" w:type="pct"/>
            <w:shd w:val="clear" w:color="auto" w:fill="auto"/>
          </w:tcPr>
          <w:p w:rsidR="000A1607" w:rsidRPr="0012760D" w:rsidRDefault="000A1607" w:rsidP="00C17424">
            <w:pPr>
              <w:rPr>
                <w:sz w:val="24"/>
                <w:szCs w:val="24"/>
              </w:rPr>
            </w:pPr>
            <w:r w:rsidRPr="0012760D">
              <w:rPr>
                <w:sz w:val="24"/>
                <w:szCs w:val="24"/>
              </w:rPr>
              <w:t>Moonah Woodland Conservation Project, Breamlea</w:t>
            </w:r>
          </w:p>
        </w:tc>
        <w:tc>
          <w:tcPr>
            <w:tcW w:w="802" w:type="pct"/>
            <w:shd w:val="clear" w:color="auto" w:fill="auto"/>
          </w:tcPr>
          <w:p w:rsidR="000A1607" w:rsidRPr="0012760D" w:rsidRDefault="000A1607" w:rsidP="00C17424">
            <w:pPr>
              <w:jc w:val="right"/>
              <w:rPr>
                <w:sz w:val="24"/>
                <w:szCs w:val="24"/>
              </w:rPr>
            </w:pPr>
            <w:r w:rsidRPr="0012760D">
              <w:rPr>
                <w:sz w:val="24"/>
                <w:szCs w:val="24"/>
              </w:rPr>
              <w:t>10,000</w:t>
            </w:r>
          </w:p>
        </w:tc>
      </w:tr>
      <w:tr w:rsidR="000A1607" w:rsidRPr="0012760D" w:rsidTr="00C17424">
        <w:tblPrEx>
          <w:tblCellMar>
            <w:top w:w="0" w:type="dxa"/>
            <w:bottom w:w="0" w:type="dxa"/>
          </w:tblCellMar>
        </w:tblPrEx>
        <w:tc>
          <w:tcPr>
            <w:tcW w:w="1835" w:type="pct"/>
            <w:shd w:val="clear" w:color="auto" w:fill="auto"/>
          </w:tcPr>
          <w:p w:rsidR="000A1607" w:rsidRPr="0012760D" w:rsidRDefault="000A1607" w:rsidP="00C17424">
            <w:pPr>
              <w:rPr>
                <w:sz w:val="24"/>
                <w:szCs w:val="24"/>
              </w:rPr>
            </w:pPr>
            <w:r w:rsidRPr="0012760D">
              <w:rPr>
                <w:sz w:val="24"/>
                <w:szCs w:val="24"/>
              </w:rPr>
              <w:t>Barengi Gadjin Land Council</w:t>
            </w:r>
          </w:p>
        </w:tc>
        <w:tc>
          <w:tcPr>
            <w:tcW w:w="2363" w:type="pct"/>
            <w:shd w:val="clear" w:color="auto" w:fill="auto"/>
          </w:tcPr>
          <w:p w:rsidR="000A1607" w:rsidRPr="0012760D" w:rsidRDefault="000A1607" w:rsidP="00C17424">
            <w:pPr>
              <w:rPr>
                <w:sz w:val="24"/>
                <w:szCs w:val="24"/>
              </w:rPr>
            </w:pPr>
            <w:r w:rsidRPr="0012760D">
              <w:rPr>
                <w:sz w:val="24"/>
                <w:szCs w:val="24"/>
              </w:rPr>
              <w:t>Restoring Country</w:t>
            </w:r>
          </w:p>
        </w:tc>
        <w:tc>
          <w:tcPr>
            <w:tcW w:w="802" w:type="pct"/>
            <w:shd w:val="clear" w:color="auto" w:fill="auto"/>
          </w:tcPr>
          <w:p w:rsidR="000A1607" w:rsidRPr="0012760D" w:rsidRDefault="000A1607" w:rsidP="00C17424">
            <w:pPr>
              <w:jc w:val="right"/>
              <w:rPr>
                <w:sz w:val="24"/>
                <w:szCs w:val="24"/>
              </w:rPr>
            </w:pPr>
            <w:r w:rsidRPr="0012760D">
              <w:rPr>
                <w:sz w:val="24"/>
                <w:szCs w:val="24"/>
              </w:rPr>
              <w:t>10,000</w:t>
            </w:r>
          </w:p>
        </w:tc>
      </w:tr>
      <w:tr w:rsidR="000A1607" w:rsidRPr="0012760D" w:rsidTr="00C17424">
        <w:tblPrEx>
          <w:tblCellMar>
            <w:top w:w="0" w:type="dxa"/>
            <w:bottom w:w="0" w:type="dxa"/>
          </w:tblCellMar>
        </w:tblPrEx>
        <w:tc>
          <w:tcPr>
            <w:tcW w:w="1835" w:type="pct"/>
            <w:shd w:val="clear" w:color="auto" w:fill="auto"/>
          </w:tcPr>
          <w:p w:rsidR="000A1607" w:rsidRPr="0012760D" w:rsidRDefault="000A1607" w:rsidP="00C17424">
            <w:pPr>
              <w:rPr>
                <w:sz w:val="24"/>
                <w:szCs w:val="24"/>
              </w:rPr>
            </w:pPr>
            <w:r w:rsidRPr="0012760D">
              <w:rPr>
                <w:sz w:val="24"/>
                <w:szCs w:val="24"/>
              </w:rPr>
              <w:t>Friends of Paddock Creek Reserve and Moorabool Catchment Landcare Group</w:t>
            </w:r>
          </w:p>
        </w:tc>
        <w:tc>
          <w:tcPr>
            <w:tcW w:w="2363" w:type="pct"/>
            <w:shd w:val="clear" w:color="auto" w:fill="auto"/>
          </w:tcPr>
          <w:p w:rsidR="000A1607" w:rsidRPr="0012760D" w:rsidRDefault="000A1607" w:rsidP="00C17424">
            <w:pPr>
              <w:rPr>
                <w:sz w:val="24"/>
                <w:szCs w:val="24"/>
              </w:rPr>
            </w:pPr>
            <w:r w:rsidRPr="0012760D">
              <w:rPr>
                <w:sz w:val="24"/>
                <w:szCs w:val="24"/>
              </w:rPr>
              <w:t>Restoration of Native Habitat of the Paddock Creek Reserve, Gordon</w:t>
            </w:r>
          </w:p>
        </w:tc>
        <w:tc>
          <w:tcPr>
            <w:tcW w:w="802" w:type="pct"/>
            <w:shd w:val="clear" w:color="auto" w:fill="auto"/>
          </w:tcPr>
          <w:p w:rsidR="000A1607" w:rsidRPr="0012760D" w:rsidRDefault="000A1607" w:rsidP="00C17424">
            <w:pPr>
              <w:jc w:val="right"/>
              <w:rPr>
                <w:sz w:val="24"/>
                <w:szCs w:val="24"/>
              </w:rPr>
            </w:pPr>
            <w:r w:rsidRPr="0012760D">
              <w:rPr>
                <w:sz w:val="24"/>
                <w:szCs w:val="24"/>
              </w:rPr>
              <w:t>6,667</w:t>
            </w:r>
          </w:p>
        </w:tc>
      </w:tr>
      <w:tr w:rsidR="000A1607" w:rsidRPr="0012760D" w:rsidTr="00C17424">
        <w:tblPrEx>
          <w:tblCellMar>
            <w:top w:w="0" w:type="dxa"/>
            <w:bottom w:w="0" w:type="dxa"/>
          </w:tblCellMar>
        </w:tblPrEx>
        <w:tc>
          <w:tcPr>
            <w:tcW w:w="1835" w:type="pct"/>
            <w:shd w:val="clear" w:color="auto" w:fill="auto"/>
          </w:tcPr>
          <w:p w:rsidR="000A1607" w:rsidRPr="0012760D" w:rsidRDefault="000A1607" w:rsidP="00C17424">
            <w:pPr>
              <w:rPr>
                <w:sz w:val="24"/>
                <w:szCs w:val="24"/>
              </w:rPr>
            </w:pPr>
            <w:r w:rsidRPr="0012760D">
              <w:rPr>
                <w:sz w:val="24"/>
                <w:szCs w:val="24"/>
              </w:rPr>
              <w:t>Friends of Williams Road Beach</w:t>
            </w:r>
          </w:p>
        </w:tc>
        <w:tc>
          <w:tcPr>
            <w:tcW w:w="2363" w:type="pct"/>
            <w:shd w:val="clear" w:color="auto" w:fill="auto"/>
          </w:tcPr>
          <w:p w:rsidR="000A1607" w:rsidRPr="0012760D" w:rsidRDefault="000A1607" w:rsidP="00C17424">
            <w:pPr>
              <w:rPr>
                <w:sz w:val="24"/>
                <w:szCs w:val="24"/>
              </w:rPr>
            </w:pPr>
            <w:r w:rsidRPr="0012760D">
              <w:rPr>
                <w:sz w:val="24"/>
                <w:szCs w:val="24"/>
              </w:rPr>
              <w:t>Communities consolidating retention habitat (Friends of Williams Road Beach)</w:t>
            </w:r>
          </w:p>
        </w:tc>
        <w:tc>
          <w:tcPr>
            <w:tcW w:w="802" w:type="pct"/>
            <w:shd w:val="clear" w:color="auto" w:fill="auto"/>
          </w:tcPr>
          <w:p w:rsidR="000A1607" w:rsidRPr="0012760D" w:rsidRDefault="000A1607" w:rsidP="00C17424">
            <w:pPr>
              <w:jc w:val="right"/>
              <w:rPr>
                <w:sz w:val="24"/>
                <w:szCs w:val="24"/>
              </w:rPr>
            </w:pPr>
            <w:r w:rsidRPr="0012760D">
              <w:rPr>
                <w:sz w:val="24"/>
                <w:szCs w:val="24"/>
              </w:rPr>
              <w:t>7,722</w:t>
            </w:r>
          </w:p>
        </w:tc>
      </w:tr>
      <w:tr w:rsidR="000A1607" w:rsidRPr="0012760D" w:rsidTr="00C17424">
        <w:tblPrEx>
          <w:tblCellMar>
            <w:top w:w="0" w:type="dxa"/>
            <w:bottom w:w="0" w:type="dxa"/>
          </w:tblCellMar>
        </w:tblPrEx>
        <w:tc>
          <w:tcPr>
            <w:tcW w:w="1835" w:type="pct"/>
            <w:shd w:val="clear" w:color="auto" w:fill="auto"/>
          </w:tcPr>
          <w:p w:rsidR="000A1607" w:rsidRPr="0012760D" w:rsidRDefault="000A1607" w:rsidP="00C17424">
            <w:pPr>
              <w:rPr>
                <w:sz w:val="24"/>
                <w:szCs w:val="24"/>
              </w:rPr>
            </w:pPr>
            <w:r w:rsidRPr="0012760D">
              <w:rPr>
                <w:sz w:val="24"/>
                <w:szCs w:val="24"/>
              </w:rPr>
              <w:t>Gippsland Plains Conservation Management Network</w:t>
            </w:r>
          </w:p>
        </w:tc>
        <w:tc>
          <w:tcPr>
            <w:tcW w:w="2363" w:type="pct"/>
            <w:shd w:val="clear" w:color="auto" w:fill="auto"/>
          </w:tcPr>
          <w:p w:rsidR="000A1607" w:rsidRPr="0012760D" w:rsidRDefault="000A1607" w:rsidP="00C17424">
            <w:pPr>
              <w:rPr>
                <w:sz w:val="24"/>
                <w:szCs w:val="24"/>
              </w:rPr>
            </w:pPr>
            <w:r w:rsidRPr="0012760D">
              <w:rPr>
                <w:sz w:val="24"/>
                <w:szCs w:val="24"/>
              </w:rPr>
              <w:t>Saving the Peregrine Falcon</w:t>
            </w:r>
          </w:p>
        </w:tc>
        <w:tc>
          <w:tcPr>
            <w:tcW w:w="802" w:type="pct"/>
            <w:shd w:val="clear" w:color="auto" w:fill="auto"/>
          </w:tcPr>
          <w:p w:rsidR="000A1607" w:rsidRPr="0012760D" w:rsidRDefault="000A1607" w:rsidP="00C17424">
            <w:pPr>
              <w:jc w:val="right"/>
              <w:rPr>
                <w:sz w:val="24"/>
                <w:szCs w:val="24"/>
              </w:rPr>
            </w:pPr>
            <w:r w:rsidRPr="0012760D">
              <w:rPr>
                <w:sz w:val="24"/>
                <w:szCs w:val="24"/>
              </w:rPr>
              <w:t>9,900</w:t>
            </w:r>
          </w:p>
        </w:tc>
      </w:tr>
      <w:tr w:rsidR="000A1607" w:rsidRPr="0012760D" w:rsidTr="00C17424">
        <w:tblPrEx>
          <w:tblCellMar>
            <w:top w:w="0" w:type="dxa"/>
            <w:bottom w:w="0" w:type="dxa"/>
          </w:tblCellMar>
        </w:tblPrEx>
        <w:tc>
          <w:tcPr>
            <w:tcW w:w="1835" w:type="pct"/>
            <w:shd w:val="clear" w:color="auto" w:fill="auto"/>
          </w:tcPr>
          <w:p w:rsidR="000A1607" w:rsidRPr="0012760D" w:rsidRDefault="000A1607" w:rsidP="00C17424">
            <w:pPr>
              <w:rPr>
                <w:sz w:val="24"/>
                <w:szCs w:val="24"/>
              </w:rPr>
            </w:pPr>
            <w:r w:rsidRPr="0012760D">
              <w:rPr>
                <w:sz w:val="24"/>
                <w:szCs w:val="24"/>
              </w:rPr>
              <w:t>Friends of Iramoo Incorporated</w:t>
            </w:r>
          </w:p>
        </w:tc>
        <w:tc>
          <w:tcPr>
            <w:tcW w:w="2363" w:type="pct"/>
            <w:shd w:val="clear" w:color="auto" w:fill="auto"/>
          </w:tcPr>
          <w:p w:rsidR="000A1607" w:rsidRPr="0012760D" w:rsidRDefault="000A1607" w:rsidP="00C17424">
            <w:pPr>
              <w:rPr>
                <w:sz w:val="24"/>
                <w:szCs w:val="24"/>
              </w:rPr>
            </w:pPr>
            <w:r w:rsidRPr="0012760D">
              <w:rPr>
                <w:sz w:val="24"/>
                <w:szCs w:val="24"/>
              </w:rPr>
              <w:t>Cairnlea Grasslands Community 2013 to 2014</w:t>
            </w:r>
          </w:p>
        </w:tc>
        <w:tc>
          <w:tcPr>
            <w:tcW w:w="802" w:type="pct"/>
            <w:shd w:val="clear" w:color="auto" w:fill="auto"/>
          </w:tcPr>
          <w:p w:rsidR="000A1607" w:rsidRPr="0012760D" w:rsidRDefault="000A1607" w:rsidP="00C17424">
            <w:pPr>
              <w:jc w:val="right"/>
              <w:rPr>
                <w:sz w:val="24"/>
                <w:szCs w:val="24"/>
              </w:rPr>
            </w:pPr>
            <w:r w:rsidRPr="0012760D">
              <w:rPr>
                <w:sz w:val="24"/>
                <w:szCs w:val="24"/>
              </w:rPr>
              <w:t>9,950</w:t>
            </w:r>
          </w:p>
        </w:tc>
      </w:tr>
      <w:tr w:rsidR="000A1607" w:rsidRPr="0012760D" w:rsidTr="00C17424">
        <w:tblPrEx>
          <w:tblCellMar>
            <w:top w:w="0" w:type="dxa"/>
            <w:bottom w:w="0" w:type="dxa"/>
          </w:tblCellMar>
        </w:tblPrEx>
        <w:trPr>
          <w:trHeight w:val="585"/>
        </w:trPr>
        <w:tc>
          <w:tcPr>
            <w:tcW w:w="1835" w:type="pct"/>
            <w:shd w:val="clear" w:color="auto" w:fill="auto"/>
          </w:tcPr>
          <w:p w:rsidR="000A1607" w:rsidRPr="0012760D" w:rsidRDefault="000A1607" w:rsidP="00C17424">
            <w:pPr>
              <w:rPr>
                <w:sz w:val="24"/>
                <w:szCs w:val="24"/>
              </w:rPr>
            </w:pPr>
            <w:r w:rsidRPr="0012760D">
              <w:rPr>
                <w:sz w:val="24"/>
                <w:szCs w:val="24"/>
              </w:rPr>
              <w:t>Burke Road Billabong Committee of Management Inc.</w:t>
            </w:r>
          </w:p>
        </w:tc>
        <w:tc>
          <w:tcPr>
            <w:tcW w:w="2363" w:type="pct"/>
            <w:shd w:val="clear" w:color="auto" w:fill="auto"/>
          </w:tcPr>
          <w:p w:rsidR="000A1607" w:rsidRPr="0012760D" w:rsidRDefault="000A1607" w:rsidP="00C17424">
            <w:pPr>
              <w:rPr>
                <w:sz w:val="24"/>
                <w:szCs w:val="24"/>
              </w:rPr>
            </w:pPr>
            <w:r w:rsidRPr="0012760D">
              <w:rPr>
                <w:sz w:val="24"/>
                <w:szCs w:val="24"/>
              </w:rPr>
              <w:t>Burke Road Billabong Reserve - Woodland Management and Rehabilitation</w:t>
            </w:r>
          </w:p>
        </w:tc>
        <w:tc>
          <w:tcPr>
            <w:tcW w:w="802" w:type="pct"/>
            <w:shd w:val="clear" w:color="auto" w:fill="auto"/>
          </w:tcPr>
          <w:p w:rsidR="000A1607" w:rsidRPr="0012760D" w:rsidRDefault="000A1607" w:rsidP="00C17424">
            <w:pPr>
              <w:jc w:val="right"/>
              <w:rPr>
                <w:sz w:val="24"/>
                <w:szCs w:val="24"/>
              </w:rPr>
            </w:pPr>
            <w:r w:rsidRPr="0012760D">
              <w:rPr>
                <w:sz w:val="24"/>
                <w:szCs w:val="24"/>
              </w:rPr>
              <w:t>6,930</w:t>
            </w:r>
          </w:p>
        </w:tc>
      </w:tr>
      <w:tr w:rsidR="000A1607" w:rsidRPr="0012760D" w:rsidTr="00C17424">
        <w:tblPrEx>
          <w:tblCellMar>
            <w:top w:w="0" w:type="dxa"/>
            <w:bottom w:w="0" w:type="dxa"/>
          </w:tblCellMar>
        </w:tblPrEx>
        <w:tc>
          <w:tcPr>
            <w:tcW w:w="1835" w:type="pct"/>
            <w:shd w:val="clear" w:color="auto" w:fill="auto"/>
          </w:tcPr>
          <w:p w:rsidR="000A1607" w:rsidRPr="0012760D" w:rsidRDefault="000A1607" w:rsidP="00C17424">
            <w:pPr>
              <w:rPr>
                <w:sz w:val="24"/>
                <w:szCs w:val="24"/>
              </w:rPr>
            </w:pPr>
            <w:r w:rsidRPr="0012760D">
              <w:rPr>
                <w:sz w:val="24"/>
                <w:szCs w:val="24"/>
              </w:rPr>
              <w:t>Merricks Beach Foreshore Reserve Committee of Management</w:t>
            </w:r>
          </w:p>
        </w:tc>
        <w:tc>
          <w:tcPr>
            <w:tcW w:w="2363" w:type="pct"/>
            <w:shd w:val="clear" w:color="auto" w:fill="auto"/>
          </w:tcPr>
          <w:p w:rsidR="000A1607" w:rsidRPr="0012760D" w:rsidRDefault="000A1607" w:rsidP="00C17424">
            <w:pPr>
              <w:rPr>
                <w:sz w:val="24"/>
                <w:szCs w:val="24"/>
              </w:rPr>
            </w:pPr>
            <w:r w:rsidRPr="0012760D">
              <w:rPr>
                <w:sz w:val="24"/>
                <w:szCs w:val="24"/>
              </w:rPr>
              <w:t>Weed Control and Revegetation Management Blocks 1 and 2 Merricks Beach Foreshore</w:t>
            </w:r>
          </w:p>
        </w:tc>
        <w:tc>
          <w:tcPr>
            <w:tcW w:w="802" w:type="pct"/>
            <w:shd w:val="clear" w:color="auto" w:fill="auto"/>
          </w:tcPr>
          <w:p w:rsidR="000A1607" w:rsidRPr="0012760D" w:rsidRDefault="000A1607" w:rsidP="00C17424">
            <w:pPr>
              <w:jc w:val="right"/>
              <w:rPr>
                <w:sz w:val="24"/>
                <w:szCs w:val="24"/>
              </w:rPr>
            </w:pPr>
            <w:r w:rsidRPr="0012760D">
              <w:rPr>
                <w:sz w:val="24"/>
                <w:szCs w:val="24"/>
              </w:rPr>
              <w:t>6,800</w:t>
            </w:r>
          </w:p>
        </w:tc>
      </w:tr>
      <w:tr w:rsidR="000A1607" w:rsidRPr="0012760D" w:rsidTr="00C17424">
        <w:tblPrEx>
          <w:tblCellMar>
            <w:top w:w="0" w:type="dxa"/>
            <w:bottom w:w="0" w:type="dxa"/>
          </w:tblCellMar>
        </w:tblPrEx>
        <w:tc>
          <w:tcPr>
            <w:tcW w:w="1835" w:type="pct"/>
            <w:shd w:val="clear" w:color="auto" w:fill="auto"/>
          </w:tcPr>
          <w:p w:rsidR="000A1607" w:rsidRPr="0012760D" w:rsidRDefault="000A1607" w:rsidP="00C17424">
            <w:pPr>
              <w:rPr>
                <w:sz w:val="24"/>
                <w:szCs w:val="24"/>
              </w:rPr>
            </w:pPr>
            <w:r w:rsidRPr="0012760D">
              <w:rPr>
                <w:sz w:val="24"/>
                <w:szCs w:val="24"/>
              </w:rPr>
              <w:lastRenderedPageBreak/>
              <w:t xml:space="preserve">Warragul </w:t>
            </w:r>
            <w:r w:rsidR="00236A13">
              <w:rPr>
                <w:sz w:val="24"/>
                <w:szCs w:val="24"/>
              </w:rPr>
              <w:t>and</w:t>
            </w:r>
            <w:r w:rsidRPr="0012760D">
              <w:rPr>
                <w:sz w:val="24"/>
                <w:szCs w:val="24"/>
              </w:rPr>
              <w:t xml:space="preserve"> District Landcare Group</w:t>
            </w:r>
          </w:p>
        </w:tc>
        <w:tc>
          <w:tcPr>
            <w:tcW w:w="2363" w:type="pct"/>
            <w:shd w:val="clear" w:color="auto" w:fill="auto"/>
          </w:tcPr>
          <w:p w:rsidR="000A1607" w:rsidRPr="0012760D" w:rsidRDefault="000A1607" w:rsidP="00C17424">
            <w:pPr>
              <w:rPr>
                <w:sz w:val="24"/>
                <w:szCs w:val="24"/>
              </w:rPr>
            </w:pPr>
            <w:r w:rsidRPr="0012760D">
              <w:rPr>
                <w:sz w:val="24"/>
                <w:szCs w:val="24"/>
              </w:rPr>
              <w:t>Warragul Community Rabbit Control Program</w:t>
            </w:r>
          </w:p>
        </w:tc>
        <w:tc>
          <w:tcPr>
            <w:tcW w:w="802" w:type="pct"/>
            <w:shd w:val="clear" w:color="auto" w:fill="auto"/>
          </w:tcPr>
          <w:p w:rsidR="000A1607" w:rsidRPr="0012760D" w:rsidRDefault="000A1607" w:rsidP="00C17424">
            <w:pPr>
              <w:jc w:val="right"/>
              <w:rPr>
                <w:sz w:val="24"/>
                <w:szCs w:val="24"/>
              </w:rPr>
            </w:pPr>
            <w:r w:rsidRPr="0012760D">
              <w:rPr>
                <w:sz w:val="24"/>
                <w:szCs w:val="24"/>
              </w:rPr>
              <w:t>10,000</w:t>
            </w:r>
          </w:p>
        </w:tc>
      </w:tr>
    </w:tbl>
    <w:p w:rsidR="000A1607" w:rsidRPr="0012760D" w:rsidRDefault="000A1607" w:rsidP="000A1607">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5150"/>
        <w:gridCol w:w="6647"/>
        <w:gridCol w:w="2237"/>
      </w:tblGrid>
      <w:tr w:rsidR="000A1607" w:rsidRPr="0012760D" w:rsidTr="00C17424">
        <w:tblPrEx>
          <w:tblCellMar>
            <w:top w:w="0" w:type="dxa"/>
            <w:bottom w:w="0" w:type="dxa"/>
          </w:tblCellMar>
        </w:tblPrEx>
        <w:tc>
          <w:tcPr>
            <w:tcW w:w="1835" w:type="pct"/>
            <w:shd w:val="clear" w:color="auto" w:fill="auto"/>
          </w:tcPr>
          <w:p w:rsidR="000A1607" w:rsidRPr="0012760D" w:rsidRDefault="000A1607" w:rsidP="00C17424">
            <w:pPr>
              <w:rPr>
                <w:sz w:val="24"/>
                <w:szCs w:val="24"/>
              </w:rPr>
            </w:pPr>
            <w:r w:rsidRPr="0012760D">
              <w:rPr>
                <w:sz w:val="24"/>
                <w:szCs w:val="24"/>
              </w:rPr>
              <w:t>Edward Hunter Heritage Bush Reserve Committee of Management</w:t>
            </w:r>
          </w:p>
        </w:tc>
        <w:tc>
          <w:tcPr>
            <w:tcW w:w="2368" w:type="pct"/>
            <w:shd w:val="clear" w:color="auto" w:fill="auto"/>
          </w:tcPr>
          <w:p w:rsidR="000A1607" w:rsidRPr="0012760D" w:rsidRDefault="000A1607" w:rsidP="00C17424">
            <w:pPr>
              <w:rPr>
                <w:sz w:val="24"/>
                <w:szCs w:val="24"/>
              </w:rPr>
            </w:pPr>
            <w:r w:rsidRPr="0012760D">
              <w:rPr>
                <w:sz w:val="24"/>
                <w:szCs w:val="24"/>
              </w:rPr>
              <w:t>Edward Hunter Heritage Bush Reserve Restoration Works: Rehabilitation of weed infested site, flora enhancement and learning project, stage 1</w:t>
            </w:r>
          </w:p>
        </w:tc>
        <w:tc>
          <w:tcPr>
            <w:tcW w:w="797" w:type="pct"/>
            <w:shd w:val="clear" w:color="auto" w:fill="auto"/>
          </w:tcPr>
          <w:p w:rsidR="000A1607" w:rsidRPr="0012760D" w:rsidRDefault="000A1607" w:rsidP="00C17424">
            <w:pPr>
              <w:jc w:val="right"/>
              <w:rPr>
                <w:sz w:val="24"/>
                <w:szCs w:val="24"/>
              </w:rPr>
            </w:pPr>
            <w:r w:rsidRPr="0012760D">
              <w:rPr>
                <w:sz w:val="24"/>
                <w:szCs w:val="24"/>
              </w:rPr>
              <w:t>10,000</w:t>
            </w:r>
          </w:p>
        </w:tc>
      </w:tr>
      <w:tr w:rsidR="000A1607" w:rsidRPr="0012760D" w:rsidTr="00C17424">
        <w:tblPrEx>
          <w:tblCellMar>
            <w:top w:w="0" w:type="dxa"/>
            <w:bottom w:w="0" w:type="dxa"/>
          </w:tblCellMar>
        </w:tblPrEx>
        <w:tc>
          <w:tcPr>
            <w:tcW w:w="1835" w:type="pct"/>
            <w:shd w:val="clear" w:color="auto" w:fill="auto"/>
          </w:tcPr>
          <w:p w:rsidR="000A1607" w:rsidRPr="0012760D" w:rsidRDefault="000A1607" w:rsidP="00C17424">
            <w:pPr>
              <w:rPr>
                <w:sz w:val="24"/>
                <w:szCs w:val="24"/>
              </w:rPr>
            </w:pPr>
            <w:r w:rsidRPr="0012760D">
              <w:rPr>
                <w:sz w:val="24"/>
                <w:szCs w:val="24"/>
              </w:rPr>
              <w:t>Friends of Swipers Gully</w:t>
            </w:r>
          </w:p>
        </w:tc>
        <w:tc>
          <w:tcPr>
            <w:tcW w:w="2368" w:type="pct"/>
            <w:shd w:val="clear" w:color="auto" w:fill="auto"/>
          </w:tcPr>
          <w:p w:rsidR="000A1607" w:rsidRPr="0012760D" w:rsidRDefault="000A1607" w:rsidP="00C17424">
            <w:pPr>
              <w:rPr>
                <w:sz w:val="24"/>
                <w:szCs w:val="24"/>
              </w:rPr>
            </w:pPr>
            <w:r w:rsidRPr="0012760D">
              <w:rPr>
                <w:sz w:val="24"/>
                <w:szCs w:val="24"/>
              </w:rPr>
              <w:t>Restoration of Swipers Gully</w:t>
            </w:r>
          </w:p>
        </w:tc>
        <w:tc>
          <w:tcPr>
            <w:tcW w:w="797" w:type="pct"/>
            <w:shd w:val="clear" w:color="auto" w:fill="auto"/>
          </w:tcPr>
          <w:p w:rsidR="000A1607" w:rsidRPr="0012760D" w:rsidRDefault="000A1607" w:rsidP="00C17424">
            <w:pPr>
              <w:jc w:val="right"/>
              <w:rPr>
                <w:sz w:val="24"/>
                <w:szCs w:val="24"/>
              </w:rPr>
            </w:pPr>
            <w:r w:rsidRPr="0012760D">
              <w:rPr>
                <w:sz w:val="24"/>
                <w:szCs w:val="24"/>
              </w:rPr>
              <w:t>10,000</w:t>
            </w:r>
          </w:p>
        </w:tc>
      </w:tr>
      <w:tr w:rsidR="000A1607" w:rsidRPr="0012760D" w:rsidTr="00C17424">
        <w:tblPrEx>
          <w:tblCellMar>
            <w:top w:w="0" w:type="dxa"/>
            <w:bottom w:w="0" w:type="dxa"/>
          </w:tblCellMar>
        </w:tblPrEx>
        <w:tc>
          <w:tcPr>
            <w:tcW w:w="1835" w:type="pct"/>
            <w:shd w:val="clear" w:color="auto" w:fill="auto"/>
          </w:tcPr>
          <w:p w:rsidR="000A1607" w:rsidRPr="0012760D" w:rsidRDefault="000A1607" w:rsidP="00C17424">
            <w:pPr>
              <w:rPr>
                <w:sz w:val="24"/>
                <w:szCs w:val="24"/>
              </w:rPr>
            </w:pPr>
            <w:r w:rsidRPr="0012760D">
              <w:rPr>
                <w:sz w:val="24"/>
                <w:szCs w:val="24"/>
              </w:rPr>
              <w:t>Lalbert Landcare Group</w:t>
            </w:r>
          </w:p>
        </w:tc>
        <w:tc>
          <w:tcPr>
            <w:tcW w:w="2368" w:type="pct"/>
            <w:shd w:val="clear" w:color="auto" w:fill="auto"/>
          </w:tcPr>
          <w:p w:rsidR="000A1607" w:rsidRPr="0012760D" w:rsidRDefault="000A1607" w:rsidP="00C17424">
            <w:pPr>
              <w:rPr>
                <w:sz w:val="24"/>
                <w:szCs w:val="24"/>
              </w:rPr>
            </w:pPr>
            <w:r w:rsidRPr="0012760D">
              <w:rPr>
                <w:sz w:val="24"/>
                <w:szCs w:val="24"/>
              </w:rPr>
              <w:t>Coordinated rabbit baiting at Lalbert</w:t>
            </w:r>
          </w:p>
        </w:tc>
        <w:tc>
          <w:tcPr>
            <w:tcW w:w="797" w:type="pct"/>
            <w:shd w:val="clear" w:color="auto" w:fill="auto"/>
          </w:tcPr>
          <w:p w:rsidR="000A1607" w:rsidRPr="0012760D" w:rsidRDefault="000A1607" w:rsidP="00C17424">
            <w:pPr>
              <w:jc w:val="right"/>
              <w:rPr>
                <w:sz w:val="24"/>
                <w:szCs w:val="24"/>
              </w:rPr>
            </w:pPr>
            <w:r w:rsidRPr="0012760D">
              <w:rPr>
                <w:sz w:val="24"/>
                <w:szCs w:val="24"/>
              </w:rPr>
              <w:t>9,996</w:t>
            </w:r>
          </w:p>
        </w:tc>
      </w:tr>
      <w:tr w:rsidR="000A1607" w:rsidRPr="0012760D" w:rsidTr="00C17424">
        <w:tblPrEx>
          <w:tblCellMar>
            <w:top w:w="0" w:type="dxa"/>
            <w:bottom w:w="0" w:type="dxa"/>
          </w:tblCellMar>
        </w:tblPrEx>
        <w:tc>
          <w:tcPr>
            <w:tcW w:w="1835" w:type="pct"/>
            <w:shd w:val="clear" w:color="auto" w:fill="auto"/>
          </w:tcPr>
          <w:p w:rsidR="000A1607" w:rsidRPr="0012760D" w:rsidRDefault="000A1607" w:rsidP="00C17424">
            <w:pPr>
              <w:rPr>
                <w:sz w:val="24"/>
                <w:szCs w:val="24"/>
              </w:rPr>
            </w:pPr>
            <w:r w:rsidRPr="0012760D">
              <w:rPr>
                <w:sz w:val="24"/>
                <w:szCs w:val="24"/>
              </w:rPr>
              <w:t>Culgoa Landcare Group</w:t>
            </w:r>
          </w:p>
        </w:tc>
        <w:tc>
          <w:tcPr>
            <w:tcW w:w="2368" w:type="pct"/>
            <w:shd w:val="clear" w:color="auto" w:fill="auto"/>
          </w:tcPr>
          <w:p w:rsidR="000A1607" w:rsidRPr="0012760D" w:rsidRDefault="000A1607" w:rsidP="00C17424">
            <w:pPr>
              <w:rPr>
                <w:sz w:val="24"/>
                <w:szCs w:val="24"/>
              </w:rPr>
            </w:pPr>
            <w:r w:rsidRPr="0012760D">
              <w:rPr>
                <w:sz w:val="24"/>
                <w:szCs w:val="24"/>
              </w:rPr>
              <w:t>Culgoa's Bait-a-Bunny Program</w:t>
            </w:r>
          </w:p>
        </w:tc>
        <w:tc>
          <w:tcPr>
            <w:tcW w:w="797" w:type="pct"/>
            <w:shd w:val="clear" w:color="auto" w:fill="auto"/>
          </w:tcPr>
          <w:p w:rsidR="000A1607" w:rsidRPr="0012760D" w:rsidRDefault="000A1607" w:rsidP="00C17424">
            <w:pPr>
              <w:jc w:val="right"/>
              <w:rPr>
                <w:sz w:val="24"/>
                <w:szCs w:val="24"/>
              </w:rPr>
            </w:pPr>
            <w:r w:rsidRPr="0012760D">
              <w:rPr>
                <w:sz w:val="24"/>
                <w:szCs w:val="24"/>
              </w:rPr>
              <w:t>9,985</w:t>
            </w:r>
          </w:p>
        </w:tc>
      </w:tr>
      <w:tr w:rsidR="000A1607" w:rsidRPr="0012760D" w:rsidTr="00C17424">
        <w:tblPrEx>
          <w:tblCellMar>
            <w:top w:w="0" w:type="dxa"/>
            <w:bottom w:w="0" w:type="dxa"/>
          </w:tblCellMar>
        </w:tblPrEx>
        <w:tc>
          <w:tcPr>
            <w:tcW w:w="1835" w:type="pct"/>
            <w:shd w:val="clear" w:color="auto" w:fill="auto"/>
          </w:tcPr>
          <w:p w:rsidR="000A1607" w:rsidRPr="0012760D" w:rsidRDefault="000A1607" w:rsidP="00C17424">
            <w:pPr>
              <w:rPr>
                <w:sz w:val="24"/>
                <w:szCs w:val="24"/>
              </w:rPr>
            </w:pPr>
            <w:r w:rsidRPr="0012760D">
              <w:rPr>
                <w:sz w:val="24"/>
                <w:szCs w:val="24"/>
              </w:rPr>
              <w:t>Friends of Dandenong Valley Parklands Inc.</w:t>
            </w:r>
          </w:p>
        </w:tc>
        <w:tc>
          <w:tcPr>
            <w:tcW w:w="2368" w:type="pct"/>
            <w:shd w:val="clear" w:color="auto" w:fill="auto"/>
          </w:tcPr>
          <w:p w:rsidR="000A1607" w:rsidRPr="0012760D" w:rsidRDefault="000A1607" w:rsidP="00C17424">
            <w:pPr>
              <w:rPr>
                <w:sz w:val="24"/>
                <w:szCs w:val="24"/>
              </w:rPr>
            </w:pPr>
            <w:r w:rsidRPr="0012760D">
              <w:rPr>
                <w:sz w:val="24"/>
                <w:szCs w:val="24"/>
              </w:rPr>
              <w:t>Habitat improvement for Powerful owls and Growling Grass Frog</w:t>
            </w:r>
          </w:p>
        </w:tc>
        <w:tc>
          <w:tcPr>
            <w:tcW w:w="797" w:type="pct"/>
            <w:shd w:val="clear" w:color="auto" w:fill="auto"/>
          </w:tcPr>
          <w:p w:rsidR="000A1607" w:rsidRPr="0012760D" w:rsidRDefault="000A1607" w:rsidP="00C17424">
            <w:pPr>
              <w:jc w:val="right"/>
              <w:rPr>
                <w:sz w:val="24"/>
                <w:szCs w:val="24"/>
              </w:rPr>
            </w:pPr>
            <w:r w:rsidRPr="0012760D">
              <w:rPr>
                <w:sz w:val="24"/>
                <w:szCs w:val="24"/>
              </w:rPr>
              <w:t>9,950</w:t>
            </w:r>
          </w:p>
        </w:tc>
      </w:tr>
      <w:tr w:rsidR="000A1607" w:rsidRPr="0012760D" w:rsidTr="00C17424">
        <w:tblPrEx>
          <w:tblCellMar>
            <w:top w:w="0" w:type="dxa"/>
            <w:bottom w:w="0" w:type="dxa"/>
          </w:tblCellMar>
        </w:tblPrEx>
        <w:tc>
          <w:tcPr>
            <w:tcW w:w="1835" w:type="pct"/>
            <w:shd w:val="clear" w:color="auto" w:fill="auto"/>
          </w:tcPr>
          <w:p w:rsidR="000A1607" w:rsidRPr="0012760D" w:rsidRDefault="000A1607" w:rsidP="00C17424">
            <w:pPr>
              <w:rPr>
                <w:sz w:val="24"/>
                <w:szCs w:val="24"/>
              </w:rPr>
            </w:pPr>
            <w:r w:rsidRPr="0012760D">
              <w:rPr>
                <w:sz w:val="24"/>
                <w:szCs w:val="24"/>
              </w:rPr>
              <w:t>Lancefield Park Recreation Reserve</w:t>
            </w:r>
          </w:p>
        </w:tc>
        <w:tc>
          <w:tcPr>
            <w:tcW w:w="2368" w:type="pct"/>
            <w:shd w:val="clear" w:color="auto" w:fill="auto"/>
          </w:tcPr>
          <w:p w:rsidR="000A1607" w:rsidRPr="0012760D" w:rsidRDefault="000A1607" w:rsidP="00C17424">
            <w:pPr>
              <w:rPr>
                <w:sz w:val="24"/>
                <w:szCs w:val="24"/>
              </w:rPr>
            </w:pPr>
            <w:r w:rsidRPr="0012760D">
              <w:rPr>
                <w:sz w:val="24"/>
                <w:szCs w:val="24"/>
              </w:rPr>
              <w:t>Community initiated weed removal and enhancement of Lancefield Swap Area</w:t>
            </w:r>
          </w:p>
        </w:tc>
        <w:tc>
          <w:tcPr>
            <w:tcW w:w="797" w:type="pct"/>
            <w:shd w:val="clear" w:color="auto" w:fill="auto"/>
          </w:tcPr>
          <w:p w:rsidR="000A1607" w:rsidRPr="0012760D" w:rsidRDefault="000A1607" w:rsidP="00C17424">
            <w:pPr>
              <w:jc w:val="right"/>
              <w:rPr>
                <w:sz w:val="24"/>
                <w:szCs w:val="24"/>
              </w:rPr>
            </w:pPr>
            <w:r w:rsidRPr="0012760D">
              <w:rPr>
                <w:sz w:val="24"/>
                <w:szCs w:val="24"/>
              </w:rPr>
              <w:t>9,690</w:t>
            </w:r>
          </w:p>
        </w:tc>
      </w:tr>
      <w:tr w:rsidR="000A1607" w:rsidRPr="0012760D" w:rsidTr="00C17424">
        <w:tblPrEx>
          <w:tblCellMar>
            <w:top w:w="0" w:type="dxa"/>
            <w:bottom w:w="0" w:type="dxa"/>
          </w:tblCellMar>
        </w:tblPrEx>
        <w:tc>
          <w:tcPr>
            <w:tcW w:w="1835" w:type="pct"/>
            <w:shd w:val="clear" w:color="auto" w:fill="auto"/>
          </w:tcPr>
          <w:p w:rsidR="000A1607" w:rsidRPr="0012760D" w:rsidRDefault="000A1607" w:rsidP="00C17424">
            <w:pPr>
              <w:rPr>
                <w:sz w:val="24"/>
                <w:szCs w:val="24"/>
              </w:rPr>
            </w:pPr>
            <w:r w:rsidRPr="0012760D">
              <w:rPr>
                <w:sz w:val="24"/>
                <w:szCs w:val="24"/>
              </w:rPr>
              <w:t>Wattle Flat-Pootilla Landcare Group</w:t>
            </w:r>
          </w:p>
        </w:tc>
        <w:tc>
          <w:tcPr>
            <w:tcW w:w="2368" w:type="pct"/>
            <w:shd w:val="clear" w:color="auto" w:fill="auto"/>
          </w:tcPr>
          <w:p w:rsidR="000A1607" w:rsidRPr="0012760D" w:rsidRDefault="000A1607" w:rsidP="00C17424">
            <w:pPr>
              <w:rPr>
                <w:sz w:val="24"/>
                <w:szCs w:val="24"/>
              </w:rPr>
            </w:pPr>
            <w:r w:rsidRPr="0012760D">
              <w:rPr>
                <w:sz w:val="24"/>
                <w:szCs w:val="24"/>
              </w:rPr>
              <w:t>Biodiversity Enhancement on the upper Yarrowee River (Phase 2)</w:t>
            </w:r>
          </w:p>
        </w:tc>
        <w:tc>
          <w:tcPr>
            <w:tcW w:w="797" w:type="pct"/>
            <w:shd w:val="clear" w:color="auto" w:fill="auto"/>
          </w:tcPr>
          <w:p w:rsidR="000A1607" w:rsidRPr="0012760D" w:rsidRDefault="000A1607" w:rsidP="00C17424">
            <w:pPr>
              <w:jc w:val="right"/>
              <w:rPr>
                <w:sz w:val="24"/>
                <w:szCs w:val="24"/>
              </w:rPr>
            </w:pPr>
            <w:r w:rsidRPr="0012760D">
              <w:rPr>
                <w:sz w:val="24"/>
                <w:szCs w:val="24"/>
              </w:rPr>
              <w:t>9,675</w:t>
            </w:r>
          </w:p>
        </w:tc>
      </w:tr>
      <w:tr w:rsidR="000A1607" w:rsidRPr="0012760D" w:rsidTr="00C17424">
        <w:tblPrEx>
          <w:tblCellMar>
            <w:top w:w="0" w:type="dxa"/>
            <w:bottom w:w="0" w:type="dxa"/>
          </w:tblCellMar>
        </w:tblPrEx>
        <w:tc>
          <w:tcPr>
            <w:tcW w:w="1835" w:type="pct"/>
            <w:shd w:val="clear" w:color="auto" w:fill="auto"/>
          </w:tcPr>
          <w:p w:rsidR="000A1607" w:rsidRPr="0012760D" w:rsidRDefault="000A1607" w:rsidP="00C17424">
            <w:pPr>
              <w:rPr>
                <w:sz w:val="24"/>
                <w:szCs w:val="24"/>
              </w:rPr>
            </w:pPr>
            <w:r w:rsidRPr="0012760D">
              <w:rPr>
                <w:sz w:val="24"/>
                <w:szCs w:val="24"/>
              </w:rPr>
              <w:t>Friends of Yatmerone auspiced under Advance Penshurst Incorporated</w:t>
            </w:r>
          </w:p>
        </w:tc>
        <w:tc>
          <w:tcPr>
            <w:tcW w:w="2368" w:type="pct"/>
            <w:shd w:val="clear" w:color="auto" w:fill="auto"/>
          </w:tcPr>
          <w:p w:rsidR="000A1607" w:rsidRPr="0012760D" w:rsidRDefault="000A1607" w:rsidP="00C17424">
            <w:pPr>
              <w:rPr>
                <w:sz w:val="24"/>
                <w:szCs w:val="24"/>
              </w:rPr>
            </w:pPr>
            <w:r w:rsidRPr="0012760D">
              <w:rPr>
                <w:sz w:val="24"/>
                <w:szCs w:val="24"/>
              </w:rPr>
              <w:t>Protecting and reveging Yatmerone</w:t>
            </w:r>
          </w:p>
        </w:tc>
        <w:tc>
          <w:tcPr>
            <w:tcW w:w="797" w:type="pct"/>
            <w:shd w:val="clear" w:color="auto" w:fill="auto"/>
          </w:tcPr>
          <w:p w:rsidR="000A1607" w:rsidRPr="0012760D" w:rsidRDefault="000A1607" w:rsidP="00C17424">
            <w:pPr>
              <w:jc w:val="right"/>
              <w:rPr>
                <w:sz w:val="24"/>
                <w:szCs w:val="24"/>
              </w:rPr>
            </w:pPr>
            <w:r w:rsidRPr="0012760D">
              <w:rPr>
                <w:sz w:val="24"/>
                <w:szCs w:val="24"/>
              </w:rPr>
              <w:t>6,590</w:t>
            </w:r>
          </w:p>
        </w:tc>
      </w:tr>
      <w:tr w:rsidR="000A1607" w:rsidRPr="0012760D" w:rsidTr="00C17424">
        <w:tblPrEx>
          <w:tblCellMar>
            <w:top w:w="0" w:type="dxa"/>
            <w:bottom w:w="0" w:type="dxa"/>
          </w:tblCellMar>
        </w:tblPrEx>
        <w:tc>
          <w:tcPr>
            <w:tcW w:w="1835" w:type="pct"/>
            <w:shd w:val="clear" w:color="auto" w:fill="auto"/>
          </w:tcPr>
          <w:p w:rsidR="000A1607" w:rsidRPr="0012760D" w:rsidRDefault="000A1607" w:rsidP="00C17424">
            <w:pPr>
              <w:rPr>
                <w:sz w:val="24"/>
                <w:szCs w:val="24"/>
              </w:rPr>
            </w:pPr>
            <w:r w:rsidRPr="0012760D">
              <w:rPr>
                <w:sz w:val="24"/>
                <w:szCs w:val="24"/>
              </w:rPr>
              <w:t>Darebin Creek Management Committee Inc.</w:t>
            </w:r>
          </w:p>
        </w:tc>
        <w:tc>
          <w:tcPr>
            <w:tcW w:w="2368" w:type="pct"/>
            <w:shd w:val="clear" w:color="auto" w:fill="auto"/>
          </w:tcPr>
          <w:p w:rsidR="000A1607" w:rsidRPr="0012760D" w:rsidRDefault="000A1607" w:rsidP="00C17424">
            <w:pPr>
              <w:rPr>
                <w:sz w:val="24"/>
                <w:szCs w:val="24"/>
              </w:rPr>
            </w:pPr>
            <w:r w:rsidRPr="0012760D">
              <w:rPr>
                <w:sz w:val="24"/>
                <w:szCs w:val="24"/>
              </w:rPr>
              <w:t>Nesting Boxes Along Darebin Creek</w:t>
            </w:r>
          </w:p>
        </w:tc>
        <w:tc>
          <w:tcPr>
            <w:tcW w:w="797" w:type="pct"/>
            <w:shd w:val="clear" w:color="auto" w:fill="auto"/>
          </w:tcPr>
          <w:p w:rsidR="000A1607" w:rsidRPr="0012760D" w:rsidRDefault="000A1607" w:rsidP="00C17424">
            <w:pPr>
              <w:jc w:val="right"/>
              <w:rPr>
                <w:sz w:val="24"/>
                <w:szCs w:val="24"/>
              </w:rPr>
            </w:pPr>
            <w:r w:rsidRPr="0012760D">
              <w:rPr>
                <w:sz w:val="24"/>
                <w:szCs w:val="24"/>
              </w:rPr>
              <w:t>3,180</w:t>
            </w:r>
          </w:p>
        </w:tc>
      </w:tr>
      <w:tr w:rsidR="000A1607" w:rsidRPr="0012760D" w:rsidTr="00C17424">
        <w:tblPrEx>
          <w:tblCellMar>
            <w:top w:w="0" w:type="dxa"/>
            <w:bottom w:w="0" w:type="dxa"/>
          </w:tblCellMar>
        </w:tblPrEx>
        <w:tc>
          <w:tcPr>
            <w:tcW w:w="1835" w:type="pct"/>
            <w:shd w:val="clear" w:color="auto" w:fill="auto"/>
          </w:tcPr>
          <w:p w:rsidR="000A1607" w:rsidRPr="0012760D" w:rsidRDefault="000A1607" w:rsidP="00C17424">
            <w:pPr>
              <w:rPr>
                <w:sz w:val="24"/>
                <w:szCs w:val="24"/>
              </w:rPr>
            </w:pPr>
            <w:r w:rsidRPr="0012760D">
              <w:rPr>
                <w:sz w:val="24"/>
                <w:szCs w:val="24"/>
              </w:rPr>
              <w:t>Indigo Environment Advisory Committee</w:t>
            </w:r>
          </w:p>
        </w:tc>
        <w:tc>
          <w:tcPr>
            <w:tcW w:w="2368" w:type="pct"/>
            <w:shd w:val="clear" w:color="auto" w:fill="auto"/>
          </w:tcPr>
          <w:p w:rsidR="000A1607" w:rsidRPr="0012760D" w:rsidRDefault="000A1607" w:rsidP="00C17424">
            <w:pPr>
              <w:rPr>
                <w:sz w:val="24"/>
                <w:szCs w:val="24"/>
              </w:rPr>
            </w:pPr>
            <w:r w:rsidRPr="0012760D">
              <w:rPr>
                <w:sz w:val="24"/>
                <w:szCs w:val="24"/>
              </w:rPr>
              <w:t>Woodland Species Habitat Assessment, Enhancement and Protection Scoping Study</w:t>
            </w:r>
          </w:p>
        </w:tc>
        <w:tc>
          <w:tcPr>
            <w:tcW w:w="797" w:type="pct"/>
            <w:shd w:val="clear" w:color="auto" w:fill="auto"/>
          </w:tcPr>
          <w:p w:rsidR="000A1607" w:rsidRPr="0012760D" w:rsidRDefault="000A1607" w:rsidP="00C17424">
            <w:pPr>
              <w:jc w:val="right"/>
              <w:rPr>
                <w:sz w:val="24"/>
                <w:szCs w:val="24"/>
              </w:rPr>
            </w:pPr>
            <w:r w:rsidRPr="0012760D">
              <w:rPr>
                <w:sz w:val="24"/>
                <w:szCs w:val="24"/>
              </w:rPr>
              <w:t>10,000</w:t>
            </w:r>
          </w:p>
        </w:tc>
      </w:tr>
      <w:tr w:rsidR="000A1607" w:rsidRPr="0012760D" w:rsidTr="00C17424">
        <w:tblPrEx>
          <w:tblCellMar>
            <w:top w:w="0" w:type="dxa"/>
            <w:bottom w:w="0" w:type="dxa"/>
          </w:tblCellMar>
        </w:tblPrEx>
        <w:tc>
          <w:tcPr>
            <w:tcW w:w="1835" w:type="pct"/>
            <w:shd w:val="clear" w:color="auto" w:fill="auto"/>
          </w:tcPr>
          <w:p w:rsidR="000A1607" w:rsidRPr="0012760D" w:rsidRDefault="000A1607" w:rsidP="00C17424">
            <w:pPr>
              <w:rPr>
                <w:sz w:val="24"/>
                <w:szCs w:val="24"/>
              </w:rPr>
            </w:pPr>
            <w:r w:rsidRPr="0012760D">
              <w:rPr>
                <w:sz w:val="24"/>
                <w:szCs w:val="24"/>
              </w:rPr>
              <w:t>Rowsley Landcare Group</w:t>
            </w:r>
          </w:p>
        </w:tc>
        <w:tc>
          <w:tcPr>
            <w:tcW w:w="2368" w:type="pct"/>
            <w:shd w:val="clear" w:color="auto" w:fill="auto"/>
          </w:tcPr>
          <w:p w:rsidR="000A1607" w:rsidRPr="0012760D" w:rsidRDefault="000A1607" w:rsidP="00C17424">
            <w:pPr>
              <w:rPr>
                <w:sz w:val="24"/>
                <w:szCs w:val="24"/>
              </w:rPr>
            </w:pPr>
            <w:r w:rsidRPr="0012760D">
              <w:rPr>
                <w:sz w:val="24"/>
                <w:szCs w:val="24"/>
              </w:rPr>
              <w:t>New reserve on Old Rowsley Gun Club Site</w:t>
            </w:r>
          </w:p>
        </w:tc>
        <w:tc>
          <w:tcPr>
            <w:tcW w:w="797" w:type="pct"/>
            <w:shd w:val="clear" w:color="auto" w:fill="auto"/>
          </w:tcPr>
          <w:p w:rsidR="000A1607" w:rsidRPr="0012760D" w:rsidRDefault="000A1607" w:rsidP="00C17424">
            <w:pPr>
              <w:jc w:val="right"/>
              <w:rPr>
                <w:sz w:val="24"/>
                <w:szCs w:val="24"/>
              </w:rPr>
            </w:pPr>
            <w:r w:rsidRPr="0012760D">
              <w:rPr>
                <w:sz w:val="24"/>
                <w:szCs w:val="24"/>
              </w:rPr>
              <w:t>9,970</w:t>
            </w:r>
          </w:p>
        </w:tc>
      </w:tr>
      <w:tr w:rsidR="000A1607" w:rsidRPr="0012760D" w:rsidTr="00C17424">
        <w:tblPrEx>
          <w:tblCellMar>
            <w:top w:w="0" w:type="dxa"/>
            <w:bottom w:w="0" w:type="dxa"/>
          </w:tblCellMar>
        </w:tblPrEx>
        <w:tc>
          <w:tcPr>
            <w:tcW w:w="1835" w:type="pct"/>
            <w:shd w:val="clear" w:color="auto" w:fill="auto"/>
          </w:tcPr>
          <w:p w:rsidR="000A1607" w:rsidRPr="0012760D" w:rsidRDefault="000A1607" w:rsidP="00C17424">
            <w:pPr>
              <w:rPr>
                <w:sz w:val="24"/>
                <w:szCs w:val="24"/>
              </w:rPr>
            </w:pPr>
            <w:r w:rsidRPr="0012760D">
              <w:rPr>
                <w:sz w:val="24"/>
                <w:szCs w:val="24"/>
              </w:rPr>
              <w:t>Friends of the Maribyrnong Valley Incorporated</w:t>
            </w:r>
          </w:p>
        </w:tc>
        <w:tc>
          <w:tcPr>
            <w:tcW w:w="2368" w:type="pct"/>
            <w:shd w:val="clear" w:color="auto" w:fill="auto"/>
          </w:tcPr>
          <w:p w:rsidR="000A1607" w:rsidRPr="0012760D" w:rsidRDefault="000A1607" w:rsidP="00C17424">
            <w:pPr>
              <w:rPr>
                <w:sz w:val="24"/>
                <w:szCs w:val="24"/>
              </w:rPr>
            </w:pPr>
            <w:r w:rsidRPr="0012760D">
              <w:rPr>
                <w:sz w:val="24"/>
                <w:szCs w:val="24"/>
              </w:rPr>
              <w:t>Tea Gardens Boxthorn removal</w:t>
            </w:r>
          </w:p>
        </w:tc>
        <w:tc>
          <w:tcPr>
            <w:tcW w:w="797" w:type="pct"/>
            <w:shd w:val="clear" w:color="auto" w:fill="auto"/>
          </w:tcPr>
          <w:p w:rsidR="000A1607" w:rsidRPr="0012760D" w:rsidRDefault="000A1607" w:rsidP="00C17424">
            <w:pPr>
              <w:jc w:val="right"/>
              <w:rPr>
                <w:sz w:val="24"/>
                <w:szCs w:val="24"/>
              </w:rPr>
            </w:pPr>
            <w:r w:rsidRPr="0012760D">
              <w:rPr>
                <w:sz w:val="24"/>
                <w:szCs w:val="24"/>
              </w:rPr>
              <w:t>9,937</w:t>
            </w:r>
          </w:p>
        </w:tc>
      </w:tr>
      <w:tr w:rsidR="000A1607" w:rsidRPr="0012760D" w:rsidTr="00C17424">
        <w:tblPrEx>
          <w:tblCellMar>
            <w:top w:w="0" w:type="dxa"/>
            <w:bottom w:w="0" w:type="dxa"/>
          </w:tblCellMar>
        </w:tblPrEx>
        <w:tc>
          <w:tcPr>
            <w:tcW w:w="1835" w:type="pct"/>
            <w:shd w:val="clear" w:color="auto" w:fill="auto"/>
          </w:tcPr>
          <w:p w:rsidR="000A1607" w:rsidRPr="0012760D" w:rsidRDefault="000A1607" w:rsidP="00C17424">
            <w:pPr>
              <w:rPr>
                <w:sz w:val="24"/>
                <w:szCs w:val="24"/>
              </w:rPr>
            </w:pPr>
            <w:r w:rsidRPr="0012760D">
              <w:rPr>
                <w:sz w:val="24"/>
                <w:szCs w:val="24"/>
              </w:rPr>
              <w:t>Ripplebrook Landcare Group</w:t>
            </w:r>
          </w:p>
        </w:tc>
        <w:tc>
          <w:tcPr>
            <w:tcW w:w="2368" w:type="pct"/>
            <w:shd w:val="clear" w:color="auto" w:fill="auto"/>
          </w:tcPr>
          <w:p w:rsidR="000A1607" w:rsidRPr="0012760D" w:rsidRDefault="000A1607" w:rsidP="00C17424">
            <w:pPr>
              <w:rPr>
                <w:sz w:val="24"/>
                <w:szCs w:val="24"/>
              </w:rPr>
            </w:pPr>
            <w:r w:rsidRPr="0012760D">
              <w:rPr>
                <w:sz w:val="24"/>
                <w:szCs w:val="24"/>
              </w:rPr>
              <w:t>Ripplebrook Integrated Rabbit Control</w:t>
            </w:r>
          </w:p>
        </w:tc>
        <w:tc>
          <w:tcPr>
            <w:tcW w:w="797" w:type="pct"/>
            <w:shd w:val="clear" w:color="auto" w:fill="auto"/>
          </w:tcPr>
          <w:p w:rsidR="000A1607" w:rsidRPr="0012760D" w:rsidRDefault="000A1607" w:rsidP="00C17424">
            <w:pPr>
              <w:jc w:val="right"/>
              <w:rPr>
                <w:sz w:val="24"/>
                <w:szCs w:val="24"/>
              </w:rPr>
            </w:pPr>
            <w:r w:rsidRPr="0012760D">
              <w:rPr>
                <w:sz w:val="24"/>
                <w:szCs w:val="24"/>
              </w:rPr>
              <w:t>4,736</w:t>
            </w:r>
          </w:p>
        </w:tc>
      </w:tr>
      <w:tr w:rsidR="000A1607" w:rsidRPr="0012760D" w:rsidTr="00C17424">
        <w:tblPrEx>
          <w:tblCellMar>
            <w:top w:w="0" w:type="dxa"/>
            <w:bottom w:w="0" w:type="dxa"/>
          </w:tblCellMar>
        </w:tblPrEx>
        <w:tc>
          <w:tcPr>
            <w:tcW w:w="1835" w:type="pct"/>
            <w:shd w:val="clear" w:color="auto" w:fill="auto"/>
          </w:tcPr>
          <w:p w:rsidR="000A1607" w:rsidRPr="0012760D" w:rsidRDefault="000A1607" w:rsidP="00C17424">
            <w:pPr>
              <w:rPr>
                <w:sz w:val="24"/>
                <w:szCs w:val="24"/>
              </w:rPr>
            </w:pPr>
            <w:r w:rsidRPr="0012760D">
              <w:rPr>
                <w:sz w:val="24"/>
                <w:szCs w:val="24"/>
              </w:rPr>
              <w:t>Conservation Volunteers</w:t>
            </w:r>
          </w:p>
        </w:tc>
        <w:tc>
          <w:tcPr>
            <w:tcW w:w="2368" w:type="pct"/>
            <w:shd w:val="clear" w:color="auto" w:fill="auto"/>
          </w:tcPr>
          <w:p w:rsidR="000A1607" w:rsidRPr="0012760D" w:rsidRDefault="000A1607" w:rsidP="00C17424">
            <w:pPr>
              <w:rPr>
                <w:sz w:val="24"/>
                <w:szCs w:val="24"/>
              </w:rPr>
            </w:pPr>
            <w:r w:rsidRPr="0012760D">
              <w:rPr>
                <w:sz w:val="24"/>
                <w:szCs w:val="24"/>
              </w:rPr>
              <w:t>Protecting the Eastern Barred Bandicoot in Hamilton</w:t>
            </w:r>
          </w:p>
        </w:tc>
        <w:tc>
          <w:tcPr>
            <w:tcW w:w="797" w:type="pct"/>
            <w:shd w:val="clear" w:color="auto" w:fill="auto"/>
          </w:tcPr>
          <w:p w:rsidR="000A1607" w:rsidRPr="0012760D" w:rsidRDefault="000A1607" w:rsidP="00C17424">
            <w:pPr>
              <w:jc w:val="right"/>
              <w:rPr>
                <w:sz w:val="24"/>
                <w:szCs w:val="24"/>
              </w:rPr>
            </w:pPr>
            <w:r w:rsidRPr="0012760D">
              <w:rPr>
                <w:sz w:val="24"/>
                <w:szCs w:val="24"/>
              </w:rPr>
              <w:t>9,510</w:t>
            </w:r>
          </w:p>
        </w:tc>
      </w:tr>
      <w:tr w:rsidR="000A1607" w:rsidRPr="0012760D" w:rsidTr="00C17424">
        <w:tblPrEx>
          <w:tblCellMar>
            <w:top w:w="0" w:type="dxa"/>
            <w:bottom w:w="0" w:type="dxa"/>
          </w:tblCellMar>
        </w:tblPrEx>
        <w:tc>
          <w:tcPr>
            <w:tcW w:w="1835" w:type="pct"/>
            <w:shd w:val="clear" w:color="auto" w:fill="auto"/>
          </w:tcPr>
          <w:p w:rsidR="000A1607" w:rsidRPr="0012760D" w:rsidRDefault="000A1607" w:rsidP="00C17424">
            <w:pPr>
              <w:rPr>
                <w:sz w:val="24"/>
                <w:szCs w:val="24"/>
              </w:rPr>
            </w:pPr>
            <w:r w:rsidRPr="0012760D">
              <w:rPr>
                <w:sz w:val="24"/>
                <w:szCs w:val="24"/>
              </w:rPr>
              <w:t>Nature Glenelg Trust</w:t>
            </w:r>
          </w:p>
        </w:tc>
        <w:tc>
          <w:tcPr>
            <w:tcW w:w="2368" w:type="pct"/>
            <w:shd w:val="clear" w:color="auto" w:fill="auto"/>
          </w:tcPr>
          <w:p w:rsidR="000A1607" w:rsidRPr="0012760D" w:rsidRDefault="000A1607" w:rsidP="00C17424">
            <w:pPr>
              <w:rPr>
                <w:sz w:val="24"/>
                <w:szCs w:val="24"/>
              </w:rPr>
            </w:pPr>
            <w:r w:rsidRPr="0012760D">
              <w:rPr>
                <w:sz w:val="24"/>
                <w:szCs w:val="24"/>
              </w:rPr>
              <w:t>Reducing the impact of artificial drainage on Gooseneck Swamp, Grampians National Park</w:t>
            </w:r>
          </w:p>
        </w:tc>
        <w:tc>
          <w:tcPr>
            <w:tcW w:w="797" w:type="pct"/>
            <w:shd w:val="clear" w:color="auto" w:fill="auto"/>
          </w:tcPr>
          <w:p w:rsidR="000A1607" w:rsidRPr="0012760D" w:rsidRDefault="000A1607" w:rsidP="00C17424">
            <w:pPr>
              <w:jc w:val="right"/>
              <w:rPr>
                <w:sz w:val="24"/>
                <w:szCs w:val="24"/>
              </w:rPr>
            </w:pPr>
            <w:r w:rsidRPr="0012760D">
              <w:rPr>
                <w:sz w:val="24"/>
                <w:szCs w:val="24"/>
              </w:rPr>
              <w:t>10,000</w:t>
            </w:r>
          </w:p>
        </w:tc>
      </w:tr>
      <w:tr w:rsidR="000A1607" w:rsidRPr="0012760D" w:rsidTr="00C17424">
        <w:tblPrEx>
          <w:tblCellMar>
            <w:top w:w="0" w:type="dxa"/>
            <w:bottom w:w="0" w:type="dxa"/>
          </w:tblCellMar>
        </w:tblPrEx>
        <w:tc>
          <w:tcPr>
            <w:tcW w:w="1835" w:type="pct"/>
            <w:shd w:val="clear" w:color="auto" w:fill="auto"/>
          </w:tcPr>
          <w:p w:rsidR="000A1607" w:rsidRPr="0012760D" w:rsidRDefault="000A1607" w:rsidP="00C17424">
            <w:pPr>
              <w:rPr>
                <w:sz w:val="24"/>
                <w:szCs w:val="24"/>
              </w:rPr>
            </w:pPr>
            <w:r w:rsidRPr="0012760D">
              <w:rPr>
                <w:sz w:val="24"/>
                <w:szCs w:val="24"/>
              </w:rPr>
              <w:t>Phillip Island Nature Park</w:t>
            </w:r>
          </w:p>
        </w:tc>
        <w:tc>
          <w:tcPr>
            <w:tcW w:w="2368" w:type="pct"/>
            <w:shd w:val="clear" w:color="auto" w:fill="auto"/>
          </w:tcPr>
          <w:p w:rsidR="000A1607" w:rsidRPr="0012760D" w:rsidRDefault="000A1607" w:rsidP="00C17424">
            <w:pPr>
              <w:rPr>
                <w:sz w:val="24"/>
                <w:szCs w:val="24"/>
              </w:rPr>
            </w:pPr>
            <w:r w:rsidRPr="0012760D">
              <w:rPr>
                <w:sz w:val="24"/>
                <w:szCs w:val="24"/>
              </w:rPr>
              <w:t>Short-tailed Shearwater habitat rehabilitation at Ventnor West</w:t>
            </w:r>
          </w:p>
        </w:tc>
        <w:tc>
          <w:tcPr>
            <w:tcW w:w="797" w:type="pct"/>
            <w:shd w:val="clear" w:color="auto" w:fill="auto"/>
          </w:tcPr>
          <w:p w:rsidR="000A1607" w:rsidRPr="0012760D" w:rsidRDefault="000A1607" w:rsidP="00C17424">
            <w:pPr>
              <w:jc w:val="right"/>
              <w:rPr>
                <w:sz w:val="24"/>
                <w:szCs w:val="24"/>
              </w:rPr>
            </w:pPr>
            <w:r w:rsidRPr="0012760D">
              <w:rPr>
                <w:sz w:val="24"/>
                <w:szCs w:val="24"/>
              </w:rPr>
              <w:t>6,380</w:t>
            </w:r>
          </w:p>
        </w:tc>
      </w:tr>
      <w:tr w:rsidR="000A1607" w:rsidRPr="0012760D" w:rsidTr="00C17424">
        <w:tblPrEx>
          <w:tblCellMar>
            <w:top w:w="0" w:type="dxa"/>
            <w:bottom w:w="0" w:type="dxa"/>
          </w:tblCellMar>
        </w:tblPrEx>
        <w:tc>
          <w:tcPr>
            <w:tcW w:w="1835" w:type="pct"/>
            <w:shd w:val="clear" w:color="auto" w:fill="auto"/>
          </w:tcPr>
          <w:p w:rsidR="000A1607" w:rsidRPr="0012760D" w:rsidRDefault="000A1607" w:rsidP="00C17424">
            <w:pPr>
              <w:rPr>
                <w:sz w:val="24"/>
                <w:szCs w:val="24"/>
              </w:rPr>
            </w:pPr>
            <w:r w:rsidRPr="0012760D">
              <w:rPr>
                <w:sz w:val="24"/>
                <w:szCs w:val="24"/>
              </w:rPr>
              <w:t>Ross Creek Landcare Group</w:t>
            </w:r>
          </w:p>
        </w:tc>
        <w:tc>
          <w:tcPr>
            <w:tcW w:w="2368" w:type="pct"/>
            <w:shd w:val="clear" w:color="auto" w:fill="auto"/>
          </w:tcPr>
          <w:p w:rsidR="000A1607" w:rsidRPr="0012760D" w:rsidRDefault="000A1607" w:rsidP="00C17424">
            <w:pPr>
              <w:rPr>
                <w:sz w:val="24"/>
                <w:szCs w:val="24"/>
              </w:rPr>
            </w:pPr>
            <w:r w:rsidRPr="0012760D">
              <w:rPr>
                <w:sz w:val="24"/>
                <w:szCs w:val="24"/>
              </w:rPr>
              <w:t>Revitalising Ross Creek's creekside habitats</w:t>
            </w:r>
          </w:p>
        </w:tc>
        <w:tc>
          <w:tcPr>
            <w:tcW w:w="797" w:type="pct"/>
            <w:shd w:val="clear" w:color="auto" w:fill="auto"/>
          </w:tcPr>
          <w:p w:rsidR="000A1607" w:rsidRPr="0012760D" w:rsidRDefault="000A1607" w:rsidP="00C17424">
            <w:pPr>
              <w:jc w:val="right"/>
              <w:rPr>
                <w:sz w:val="24"/>
                <w:szCs w:val="24"/>
              </w:rPr>
            </w:pPr>
            <w:r w:rsidRPr="0012760D">
              <w:rPr>
                <w:sz w:val="24"/>
                <w:szCs w:val="24"/>
              </w:rPr>
              <w:t>5,200</w:t>
            </w:r>
          </w:p>
        </w:tc>
      </w:tr>
    </w:tbl>
    <w:p w:rsidR="00727C4E" w:rsidRDefault="00727C4E" w:rsidP="00727C4E">
      <w:pPr>
        <w:rPr>
          <w:bCs/>
          <w:sz w:val="24"/>
          <w:szCs w:val="24"/>
        </w:rPr>
      </w:pPr>
      <w:r w:rsidRPr="0012760D">
        <w:rPr>
          <w:bCs/>
          <w:sz w:val="24"/>
          <w:szCs w:val="24"/>
        </w:rPr>
        <w:t>&lt;pp&gt; 85</w:t>
      </w:r>
    </w:p>
    <w:p w:rsidR="005A26D3" w:rsidRDefault="005A26D3" w:rsidP="00727C4E">
      <w:pPr>
        <w:rPr>
          <w:bCs/>
          <w:sz w:val="24"/>
          <w:szCs w:val="24"/>
        </w:rPr>
      </w:pPr>
    </w:p>
    <w:p w:rsidR="005A26D3" w:rsidRPr="0012760D" w:rsidRDefault="005A26D3" w:rsidP="00727C4E">
      <w:pPr>
        <w:rPr>
          <w:sz w:val="24"/>
          <w:szCs w:val="24"/>
        </w:rPr>
      </w:pPr>
    </w:p>
    <w:p w:rsidR="00727C4E" w:rsidRDefault="00727C4E" w:rsidP="005A26D3">
      <w:pPr>
        <w:pStyle w:val="Heading2"/>
      </w:pPr>
      <w:r w:rsidRPr="0012760D">
        <w:t>Overseen by Sustainability Victoria</w:t>
      </w:r>
    </w:p>
    <w:p w:rsidR="005A26D3" w:rsidRPr="0012760D" w:rsidRDefault="005A26D3" w:rsidP="00727C4E">
      <w:pPr>
        <w:rPr>
          <w:sz w:val="24"/>
          <w:szCs w:val="24"/>
        </w:rPr>
      </w:pPr>
    </w:p>
    <w:p w:rsidR="00727C4E" w:rsidRPr="0012760D" w:rsidRDefault="00727C4E" w:rsidP="005A26D3">
      <w:pPr>
        <w:pStyle w:val="Heading3"/>
      </w:pPr>
      <w:r w:rsidRPr="0012760D">
        <w:t>Funding Program: Roadside Litter Grants (Victorian Litter Strategy)</w:t>
      </w:r>
    </w:p>
    <w:p w:rsidR="00727C4E" w:rsidRPr="0012760D" w:rsidRDefault="00727C4E" w:rsidP="00727C4E">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5150"/>
        <w:gridCol w:w="6647"/>
        <w:gridCol w:w="2237"/>
      </w:tblGrid>
      <w:tr w:rsidR="00727C4E" w:rsidRPr="0012760D" w:rsidTr="00727C4E">
        <w:tblPrEx>
          <w:tblCellMar>
            <w:top w:w="0" w:type="dxa"/>
            <w:bottom w:w="0" w:type="dxa"/>
          </w:tblCellMar>
        </w:tblPrEx>
        <w:tc>
          <w:tcPr>
            <w:tcW w:w="1835" w:type="pct"/>
            <w:shd w:val="clear" w:color="auto" w:fill="auto"/>
          </w:tcPr>
          <w:p w:rsidR="00727C4E" w:rsidRPr="0012760D" w:rsidRDefault="00727C4E" w:rsidP="004B2D65">
            <w:pPr>
              <w:rPr>
                <w:sz w:val="24"/>
                <w:szCs w:val="24"/>
              </w:rPr>
            </w:pPr>
            <w:r w:rsidRPr="0012760D">
              <w:rPr>
                <w:bCs/>
                <w:sz w:val="24"/>
                <w:szCs w:val="24"/>
              </w:rPr>
              <w:t>Organisation</w:t>
            </w:r>
          </w:p>
        </w:tc>
        <w:tc>
          <w:tcPr>
            <w:tcW w:w="2368" w:type="pct"/>
            <w:shd w:val="clear" w:color="auto" w:fill="auto"/>
          </w:tcPr>
          <w:p w:rsidR="00727C4E" w:rsidRPr="0012760D" w:rsidRDefault="00727C4E" w:rsidP="004B2D65">
            <w:pPr>
              <w:rPr>
                <w:sz w:val="24"/>
                <w:szCs w:val="24"/>
              </w:rPr>
            </w:pPr>
            <w:r w:rsidRPr="0012760D">
              <w:rPr>
                <w:bCs/>
                <w:sz w:val="24"/>
                <w:szCs w:val="24"/>
              </w:rPr>
              <w:t>Project</w:t>
            </w:r>
          </w:p>
        </w:tc>
        <w:tc>
          <w:tcPr>
            <w:tcW w:w="797" w:type="pct"/>
            <w:shd w:val="clear" w:color="auto" w:fill="auto"/>
          </w:tcPr>
          <w:p w:rsidR="00727C4E" w:rsidRPr="0012760D" w:rsidRDefault="00727C4E" w:rsidP="004B2D65">
            <w:pPr>
              <w:rPr>
                <w:sz w:val="24"/>
                <w:szCs w:val="24"/>
              </w:rPr>
            </w:pPr>
            <w:r w:rsidRPr="0012760D">
              <w:rPr>
                <w:bCs/>
                <w:sz w:val="24"/>
                <w:szCs w:val="24"/>
              </w:rPr>
              <w:t>Funding support $</w:t>
            </w:r>
          </w:p>
        </w:tc>
      </w:tr>
      <w:tr w:rsidR="00727C4E" w:rsidRPr="0012760D" w:rsidTr="00727C4E">
        <w:tblPrEx>
          <w:tblCellMar>
            <w:top w:w="0" w:type="dxa"/>
            <w:bottom w:w="0" w:type="dxa"/>
          </w:tblCellMar>
        </w:tblPrEx>
        <w:tc>
          <w:tcPr>
            <w:tcW w:w="1835" w:type="pct"/>
            <w:shd w:val="clear" w:color="auto" w:fill="auto"/>
          </w:tcPr>
          <w:p w:rsidR="00727C4E" w:rsidRPr="0012760D" w:rsidRDefault="00727C4E" w:rsidP="004B2D65">
            <w:pPr>
              <w:rPr>
                <w:sz w:val="24"/>
                <w:szCs w:val="24"/>
              </w:rPr>
            </w:pPr>
            <w:r w:rsidRPr="0012760D">
              <w:rPr>
                <w:sz w:val="24"/>
                <w:szCs w:val="24"/>
              </w:rPr>
              <w:t>Peninsula Zero Waste (Mornington Peninsula Regional Waste Management Group)</w:t>
            </w:r>
          </w:p>
        </w:tc>
        <w:tc>
          <w:tcPr>
            <w:tcW w:w="2368" w:type="pct"/>
            <w:shd w:val="clear" w:color="auto" w:fill="auto"/>
          </w:tcPr>
          <w:p w:rsidR="00727C4E" w:rsidRPr="0012760D" w:rsidRDefault="00727C4E" w:rsidP="004B2D65">
            <w:pPr>
              <w:rPr>
                <w:sz w:val="24"/>
                <w:szCs w:val="24"/>
              </w:rPr>
            </w:pPr>
            <w:r w:rsidRPr="0012760D">
              <w:rPr>
                <w:sz w:val="24"/>
                <w:szCs w:val="24"/>
              </w:rPr>
              <w:t>A Cleaner Mornington Peninsula is in Your Hands</w:t>
            </w:r>
          </w:p>
        </w:tc>
        <w:tc>
          <w:tcPr>
            <w:tcW w:w="797" w:type="pct"/>
            <w:shd w:val="clear" w:color="auto" w:fill="auto"/>
          </w:tcPr>
          <w:p w:rsidR="00727C4E" w:rsidRPr="0012760D" w:rsidRDefault="00727C4E" w:rsidP="004B2D65">
            <w:pPr>
              <w:jc w:val="right"/>
              <w:rPr>
                <w:sz w:val="24"/>
                <w:szCs w:val="24"/>
              </w:rPr>
            </w:pPr>
            <w:r w:rsidRPr="0012760D">
              <w:rPr>
                <w:sz w:val="24"/>
                <w:szCs w:val="24"/>
              </w:rPr>
              <w:t>21,000</w:t>
            </w:r>
          </w:p>
        </w:tc>
      </w:tr>
      <w:tr w:rsidR="00727C4E" w:rsidRPr="0012760D" w:rsidTr="00727C4E">
        <w:tblPrEx>
          <w:tblCellMar>
            <w:top w:w="0" w:type="dxa"/>
            <w:bottom w:w="0" w:type="dxa"/>
          </w:tblCellMar>
        </w:tblPrEx>
        <w:tc>
          <w:tcPr>
            <w:tcW w:w="1835" w:type="pct"/>
            <w:shd w:val="clear" w:color="auto" w:fill="auto"/>
          </w:tcPr>
          <w:p w:rsidR="00727C4E" w:rsidRPr="0012760D" w:rsidRDefault="00727C4E" w:rsidP="004B2D65">
            <w:pPr>
              <w:rPr>
                <w:sz w:val="24"/>
                <w:szCs w:val="24"/>
              </w:rPr>
            </w:pPr>
            <w:r w:rsidRPr="0012760D">
              <w:rPr>
                <w:sz w:val="24"/>
                <w:szCs w:val="24"/>
              </w:rPr>
              <w:t>City of Greater Dandenong</w:t>
            </w:r>
          </w:p>
        </w:tc>
        <w:tc>
          <w:tcPr>
            <w:tcW w:w="2368" w:type="pct"/>
            <w:shd w:val="clear" w:color="auto" w:fill="auto"/>
          </w:tcPr>
          <w:p w:rsidR="00727C4E" w:rsidRPr="0012760D" w:rsidRDefault="00727C4E" w:rsidP="004B2D65">
            <w:pPr>
              <w:rPr>
                <w:sz w:val="24"/>
                <w:szCs w:val="24"/>
              </w:rPr>
            </w:pPr>
            <w:r w:rsidRPr="0012760D">
              <w:rPr>
                <w:sz w:val="24"/>
                <w:szCs w:val="24"/>
              </w:rPr>
              <w:t>Roadside Litter Campaign</w:t>
            </w:r>
          </w:p>
        </w:tc>
        <w:tc>
          <w:tcPr>
            <w:tcW w:w="797" w:type="pct"/>
            <w:shd w:val="clear" w:color="auto" w:fill="auto"/>
          </w:tcPr>
          <w:p w:rsidR="00727C4E" w:rsidRPr="0012760D" w:rsidRDefault="00727C4E" w:rsidP="004B2D65">
            <w:pPr>
              <w:jc w:val="right"/>
              <w:rPr>
                <w:sz w:val="24"/>
                <w:szCs w:val="24"/>
              </w:rPr>
            </w:pPr>
            <w:r w:rsidRPr="0012760D">
              <w:rPr>
                <w:sz w:val="24"/>
                <w:szCs w:val="24"/>
              </w:rPr>
              <w:t>48,000</w:t>
            </w:r>
          </w:p>
        </w:tc>
      </w:tr>
      <w:tr w:rsidR="00727C4E" w:rsidRPr="0012760D" w:rsidTr="00727C4E">
        <w:tblPrEx>
          <w:tblCellMar>
            <w:top w:w="0" w:type="dxa"/>
            <w:bottom w:w="0" w:type="dxa"/>
          </w:tblCellMar>
        </w:tblPrEx>
        <w:tc>
          <w:tcPr>
            <w:tcW w:w="1835" w:type="pct"/>
            <w:shd w:val="clear" w:color="auto" w:fill="auto"/>
          </w:tcPr>
          <w:p w:rsidR="00727C4E" w:rsidRPr="0012760D" w:rsidRDefault="00727C4E" w:rsidP="004B2D65">
            <w:pPr>
              <w:rPr>
                <w:sz w:val="24"/>
                <w:szCs w:val="24"/>
              </w:rPr>
            </w:pPr>
            <w:r w:rsidRPr="0012760D">
              <w:rPr>
                <w:sz w:val="24"/>
                <w:szCs w:val="24"/>
              </w:rPr>
              <w:t>Wyndham City Council</w:t>
            </w:r>
          </w:p>
        </w:tc>
        <w:tc>
          <w:tcPr>
            <w:tcW w:w="2368" w:type="pct"/>
            <w:shd w:val="clear" w:color="auto" w:fill="auto"/>
          </w:tcPr>
          <w:p w:rsidR="00727C4E" w:rsidRPr="0012760D" w:rsidRDefault="00727C4E" w:rsidP="004B2D65">
            <w:pPr>
              <w:rPr>
                <w:sz w:val="24"/>
                <w:szCs w:val="24"/>
              </w:rPr>
            </w:pPr>
            <w:r w:rsidRPr="0012760D">
              <w:rPr>
                <w:sz w:val="24"/>
                <w:szCs w:val="24"/>
              </w:rPr>
              <w:t>Litter Busters Wyndham</w:t>
            </w:r>
          </w:p>
        </w:tc>
        <w:tc>
          <w:tcPr>
            <w:tcW w:w="797" w:type="pct"/>
            <w:shd w:val="clear" w:color="auto" w:fill="auto"/>
          </w:tcPr>
          <w:p w:rsidR="00727C4E" w:rsidRPr="0012760D" w:rsidRDefault="00727C4E" w:rsidP="004B2D65">
            <w:pPr>
              <w:jc w:val="right"/>
              <w:rPr>
                <w:sz w:val="24"/>
                <w:szCs w:val="24"/>
              </w:rPr>
            </w:pPr>
            <w:r w:rsidRPr="0012760D">
              <w:rPr>
                <w:sz w:val="24"/>
                <w:szCs w:val="24"/>
              </w:rPr>
              <w:t>45,283</w:t>
            </w:r>
          </w:p>
        </w:tc>
      </w:tr>
      <w:tr w:rsidR="00727C4E" w:rsidRPr="0012760D" w:rsidTr="00727C4E">
        <w:tblPrEx>
          <w:tblCellMar>
            <w:top w:w="0" w:type="dxa"/>
            <w:bottom w:w="0" w:type="dxa"/>
          </w:tblCellMar>
        </w:tblPrEx>
        <w:tc>
          <w:tcPr>
            <w:tcW w:w="1835" w:type="pct"/>
            <w:shd w:val="clear" w:color="auto" w:fill="auto"/>
          </w:tcPr>
          <w:p w:rsidR="00727C4E" w:rsidRPr="0012760D" w:rsidRDefault="00727C4E" w:rsidP="004B2D65">
            <w:pPr>
              <w:rPr>
                <w:sz w:val="24"/>
                <w:szCs w:val="24"/>
              </w:rPr>
            </w:pPr>
            <w:r w:rsidRPr="0012760D">
              <w:rPr>
                <w:sz w:val="24"/>
                <w:szCs w:val="24"/>
              </w:rPr>
              <w:t>Bass Coast Shire Council and South Gippsland Shire Council (joint project)</w:t>
            </w:r>
          </w:p>
        </w:tc>
        <w:tc>
          <w:tcPr>
            <w:tcW w:w="2368" w:type="pct"/>
            <w:shd w:val="clear" w:color="auto" w:fill="auto"/>
          </w:tcPr>
          <w:p w:rsidR="00727C4E" w:rsidRPr="0012760D" w:rsidRDefault="00727C4E" w:rsidP="004B2D65">
            <w:pPr>
              <w:rPr>
                <w:sz w:val="24"/>
                <w:szCs w:val="24"/>
              </w:rPr>
            </w:pPr>
            <w:r w:rsidRPr="0012760D">
              <w:rPr>
                <w:sz w:val="24"/>
                <w:szCs w:val="24"/>
              </w:rPr>
              <w:t>Councils unite to fight roadside litter</w:t>
            </w:r>
          </w:p>
        </w:tc>
        <w:tc>
          <w:tcPr>
            <w:tcW w:w="797" w:type="pct"/>
            <w:shd w:val="clear" w:color="auto" w:fill="auto"/>
          </w:tcPr>
          <w:p w:rsidR="00727C4E" w:rsidRPr="0012760D" w:rsidRDefault="00727C4E" w:rsidP="004B2D65">
            <w:pPr>
              <w:jc w:val="right"/>
              <w:rPr>
                <w:sz w:val="24"/>
                <w:szCs w:val="24"/>
              </w:rPr>
            </w:pPr>
            <w:r w:rsidRPr="0012760D">
              <w:rPr>
                <w:sz w:val="24"/>
                <w:szCs w:val="24"/>
              </w:rPr>
              <w:t>35,000</w:t>
            </w:r>
          </w:p>
        </w:tc>
      </w:tr>
      <w:tr w:rsidR="00727C4E" w:rsidRPr="0012760D" w:rsidTr="00727C4E">
        <w:tblPrEx>
          <w:tblCellMar>
            <w:top w:w="0" w:type="dxa"/>
            <w:bottom w:w="0" w:type="dxa"/>
          </w:tblCellMar>
        </w:tblPrEx>
        <w:tc>
          <w:tcPr>
            <w:tcW w:w="1835" w:type="pct"/>
            <w:shd w:val="clear" w:color="auto" w:fill="auto"/>
          </w:tcPr>
          <w:p w:rsidR="00727C4E" w:rsidRPr="0012760D" w:rsidRDefault="00727C4E" w:rsidP="004B2D65">
            <w:pPr>
              <w:rPr>
                <w:sz w:val="24"/>
                <w:szCs w:val="24"/>
              </w:rPr>
            </w:pPr>
            <w:r w:rsidRPr="0012760D">
              <w:rPr>
                <w:sz w:val="24"/>
                <w:szCs w:val="24"/>
              </w:rPr>
              <w:t>VicRoads</w:t>
            </w:r>
          </w:p>
        </w:tc>
        <w:tc>
          <w:tcPr>
            <w:tcW w:w="2368" w:type="pct"/>
            <w:shd w:val="clear" w:color="auto" w:fill="auto"/>
          </w:tcPr>
          <w:p w:rsidR="00727C4E" w:rsidRPr="0012760D" w:rsidRDefault="00727C4E" w:rsidP="004B2D65">
            <w:pPr>
              <w:rPr>
                <w:sz w:val="24"/>
                <w:szCs w:val="24"/>
              </w:rPr>
            </w:pPr>
            <w:r w:rsidRPr="0012760D">
              <w:rPr>
                <w:sz w:val="24"/>
                <w:szCs w:val="24"/>
              </w:rPr>
              <w:t>South Gippsland Highway Roadside Litter Prevention Project</w:t>
            </w:r>
          </w:p>
        </w:tc>
        <w:tc>
          <w:tcPr>
            <w:tcW w:w="797" w:type="pct"/>
            <w:shd w:val="clear" w:color="auto" w:fill="auto"/>
          </w:tcPr>
          <w:p w:rsidR="00727C4E" w:rsidRPr="0012760D" w:rsidRDefault="00727C4E" w:rsidP="004B2D65">
            <w:pPr>
              <w:jc w:val="right"/>
              <w:rPr>
                <w:sz w:val="24"/>
                <w:szCs w:val="24"/>
              </w:rPr>
            </w:pPr>
            <w:r w:rsidRPr="0012760D">
              <w:rPr>
                <w:sz w:val="24"/>
                <w:szCs w:val="24"/>
              </w:rPr>
              <w:t>28,500</w:t>
            </w:r>
          </w:p>
        </w:tc>
      </w:tr>
      <w:tr w:rsidR="00727C4E" w:rsidRPr="0012760D" w:rsidTr="00727C4E">
        <w:tblPrEx>
          <w:tblCellMar>
            <w:top w:w="0" w:type="dxa"/>
            <w:bottom w:w="0" w:type="dxa"/>
          </w:tblCellMar>
        </w:tblPrEx>
        <w:tc>
          <w:tcPr>
            <w:tcW w:w="1835" w:type="pct"/>
            <w:shd w:val="clear" w:color="auto" w:fill="auto"/>
          </w:tcPr>
          <w:p w:rsidR="00727C4E" w:rsidRPr="0012760D" w:rsidRDefault="00727C4E" w:rsidP="004B2D65">
            <w:pPr>
              <w:rPr>
                <w:sz w:val="24"/>
                <w:szCs w:val="24"/>
              </w:rPr>
            </w:pPr>
            <w:r w:rsidRPr="0012760D">
              <w:rPr>
                <w:sz w:val="24"/>
                <w:szCs w:val="24"/>
              </w:rPr>
              <w:t>Barwon Regional Waste Management Group</w:t>
            </w:r>
          </w:p>
        </w:tc>
        <w:tc>
          <w:tcPr>
            <w:tcW w:w="2368" w:type="pct"/>
            <w:shd w:val="clear" w:color="auto" w:fill="auto"/>
          </w:tcPr>
          <w:p w:rsidR="00727C4E" w:rsidRPr="0012760D" w:rsidRDefault="00727C4E" w:rsidP="004B2D65">
            <w:pPr>
              <w:rPr>
                <w:sz w:val="24"/>
                <w:szCs w:val="24"/>
              </w:rPr>
            </w:pPr>
            <w:r w:rsidRPr="0012760D">
              <w:rPr>
                <w:sz w:val="24"/>
                <w:szCs w:val="24"/>
              </w:rPr>
              <w:t>Litter prevention is everyone's responsibility! Building capacity for roadside litter prevention beyond councils in the Barwon region.</w:t>
            </w:r>
          </w:p>
        </w:tc>
        <w:tc>
          <w:tcPr>
            <w:tcW w:w="797" w:type="pct"/>
            <w:shd w:val="clear" w:color="auto" w:fill="auto"/>
          </w:tcPr>
          <w:p w:rsidR="00727C4E" w:rsidRPr="0012760D" w:rsidRDefault="00727C4E" w:rsidP="004B2D65">
            <w:pPr>
              <w:jc w:val="right"/>
              <w:rPr>
                <w:sz w:val="24"/>
                <w:szCs w:val="24"/>
              </w:rPr>
            </w:pPr>
            <w:r w:rsidRPr="0012760D">
              <w:rPr>
                <w:sz w:val="24"/>
                <w:szCs w:val="24"/>
              </w:rPr>
              <w:t>48,500</w:t>
            </w:r>
          </w:p>
        </w:tc>
      </w:tr>
      <w:tr w:rsidR="00727C4E" w:rsidRPr="0012760D" w:rsidTr="00727C4E">
        <w:tblPrEx>
          <w:tblCellMar>
            <w:top w:w="0" w:type="dxa"/>
            <w:bottom w:w="0" w:type="dxa"/>
          </w:tblCellMar>
        </w:tblPrEx>
        <w:tc>
          <w:tcPr>
            <w:tcW w:w="1835" w:type="pct"/>
            <w:shd w:val="clear" w:color="auto" w:fill="auto"/>
          </w:tcPr>
          <w:p w:rsidR="00727C4E" w:rsidRPr="0012760D" w:rsidRDefault="00727C4E" w:rsidP="004B2D65">
            <w:pPr>
              <w:rPr>
                <w:sz w:val="24"/>
                <w:szCs w:val="24"/>
              </w:rPr>
            </w:pPr>
            <w:r w:rsidRPr="0012760D">
              <w:rPr>
                <w:sz w:val="24"/>
                <w:szCs w:val="24"/>
              </w:rPr>
              <w:t>Central Murray Regional Waste Management Group</w:t>
            </w:r>
          </w:p>
        </w:tc>
        <w:tc>
          <w:tcPr>
            <w:tcW w:w="2368" w:type="pct"/>
            <w:shd w:val="clear" w:color="auto" w:fill="auto"/>
          </w:tcPr>
          <w:p w:rsidR="00727C4E" w:rsidRPr="0012760D" w:rsidRDefault="00727C4E" w:rsidP="004B2D65">
            <w:pPr>
              <w:rPr>
                <w:sz w:val="24"/>
                <w:szCs w:val="24"/>
              </w:rPr>
            </w:pPr>
            <w:r w:rsidRPr="0012760D">
              <w:rPr>
                <w:sz w:val="24"/>
                <w:szCs w:val="24"/>
              </w:rPr>
              <w:t>Sunraysia Highway and Beyond Litter Project</w:t>
            </w:r>
          </w:p>
        </w:tc>
        <w:tc>
          <w:tcPr>
            <w:tcW w:w="797" w:type="pct"/>
            <w:shd w:val="clear" w:color="auto" w:fill="auto"/>
          </w:tcPr>
          <w:p w:rsidR="00727C4E" w:rsidRPr="0012760D" w:rsidRDefault="00727C4E" w:rsidP="004B2D65">
            <w:pPr>
              <w:jc w:val="right"/>
              <w:rPr>
                <w:sz w:val="24"/>
                <w:szCs w:val="24"/>
              </w:rPr>
            </w:pPr>
            <w:r w:rsidRPr="0012760D">
              <w:rPr>
                <w:sz w:val="24"/>
                <w:szCs w:val="24"/>
              </w:rPr>
              <w:t>33,500</w:t>
            </w:r>
          </w:p>
        </w:tc>
      </w:tr>
      <w:tr w:rsidR="00727C4E" w:rsidRPr="0012760D" w:rsidTr="00727C4E">
        <w:tblPrEx>
          <w:tblCellMar>
            <w:top w:w="0" w:type="dxa"/>
            <w:bottom w:w="0" w:type="dxa"/>
          </w:tblCellMar>
        </w:tblPrEx>
        <w:tc>
          <w:tcPr>
            <w:tcW w:w="1835" w:type="pct"/>
            <w:shd w:val="clear" w:color="auto" w:fill="auto"/>
          </w:tcPr>
          <w:p w:rsidR="00727C4E" w:rsidRPr="0012760D" w:rsidRDefault="00727C4E" w:rsidP="004B2D65">
            <w:pPr>
              <w:rPr>
                <w:sz w:val="24"/>
                <w:szCs w:val="24"/>
              </w:rPr>
            </w:pPr>
            <w:r w:rsidRPr="0012760D">
              <w:rPr>
                <w:sz w:val="24"/>
                <w:szCs w:val="24"/>
              </w:rPr>
              <w:t>Waste Reduction Group (South West Regional Waste Management Group)</w:t>
            </w:r>
          </w:p>
        </w:tc>
        <w:tc>
          <w:tcPr>
            <w:tcW w:w="2368" w:type="pct"/>
            <w:shd w:val="clear" w:color="auto" w:fill="auto"/>
          </w:tcPr>
          <w:p w:rsidR="00727C4E" w:rsidRPr="0012760D" w:rsidRDefault="00727C4E" w:rsidP="004B2D65">
            <w:pPr>
              <w:rPr>
                <w:sz w:val="24"/>
                <w:szCs w:val="24"/>
              </w:rPr>
            </w:pPr>
            <w:r w:rsidRPr="0012760D">
              <w:rPr>
                <w:sz w:val="24"/>
                <w:szCs w:val="24"/>
              </w:rPr>
              <w:t>Secure Your Load</w:t>
            </w:r>
          </w:p>
        </w:tc>
        <w:tc>
          <w:tcPr>
            <w:tcW w:w="797" w:type="pct"/>
            <w:shd w:val="clear" w:color="auto" w:fill="auto"/>
          </w:tcPr>
          <w:p w:rsidR="00727C4E" w:rsidRPr="0012760D" w:rsidRDefault="00727C4E" w:rsidP="004B2D65">
            <w:pPr>
              <w:jc w:val="right"/>
              <w:rPr>
                <w:sz w:val="24"/>
                <w:szCs w:val="24"/>
              </w:rPr>
            </w:pPr>
            <w:r w:rsidRPr="0012760D">
              <w:rPr>
                <w:sz w:val="24"/>
                <w:szCs w:val="24"/>
              </w:rPr>
              <w:t>49,320</w:t>
            </w:r>
          </w:p>
        </w:tc>
      </w:tr>
    </w:tbl>
    <w:p w:rsidR="00727C4E" w:rsidRDefault="00727C4E" w:rsidP="00727C4E">
      <w:pPr>
        <w:rPr>
          <w:sz w:val="24"/>
          <w:szCs w:val="24"/>
        </w:rPr>
      </w:pPr>
    </w:p>
    <w:p w:rsidR="005A26D3" w:rsidRPr="0012760D" w:rsidRDefault="005A26D3" w:rsidP="00727C4E">
      <w:pPr>
        <w:rPr>
          <w:sz w:val="24"/>
          <w:szCs w:val="24"/>
        </w:rPr>
      </w:pPr>
    </w:p>
    <w:p w:rsidR="00727C4E" w:rsidRDefault="00727C4E" w:rsidP="005A26D3">
      <w:pPr>
        <w:pStyle w:val="Heading2"/>
      </w:pPr>
      <w:r w:rsidRPr="0012760D">
        <w:t>Overseen by Sustainability Victoria</w:t>
      </w:r>
    </w:p>
    <w:p w:rsidR="005A26D3" w:rsidRPr="0012760D" w:rsidRDefault="005A26D3" w:rsidP="00727C4E">
      <w:pPr>
        <w:rPr>
          <w:sz w:val="24"/>
          <w:szCs w:val="24"/>
        </w:rPr>
      </w:pPr>
    </w:p>
    <w:p w:rsidR="00727C4E" w:rsidRDefault="00727C4E" w:rsidP="005A26D3">
      <w:pPr>
        <w:pStyle w:val="Heading3"/>
      </w:pPr>
      <w:r w:rsidRPr="0012760D">
        <w:t>Funding Program: Smarter Resources, Smarter Business Program</w:t>
      </w:r>
    </w:p>
    <w:p w:rsidR="005A26D3" w:rsidRPr="0012760D" w:rsidRDefault="005A26D3" w:rsidP="00727C4E">
      <w:pPr>
        <w:rPr>
          <w:bCs/>
          <w:sz w:val="24"/>
          <w:szCs w:val="24"/>
        </w:rPr>
      </w:pPr>
    </w:p>
    <w:p w:rsidR="00727C4E" w:rsidRPr="0012760D" w:rsidRDefault="00727C4E" w:rsidP="005A26D3">
      <w:pPr>
        <w:pStyle w:val="Heading4"/>
      </w:pPr>
      <w:r w:rsidRPr="0012760D">
        <w:t>Capital Funding round 1 grants</w:t>
      </w:r>
    </w:p>
    <w:p w:rsidR="00727C4E" w:rsidRPr="0012760D" w:rsidRDefault="00727C4E" w:rsidP="00727C4E">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5137"/>
        <w:gridCol w:w="6604"/>
        <w:gridCol w:w="2293"/>
      </w:tblGrid>
      <w:tr w:rsidR="00727C4E" w:rsidRPr="0012760D" w:rsidTr="00727C4E">
        <w:tblPrEx>
          <w:tblCellMar>
            <w:top w:w="0" w:type="dxa"/>
            <w:bottom w:w="0" w:type="dxa"/>
          </w:tblCellMar>
        </w:tblPrEx>
        <w:tc>
          <w:tcPr>
            <w:tcW w:w="1830" w:type="pct"/>
            <w:shd w:val="clear" w:color="auto" w:fill="auto"/>
          </w:tcPr>
          <w:p w:rsidR="00727C4E" w:rsidRPr="0012760D" w:rsidRDefault="00727C4E" w:rsidP="004B2D65">
            <w:pPr>
              <w:rPr>
                <w:sz w:val="24"/>
                <w:szCs w:val="24"/>
              </w:rPr>
            </w:pPr>
            <w:r w:rsidRPr="0012760D">
              <w:rPr>
                <w:bCs/>
                <w:sz w:val="24"/>
                <w:szCs w:val="24"/>
              </w:rPr>
              <w:t>Organisation</w:t>
            </w:r>
          </w:p>
        </w:tc>
        <w:tc>
          <w:tcPr>
            <w:tcW w:w="2353" w:type="pct"/>
            <w:shd w:val="clear" w:color="auto" w:fill="auto"/>
          </w:tcPr>
          <w:p w:rsidR="00727C4E" w:rsidRPr="0012760D" w:rsidRDefault="00727C4E" w:rsidP="004B2D65">
            <w:pPr>
              <w:rPr>
                <w:sz w:val="24"/>
                <w:szCs w:val="24"/>
              </w:rPr>
            </w:pPr>
            <w:r w:rsidRPr="0012760D">
              <w:rPr>
                <w:bCs/>
                <w:sz w:val="24"/>
                <w:szCs w:val="24"/>
              </w:rPr>
              <w:t>Project</w:t>
            </w:r>
          </w:p>
        </w:tc>
        <w:tc>
          <w:tcPr>
            <w:tcW w:w="817" w:type="pct"/>
            <w:shd w:val="clear" w:color="auto" w:fill="auto"/>
          </w:tcPr>
          <w:p w:rsidR="00727C4E" w:rsidRPr="0012760D" w:rsidRDefault="00727C4E" w:rsidP="004B2D65">
            <w:pPr>
              <w:rPr>
                <w:sz w:val="24"/>
                <w:szCs w:val="24"/>
              </w:rPr>
            </w:pPr>
            <w:r w:rsidRPr="0012760D">
              <w:rPr>
                <w:bCs/>
                <w:sz w:val="24"/>
                <w:szCs w:val="24"/>
              </w:rPr>
              <w:t>Funding support $</w:t>
            </w:r>
          </w:p>
        </w:tc>
      </w:tr>
      <w:tr w:rsidR="00727C4E" w:rsidRPr="0012760D" w:rsidTr="00727C4E">
        <w:tblPrEx>
          <w:tblCellMar>
            <w:top w:w="0" w:type="dxa"/>
            <w:bottom w:w="0" w:type="dxa"/>
          </w:tblCellMar>
        </w:tblPrEx>
        <w:tc>
          <w:tcPr>
            <w:tcW w:w="1830" w:type="pct"/>
            <w:shd w:val="clear" w:color="auto" w:fill="auto"/>
          </w:tcPr>
          <w:p w:rsidR="00727C4E" w:rsidRPr="0012760D" w:rsidRDefault="00727C4E" w:rsidP="004B2D65">
            <w:pPr>
              <w:rPr>
                <w:sz w:val="24"/>
                <w:szCs w:val="24"/>
              </w:rPr>
            </w:pPr>
            <w:r w:rsidRPr="0012760D">
              <w:rPr>
                <w:sz w:val="24"/>
                <w:szCs w:val="24"/>
              </w:rPr>
              <w:t>Longwarry Food Park</w:t>
            </w:r>
          </w:p>
        </w:tc>
        <w:tc>
          <w:tcPr>
            <w:tcW w:w="2353" w:type="pct"/>
            <w:shd w:val="clear" w:color="auto" w:fill="auto"/>
          </w:tcPr>
          <w:p w:rsidR="00727C4E" w:rsidRPr="0012760D" w:rsidRDefault="00727C4E" w:rsidP="004B2D65">
            <w:pPr>
              <w:rPr>
                <w:sz w:val="24"/>
                <w:szCs w:val="24"/>
              </w:rPr>
            </w:pPr>
            <w:r w:rsidRPr="0012760D">
              <w:rPr>
                <w:sz w:val="24"/>
                <w:szCs w:val="24"/>
              </w:rPr>
              <w:t>Milk Powder Storage and Transport Optimisation</w:t>
            </w:r>
          </w:p>
        </w:tc>
        <w:tc>
          <w:tcPr>
            <w:tcW w:w="817" w:type="pct"/>
            <w:shd w:val="clear" w:color="auto" w:fill="auto"/>
          </w:tcPr>
          <w:p w:rsidR="00727C4E" w:rsidRPr="0012760D" w:rsidRDefault="00727C4E" w:rsidP="004B2D65">
            <w:pPr>
              <w:jc w:val="right"/>
              <w:rPr>
                <w:sz w:val="24"/>
                <w:szCs w:val="24"/>
              </w:rPr>
            </w:pPr>
            <w:r w:rsidRPr="0012760D">
              <w:rPr>
                <w:sz w:val="24"/>
                <w:szCs w:val="24"/>
              </w:rPr>
              <w:t>50,000</w:t>
            </w:r>
          </w:p>
        </w:tc>
      </w:tr>
      <w:tr w:rsidR="00727C4E" w:rsidRPr="0012760D" w:rsidTr="00727C4E">
        <w:tblPrEx>
          <w:tblCellMar>
            <w:top w:w="0" w:type="dxa"/>
            <w:bottom w:w="0" w:type="dxa"/>
          </w:tblCellMar>
        </w:tblPrEx>
        <w:tc>
          <w:tcPr>
            <w:tcW w:w="1830" w:type="pct"/>
            <w:shd w:val="clear" w:color="auto" w:fill="auto"/>
          </w:tcPr>
          <w:p w:rsidR="00727C4E" w:rsidRPr="0012760D" w:rsidRDefault="00727C4E" w:rsidP="004B2D65">
            <w:pPr>
              <w:rPr>
                <w:sz w:val="24"/>
                <w:szCs w:val="24"/>
              </w:rPr>
            </w:pPr>
            <w:r w:rsidRPr="0012760D">
              <w:rPr>
                <w:sz w:val="24"/>
                <w:szCs w:val="24"/>
              </w:rPr>
              <w:lastRenderedPageBreak/>
              <w:t>John Devilee Refrigeration</w:t>
            </w:r>
          </w:p>
        </w:tc>
        <w:tc>
          <w:tcPr>
            <w:tcW w:w="2353" w:type="pct"/>
            <w:shd w:val="clear" w:color="auto" w:fill="auto"/>
          </w:tcPr>
          <w:p w:rsidR="00727C4E" w:rsidRPr="0012760D" w:rsidRDefault="00727C4E" w:rsidP="004B2D65">
            <w:pPr>
              <w:rPr>
                <w:sz w:val="24"/>
                <w:szCs w:val="24"/>
              </w:rPr>
            </w:pPr>
            <w:r w:rsidRPr="0012760D">
              <w:rPr>
                <w:sz w:val="24"/>
                <w:szCs w:val="24"/>
              </w:rPr>
              <w:t>Devilee's Sustainable Manufacturing Project</w:t>
            </w:r>
          </w:p>
        </w:tc>
        <w:tc>
          <w:tcPr>
            <w:tcW w:w="817" w:type="pct"/>
            <w:shd w:val="clear" w:color="auto" w:fill="auto"/>
          </w:tcPr>
          <w:p w:rsidR="00727C4E" w:rsidRPr="0012760D" w:rsidRDefault="00727C4E" w:rsidP="004B2D65">
            <w:pPr>
              <w:jc w:val="right"/>
              <w:rPr>
                <w:sz w:val="24"/>
                <w:szCs w:val="24"/>
              </w:rPr>
            </w:pPr>
            <w:r w:rsidRPr="0012760D">
              <w:rPr>
                <w:sz w:val="24"/>
                <w:szCs w:val="24"/>
              </w:rPr>
              <w:t>25,000</w:t>
            </w:r>
          </w:p>
        </w:tc>
      </w:tr>
      <w:tr w:rsidR="00727C4E" w:rsidRPr="0012760D" w:rsidTr="00727C4E">
        <w:tblPrEx>
          <w:tblCellMar>
            <w:top w:w="0" w:type="dxa"/>
            <w:bottom w:w="0" w:type="dxa"/>
          </w:tblCellMar>
        </w:tblPrEx>
        <w:tc>
          <w:tcPr>
            <w:tcW w:w="1830" w:type="pct"/>
            <w:shd w:val="clear" w:color="auto" w:fill="auto"/>
          </w:tcPr>
          <w:p w:rsidR="00727C4E" w:rsidRPr="0012760D" w:rsidRDefault="00727C4E" w:rsidP="004B2D65">
            <w:pPr>
              <w:rPr>
                <w:sz w:val="24"/>
                <w:szCs w:val="24"/>
              </w:rPr>
            </w:pPr>
            <w:r w:rsidRPr="0012760D">
              <w:rPr>
                <w:sz w:val="24"/>
                <w:szCs w:val="24"/>
              </w:rPr>
              <w:t>Dennison Food Manufacturing</w:t>
            </w:r>
          </w:p>
        </w:tc>
        <w:tc>
          <w:tcPr>
            <w:tcW w:w="2353" w:type="pct"/>
            <w:shd w:val="clear" w:color="auto" w:fill="auto"/>
          </w:tcPr>
          <w:p w:rsidR="00727C4E" w:rsidRPr="0012760D" w:rsidRDefault="00727C4E" w:rsidP="004B2D65">
            <w:pPr>
              <w:rPr>
                <w:sz w:val="24"/>
                <w:szCs w:val="24"/>
              </w:rPr>
            </w:pPr>
            <w:r w:rsidRPr="0012760D">
              <w:rPr>
                <w:sz w:val="24"/>
                <w:szCs w:val="24"/>
              </w:rPr>
              <w:t>Dennison Foods Bulker Bag Unloader Units</w:t>
            </w:r>
          </w:p>
        </w:tc>
        <w:tc>
          <w:tcPr>
            <w:tcW w:w="817" w:type="pct"/>
            <w:shd w:val="clear" w:color="auto" w:fill="auto"/>
          </w:tcPr>
          <w:p w:rsidR="00727C4E" w:rsidRPr="0012760D" w:rsidRDefault="00727C4E" w:rsidP="004B2D65">
            <w:pPr>
              <w:jc w:val="right"/>
              <w:rPr>
                <w:sz w:val="24"/>
                <w:szCs w:val="24"/>
              </w:rPr>
            </w:pPr>
            <w:r w:rsidRPr="0012760D">
              <w:rPr>
                <w:sz w:val="24"/>
                <w:szCs w:val="24"/>
              </w:rPr>
              <w:t>50,000</w:t>
            </w:r>
          </w:p>
        </w:tc>
      </w:tr>
      <w:tr w:rsidR="00727C4E" w:rsidRPr="0012760D" w:rsidTr="00727C4E">
        <w:tblPrEx>
          <w:tblCellMar>
            <w:top w:w="0" w:type="dxa"/>
            <w:bottom w:w="0" w:type="dxa"/>
          </w:tblCellMar>
        </w:tblPrEx>
        <w:tc>
          <w:tcPr>
            <w:tcW w:w="1830" w:type="pct"/>
            <w:shd w:val="clear" w:color="auto" w:fill="auto"/>
          </w:tcPr>
          <w:p w:rsidR="00727C4E" w:rsidRPr="0012760D" w:rsidRDefault="00727C4E" w:rsidP="004B2D65">
            <w:pPr>
              <w:rPr>
                <w:sz w:val="24"/>
                <w:szCs w:val="24"/>
              </w:rPr>
            </w:pPr>
            <w:r w:rsidRPr="0012760D">
              <w:rPr>
                <w:sz w:val="24"/>
                <w:szCs w:val="24"/>
              </w:rPr>
              <w:t>Multicultural Aged Care Services Geelong Inc.</w:t>
            </w:r>
          </w:p>
        </w:tc>
        <w:tc>
          <w:tcPr>
            <w:tcW w:w="2353" w:type="pct"/>
            <w:shd w:val="clear" w:color="auto" w:fill="auto"/>
          </w:tcPr>
          <w:p w:rsidR="00727C4E" w:rsidRPr="0012760D" w:rsidRDefault="00727C4E" w:rsidP="004B2D65">
            <w:pPr>
              <w:rPr>
                <w:sz w:val="24"/>
                <w:szCs w:val="24"/>
              </w:rPr>
            </w:pPr>
            <w:r w:rsidRPr="0012760D">
              <w:rPr>
                <w:sz w:val="24"/>
                <w:szCs w:val="24"/>
              </w:rPr>
              <w:t>Energy Efficiency Upgrade at MACs</w:t>
            </w:r>
          </w:p>
        </w:tc>
        <w:tc>
          <w:tcPr>
            <w:tcW w:w="817" w:type="pct"/>
            <w:shd w:val="clear" w:color="auto" w:fill="auto"/>
          </w:tcPr>
          <w:p w:rsidR="00727C4E" w:rsidRPr="0012760D" w:rsidRDefault="00727C4E" w:rsidP="004B2D65">
            <w:pPr>
              <w:jc w:val="right"/>
              <w:rPr>
                <w:sz w:val="24"/>
                <w:szCs w:val="24"/>
              </w:rPr>
            </w:pPr>
            <w:r w:rsidRPr="0012760D">
              <w:rPr>
                <w:sz w:val="24"/>
                <w:szCs w:val="24"/>
              </w:rPr>
              <w:t>6,600</w:t>
            </w:r>
          </w:p>
        </w:tc>
      </w:tr>
      <w:tr w:rsidR="00727C4E" w:rsidRPr="0012760D" w:rsidTr="00727C4E">
        <w:tblPrEx>
          <w:tblCellMar>
            <w:top w:w="0" w:type="dxa"/>
            <w:bottom w:w="0" w:type="dxa"/>
          </w:tblCellMar>
        </w:tblPrEx>
        <w:tc>
          <w:tcPr>
            <w:tcW w:w="1830" w:type="pct"/>
            <w:shd w:val="clear" w:color="auto" w:fill="auto"/>
          </w:tcPr>
          <w:p w:rsidR="00727C4E" w:rsidRPr="0012760D" w:rsidRDefault="00727C4E" w:rsidP="004B2D65">
            <w:pPr>
              <w:rPr>
                <w:sz w:val="24"/>
                <w:szCs w:val="24"/>
              </w:rPr>
            </w:pPr>
            <w:r w:rsidRPr="0012760D">
              <w:rPr>
                <w:sz w:val="24"/>
                <w:szCs w:val="24"/>
              </w:rPr>
              <w:t>The Good Guys Maribyrnong</w:t>
            </w:r>
          </w:p>
        </w:tc>
        <w:tc>
          <w:tcPr>
            <w:tcW w:w="2353" w:type="pct"/>
            <w:shd w:val="clear" w:color="auto" w:fill="auto"/>
          </w:tcPr>
          <w:p w:rsidR="00727C4E" w:rsidRPr="0012760D" w:rsidRDefault="00727C4E" w:rsidP="004B2D65">
            <w:pPr>
              <w:rPr>
                <w:sz w:val="24"/>
                <w:szCs w:val="24"/>
              </w:rPr>
            </w:pPr>
            <w:r w:rsidRPr="0012760D">
              <w:rPr>
                <w:sz w:val="24"/>
                <w:szCs w:val="24"/>
              </w:rPr>
              <w:t>Good Guys Energy Efficiency Project - Maribyrnong</w:t>
            </w:r>
          </w:p>
        </w:tc>
        <w:tc>
          <w:tcPr>
            <w:tcW w:w="817" w:type="pct"/>
            <w:shd w:val="clear" w:color="auto" w:fill="auto"/>
          </w:tcPr>
          <w:p w:rsidR="00727C4E" w:rsidRPr="0012760D" w:rsidRDefault="00727C4E" w:rsidP="004B2D65">
            <w:pPr>
              <w:jc w:val="right"/>
              <w:rPr>
                <w:sz w:val="24"/>
                <w:szCs w:val="24"/>
              </w:rPr>
            </w:pPr>
            <w:r w:rsidRPr="0012760D">
              <w:rPr>
                <w:sz w:val="24"/>
                <w:szCs w:val="24"/>
              </w:rPr>
              <w:t>25,000</w:t>
            </w:r>
          </w:p>
        </w:tc>
      </w:tr>
      <w:tr w:rsidR="00727C4E" w:rsidRPr="0012760D" w:rsidTr="00727C4E">
        <w:tblPrEx>
          <w:tblCellMar>
            <w:top w:w="0" w:type="dxa"/>
            <w:bottom w:w="0" w:type="dxa"/>
          </w:tblCellMar>
        </w:tblPrEx>
        <w:tc>
          <w:tcPr>
            <w:tcW w:w="1830" w:type="pct"/>
            <w:shd w:val="clear" w:color="auto" w:fill="auto"/>
          </w:tcPr>
          <w:p w:rsidR="00727C4E" w:rsidRPr="0012760D" w:rsidRDefault="00727C4E" w:rsidP="004B2D65">
            <w:pPr>
              <w:rPr>
                <w:sz w:val="24"/>
                <w:szCs w:val="24"/>
              </w:rPr>
            </w:pPr>
            <w:r w:rsidRPr="0012760D">
              <w:rPr>
                <w:sz w:val="24"/>
                <w:szCs w:val="24"/>
              </w:rPr>
              <w:t>The Good Guys Bayswater</w:t>
            </w:r>
          </w:p>
        </w:tc>
        <w:tc>
          <w:tcPr>
            <w:tcW w:w="2353" w:type="pct"/>
            <w:shd w:val="clear" w:color="auto" w:fill="auto"/>
          </w:tcPr>
          <w:p w:rsidR="00727C4E" w:rsidRPr="0012760D" w:rsidRDefault="00727C4E" w:rsidP="004B2D65">
            <w:pPr>
              <w:rPr>
                <w:sz w:val="24"/>
                <w:szCs w:val="24"/>
              </w:rPr>
            </w:pPr>
            <w:r w:rsidRPr="0012760D">
              <w:rPr>
                <w:sz w:val="24"/>
                <w:szCs w:val="24"/>
              </w:rPr>
              <w:t>Good Guys Energy Efficiency Project - Bayswater</w:t>
            </w:r>
          </w:p>
        </w:tc>
        <w:tc>
          <w:tcPr>
            <w:tcW w:w="817" w:type="pct"/>
            <w:shd w:val="clear" w:color="auto" w:fill="auto"/>
          </w:tcPr>
          <w:p w:rsidR="00727C4E" w:rsidRPr="0012760D" w:rsidRDefault="00727C4E" w:rsidP="004B2D65">
            <w:pPr>
              <w:jc w:val="right"/>
              <w:rPr>
                <w:sz w:val="24"/>
                <w:szCs w:val="24"/>
              </w:rPr>
            </w:pPr>
            <w:r w:rsidRPr="0012760D">
              <w:rPr>
                <w:sz w:val="24"/>
                <w:szCs w:val="24"/>
              </w:rPr>
              <w:t>25,000</w:t>
            </w:r>
          </w:p>
        </w:tc>
      </w:tr>
      <w:tr w:rsidR="00727C4E" w:rsidRPr="0012760D" w:rsidTr="00727C4E">
        <w:tblPrEx>
          <w:tblCellMar>
            <w:top w:w="0" w:type="dxa"/>
            <w:bottom w:w="0" w:type="dxa"/>
          </w:tblCellMar>
        </w:tblPrEx>
        <w:tc>
          <w:tcPr>
            <w:tcW w:w="1830" w:type="pct"/>
            <w:shd w:val="clear" w:color="auto" w:fill="auto"/>
          </w:tcPr>
          <w:p w:rsidR="00727C4E" w:rsidRPr="0012760D" w:rsidRDefault="00727C4E" w:rsidP="004B2D65">
            <w:pPr>
              <w:rPr>
                <w:sz w:val="24"/>
                <w:szCs w:val="24"/>
              </w:rPr>
            </w:pPr>
            <w:r w:rsidRPr="0012760D">
              <w:rPr>
                <w:sz w:val="24"/>
                <w:szCs w:val="24"/>
              </w:rPr>
              <w:t>The Good Guys Narre Warren</w:t>
            </w:r>
          </w:p>
        </w:tc>
        <w:tc>
          <w:tcPr>
            <w:tcW w:w="2353" w:type="pct"/>
            <w:shd w:val="clear" w:color="auto" w:fill="auto"/>
          </w:tcPr>
          <w:p w:rsidR="00727C4E" w:rsidRPr="0012760D" w:rsidRDefault="00727C4E" w:rsidP="004B2D65">
            <w:pPr>
              <w:rPr>
                <w:sz w:val="24"/>
                <w:szCs w:val="24"/>
              </w:rPr>
            </w:pPr>
            <w:r w:rsidRPr="0012760D">
              <w:rPr>
                <w:sz w:val="24"/>
                <w:szCs w:val="24"/>
              </w:rPr>
              <w:t>Good Guys Energy Efficiency Project - Narre Warren</w:t>
            </w:r>
          </w:p>
        </w:tc>
        <w:tc>
          <w:tcPr>
            <w:tcW w:w="817" w:type="pct"/>
            <w:shd w:val="clear" w:color="auto" w:fill="auto"/>
          </w:tcPr>
          <w:p w:rsidR="00727C4E" w:rsidRPr="0012760D" w:rsidRDefault="00727C4E" w:rsidP="004B2D65">
            <w:pPr>
              <w:jc w:val="right"/>
              <w:rPr>
                <w:sz w:val="24"/>
                <w:szCs w:val="24"/>
              </w:rPr>
            </w:pPr>
            <w:r w:rsidRPr="0012760D">
              <w:rPr>
                <w:sz w:val="24"/>
                <w:szCs w:val="24"/>
              </w:rPr>
              <w:t>23,557</w:t>
            </w:r>
          </w:p>
        </w:tc>
      </w:tr>
      <w:tr w:rsidR="00727C4E" w:rsidRPr="0012760D" w:rsidTr="00727C4E">
        <w:tblPrEx>
          <w:tblCellMar>
            <w:top w:w="0" w:type="dxa"/>
            <w:bottom w:w="0" w:type="dxa"/>
          </w:tblCellMar>
        </w:tblPrEx>
        <w:tc>
          <w:tcPr>
            <w:tcW w:w="1830" w:type="pct"/>
            <w:shd w:val="clear" w:color="auto" w:fill="auto"/>
          </w:tcPr>
          <w:p w:rsidR="00727C4E" w:rsidRPr="0012760D" w:rsidRDefault="00727C4E" w:rsidP="004B2D65">
            <w:pPr>
              <w:rPr>
                <w:sz w:val="24"/>
                <w:szCs w:val="24"/>
              </w:rPr>
            </w:pPr>
            <w:r w:rsidRPr="0012760D">
              <w:rPr>
                <w:sz w:val="24"/>
                <w:szCs w:val="24"/>
              </w:rPr>
              <w:t>The Good Guys Bendigo</w:t>
            </w:r>
          </w:p>
        </w:tc>
        <w:tc>
          <w:tcPr>
            <w:tcW w:w="2353" w:type="pct"/>
            <w:shd w:val="clear" w:color="auto" w:fill="auto"/>
          </w:tcPr>
          <w:p w:rsidR="00727C4E" w:rsidRPr="0012760D" w:rsidRDefault="00727C4E" w:rsidP="004B2D65">
            <w:pPr>
              <w:rPr>
                <w:sz w:val="24"/>
                <w:szCs w:val="24"/>
              </w:rPr>
            </w:pPr>
            <w:r w:rsidRPr="0012760D">
              <w:rPr>
                <w:sz w:val="24"/>
                <w:szCs w:val="24"/>
              </w:rPr>
              <w:t>Good Guys Energy Efficiency Project - Bendigo</w:t>
            </w:r>
          </w:p>
        </w:tc>
        <w:tc>
          <w:tcPr>
            <w:tcW w:w="817" w:type="pct"/>
            <w:shd w:val="clear" w:color="auto" w:fill="auto"/>
          </w:tcPr>
          <w:p w:rsidR="00727C4E" w:rsidRPr="0012760D" w:rsidRDefault="00727C4E" w:rsidP="004B2D65">
            <w:pPr>
              <w:jc w:val="right"/>
              <w:rPr>
                <w:sz w:val="24"/>
                <w:szCs w:val="24"/>
              </w:rPr>
            </w:pPr>
            <w:r w:rsidRPr="0012760D">
              <w:rPr>
                <w:sz w:val="24"/>
                <w:szCs w:val="24"/>
              </w:rPr>
              <w:t>21,374</w:t>
            </w:r>
          </w:p>
        </w:tc>
      </w:tr>
      <w:tr w:rsidR="00727C4E" w:rsidRPr="0012760D" w:rsidTr="00727C4E">
        <w:tblPrEx>
          <w:tblCellMar>
            <w:top w:w="0" w:type="dxa"/>
            <w:bottom w:w="0" w:type="dxa"/>
          </w:tblCellMar>
        </w:tblPrEx>
        <w:tc>
          <w:tcPr>
            <w:tcW w:w="1830" w:type="pct"/>
            <w:shd w:val="clear" w:color="auto" w:fill="auto"/>
          </w:tcPr>
          <w:p w:rsidR="00727C4E" w:rsidRPr="0012760D" w:rsidRDefault="00727C4E" w:rsidP="004B2D65">
            <w:pPr>
              <w:rPr>
                <w:sz w:val="24"/>
                <w:szCs w:val="24"/>
              </w:rPr>
            </w:pPr>
            <w:r w:rsidRPr="0012760D">
              <w:rPr>
                <w:sz w:val="24"/>
                <w:szCs w:val="24"/>
              </w:rPr>
              <w:t>Blue Pyrenees Estate Winery</w:t>
            </w:r>
          </w:p>
        </w:tc>
        <w:tc>
          <w:tcPr>
            <w:tcW w:w="2353" w:type="pct"/>
            <w:shd w:val="clear" w:color="auto" w:fill="auto"/>
          </w:tcPr>
          <w:p w:rsidR="00727C4E" w:rsidRPr="0012760D" w:rsidRDefault="00727C4E" w:rsidP="004B2D65">
            <w:pPr>
              <w:rPr>
                <w:sz w:val="24"/>
                <w:szCs w:val="24"/>
              </w:rPr>
            </w:pPr>
            <w:r w:rsidRPr="0012760D">
              <w:rPr>
                <w:sz w:val="24"/>
                <w:szCs w:val="24"/>
              </w:rPr>
              <w:t>Blue Pyrenees Tank Insulation</w:t>
            </w:r>
          </w:p>
        </w:tc>
        <w:tc>
          <w:tcPr>
            <w:tcW w:w="817" w:type="pct"/>
            <w:shd w:val="clear" w:color="auto" w:fill="auto"/>
          </w:tcPr>
          <w:p w:rsidR="00727C4E" w:rsidRPr="0012760D" w:rsidRDefault="00727C4E" w:rsidP="004B2D65">
            <w:pPr>
              <w:jc w:val="right"/>
              <w:rPr>
                <w:sz w:val="24"/>
                <w:szCs w:val="24"/>
              </w:rPr>
            </w:pPr>
            <w:r w:rsidRPr="0012760D">
              <w:rPr>
                <w:sz w:val="24"/>
                <w:szCs w:val="24"/>
              </w:rPr>
              <w:t>23,780</w:t>
            </w:r>
          </w:p>
        </w:tc>
      </w:tr>
      <w:tr w:rsidR="00727C4E" w:rsidRPr="0012760D" w:rsidTr="00727C4E">
        <w:tblPrEx>
          <w:tblCellMar>
            <w:top w:w="0" w:type="dxa"/>
            <w:bottom w:w="0" w:type="dxa"/>
          </w:tblCellMar>
        </w:tblPrEx>
        <w:tc>
          <w:tcPr>
            <w:tcW w:w="1830" w:type="pct"/>
            <w:shd w:val="clear" w:color="auto" w:fill="auto"/>
          </w:tcPr>
          <w:p w:rsidR="00727C4E" w:rsidRPr="0012760D" w:rsidRDefault="00727C4E" w:rsidP="004B2D65">
            <w:pPr>
              <w:rPr>
                <w:sz w:val="24"/>
                <w:szCs w:val="24"/>
              </w:rPr>
            </w:pPr>
            <w:r w:rsidRPr="0012760D">
              <w:rPr>
                <w:sz w:val="24"/>
                <w:szCs w:val="24"/>
              </w:rPr>
              <w:t>Altro Engineering</w:t>
            </w:r>
          </w:p>
        </w:tc>
        <w:tc>
          <w:tcPr>
            <w:tcW w:w="2353" w:type="pct"/>
            <w:shd w:val="clear" w:color="auto" w:fill="auto"/>
          </w:tcPr>
          <w:p w:rsidR="00727C4E" w:rsidRPr="0012760D" w:rsidRDefault="00727C4E" w:rsidP="004B2D65">
            <w:pPr>
              <w:rPr>
                <w:sz w:val="24"/>
                <w:szCs w:val="24"/>
              </w:rPr>
            </w:pPr>
            <w:r w:rsidRPr="0012760D">
              <w:rPr>
                <w:sz w:val="24"/>
                <w:szCs w:val="24"/>
              </w:rPr>
              <w:t>Altro Energy Efficiency Project</w:t>
            </w:r>
          </w:p>
        </w:tc>
        <w:tc>
          <w:tcPr>
            <w:tcW w:w="817" w:type="pct"/>
            <w:shd w:val="clear" w:color="auto" w:fill="auto"/>
          </w:tcPr>
          <w:p w:rsidR="00727C4E" w:rsidRPr="0012760D" w:rsidRDefault="00727C4E" w:rsidP="004B2D65">
            <w:pPr>
              <w:jc w:val="right"/>
              <w:rPr>
                <w:sz w:val="24"/>
                <w:szCs w:val="24"/>
              </w:rPr>
            </w:pPr>
            <w:r w:rsidRPr="0012760D">
              <w:rPr>
                <w:sz w:val="24"/>
                <w:szCs w:val="24"/>
              </w:rPr>
              <w:t>8,930</w:t>
            </w:r>
          </w:p>
        </w:tc>
      </w:tr>
      <w:tr w:rsidR="00727C4E" w:rsidRPr="0012760D" w:rsidTr="00727C4E">
        <w:tblPrEx>
          <w:tblCellMar>
            <w:top w:w="0" w:type="dxa"/>
            <w:bottom w:w="0" w:type="dxa"/>
          </w:tblCellMar>
        </w:tblPrEx>
        <w:tc>
          <w:tcPr>
            <w:tcW w:w="1830" w:type="pct"/>
            <w:shd w:val="clear" w:color="auto" w:fill="auto"/>
          </w:tcPr>
          <w:p w:rsidR="00727C4E" w:rsidRPr="0012760D" w:rsidRDefault="00727C4E" w:rsidP="004B2D65">
            <w:pPr>
              <w:rPr>
                <w:sz w:val="24"/>
                <w:szCs w:val="24"/>
              </w:rPr>
            </w:pPr>
            <w:r w:rsidRPr="0012760D">
              <w:rPr>
                <w:sz w:val="24"/>
                <w:szCs w:val="24"/>
              </w:rPr>
              <w:t>ICS Industries</w:t>
            </w:r>
          </w:p>
        </w:tc>
        <w:tc>
          <w:tcPr>
            <w:tcW w:w="2353" w:type="pct"/>
            <w:shd w:val="clear" w:color="auto" w:fill="auto"/>
          </w:tcPr>
          <w:p w:rsidR="00727C4E" w:rsidRPr="0012760D" w:rsidRDefault="00727C4E" w:rsidP="004B2D65">
            <w:pPr>
              <w:rPr>
                <w:sz w:val="24"/>
                <w:szCs w:val="24"/>
              </w:rPr>
            </w:pPr>
            <w:r w:rsidRPr="0012760D">
              <w:rPr>
                <w:sz w:val="24"/>
                <w:szCs w:val="24"/>
              </w:rPr>
              <w:t>ICs Industries Energy Efficiency Project</w:t>
            </w:r>
          </w:p>
        </w:tc>
        <w:tc>
          <w:tcPr>
            <w:tcW w:w="817" w:type="pct"/>
            <w:shd w:val="clear" w:color="auto" w:fill="auto"/>
          </w:tcPr>
          <w:p w:rsidR="00727C4E" w:rsidRPr="0012760D" w:rsidRDefault="00727C4E" w:rsidP="004B2D65">
            <w:pPr>
              <w:jc w:val="right"/>
              <w:rPr>
                <w:sz w:val="24"/>
                <w:szCs w:val="24"/>
              </w:rPr>
            </w:pPr>
            <w:r w:rsidRPr="0012760D">
              <w:rPr>
                <w:sz w:val="24"/>
                <w:szCs w:val="24"/>
              </w:rPr>
              <w:t>12,640</w:t>
            </w:r>
          </w:p>
        </w:tc>
      </w:tr>
      <w:tr w:rsidR="00727C4E" w:rsidRPr="0012760D" w:rsidTr="00727C4E">
        <w:tblPrEx>
          <w:tblCellMar>
            <w:top w:w="0" w:type="dxa"/>
            <w:bottom w:w="0" w:type="dxa"/>
          </w:tblCellMar>
        </w:tblPrEx>
        <w:tc>
          <w:tcPr>
            <w:tcW w:w="1830" w:type="pct"/>
            <w:shd w:val="clear" w:color="auto" w:fill="auto"/>
          </w:tcPr>
          <w:p w:rsidR="00727C4E" w:rsidRPr="0012760D" w:rsidRDefault="00727C4E" w:rsidP="004B2D65">
            <w:pPr>
              <w:rPr>
                <w:sz w:val="24"/>
                <w:szCs w:val="24"/>
              </w:rPr>
            </w:pPr>
            <w:r w:rsidRPr="0012760D">
              <w:rPr>
                <w:sz w:val="24"/>
                <w:szCs w:val="24"/>
              </w:rPr>
              <w:t>Sparkling Beverages</w:t>
            </w:r>
          </w:p>
        </w:tc>
        <w:tc>
          <w:tcPr>
            <w:tcW w:w="2353" w:type="pct"/>
            <w:shd w:val="clear" w:color="auto" w:fill="auto"/>
          </w:tcPr>
          <w:p w:rsidR="00727C4E" w:rsidRPr="0012760D" w:rsidRDefault="00727C4E" w:rsidP="004B2D65">
            <w:pPr>
              <w:rPr>
                <w:sz w:val="24"/>
                <w:szCs w:val="24"/>
              </w:rPr>
            </w:pPr>
            <w:r w:rsidRPr="0012760D">
              <w:rPr>
                <w:sz w:val="24"/>
                <w:szCs w:val="24"/>
              </w:rPr>
              <w:t>Project Chiller</w:t>
            </w:r>
          </w:p>
        </w:tc>
        <w:tc>
          <w:tcPr>
            <w:tcW w:w="817" w:type="pct"/>
            <w:shd w:val="clear" w:color="auto" w:fill="auto"/>
          </w:tcPr>
          <w:p w:rsidR="00727C4E" w:rsidRPr="0012760D" w:rsidRDefault="00727C4E" w:rsidP="004B2D65">
            <w:pPr>
              <w:jc w:val="right"/>
              <w:rPr>
                <w:sz w:val="24"/>
                <w:szCs w:val="24"/>
              </w:rPr>
            </w:pPr>
            <w:r w:rsidRPr="0012760D">
              <w:rPr>
                <w:sz w:val="24"/>
                <w:szCs w:val="24"/>
              </w:rPr>
              <w:t>25,000</w:t>
            </w:r>
          </w:p>
        </w:tc>
      </w:tr>
      <w:tr w:rsidR="00727C4E" w:rsidRPr="0012760D" w:rsidTr="00727C4E">
        <w:tblPrEx>
          <w:tblCellMar>
            <w:top w:w="0" w:type="dxa"/>
            <w:bottom w:w="0" w:type="dxa"/>
          </w:tblCellMar>
        </w:tblPrEx>
        <w:tc>
          <w:tcPr>
            <w:tcW w:w="1830" w:type="pct"/>
            <w:shd w:val="clear" w:color="auto" w:fill="auto"/>
          </w:tcPr>
          <w:p w:rsidR="00727C4E" w:rsidRPr="0012760D" w:rsidRDefault="00727C4E" w:rsidP="004B2D65">
            <w:pPr>
              <w:rPr>
                <w:sz w:val="24"/>
                <w:szCs w:val="24"/>
              </w:rPr>
            </w:pPr>
            <w:r w:rsidRPr="0012760D">
              <w:rPr>
                <w:sz w:val="24"/>
                <w:szCs w:val="24"/>
              </w:rPr>
              <w:t>Bright Licensed Supermarket</w:t>
            </w:r>
          </w:p>
        </w:tc>
        <w:tc>
          <w:tcPr>
            <w:tcW w:w="2353" w:type="pct"/>
            <w:shd w:val="clear" w:color="auto" w:fill="auto"/>
          </w:tcPr>
          <w:p w:rsidR="00727C4E" w:rsidRPr="0012760D" w:rsidRDefault="00727C4E" w:rsidP="004B2D65">
            <w:pPr>
              <w:rPr>
                <w:sz w:val="24"/>
                <w:szCs w:val="24"/>
              </w:rPr>
            </w:pPr>
            <w:r w:rsidRPr="0012760D">
              <w:rPr>
                <w:sz w:val="24"/>
                <w:szCs w:val="24"/>
              </w:rPr>
              <w:t>Bright IGA Energy Reduction Project</w:t>
            </w:r>
          </w:p>
        </w:tc>
        <w:tc>
          <w:tcPr>
            <w:tcW w:w="817" w:type="pct"/>
            <w:shd w:val="clear" w:color="auto" w:fill="auto"/>
          </w:tcPr>
          <w:p w:rsidR="00727C4E" w:rsidRPr="0012760D" w:rsidRDefault="00727C4E" w:rsidP="004B2D65">
            <w:pPr>
              <w:jc w:val="right"/>
              <w:rPr>
                <w:sz w:val="24"/>
                <w:szCs w:val="24"/>
              </w:rPr>
            </w:pPr>
            <w:r w:rsidRPr="0012760D">
              <w:rPr>
                <w:sz w:val="24"/>
                <w:szCs w:val="24"/>
              </w:rPr>
              <w:t>25,000</w:t>
            </w:r>
          </w:p>
        </w:tc>
      </w:tr>
      <w:tr w:rsidR="00727C4E" w:rsidRPr="0012760D" w:rsidTr="00727C4E">
        <w:tblPrEx>
          <w:tblCellMar>
            <w:top w:w="0" w:type="dxa"/>
            <w:bottom w:w="0" w:type="dxa"/>
          </w:tblCellMar>
        </w:tblPrEx>
        <w:tc>
          <w:tcPr>
            <w:tcW w:w="1830" w:type="pct"/>
            <w:shd w:val="clear" w:color="auto" w:fill="auto"/>
          </w:tcPr>
          <w:p w:rsidR="00727C4E" w:rsidRPr="0012760D" w:rsidRDefault="00727C4E" w:rsidP="004B2D65">
            <w:pPr>
              <w:rPr>
                <w:sz w:val="24"/>
                <w:szCs w:val="24"/>
              </w:rPr>
            </w:pPr>
            <w:r w:rsidRPr="0012760D">
              <w:rPr>
                <w:sz w:val="24"/>
                <w:szCs w:val="24"/>
              </w:rPr>
              <w:t>Mount Martha Village Self Service</w:t>
            </w:r>
          </w:p>
        </w:tc>
        <w:tc>
          <w:tcPr>
            <w:tcW w:w="2353" w:type="pct"/>
            <w:shd w:val="clear" w:color="auto" w:fill="auto"/>
          </w:tcPr>
          <w:p w:rsidR="00727C4E" w:rsidRPr="0012760D" w:rsidRDefault="00727C4E" w:rsidP="004B2D65">
            <w:pPr>
              <w:rPr>
                <w:sz w:val="24"/>
                <w:szCs w:val="24"/>
              </w:rPr>
            </w:pPr>
            <w:r w:rsidRPr="0012760D">
              <w:rPr>
                <w:sz w:val="24"/>
                <w:szCs w:val="24"/>
              </w:rPr>
              <w:t>Mount Martha Energy Reduction Project</w:t>
            </w:r>
          </w:p>
        </w:tc>
        <w:tc>
          <w:tcPr>
            <w:tcW w:w="817" w:type="pct"/>
            <w:shd w:val="clear" w:color="auto" w:fill="auto"/>
          </w:tcPr>
          <w:p w:rsidR="00727C4E" w:rsidRPr="0012760D" w:rsidRDefault="00727C4E" w:rsidP="004B2D65">
            <w:pPr>
              <w:jc w:val="right"/>
              <w:rPr>
                <w:sz w:val="24"/>
                <w:szCs w:val="24"/>
              </w:rPr>
            </w:pPr>
            <w:r w:rsidRPr="0012760D">
              <w:rPr>
                <w:sz w:val="24"/>
                <w:szCs w:val="24"/>
              </w:rPr>
              <w:t>18,819</w:t>
            </w:r>
          </w:p>
        </w:tc>
      </w:tr>
      <w:tr w:rsidR="00727C4E" w:rsidRPr="0012760D" w:rsidTr="00727C4E">
        <w:tblPrEx>
          <w:tblCellMar>
            <w:top w:w="0" w:type="dxa"/>
            <w:bottom w:w="0" w:type="dxa"/>
          </w:tblCellMar>
        </w:tblPrEx>
        <w:tc>
          <w:tcPr>
            <w:tcW w:w="1830" w:type="pct"/>
            <w:shd w:val="clear" w:color="auto" w:fill="auto"/>
          </w:tcPr>
          <w:p w:rsidR="00727C4E" w:rsidRPr="0012760D" w:rsidRDefault="00727C4E" w:rsidP="004B2D65">
            <w:pPr>
              <w:rPr>
                <w:sz w:val="24"/>
                <w:szCs w:val="24"/>
              </w:rPr>
            </w:pPr>
            <w:r w:rsidRPr="0012760D">
              <w:rPr>
                <w:sz w:val="24"/>
                <w:szCs w:val="24"/>
              </w:rPr>
              <w:t>Rydyn Supermarket</w:t>
            </w:r>
          </w:p>
        </w:tc>
        <w:tc>
          <w:tcPr>
            <w:tcW w:w="2353" w:type="pct"/>
            <w:shd w:val="clear" w:color="auto" w:fill="auto"/>
          </w:tcPr>
          <w:p w:rsidR="00727C4E" w:rsidRPr="0012760D" w:rsidRDefault="00727C4E" w:rsidP="004B2D65">
            <w:pPr>
              <w:rPr>
                <w:sz w:val="24"/>
                <w:szCs w:val="24"/>
              </w:rPr>
            </w:pPr>
            <w:r w:rsidRPr="0012760D">
              <w:rPr>
                <w:sz w:val="24"/>
                <w:szCs w:val="24"/>
              </w:rPr>
              <w:t>Store Relighting Program</w:t>
            </w:r>
          </w:p>
        </w:tc>
        <w:tc>
          <w:tcPr>
            <w:tcW w:w="817" w:type="pct"/>
            <w:shd w:val="clear" w:color="auto" w:fill="auto"/>
          </w:tcPr>
          <w:p w:rsidR="00727C4E" w:rsidRPr="0012760D" w:rsidRDefault="00727C4E" w:rsidP="004B2D65">
            <w:pPr>
              <w:jc w:val="right"/>
              <w:rPr>
                <w:sz w:val="24"/>
                <w:szCs w:val="24"/>
              </w:rPr>
            </w:pPr>
            <w:r w:rsidRPr="0012760D">
              <w:rPr>
                <w:sz w:val="24"/>
                <w:szCs w:val="24"/>
              </w:rPr>
              <w:t>8,800</w:t>
            </w:r>
          </w:p>
        </w:tc>
      </w:tr>
      <w:tr w:rsidR="00727C4E" w:rsidRPr="0012760D" w:rsidTr="00727C4E">
        <w:tblPrEx>
          <w:tblCellMar>
            <w:top w:w="0" w:type="dxa"/>
            <w:bottom w:w="0" w:type="dxa"/>
          </w:tblCellMar>
        </w:tblPrEx>
        <w:tc>
          <w:tcPr>
            <w:tcW w:w="1830" w:type="pct"/>
            <w:shd w:val="clear" w:color="auto" w:fill="auto"/>
          </w:tcPr>
          <w:p w:rsidR="00727C4E" w:rsidRPr="0012760D" w:rsidRDefault="00727C4E" w:rsidP="004B2D65">
            <w:pPr>
              <w:rPr>
                <w:sz w:val="24"/>
                <w:szCs w:val="24"/>
              </w:rPr>
            </w:pPr>
            <w:r w:rsidRPr="0012760D">
              <w:rPr>
                <w:sz w:val="24"/>
                <w:szCs w:val="24"/>
              </w:rPr>
              <w:t>Flavourfull Hydroponics</w:t>
            </w:r>
          </w:p>
        </w:tc>
        <w:tc>
          <w:tcPr>
            <w:tcW w:w="2353" w:type="pct"/>
            <w:shd w:val="clear" w:color="auto" w:fill="auto"/>
          </w:tcPr>
          <w:p w:rsidR="00727C4E" w:rsidRPr="0012760D" w:rsidRDefault="00727C4E" w:rsidP="004B2D65">
            <w:pPr>
              <w:rPr>
                <w:sz w:val="24"/>
                <w:szCs w:val="24"/>
              </w:rPr>
            </w:pPr>
            <w:r w:rsidRPr="0012760D">
              <w:rPr>
                <w:sz w:val="24"/>
                <w:szCs w:val="24"/>
              </w:rPr>
              <w:t>Greenhouse Climate Control System Upgrade</w:t>
            </w:r>
          </w:p>
        </w:tc>
        <w:tc>
          <w:tcPr>
            <w:tcW w:w="817" w:type="pct"/>
            <w:shd w:val="clear" w:color="auto" w:fill="auto"/>
          </w:tcPr>
          <w:p w:rsidR="00727C4E" w:rsidRPr="0012760D" w:rsidRDefault="00727C4E" w:rsidP="004B2D65">
            <w:pPr>
              <w:jc w:val="right"/>
              <w:rPr>
                <w:sz w:val="24"/>
                <w:szCs w:val="24"/>
              </w:rPr>
            </w:pPr>
            <w:r w:rsidRPr="0012760D">
              <w:rPr>
                <w:sz w:val="24"/>
                <w:szCs w:val="24"/>
              </w:rPr>
              <w:t>14,500</w:t>
            </w:r>
          </w:p>
        </w:tc>
      </w:tr>
      <w:tr w:rsidR="00727C4E" w:rsidRPr="0012760D" w:rsidTr="00727C4E">
        <w:tblPrEx>
          <w:tblCellMar>
            <w:top w:w="0" w:type="dxa"/>
            <w:bottom w:w="0" w:type="dxa"/>
          </w:tblCellMar>
        </w:tblPrEx>
        <w:tc>
          <w:tcPr>
            <w:tcW w:w="1830" w:type="pct"/>
            <w:shd w:val="clear" w:color="auto" w:fill="auto"/>
          </w:tcPr>
          <w:p w:rsidR="00727C4E" w:rsidRPr="0012760D" w:rsidRDefault="00727C4E" w:rsidP="004B2D65">
            <w:pPr>
              <w:rPr>
                <w:sz w:val="24"/>
                <w:szCs w:val="24"/>
              </w:rPr>
            </w:pPr>
            <w:r w:rsidRPr="0012760D">
              <w:rPr>
                <w:sz w:val="24"/>
                <w:szCs w:val="24"/>
              </w:rPr>
              <w:t>Haymes Paints</w:t>
            </w:r>
          </w:p>
        </w:tc>
        <w:tc>
          <w:tcPr>
            <w:tcW w:w="2353" w:type="pct"/>
            <w:shd w:val="clear" w:color="auto" w:fill="auto"/>
          </w:tcPr>
          <w:p w:rsidR="00727C4E" w:rsidRPr="0012760D" w:rsidRDefault="00727C4E" w:rsidP="004B2D65">
            <w:pPr>
              <w:rPr>
                <w:sz w:val="24"/>
                <w:szCs w:val="24"/>
              </w:rPr>
            </w:pPr>
            <w:r w:rsidRPr="0012760D">
              <w:rPr>
                <w:sz w:val="24"/>
                <w:szCs w:val="24"/>
              </w:rPr>
              <w:t>Improving Heating and Cooling efficiency</w:t>
            </w:r>
          </w:p>
        </w:tc>
        <w:tc>
          <w:tcPr>
            <w:tcW w:w="817" w:type="pct"/>
            <w:shd w:val="clear" w:color="auto" w:fill="auto"/>
          </w:tcPr>
          <w:p w:rsidR="00727C4E" w:rsidRPr="0012760D" w:rsidRDefault="00727C4E" w:rsidP="004B2D65">
            <w:pPr>
              <w:jc w:val="right"/>
              <w:rPr>
                <w:sz w:val="24"/>
                <w:szCs w:val="24"/>
              </w:rPr>
            </w:pPr>
            <w:r w:rsidRPr="0012760D">
              <w:rPr>
                <w:sz w:val="24"/>
                <w:szCs w:val="24"/>
              </w:rPr>
              <w:t>16,800</w:t>
            </w:r>
          </w:p>
        </w:tc>
      </w:tr>
    </w:tbl>
    <w:p w:rsidR="00C0532C" w:rsidRDefault="00C0532C" w:rsidP="00C0532C">
      <w:pPr>
        <w:rPr>
          <w:bCs/>
          <w:sz w:val="24"/>
          <w:szCs w:val="24"/>
        </w:rPr>
      </w:pPr>
      <w:r w:rsidRPr="0012760D">
        <w:rPr>
          <w:bCs/>
          <w:sz w:val="24"/>
          <w:szCs w:val="24"/>
        </w:rPr>
        <w:t>&lt;pp&gt; 86</w:t>
      </w:r>
    </w:p>
    <w:p w:rsidR="005A26D3" w:rsidRDefault="005A26D3" w:rsidP="00C0532C">
      <w:pPr>
        <w:rPr>
          <w:bCs/>
          <w:sz w:val="24"/>
          <w:szCs w:val="24"/>
        </w:rPr>
      </w:pPr>
    </w:p>
    <w:p w:rsidR="005A26D3" w:rsidRPr="0012760D" w:rsidRDefault="005A26D3" w:rsidP="00C0532C">
      <w:pPr>
        <w:rPr>
          <w:sz w:val="24"/>
          <w:szCs w:val="24"/>
        </w:rPr>
      </w:pPr>
    </w:p>
    <w:p w:rsidR="00C0532C" w:rsidRDefault="00C0532C" w:rsidP="005A26D3">
      <w:pPr>
        <w:pStyle w:val="Heading3"/>
      </w:pPr>
      <w:r w:rsidRPr="0012760D">
        <w:t>Funding Program: Smarter Resources, Smarter Business Program</w:t>
      </w:r>
    </w:p>
    <w:p w:rsidR="005A26D3" w:rsidRPr="0012760D" w:rsidRDefault="005A26D3" w:rsidP="00C0532C">
      <w:pPr>
        <w:rPr>
          <w:sz w:val="24"/>
          <w:szCs w:val="24"/>
        </w:rPr>
      </w:pPr>
    </w:p>
    <w:p w:rsidR="00C0532C" w:rsidRPr="0012760D" w:rsidRDefault="00C0532C" w:rsidP="005A26D3">
      <w:pPr>
        <w:pStyle w:val="Heading4"/>
      </w:pPr>
      <w:r w:rsidRPr="0012760D">
        <w:t>Funding Application Support</w:t>
      </w:r>
    </w:p>
    <w:p w:rsidR="00C0532C" w:rsidRPr="0012760D" w:rsidRDefault="00C0532C" w:rsidP="00C0532C">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5123"/>
        <w:gridCol w:w="6604"/>
        <w:gridCol w:w="2307"/>
      </w:tblGrid>
      <w:tr w:rsidR="0012760D" w:rsidRPr="0012760D" w:rsidTr="00544C7A">
        <w:tblPrEx>
          <w:tblCellMar>
            <w:top w:w="0" w:type="dxa"/>
            <w:bottom w:w="0" w:type="dxa"/>
          </w:tblCellMar>
        </w:tblPrEx>
        <w:tc>
          <w:tcPr>
            <w:tcW w:w="1825" w:type="pct"/>
            <w:shd w:val="clear" w:color="auto" w:fill="auto"/>
          </w:tcPr>
          <w:p w:rsidR="00C0532C" w:rsidRPr="0012760D" w:rsidRDefault="00C0532C" w:rsidP="00805FDC">
            <w:pPr>
              <w:rPr>
                <w:sz w:val="24"/>
                <w:szCs w:val="24"/>
              </w:rPr>
            </w:pPr>
            <w:r w:rsidRPr="0012760D">
              <w:rPr>
                <w:bCs/>
                <w:sz w:val="24"/>
                <w:szCs w:val="24"/>
              </w:rPr>
              <w:t>Organisation</w:t>
            </w:r>
          </w:p>
        </w:tc>
        <w:tc>
          <w:tcPr>
            <w:tcW w:w="2353" w:type="pct"/>
            <w:shd w:val="clear" w:color="auto" w:fill="auto"/>
          </w:tcPr>
          <w:p w:rsidR="00C0532C" w:rsidRPr="0012760D" w:rsidRDefault="00C0532C" w:rsidP="00805FDC">
            <w:pPr>
              <w:rPr>
                <w:sz w:val="24"/>
                <w:szCs w:val="24"/>
              </w:rPr>
            </w:pPr>
            <w:r w:rsidRPr="0012760D">
              <w:rPr>
                <w:bCs/>
                <w:sz w:val="24"/>
                <w:szCs w:val="24"/>
              </w:rPr>
              <w:t>Project</w:t>
            </w:r>
          </w:p>
        </w:tc>
        <w:tc>
          <w:tcPr>
            <w:tcW w:w="822" w:type="pct"/>
            <w:shd w:val="clear" w:color="auto" w:fill="auto"/>
          </w:tcPr>
          <w:p w:rsidR="00C0532C" w:rsidRPr="0012760D" w:rsidRDefault="00C0532C" w:rsidP="00805FDC">
            <w:pPr>
              <w:rPr>
                <w:sz w:val="24"/>
                <w:szCs w:val="24"/>
              </w:rPr>
            </w:pPr>
            <w:r w:rsidRPr="0012760D">
              <w:rPr>
                <w:bCs/>
                <w:sz w:val="24"/>
                <w:szCs w:val="24"/>
              </w:rPr>
              <w:t>Funding support $</w:t>
            </w:r>
          </w:p>
        </w:tc>
      </w:tr>
      <w:tr w:rsidR="0012760D" w:rsidRPr="0012760D" w:rsidTr="00544C7A">
        <w:tblPrEx>
          <w:tblCellMar>
            <w:top w:w="0" w:type="dxa"/>
            <w:bottom w:w="0" w:type="dxa"/>
          </w:tblCellMar>
        </w:tblPrEx>
        <w:tc>
          <w:tcPr>
            <w:tcW w:w="1825" w:type="pct"/>
            <w:shd w:val="clear" w:color="auto" w:fill="auto"/>
          </w:tcPr>
          <w:p w:rsidR="00C0532C" w:rsidRPr="0012760D" w:rsidRDefault="00C0532C" w:rsidP="00805FDC">
            <w:pPr>
              <w:rPr>
                <w:sz w:val="24"/>
                <w:szCs w:val="24"/>
              </w:rPr>
            </w:pPr>
            <w:r w:rsidRPr="0012760D">
              <w:rPr>
                <w:sz w:val="24"/>
                <w:szCs w:val="24"/>
              </w:rPr>
              <w:t xml:space="preserve">Barfell Industries Pty Ltd </w:t>
            </w:r>
          </w:p>
        </w:tc>
        <w:tc>
          <w:tcPr>
            <w:tcW w:w="2353" w:type="pct"/>
            <w:shd w:val="clear" w:color="auto" w:fill="auto"/>
          </w:tcPr>
          <w:p w:rsidR="00C0532C" w:rsidRPr="0012760D" w:rsidRDefault="00C0532C" w:rsidP="00805FDC">
            <w:pPr>
              <w:rPr>
                <w:sz w:val="24"/>
                <w:szCs w:val="24"/>
              </w:rPr>
            </w:pPr>
            <w:r w:rsidRPr="0012760D">
              <w:rPr>
                <w:sz w:val="24"/>
                <w:szCs w:val="24"/>
              </w:rPr>
              <w:t>Clean Technology Investment Program and Clean Technology Food and Foundries Investment program</w:t>
            </w:r>
          </w:p>
        </w:tc>
        <w:tc>
          <w:tcPr>
            <w:tcW w:w="822" w:type="pct"/>
            <w:shd w:val="clear" w:color="auto" w:fill="auto"/>
          </w:tcPr>
          <w:p w:rsidR="00C0532C" w:rsidRPr="0012760D" w:rsidRDefault="00C0532C" w:rsidP="00805FDC">
            <w:pPr>
              <w:jc w:val="right"/>
              <w:rPr>
                <w:sz w:val="24"/>
                <w:szCs w:val="24"/>
              </w:rPr>
            </w:pPr>
            <w:r w:rsidRPr="0012760D">
              <w:rPr>
                <w:sz w:val="24"/>
                <w:szCs w:val="24"/>
              </w:rPr>
              <w:t>1,500</w:t>
            </w:r>
          </w:p>
        </w:tc>
      </w:tr>
      <w:tr w:rsidR="0012760D" w:rsidRPr="0012760D" w:rsidTr="00544C7A">
        <w:tblPrEx>
          <w:tblCellMar>
            <w:top w:w="0" w:type="dxa"/>
            <w:bottom w:w="0" w:type="dxa"/>
          </w:tblCellMar>
        </w:tblPrEx>
        <w:tc>
          <w:tcPr>
            <w:tcW w:w="1825" w:type="pct"/>
            <w:shd w:val="clear" w:color="auto" w:fill="auto"/>
          </w:tcPr>
          <w:p w:rsidR="00C0532C" w:rsidRPr="0012760D" w:rsidRDefault="00C0532C" w:rsidP="00805FDC">
            <w:pPr>
              <w:rPr>
                <w:sz w:val="24"/>
                <w:szCs w:val="24"/>
              </w:rPr>
            </w:pPr>
            <w:r w:rsidRPr="0012760D">
              <w:rPr>
                <w:sz w:val="24"/>
                <w:szCs w:val="24"/>
              </w:rPr>
              <w:t>Rollspack Pty Ltd</w:t>
            </w:r>
          </w:p>
        </w:tc>
        <w:tc>
          <w:tcPr>
            <w:tcW w:w="2353" w:type="pct"/>
            <w:shd w:val="clear" w:color="auto" w:fill="auto"/>
          </w:tcPr>
          <w:p w:rsidR="00C0532C" w:rsidRPr="0012760D" w:rsidRDefault="00C0532C" w:rsidP="00805FDC">
            <w:pPr>
              <w:rPr>
                <w:sz w:val="24"/>
                <w:szCs w:val="24"/>
              </w:rPr>
            </w:pPr>
            <w:r w:rsidRPr="0012760D">
              <w:rPr>
                <w:sz w:val="24"/>
                <w:szCs w:val="24"/>
              </w:rPr>
              <w:t>Clean Technology Investment Program and Clean Technology Food and Foundries Investment program</w:t>
            </w:r>
          </w:p>
        </w:tc>
        <w:tc>
          <w:tcPr>
            <w:tcW w:w="822" w:type="pct"/>
            <w:shd w:val="clear" w:color="auto" w:fill="auto"/>
          </w:tcPr>
          <w:p w:rsidR="00C0532C" w:rsidRPr="0012760D" w:rsidRDefault="00C0532C" w:rsidP="00805FDC">
            <w:pPr>
              <w:jc w:val="right"/>
              <w:rPr>
                <w:sz w:val="24"/>
                <w:szCs w:val="24"/>
              </w:rPr>
            </w:pPr>
            <w:r w:rsidRPr="0012760D">
              <w:rPr>
                <w:sz w:val="24"/>
                <w:szCs w:val="24"/>
              </w:rPr>
              <w:t>1,500</w:t>
            </w:r>
          </w:p>
        </w:tc>
      </w:tr>
      <w:tr w:rsidR="0012760D" w:rsidRPr="0012760D" w:rsidTr="00544C7A">
        <w:tblPrEx>
          <w:tblCellMar>
            <w:top w:w="0" w:type="dxa"/>
            <w:bottom w:w="0" w:type="dxa"/>
          </w:tblCellMar>
        </w:tblPrEx>
        <w:tc>
          <w:tcPr>
            <w:tcW w:w="1825" w:type="pct"/>
            <w:shd w:val="clear" w:color="auto" w:fill="auto"/>
          </w:tcPr>
          <w:p w:rsidR="00C0532C" w:rsidRPr="0012760D" w:rsidRDefault="00C0532C" w:rsidP="00805FDC">
            <w:pPr>
              <w:rPr>
                <w:sz w:val="24"/>
                <w:szCs w:val="24"/>
              </w:rPr>
            </w:pPr>
            <w:r w:rsidRPr="0012760D">
              <w:rPr>
                <w:sz w:val="24"/>
                <w:szCs w:val="24"/>
              </w:rPr>
              <w:t>GBP Products Pty Ltd</w:t>
            </w:r>
          </w:p>
        </w:tc>
        <w:tc>
          <w:tcPr>
            <w:tcW w:w="2353" w:type="pct"/>
            <w:shd w:val="clear" w:color="auto" w:fill="auto"/>
          </w:tcPr>
          <w:p w:rsidR="00C0532C" w:rsidRPr="0012760D" w:rsidRDefault="00C0532C" w:rsidP="00805FDC">
            <w:pPr>
              <w:rPr>
                <w:sz w:val="24"/>
                <w:szCs w:val="24"/>
              </w:rPr>
            </w:pPr>
            <w:r w:rsidRPr="0012760D">
              <w:rPr>
                <w:sz w:val="24"/>
                <w:szCs w:val="24"/>
              </w:rPr>
              <w:t>GBP Products Funding application support</w:t>
            </w:r>
          </w:p>
        </w:tc>
        <w:tc>
          <w:tcPr>
            <w:tcW w:w="822" w:type="pct"/>
            <w:shd w:val="clear" w:color="auto" w:fill="auto"/>
          </w:tcPr>
          <w:p w:rsidR="00C0532C" w:rsidRPr="0012760D" w:rsidRDefault="00C0532C" w:rsidP="00805FDC">
            <w:pPr>
              <w:jc w:val="right"/>
              <w:rPr>
                <w:sz w:val="24"/>
                <w:szCs w:val="24"/>
              </w:rPr>
            </w:pPr>
            <w:r w:rsidRPr="0012760D">
              <w:rPr>
                <w:sz w:val="24"/>
                <w:szCs w:val="24"/>
              </w:rPr>
              <w:t>1,500</w:t>
            </w:r>
          </w:p>
        </w:tc>
      </w:tr>
      <w:tr w:rsidR="0012760D" w:rsidRPr="0012760D" w:rsidTr="00544C7A">
        <w:tblPrEx>
          <w:tblCellMar>
            <w:top w:w="0" w:type="dxa"/>
            <w:bottom w:w="0" w:type="dxa"/>
          </w:tblCellMar>
        </w:tblPrEx>
        <w:tc>
          <w:tcPr>
            <w:tcW w:w="1825" w:type="pct"/>
            <w:shd w:val="clear" w:color="auto" w:fill="auto"/>
          </w:tcPr>
          <w:p w:rsidR="00C0532C" w:rsidRPr="0012760D" w:rsidRDefault="00C0532C" w:rsidP="00805FDC">
            <w:pPr>
              <w:rPr>
                <w:sz w:val="24"/>
                <w:szCs w:val="24"/>
              </w:rPr>
            </w:pPr>
            <w:r w:rsidRPr="0012760D">
              <w:rPr>
                <w:sz w:val="24"/>
                <w:szCs w:val="24"/>
              </w:rPr>
              <w:lastRenderedPageBreak/>
              <w:t>Woods Furniture Pty Ltd</w:t>
            </w:r>
          </w:p>
        </w:tc>
        <w:tc>
          <w:tcPr>
            <w:tcW w:w="2353" w:type="pct"/>
            <w:shd w:val="clear" w:color="auto" w:fill="auto"/>
          </w:tcPr>
          <w:p w:rsidR="00C0532C" w:rsidRPr="0012760D" w:rsidRDefault="00C0532C" w:rsidP="00805FDC">
            <w:pPr>
              <w:rPr>
                <w:sz w:val="24"/>
                <w:szCs w:val="24"/>
              </w:rPr>
            </w:pPr>
            <w:r w:rsidRPr="0012760D">
              <w:rPr>
                <w:sz w:val="24"/>
                <w:szCs w:val="24"/>
              </w:rPr>
              <w:t>SRSB Woods Furniture Funding application support</w:t>
            </w:r>
          </w:p>
        </w:tc>
        <w:tc>
          <w:tcPr>
            <w:tcW w:w="822" w:type="pct"/>
            <w:shd w:val="clear" w:color="auto" w:fill="auto"/>
          </w:tcPr>
          <w:p w:rsidR="00C0532C" w:rsidRPr="0012760D" w:rsidRDefault="00C0532C" w:rsidP="00805FDC">
            <w:pPr>
              <w:jc w:val="right"/>
              <w:rPr>
                <w:sz w:val="24"/>
                <w:szCs w:val="24"/>
              </w:rPr>
            </w:pPr>
            <w:r w:rsidRPr="0012760D">
              <w:rPr>
                <w:sz w:val="24"/>
                <w:szCs w:val="24"/>
              </w:rPr>
              <w:t>1,500</w:t>
            </w:r>
          </w:p>
        </w:tc>
      </w:tr>
      <w:tr w:rsidR="0012760D" w:rsidRPr="0012760D" w:rsidTr="00544C7A">
        <w:tblPrEx>
          <w:tblCellMar>
            <w:top w:w="0" w:type="dxa"/>
            <w:bottom w:w="0" w:type="dxa"/>
          </w:tblCellMar>
        </w:tblPrEx>
        <w:tc>
          <w:tcPr>
            <w:tcW w:w="1825" w:type="pct"/>
            <w:shd w:val="clear" w:color="auto" w:fill="auto"/>
          </w:tcPr>
          <w:p w:rsidR="00C0532C" w:rsidRPr="0012760D" w:rsidRDefault="00C0532C" w:rsidP="00805FDC">
            <w:pPr>
              <w:rPr>
                <w:sz w:val="24"/>
                <w:szCs w:val="24"/>
              </w:rPr>
            </w:pPr>
            <w:r w:rsidRPr="0012760D">
              <w:rPr>
                <w:sz w:val="24"/>
                <w:szCs w:val="24"/>
              </w:rPr>
              <w:t>MiTek Australia Ltd</w:t>
            </w:r>
          </w:p>
        </w:tc>
        <w:tc>
          <w:tcPr>
            <w:tcW w:w="2353" w:type="pct"/>
            <w:shd w:val="clear" w:color="auto" w:fill="auto"/>
          </w:tcPr>
          <w:p w:rsidR="00C0532C" w:rsidRPr="0012760D" w:rsidRDefault="00C0532C" w:rsidP="00805FDC">
            <w:pPr>
              <w:rPr>
                <w:sz w:val="24"/>
                <w:szCs w:val="24"/>
              </w:rPr>
            </w:pPr>
            <w:r w:rsidRPr="0012760D">
              <w:rPr>
                <w:sz w:val="24"/>
                <w:szCs w:val="24"/>
              </w:rPr>
              <w:t>MiTek Australia Funding application support SRSB</w:t>
            </w:r>
          </w:p>
        </w:tc>
        <w:tc>
          <w:tcPr>
            <w:tcW w:w="822" w:type="pct"/>
            <w:shd w:val="clear" w:color="auto" w:fill="auto"/>
          </w:tcPr>
          <w:p w:rsidR="00C0532C" w:rsidRPr="0012760D" w:rsidRDefault="00C0532C" w:rsidP="00805FDC">
            <w:pPr>
              <w:jc w:val="right"/>
              <w:rPr>
                <w:sz w:val="24"/>
                <w:szCs w:val="24"/>
              </w:rPr>
            </w:pPr>
            <w:r w:rsidRPr="0012760D">
              <w:rPr>
                <w:sz w:val="24"/>
                <w:szCs w:val="24"/>
              </w:rPr>
              <w:t>1,500</w:t>
            </w:r>
          </w:p>
        </w:tc>
      </w:tr>
      <w:tr w:rsidR="0012760D" w:rsidRPr="0012760D" w:rsidTr="00544C7A">
        <w:tblPrEx>
          <w:tblCellMar>
            <w:top w:w="0" w:type="dxa"/>
            <w:bottom w:w="0" w:type="dxa"/>
          </w:tblCellMar>
        </w:tblPrEx>
        <w:tc>
          <w:tcPr>
            <w:tcW w:w="1825" w:type="pct"/>
            <w:shd w:val="clear" w:color="auto" w:fill="auto"/>
          </w:tcPr>
          <w:p w:rsidR="00C0532C" w:rsidRPr="0012760D" w:rsidRDefault="00C0532C" w:rsidP="00805FDC">
            <w:pPr>
              <w:rPr>
                <w:sz w:val="24"/>
                <w:szCs w:val="24"/>
              </w:rPr>
            </w:pPr>
            <w:r w:rsidRPr="0012760D">
              <w:rPr>
                <w:sz w:val="24"/>
                <w:szCs w:val="24"/>
              </w:rPr>
              <w:t>Icatron Pty Ltd</w:t>
            </w:r>
          </w:p>
        </w:tc>
        <w:tc>
          <w:tcPr>
            <w:tcW w:w="2353" w:type="pct"/>
            <w:shd w:val="clear" w:color="auto" w:fill="auto"/>
          </w:tcPr>
          <w:p w:rsidR="00C0532C" w:rsidRPr="0012760D" w:rsidRDefault="00C0532C" w:rsidP="00805FDC">
            <w:pPr>
              <w:rPr>
                <w:sz w:val="24"/>
                <w:szCs w:val="24"/>
              </w:rPr>
            </w:pPr>
            <w:r w:rsidRPr="0012760D">
              <w:rPr>
                <w:sz w:val="24"/>
                <w:szCs w:val="24"/>
              </w:rPr>
              <w:t>SRSB application Form Funding application support</w:t>
            </w:r>
          </w:p>
        </w:tc>
        <w:tc>
          <w:tcPr>
            <w:tcW w:w="822" w:type="pct"/>
            <w:shd w:val="clear" w:color="auto" w:fill="auto"/>
          </w:tcPr>
          <w:p w:rsidR="00C0532C" w:rsidRPr="0012760D" w:rsidRDefault="00C0532C" w:rsidP="00805FDC">
            <w:pPr>
              <w:jc w:val="right"/>
              <w:rPr>
                <w:sz w:val="24"/>
                <w:szCs w:val="24"/>
              </w:rPr>
            </w:pPr>
            <w:r w:rsidRPr="0012760D">
              <w:rPr>
                <w:sz w:val="24"/>
                <w:szCs w:val="24"/>
              </w:rPr>
              <w:t>1,500</w:t>
            </w:r>
          </w:p>
        </w:tc>
      </w:tr>
      <w:tr w:rsidR="0012760D" w:rsidRPr="0012760D" w:rsidTr="00544C7A">
        <w:tblPrEx>
          <w:tblCellMar>
            <w:top w:w="0" w:type="dxa"/>
            <w:bottom w:w="0" w:type="dxa"/>
          </w:tblCellMar>
        </w:tblPrEx>
        <w:tc>
          <w:tcPr>
            <w:tcW w:w="1825" w:type="pct"/>
            <w:shd w:val="clear" w:color="auto" w:fill="auto"/>
          </w:tcPr>
          <w:p w:rsidR="00C0532C" w:rsidRPr="0012760D" w:rsidRDefault="00C0532C" w:rsidP="00805FDC">
            <w:pPr>
              <w:rPr>
                <w:sz w:val="24"/>
                <w:szCs w:val="24"/>
              </w:rPr>
            </w:pPr>
            <w:r w:rsidRPr="0012760D">
              <w:rPr>
                <w:sz w:val="24"/>
                <w:szCs w:val="24"/>
              </w:rPr>
              <w:t>Visy Board (Wodonga) Pty Ltd</w:t>
            </w:r>
          </w:p>
        </w:tc>
        <w:tc>
          <w:tcPr>
            <w:tcW w:w="2353" w:type="pct"/>
            <w:shd w:val="clear" w:color="auto" w:fill="auto"/>
          </w:tcPr>
          <w:p w:rsidR="00C0532C" w:rsidRPr="0012760D" w:rsidRDefault="00C0532C" w:rsidP="00805FDC">
            <w:pPr>
              <w:rPr>
                <w:sz w:val="24"/>
                <w:szCs w:val="24"/>
              </w:rPr>
            </w:pPr>
            <w:r w:rsidRPr="0012760D">
              <w:rPr>
                <w:sz w:val="24"/>
                <w:szCs w:val="24"/>
              </w:rPr>
              <w:t>SRSB application Form Funding application support</w:t>
            </w:r>
          </w:p>
        </w:tc>
        <w:tc>
          <w:tcPr>
            <w:tcW w:w="822" w:type="pct"/>
            <w:shd w:val="clear" w:color="auto" w:fill="auto"/>
          </w:tcPr>
          <w:p w:rsidR="00C0532C" w:rsidRPr="0012760D" w:rsidRDefault="00C0532C" w:rsidP="00805FDC">
            <w:pPr>
              <w:jc w:val="right"/>
              <w:rPr>
                <w:sz w:val="24"/>
                <w:szCs w:val="24"/>
              </w:rPr>
            </w:pPr>
            <w:r w:rsidRPr="0012760D">
              <w:rPr>
                <w:sz w:val="24"/>
                <w:szCs w:val="24"/>
              </w:rPr>
              <w:t>1,500</w:t>
            </w:r>
          </w:p>
        </w:tc>
      </w:tr>
    </w:tbl>
    <w:p w:rsidR="00C0532C" w:rsidRDefault="00C0532C" w:rsidP="00C0532C">
      <w:pPr>
        <w:rPr>
          <w:bCs/>
          <w:sz w:val="24"/>
          <w:szCs w:val="24"/>
        </w:rPr>
      </w:pPr>
    </w:p>
    <w:p w:rsidR="005A26D3" w:rsidRPr="0012760D" w:rsidRDefault="005A26D3" w:rsidP="00C0532C">
      <w:pPr>
        <w:rPr>
          <w:bCs/>
          <w:sz w:val="24"/>
          <w:szCs w:val="24"/>
        </w:rPr>
      </w:pPr>
    </w:p>
    <w:p w:rsidR="00C0532C" w:rsidRDefault="00C0532C" w:rsidP="005A26D3">
      <w:pPr>
        <w:pStyle w:val="Heading3"/>
      </w:pPr>
      <w:r w:rsidRPr="0012760D">
        <w:t>Funding Program: Smarter Resources, Smarter Business Program</w:t>
      </w:r>
    </w:p>
    <w:p w:rsidR="005A26D3" w:rsidRPr="0012760D" w:rsidRDefault="005A26D3" w:rsidP="00C0532C">
      <w:pPr>
        <w:rPr>
          <w:sz w:val="24"/>
          <w:szCs w:val="24"/>
        </w:rPr>
      </w:pPr>
    </w:p>
    <w:p w:rsidR="005A26D3" w:rsidRPr="0012760D" w:rsidRDefault="00C0532C" w:rsidP="005A26D3">
      <w:pPr>
        <w:pStyle w:val="Heading4"/>
      </w:pPr>
      <w:r w:rsidRPr="0012760D">
        <w:t>Assessment and Implementation</w:t>
      </w:r>
    </w:p>
    <w:p w:rsidR="00C0532C" w:rsidRPr="0012760D" w:rsidRDefault="00C0532C" w:rsidP="00C0532C">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5123"/>
        <w:gridCol w:w="6607"/>
        <w:gridCol w:w="2304"/>
      </w:tblGrid>
      <w:tr w:rsidR="0012760D" w:rsidRPr="0012760D" w:rsidTr="00544C7A">
        <w:tblPrEx>
          <w:tblCellMar>
            <w:top w:w="0" w:type="dxa"/>
            <w:bottom w:w="0" w:type="dxa"/>
          </w:tblCellMar>
        </w:tblPrEx>
        <w:tc>
          <w:tcPr>
            <w:tcW w:w="1825" w:type="pct"/>
            <w:shd w:val="clear" w:color="auto" w:fill="auto"/>
          </w:tcPr>
          <w:p w:rsidR="00C0532C" w:rsidRPr="0012760D" w:rsidRDefault="00C0532C" w:rsidP="00805FDC">
            <w:pPr>
              <w:rPr>
                <w:sz w:val="24"/>
                <w:szCs w:val="24"/>
              </w:rPr>
            </w:pPr>
            <w:r w:rsidRPr="0012760D">
              <w:rPr>
                <w:bCs/>
                <w:sz w:val="24"/>
                <w:szCs w:val="24"/>
              </w:rPr>
              <w:t>Organisation</w:t>
            </w:r>
          </w:p>
        </w:tc>
        <w:tc>
          <w:tcPr>
            <w:tcW w:w="2354" w:type="pct"/>
            <w:shd w:val="clear" w:color="auto" w:fill="auto"/>
          </w:tcPr>
          <w:p w:rsidR="00C0532C" w:rsidRPr="0012760D" w:rsidRDefault="00C0532C" w:rsidP="00805FDC">
            <w:pPr>
              <w:rPr>
                <w:sz w:val="24"/>
                <w:szCs w:val="24"/>
              </w:rPr>
            </w:pPr>
            <w:r w:rsidRPr="0012760D">
              <w:rPr>
                <w:bCs/>
                <w:sz w:val="24"/>
                <w:szCs w:val="24"/>
              </w:rPr>
              <w:t>Project</w:t>
            </w:r>
          </w:p>
        </w:tc>
        <w:tc>
          <w:tcPr>
            <w:tcW w:w="822" w:type="pct"/>
            <w:shd w:val="clear" w:color="auto" w:fill="auto"/>
          </w:tcPr>
          <w:p w:rsidR="00C0532C" w:rsidRPr="0012760D" w:rsidRDefault="00C0532C" w:rsidP="00805FDC">
            <w:pPr>
              <w:rPr>
                <w:sz w:val="24"/>
                <w:szCs w:val="24"/>
              </w:rPr>
            </w:pPr>
            <w:r w:rsidRPr="0012760D">
              <w:rPr>
                <w:bCs/>
                <w:sz w:val="24"/>
                <w:szCs w:val="24"/>
              </w:rPr>
              <w:t>Funding support $</w:t>
            </w:r>
          </w:p>
        </w:tc>
      </w:tr>
      <w:tr w:rsidR="0012760D" w:rsidRPr="0012760D" w:rsidTr="00544C7A">
        <w:tblPrEx>
          <w:tblCellMar>
            <w:top w:w="0" w:type="dxa"/>
            <w:bottom w:w="0" w:type="dxa"/>
          </w:tblCellMar>
        </w:tblPrEx>
        <w:tc>
          <w:tcPr>
            <w:tcW w:w="1825" w:type="pct"/>
            <w:shd w:val="clear" w:color="auto" w:fill="auto"/>
          </w:tcPr>
          <w:p w:rsidR="00C0532C" w:rsidRPr="0012760D" w:rsidRDefault="00C0532C" w:rsidP="00805FDC">
            <w:pPr>
              <w:rPr>
                <w:sz w:val="24"/>
                <w:szCs w:val="24"/>
              </w:rPr>
            </w:pPr>
            <w:r w:rsidRPr="0012760D">
              <w:rPr>
                <w:sz w:val="24"/>
                <w:szCs w:val="24"/>
              </w:rPr>
              <w:t>Premara Pty Ltd</w:t>
            </w:r>
          </w:p>
        </w:tc>
        <w:tc>
          <w:tcPr>
            <w:tcW w:w="2354" w:type="pct"/>
            <w:shd w:val="clear" w:color="auto" w:fill="auto"/>
          </w:tcPr>
          <w:p w:rsidR="00C0532C" w:rsidRPr="0012760D" w:rsidRDefault="00C0532C" w:rsidP="00805FDC">
            <w:pPr>
              <w:rPr>
                <w:sz w:val="24"/>
                <w:szCs w:val="24"/>
              </w:rPr>
            </w:pPr>
            <w:r w:rsidRPr="0012760D">
              <w:rPr>
                <w:sz w:val="24"/>
                <w:szCs w:val="24"/>
              </w:rPr>
              <w:t>Premara Labels Resource Assessment</w:t>
            </w:r>
          </w:p>
        </w:tc>
        <w:tc>
          <w:tcPr>
            <w:tcW w:w="822" w:type="pct"/>
            <w:shd w:val="clear" w:color="auto" w:fill="auto"/>
          </w:tcPr>
          <w:p w:rsidR="00C0532C" w:rsidRPr="0012760D" w:rsidRDefault="00C0532C" w:rsidP="00805FDC">
            <w:pPr>
              <w:jc w:val="right"/>
              <w:rPr>
                <w:sz w:val="24"/>
                <w:szCs w:val="24"/>
              </w:rPr>
            </w:pPr>
            <w:r w:rsidRPr="0012760D">
              <w:rPr>
                <w:sz w:val="24"/>
                <w:szCs w:val="24"/>
              </w:rPr>
              <w:t>17,700</w:t>
            </w:r>
          </w:p>
        </w:tc>
      </w:tr>
      <w:tr w:rsidR="0012760D" w:rsidRPr="0012760D" w:rsidTr="00544C7A">
        <w:tblPrEx>
          <w:tblCellMar>
            <w:top w:w="0" w:type="dxa"/>
            <w:bottom w:w="0" w:type="dxa"/>
          </w:tblCellMar>
        </w:tblPrEx>
        <w:tc>
          <w:tcPr>
            <w:tcW w:w="1825" w:type="pct"/>
            <w:shd w:val="clear" w:color="auto" w:fill="auto"/>
          </w:tcPr>
          <w:p w:rsidR="00C0532C" w:rsidRPr="0012760D" w:rsidRDefault="00C0532C" w:rsidP="00805FDC">
            <w:pPr>
              <w:rPr>
                <w:sz w:val="24"/>
                <w:szCs w:val="24"/>
              </w:rPr>
            </w:pPr>
            <w:r w:rsidRPr="0012760D">
              <w:rPr>
                <w:sz w:val="24"/>
                <w:szCs w:val="24"/>
              </w:rPr>
              <w:t>Welvic Australia Pty Ltd</w:t>
            </w:r>
          </w:p>
        </w:tc>
        <w:tc>
          <w:tcPr>
            <w:tcW w:w="2354" w:type="pct"/>
            <w:shd w:val="clear" w:color="auto" w:fill="auto"/>
          </w:tcPr>
          <w:p w:rsidR="00C0532C" w:rsidRPr="0012760D" w:rsidRDefault="00C0532C" w:rsidP="00805FDC">
            <w:pPr>
              <w:rPr>
                <w:sz w:val="24"/>
                <w:szCs w:val="24"/>
              </w:rPr>
            </w:pPr>
            <w:r w:rsidRPr="0012760D">
              <w:rPr>
                <w:sz w:val="24"/>
                <w:szCs w:val="24"/>
              </w:rPr>
              <w:t>Welvic Materials Assessment</w:t>
            </w:r>
          </w:p>
        </w:tc>
        <w:tc>
          <w:tcPr>
            <w:tcW w:w="822" w:type="pct"/>
            <w:shd w:val="clear" w:color="auto" w:fill="auto"/>
          </w:tcPr>
          <w:p w:rsidR="00C0532C" w:rsidRPr="0012760D" w:rsidRDefault="00C0532C" w:rsidP="00805FDC">
            <w:pPr>
              <w:jc w:val="right"/>
              <w:rPr>
                <w:sz w:val="24"/>
                <w:szCs w:val="24"/>
              </w:rPr>
            </w:pPr>
            <w:r w:rsidRPr="0012760D">
              <w:rPr>
                <w:sz w:val="24"/>
                <w:szCs w:val="24"/>
              </w:rPr>
              <w:t>18,000</w:t>
            </w:r>
          </w:p>
        </w:tc>
      </w:tr>
      <w:tr w:rsidR="0012760D" w:rsidRPr="0012760D" w:rsidTr="00544C7A">
        <w:tblPrEx>
          <w:tblCellMar>
            <w:top w:w="0" w:type="dxa"/>
            <w:bottom w:w="0" w:type="dxa"/>
          </w:tblCellMar>
        </w:tblPrEx>
        <w:tc>
          <w:tcPr>
            <w:tcW w:w="1825" w:type="pct"/>
            <w:shd w:val="clear" w:color="auto" w:fill="auto"/>
          </w:tcPr>
          <w:p w:rsidR="00C0532C" w:rsidRPr="0012760D" w:rsidRDefault="00C0532C" w:rsidP="00805FDC">
            <w:pPr>
              <w:rPr>
                <w:sz w:val="24"/>
                <w:szCs w:val="24"/>
              </w:rPr>
            </w:pPr>
            <w:r w:rsidRPr="0012760D">
              <w:rPr>
                <w:sz w:val="24"/>
                <w:szCs w:val="24"/>
              </w:rPr>
              <w:t>Gisborne Supermarket Unit Trust</w:t>
            </w:r>
          </w:p>
        </w:tc>
        <w:tc>
          <w:tcPr>
            <w:tcW w:w="2354" w:type="pct"/>
            <w:shd w:val="clear" w:color="auto" w:fill="auto"/>
          </w:tcPr>
          <w:p w:rsidR="00C0532C" w:rsidRPr="0012760D" w:rsidRDefault="00C0532C" w:rsidP="00805FDC">
            <w:pPr>
              <w:rPr>
                <w:sz w:val="24"/>
                <w:szCs w:val="24"/>
              </w:rPr>
            </w:pPr>
            <w:r w:rsidRPr="0012760D">
              <w:rPr>
                <w:sz w:val="24"/>
                <w:szCs w:val="24"/>
              </w:rPr>
              <w:t>Williamson's Foodworks</w:t>
            </w:r>
          </w:p>
        </w:tc>
        <w:tc>
          <w:tcPr>
            <w:tcW w:w="822" w:type="pct"/>
            <w:shd w:val="clear" w:color="auto" w:fill="auto"/>
          </w:tcPr>
          <w:p w:rsidR="00C0532C" w:rsidRPr="0012760D" w:rsidRDefault="00C0532C" w:rsidP="00805FDC">
            <w:pPr>
              <w:jc w:val="right"/>
              <w:rPr>
                <w:sz w:val="24"/>
                <w:szCs w:val="24"/>
              </w:rPr>
            </w:pPr>
            <w:r w:rsidRPr="0012760D">
              <w:rPr>
                <w:sz w:val="24"/>
                <w:szCs w:val="24"/>
              </w:rPr>
              <w:t>4,320</w:t>
            </w:r>
          </w:p>
        </w:tc>
      </w:tr>
      <w:tr w:rsidR="0012760D" w:rsidRPr="0012760D" w:rsidTr="00544C7A">
        <w:tblPrEx>
          <w:tblCellMar>
            <w:top w:w="0" w:type="dxa"/>
            <w:bottom w:w="0" w:type="dxa"/>
          </w:tblCellMar>
        </w:tblPrEx>
        <w:tc>
          <w:tcPr>
            <w:tcW w:w="1825" w:type="pct"/>
            <w:shd w:val="clear" w:color="auto" w:fill="auto"/>
          </w:tcPr>
          <w:p w:rsidR="00C0532C" w:rsidRPr="0012760D" w:rsidRDefault="00C0532C" w:rsidP="00805FDC">
            <w:pPr>
              <w:rPr>
                <w:sz w:val="24"/>
                <w:szCs w:val="24"/>
              </w:rPr>
            </w:pPr>
            <w:r w:rsidRPr="0012760D">
              <w:rPr>
                <w:sz w:val="24"/>
                <w:szCs w:val="24"/>
              </w:rPr>
              <w:t>EDMI Gas Pty Ltd</w:t>
            </w:r>
          </w:p>
        </w:tc>
        <w:tc>
          <w:tcPr>
            <w:tcW w:w="2354" w:type="pct"/>
            <w:shd w:val="clear" w:color="auto" w:fill="auto"/>
          </w:tcPr>
          <w:p w:rsidR="00C0532C" w:rsidRPr="0012760D" w:rsidRDefault="00C0532C" w:rsidP="00805FDC">
            <w:pPr>
              <w:rPr>
                <w:sz w:val="24"/>
                <w:szCs w:val="24"/>
              </w:rPr>
            </w:pPr>
            <w:r w:rsidRPr="0012760D">
              <w:rPr>
                <w:sz w:val="24"/>
                <w:szCs w:val="24"/>
              </w:rPr>
              <w:t>EDMI Materials Assessment</w:t>
            </w:r>
          </w:p>
        </w:tc>
        <w:tc>
          <w:tcPr>
            <w:tcW w:w="822" w:type="pct"/>
            <w:shd w:val="clear" w:color="auto" w:fill="auto"/>
          </w:tcPr>
          <w:p w:rsidR="00C0532C" w:rsidRPr="0012760D" w:rsidRDefault="00C0532C" w:rsidP="00805FDC">
            <w:pPr>
              <w:jc w:val="right"/>
              <w:rPr>
                <w:sz w:val="24"/>
                <w:szCs w:val="24"/>
              </w:rPr>
            </w:pPr>
            <w:r w:rsidRPr="0012760D">
              <w:rPr>
                <w:sz w:val="24"/>
                <w:szCs w:val="24"/>
              </w:rPr>
              <w:t>16,789</w:t>
            </w:r>
          </w:p>
        </w:tc>
      </w:tr>
      <w:tr w:rsidR="0012760D" w:rsidRPr="0012760D" w:rsidTr="00544C7A">
        <w:tblPrEx>
          <w:tblCellMar>
            <w:top w:w="0" w:type="dxa"/>
            <w:bottom w:w="0" w:type="dxa"/>
          </w:tblCellMar>
        </w:tblPrEx>
        <w:tc>
          <w:tcPr>
            <w:tcW w:w="1825" w:type="pct"/>
            <w:shd w:val="clear" w:color="auto" w:fill="auto"/>
          </w:tcPr>
          <w:p w:rsidR="00C0532C" w:rsidRPr="0012760D" w:rsidRDefault="00C0532C" w:rsidP="00805FDC">
            <w:pPr>
              <w:rPr>
                <w:sz w:val="24"/>
                <w:szCs w:val="24"/>
              </w:rPr>
            </w:pPr>
            <w:r w:rsidRPr="0012760D">
              <w:rPr>
                <w:sz w:val="24"/>
                <w:szCs w:val="24"/>
              </w:rPr>
              <w:t>GBP Products Pty Ltd</w:t>
            </w:r>
          </w:p>
        </w:tc>
        <w:tc>
          <w:tcPr>
            <w:tcW w:w="2354" w:type="pct"/>
            <w:shd w:val="clear" w:color="auto" w:fill="auto"/>
          </w:tcPr>
          <w:p w:rsidR="00C0532C" w:rsidRPr="0012760D" w:rsidRDefault="00C0532C" w:rsidP="00805FDC">
            <w:pPr>
              <w:rPr>
                <w:sz w:val="24"/>
                <w:szCs w:val="24"/>
              </w:rPr>
            </w:pPr>
            <w:r w:rsidRPr="0012760D">
              <w:rPr>
                <w:sz w:val="24"/>
                <w:szCs w:val="24"/>
              </w:rPr>
              <w:t>GBP Products Energy Assessment</w:t>
            </w:r>
          </w:p>
        </w:tc>
        <w:tc>
          <w:tcPr>
            <w:tcW w:w="822" w:type="pct"/>
            <w:shd w:val="clear" w:color="auto" w:fill="auto"/>
          </w:tcPr>
          <w:p w:rsidR="00C0532C" w:rsidRPr="0012760D" w:rsidRDefault="00C0532C" w:rsidP="00805FDC">
            <w:pPr>
              <w:jc w:val="right"/>
              <w:rPr>
                <w:sz w:val="24"/>
                <w:szCs w:val="24"/>
              </w:rPr>
            </w:pPr>
            <w:r w:rsidRPr="0012760D">
              <w:rPr>
                <w:sz w:val="24"/>
                <w:szCs w:val="24"/>
              </w:rPr>
              <w:t>16,332</w:t>
            </w:r>
          </w:p>
        </w:tc>
      </w:tr>
      <w:tr w:rsidR="0012760D" w:rsidRPr="0012760D" w:rsidTr="00544C7A">
        <w:tblPrEx>
          <w:tblCellMar>
            <w:top w:w="0" w:type="dxa"/>
            <w:bottom w:w="0" w:type="dxa"/>
          </w:tblCellMar>
        </w:tblPrEx>
        <w:tc>
          <w:tcPr>
            <w:tcW w:w="1825" w:type="pct"/>
            <w:shd w:val="clear" w:color="auto" w:fill="auto"/>
          </w:tcPr>
          <w:p w:rsidR="00C0532C" w:rsidRPr="0012760D" w:rsidRDefault="00C0532C" w:rsidP="00805FDC">
            <w:pPr>
              <w:rPr>
                <w:sz w:val="24"/>
                <w:szCs w:val="24"/>
              </w:rPr>
            </w:pPr>
            <w:r w:rsidRPr="0012760D">
              <w:rPr>
                <w:sz w:val="24"/>
                <w:szCs w:val="24"/>
              </w:rPr>
              <w:t>Nightingale Bros Pty Ltd</w:t>
            </w:r>
          </w:p>
        </w:tc>
        <w:tc>
          <w:tcPr>
            <w:tcW w:w="2354" w:type="pct"/>
            <w:shd w:val="clear" w:color="auto" w:fill="auto"/>
          </w:tcPr>
          <w:p w:rsidR="00C0532C" w:rsidRPr="0012760D" w:rsidRDefault="00C0532C" w:rsidP="00805FDC">
            <w:pPr>
              <w:rPr>
                <w:sz w:val="24"/>
                <w:szCs w:val="24"/>
              </w:rPr>
            </w:pPr>
            <w:r w:rsidRPr="0012760D">
              <w:rPr>
                <w:sz w:val="24"/>
                <w:szCs w:val="24"/>
              </w:rPr>
              <w:t>Energy Assessment</w:t>
            </w:r>
          </w:p>
        </w:tc>
        <w:tc>
          <w:tcPr>
            <w:tcW w:w="822" w:type="pct"/>
            <w:shd w:val="clear" w:color="auto" w:fill="auto"/>
          </w:tcPr>
          <w:p w:rsidR="00C0532C" w:rsidRPr="0012760D" w:rsidRDefault="00C0532C" w:rsidP="00805FDC">
            <w:pPr>
              <w:jc w:val="right"/>
              <w:rPr>
                <w:sz w:val="24"/>
                <w:szCs w:val="24"/>
              </w:rPr>
            </w:pPr>
            <w:r w:rsidRPr="0012760D">
              <w:rPr>
                <w:sz w:val="24"/>
                <w:szCs w:val="24"/>
              </w:rPr>
              <w:t>9,666</w:t>
            </w:r>
          </w:p>
        </w:tc>
      </w:tr>
      <w:tr w:rsidR="0012760D" w:rsidRPr="0012760D" w:rsidTr="00544C7A">
        <w:tblPrEx>
          <w:tblCellMar>
            <w:top w:w="0" w:type="dxa"/>
            <w:bottom w:w="0" w:type="dxa"/>
          </w:tblCellMar>
        </w:tblPrEx>
        <w:tc>
          <w:tcPr>
            <w:tcW w:w="1825" w:type="pct"/>
            <w:shd w:val="clear" w:color="auto" w:fill="auto"/>
          </w:tcPr>
          <w:p w:rsidR="00C0532C" w:rsidRPr="0012760D" w:rsidRDefault="00C0532C" w:rsidP="00805FDC">
            <w:pPr>
              <w:rPr>
                <w:sz w:val="24"/>
                <w:szCs w:val="24"/>
              </w:rPr>
            </w:pPr>
            <w:r w:rsidRPr="0012760D">
              <w:rPr>
                <w:sz w:val="24"/>
                <w:szCs w:val="24"/>
              </w:rPr>
              <w:t>Murray Human Resources Inc.</w:t>
            </w:r>
          </w:p>
        </w:tc>
        <w:tc>
          <w:tcPr>
            <w:tcW w:w="2354" w:type="pct"/>
            <w:shd w:val="clear" w:color="auto" w:fill="auto"/>
          </w:tcPr>
          <w:p w:rsidR="00C0532C" w:rsidRPr="0012760D" w:rsidRDefault="00C0532C" w:rsidP="00805FDC">
            <w:pPr>
              <w:rPr>
                <w:sz w:val="24"/>
                <w:szCs w:val="24"/>
              </w:rPr>
            </w:pPr>
            <w:r w:rsidRPr="0012760D">
              <w:rPr>
                <w:sz w:val="24"/>
                <w:szCs w:val="24"/>
              </w:rPr>
              <w:t>Murray Human Services Energy Assessment</w:t>
            </w:r>
          </w:p>
        </w:tc>
        <w:tc>
          <w:tcPr>
            <w:tcW w:w="822" w:type="pct"/>
            <w:shd w:val="clear" w:color="auto" w:fill="auto"/>
          </w:tcPr>
          <w:p w:rsidR="00C0532C" w:rsidRPr="0012760D" w:rsidRDefault="00C0532C" w:rsidP="00805FDC">
            <w:pPr>
              <w:jc w:val="right"/>
              <w:rPr>
                <w:sz w:val="24"/>
                <w:szCs w:val="24"/>
              </w:rPr>
            </w:pPr>
            <w:r w:rsidRPr="0012760D">
              <w:rPr>
                <w:sz w:val="24"/>
                <w:szCs w:val="24"/>
              </w:rPr>
              <w:t>5,000</w:t>
            </w:r>
          </w:p>
        </w:tc>
      </w:tr>
    </w:tbl>
    <w:p w:rsidR="00C0532C" w:rsidRDefault="00C0532C" w:rsidP="00C0532C">
      <w:pPr>
        <w:rPr>
          <w:sz w:val="24"/>
          <w:szCs w:val="24"/>
        </w:rPr>
      </w:pPr>
    </w:p>
    <w:p w:rsidR="005A26D3" w:rsidRPr="0012760D" w:rsidRDefault="005A26D3" w:rsidP="00C0532C">
      <w:pPr>
        <w:rPr>
          <w:sz w:val="24"/>
          <w:szCs w:val="24"/>
        </w:rPr>
      </w:pPr>
    </w:p>
    <w:p w:rsidR="00C0532C" w:rsidRDefault="00C0532C" w:rsidP="005A26D3">
      <w:pPr>
        <w:pStyle w:val="Heading2"/>
      </w:pPr>
      <w:r w:rsidRPr="0012760D">
        <w:t>Overseen By Sustainability Victoria</w:t>
      </w:r>
    </w:p>
    <w:p w:rsidR="005A26D3" w:rsidRPr="0012760D" w:rsidRDefault="005A26D3" w:rsidP="00C0532C">
      <w:pPr>
        <w:rPr>
          <w:sz w:val="24"/>
          <w:szCs w:val="24"/>
        </w:rPr>
      </w:pPr>
    </w:p>
    <w:p w:rsidR="00C0532C" w:rsidRPr="0012760D" w:rsidRDefault="00C0532C" w:rsidP="00C0532C">
      <w:pPr>
        <w:rPr>
          <w:bCs/>
          <w:sz w:val="24"/>
          <w:szCs w:val="24"/>
        </w:rPr>
      </w:pPr>
      <w:r w:rsidRPr="0012760D">
        <w:rPr>
          <w:bCs/>
          <w:sz w:val="24"/>
          <w:szCs w:val="24"/>
        </w:rPr>
        <w:t>Funding Program: Driving Investment for New Recycling (DINR) - Round 2</w:t>
      </w:r>
    </w:p>
    <w:p w:rsidR="00C0532C" w:rsidRPr="0012760D" w:rsidRDefault="00C0532C" w:rsidP="00C0532C">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5136"/>
        <w:gridCol w:w="6554"/>
        <w:gridCol w:w="2344"/>
      </w:tblGrid>
      <w:tr w:rsidR="0012760D" w:rsidRPr="0012760D" w:rsidTr="00544C7A">
        <w:tblPrEx>
          <w:tblCellMar>
            <w:top w:w="0" w:type="dxa"/>
            <w:bottom w:w="0" w:type="dxa"/>
          </w:tblCellMar>
        </w:tblPrEx>
        <w:tc>
          <w:tcPr>
            <w:tcW w:w="1830" w:type="pct"/>
            <w:shd w:val="clear" w:color="auto" w:fill="auto"/>
          </w:tcPr>
          <w:p w:rsidR="00C0532C" w:rsidRPr="0012760D" w:rsidRDefault="00C0532C" w:rsidP="00805FDC">
            <w:pPr>
              <w:rPr>
                <w:sz w:val="24"/>
                <w:szCs w:val="24"/>
              </w:rPr>
            </w:pPr>
            <w:r w:rsidRPr="0012760D">
              <w:rPr>
                <w:bCs/>
                <w:sz w:val="24"/>
                <w:szCs w:val="24"/>
              </w:rPr>
              <w:t>Organisation</w:t>
            </w:r>
          </w:p>
        </w:tc>
        <w:tc>
          <w:tcPr>
            <w:tcW w:w="2335" w:type="pct"/>
            <w:shd w:val="clear" w:color="auto" w:fill="auto"/>
          </w:tcPr>
          <w:p w:rsidR="00C0532C" w:rsidRPr="0012760D" w:rsidRDefault="00C0532C" w:rsidP="00805FDC">
            <w:pPr>
              <w:rPr>
                <w:sz w:val="24"/>
                <w:szCs w:val="24"/>
              </w:rPr>
            </w:pPr>
            <w:r w:rsidRPr="0012760D">
              <w:rPr>
                <w:bCs/>
                <w:sz w:val="24"/>
                <w:szCs w:val="24"/>
              </w:rPr>
              <w:t>Project</w:t>
            </w:r>
          </w:p>
        </w:tc>
        <w:tc>
          <w:tcPr>
            <w:tcW w:w="835" w:type="pct"/>
            <w:shd w:val="clear" w:color="auto" w:fill="auto"/>
          </w:tcPr>
          <w:p w:rsidR="00C0532C" w:rsidRPr="0012760D" w:rsidRDefault="00C0532C" w:rsidP="00805FDC">
            <w:pPr>
              <w:rPr>
                <w:sz w:val="24"/>
                <w:szCs w:val="24"/>
              </w:rPr>
            </w:pPr>
            <w:r w:rsidRPr="0012760D">
              <w:rPr>
                <w:bCs/>
                <w:sz w:val="24"/>
                <w:szCs w:val="24"/>
              </w:rPr>
              <w:t>Funding support $</w:t>
            </w:r>
          </w:p>
        </w:tc>
      </w:tr>
      <w:tr w:rsidR="0012760D" w:rsidRPr="0012760D" w:rsidTr="00544C7A">
        <w:tblPrEx>
          <w:tblCellMar>
            <w:top w:w="0" w:type="dxa"/>
            <w:bottom w:w="0" w:type="dxa"/>
          </w:tblCellMar>
        </w:tblPrEx>
        <w:tc>
          <w:tcPr>
            <w:tcW w:w="1830" w:type="pct"/>
            <w:shd w:val="clear" w:color="auto" w:fill="auto"/>
          </w:tcPr>
          <w:p w:rsidR="00C0532C" w:rsidRPr="0012760D" w:rsidRDefault="00C0532C" w:rsidP="00805FDC">
            <w:pPr>
              <w:rPr>
                <w:sz w:val="24"/>
                <w:szCs w:val="24"/>
              </w:rPr>
            </w:pPr>
            <w:r w:rsidRPr="0012760D">
              <w:rPr>
                <w:sz w:val="24"/>
                <w:szCs w:val="24"/>
              </w:rPr>
              <w:t>Action Recovery and Recycling</w:t>
            </w:r>
          </w:p>
        </w:tc>
        <w:tc>
          <w:tcPr>
            <w:tcW w:w="2335" w:type="pct"/>
            <w:shd w:val="clear" w:color="auto" w:fill="auto"/>
          </w:tcPr>
          <w:p w:rsidR="00C0532C" w:rsidRPr="0012760D" w:rsidRDefault="00C0532C" w:rsidP="00805FDC">
            <w:pPr>
              <w:rPr>
                <w:sz w:val="24"/>
                <w:szCs w:val="24"/>
              </w:rPr>
            </w:pPr>
            <w:r w:rsidRPr="0012760D">
              <w:rPr>
                <w:sz w:val="24"/>
                <w:szCs w:val="24"/>
              </w:rPr>
              <w:t>Action Recovery and Recycling Brooklyn Material Recovery Facility</w:t>
            </w:r>
          </w:p>
        </w:tc>
        <w:tc>
          <w:tcPr>
            <w:tcW w:w="835" w:type="pct"/>
            <w:shd w:val="clear" w:color="auto" w:fill="auto"/>
          </w:tcPr>
          <w:p w:rsidR="00C0532C" w:rsidRPr="0012760D" w:rsidRDefault="00C0532C" w:rsidP="00805FDC">
            <w:pPr>
              <w:jc w:val="right"/>
              <w:rPr>
                <w:sz w:val="24"/>
                <w:szCs w:val="24"/>
              </w:rPr>
            </w:pPr>
            <w:r w:rsidRPr="0012760D">
              <w:rPr>
                <w:sz w:val="24"/>
                <w:szCs w:val="24"/>
              </w:rPr>
              <w:t>500,000</w:t>
            </w:r>
          </w:p>
        </w:tc>
      </w:tr>
      <w:tr w:rsidR="0012760D" w:rsidRPr="0012760D" w:rsidTr="00544C7A">
        <w:tblPrEx>
          <w:tblCellMar>
            <w:top w:w="0" w:type="dxa"/>
            <w:bottom w:w="0" w:type="dxa"/>
          </w:tblCellMar>
        </w:tblPrEx>
        <w:tc>
          <w:tcPr>
            <w:tcW w:w="1830" w:type="pct"/>
            <w:shd w:val="clear" w:color="auto" w:fill="auto"/>
          </w:tcPr>
          <w:p w:rsidR="00C0532C" w:rsidRPr="0012760D" w:rsidRDefault="00C0532C" w:rsidP="00805FDC">
            <w:pPr>
              <w:rPr>
                <w:sz w:val="24"/>
                <w:szCs w:val="24"/>
              </w:rPr>
            </w:pPr>
            <w:r w:rsidRPr="0012760D">
              <w:rPr>
                <w:sz w:val="24"/>
                <w:szCs w:val="24"/>
              </w:rPr>
              <w:t>Alex Fraser Group</w:t>
            </w:r>
          </w:p>
        </w:tc>
        <w:tc>
          <w:tcPr>
            <w:tcW w:w="2335" w:type="pct"/>
            <w:shd w:val="clear" w:color="auto" w:fill="auto"/>
          </w:tcPr>
          <w:p w:rsidR="00C0532C" w:rsidRPr="0012760D" w:rsidRDefault="00C0532C" w:rsidP="00805FDC">
            <w:pPr>
              <w:rPr>
                <w:sz w:val="24"/>
                <w:szCs w:val="24"/>
              </w:rPr>
            </w:pPr>
            <w:r w:rsidRPr="0012760D">
              <w:rPr>
                <w:sz w:val="24"/>
                <w:szCs w:val="24"/>
              </w:rPr>
              <w:t>Increasing the use of recycled glass in civil construction materials</w:t>
            </w:r>
          </w:p>
        </w:tc>
        <w:tc>
          <w:tcPr>
            <w:tcW w:w="835" w:type="pct"/>
            <w:shd w:val="clear" w:color="auto" w:fill="auto"/>
          </w:tcPr>
          <w:p w:rsidR="00C0532C" w:rsidRPr="0012760D" w:rsidRDefault="00C0532C" w:rsidP="00805FDC">
            <w:pPr>
              <w:jc w:val="right"/>
              <w:rPr>
                <w:sz w:val="24"/>
                <w:szCs w:val="24"/>
              </w:rPr>
            </w:pPr>
            <w:r w:rsidRPr="0012760D">
              <w:rPr>
                <w:sz w:val="24"/>
                <w:szCs w:val="24"/>
              </w:rPr>
              <w:t>54,845</w:t>
            </w:r>
          </w:p>
        </w:tc>
      </w:tr>
      <w:tr w:rsidR="0012760D" w:rsidRPr="0012760D" w:rsidTr="00544C7A">
        <w:tblPrEx>
          <w:tblCellMar>
            <w:top w:w="0" w:type="dxa"/>
            <w:bottom w:w="0" w:type="dxa"/>
          </w:tblCellMar>
        </w:tblPrEx>
        <w:tc>
          <w:tcPr>
            <w:tcW w:w="1830" w:type="pct"/>
            <w:shd w:val="clear" w:color="auto" w:fill="auto"/>
          </w:tcPr>
          <w:p w:rsidR="00C0532C" w:rsidRPr="0012760D" w:rsidRDefault="00C0532C" w:rsidP="00805FDC">
            <w:pPr>
              <w:rPr>
                <w:sz w:val="24"/>
                <w:szCs w:val="24"/>
              </w:rPr>
            </w:pPr>
            <w:r w:rsidRPr="0012760D">
              <w:rPr>
                <w:sz w:val="24"/>
                <w:szCs w:val="24"/>
              </w:rPr>
              <w:lastRenderedPageBreak/>
              <w:t>Sita Australia</w:t>
            </w:r>
          </w:p>
        </w:tc>
        <w:tc>
          <w:tcPr>
            <w:tcW w:w="2335" w:type="pct"/>
            <w:shd w:val="clear" w:color="auto" w:fill="auto"/>
          </w:tcPr>
          <w:p w:rsidR="00C0532C" w:rsidRPr="0012760D" w:rsidRDefault="00C0532C" w:rsidP="00805FDC">
            <w:pPr>
              <w:rPr>
                <w:sz w:val="24"/>
                <w:szCs w:val="24"/>
              </w:rPr>
            </w:pPr>
            <w:r w:rsidRPr="0012760D">
              <w:rPr>
                <w:sz w:val="24"/>
                <w:szCs w:val="24"/>
              </w:rPr>
              <w:t>SITA Geelong Heales Road Resource Recovery Facility</w:t>
            </w:r>
          </w:p>
        </w:tc>
        <w:tc>
          <w:tcPr>
            <w:tcW w:w="835" w:type="pct"/>
            <w:shd w:val="clear" w:color="auto" w:fill="auto"/>
          </w:tcPr>
          <w:p w:rsidR="00C0532C" w:rsidRPr="0012760D" w:rsidRDefault="00C0532C" w:rsidP="00805FDC">
            <w:pPr>
              <w:jc w:val="right"/>
              <w:rPr>
                <w:sz w:val="24"/>
                <w:szCs w:val="24"/>
              </w:rPr>
            </w:pPr>
            <w:r w:rsidRPr="0012760D">
              <w:rPr>
                <w:sz w:val="24"/>
                <w:szCs w:val="24"/>
              </w:rPr>
              <w:t>265,000</w:t>
            </w:r>
          </w:p>
        </w:tc>
      </w:tr>
      <w:tr w:rsidR="0012760D" w:rsidRPr="0012760D" w:rsidTr="00544C7A">
        <w:tblPrEx>
          <w:tblCellMar>
            <w:top w:w="0" w:type="dxa"/>
            <w:bottom w:w="0" w:type="dxa"/>
          </w:tblCellMar>
        </w:tblPrEx>
        <w:tc>
          <w:tcPr>
            <w:tcW w:w="1830" w:type="pct"/>
            <w:shd w:val="clear" w:color="auto" w:fill="auto"/>
          </w:tcPr>
          <w:p w:rsidR="00C0532C" w:rsidRPr="0012760D" w:rsidRDefault="00C0532C" w:rsidP="00805FDC">
            <w:pPr>
              <w:rPr>
                <w:sz w:val="24"/>
                <w:szCs w:val="24"/>
              </w:rPr>
            </w:pPr>
            <w:r w:rsidRPr="0012760D">
              <w:rPr>
                <w:sz w:val="24"/>
                <w:szCs w:val="24"/>
              </w:rPr>
              <w:t>Tyrecycle</w:t>
            </w:r>
          </w:p>
        </w:tc>
        <w:tc>
          <w:tcPr>
            <w:tcW w:w="2335" w:type="pct"/>
            <w:shd w:val="clear" w:color="auto" w:fill="auto"/>
          </w:tcPr>
          <w:p w:rsidR="00C0532C" w:rsidRPr="0012760D" w:rsidRDefault="00C0532C" w:rsidP="00805FDC">
            <w:pPr>
              <w:rPr>
                <w:sz w:val="24"/>
                <w:szCs w:val="24"/>
              </w:rPr>
            </w:pPr>
            <w:r w:rsidRPr="0012760D">
              <w:rPr>
                <w:sz w:val="24"/>
                <w:szCs w:val="24"/>
              </w:rPr>
              <w:t>Tyrecycle Capacity Expansion Program (TCEP)</w:t>
            </w:r>
          </w:p>
        </w:tc>
        <w:tc>
          <w:tcPr>
            <w:tcW w:w="835" w:type="pct"/>
            <w:shd w:val="clear" w:color="auto" w:fill="auto"/>
          </w:tcPr>
          <w:p w:rsidR="00C0532C" w:rsidRPr="0012760D" w:rsidRDefault="00C0532C" w:rsidP="00805FDC">
            <w:pPr>
              <w:jc w:val="right"/>
              <w:rPr>
                <w:sz w:val="24"/>
                <w:szCs w:val="24"/>
              </w:rPr>
            </w:pPr>
            <w:r w:rsidRPr="0012760D">
              <w:rPr>
                <w:sz w:val="24"/>
                <w:szCs w:val="24"/>
              </w:rPr>
              <w:t>500,000</w:t>
            </w:r>
          </w:p>
        </w:tc>
      </w:tr>
      <w:tr w:rsidR="0012760D" w:rsidRPr="0012760D" w:rsidTr="00544C7A">
        <w:tblPrEx>
          <w:tblCellMar>
            <w:top w:w="0" w:type="dxa"/>
            <w:bottom w:w="0" w:type="dxa"/>
          </w:tblCellMar>
        </w:tblPrEx>
        <w:tc>
          <w:tcPr>
            <w:tcW w:w="1830" w:type="pct"/>
            <w:shd w:val="clear" w:color="auto" w:fill="auto"/>
          </w:tcPr>
          <w:p w:rsidR="00C0532C" w:rsidRPr="0012760D" w:rsidRDefault="00C0532C" w:rsidP="00805FDC">
            <w:pPr>
              <w:rPr>
                <w:sz w:val="24"/>
                <w:szCs w:val="24"/>
              </w:rPr>
            </w:pPr>
            <w:r w:rsidRPr="0012760D">
              <w:rPr>
                <w:sz w:val="24"/>
                <w:szCs w:val="24"/>
              </w:rPr>
              <w:t>Visy recycling</w:t>
            </w:r>
          </w:p>
        </w:tc>
        <w:tc>
          <w:tcPr>
            <w:tcW w:w="2335" w:type="pct"/>
            <w:shd w:val="clear" w:color="auto" w:fill="auto"/>
          </w:tcPr>
          <w:p w:rsidR="00C0532C" w:rsidRPr="0012760D" w:rsidRDefault="00C0532C" w:rsidP="00805FDC">
            <w:pPr>
              <w:rPr>
                <w:sz w:val="24"/>
                <w:szCs w:val="24"/>
              </w:rPr>
            </w:pPr>
            <w:r w:rsidRPr="0012760D">
              <w:rPr>
                <w:sz w:val="24"/>
                <w:szCs w:val="24"/>
              </w:rPr>
              <w:t xml:space="preserve">Coolaroo MRF </w:t>
            </w:r>
            <w:r w:rsidR="005A26D3">
              <w:rPr>
                <w:sz w:val="24"/>
                <w:szCs w:val="24"/>
              </w:rPr>
              <w:t>-</w:t>
            </w:r>
            <w:r w:rsidRPr="0012760D">
              <w:rPr>
                <w:sz w:val="24"/>
                <w:szCs w:val="24"/>
              </w:rPr>
              <w:t xml:space="preserve"> </w:t>
            </w:r>
            <w:r w:rsidR="00932E3A">
              <w:rPr>
                <w:sz w:val="24"/>
                <w:szCs w:val="24"/>
              </w:rPr>
              <w:t>C and L</w:t>
            </w:r>
            <w:r w:rsidRPr="0012760D">
              <w:rPr>
                <w:sz w:val="24"/>
                <w:szCs w:val="24"/>
              </w:rPr>
              <w:t xml:space="preserve"> Waste Project</w:t>
            </w:r>
          </w:p>
        </w:tc>
        <w:tc>
          <w:tcPr>
            <w:tcW w:w="835" w:type="pct"/>
            <w:shd w:val="clear" w:color="auto" w:fill="auto"/>
          </w:tcPr>
          <w:p w:rsidR="00C0532C" w:rsidRPr="0012760D" w:rsidRDefault="00C0532C" w:rsidP="00805FDC">
            <w:pPr>
              <w:jc w:val="right"/>
              <w:rPr>
                <w:sz w:val="24"/>
                <w:szCs w:val="24"/>
              </w:rPr>
            </w:pPr>
            <w:r w:rsidRPr="0012760D">
              <w:rPr>
                <w:sz w:val="24"/>
                <w:szCs w:val="24"/>
              </w:rPr>
              <w:t>500,000</w:t>
            </w:r>
          </w:p>
        </w:tc>
      </w:tr>
      <w:tr w:rsidR="0012760D" w:rsidRPr="0012760D" w:rsidTr="00544C7A">
        <w:tblPrEx>
          <w:tblCellMar>
            <w:top w:w="0" w:type="dxa"/>
            <w:bottom w:w="0" w:type="dxa"/>
          </w:tblCellMar>
        </w:tblPrEx>
        <w:tc>
          <w:tcPr>
            <w:tcW w:w="1830" w:type="pct"/>
            <w:shd w:val="clear" w:color="auto" w:fill="auto"/>
          </w:tcPr>
          <w:p w:rsidR="00C0532C" w:rsidRPr="0012760D" w:rsidRDefault="00C0532C" w:rsidP="00805FDC">
            <w:pPr>
              <w:rPr>
                <w:sz w:val="24"/>
                <w:szCs w:val="24"/>
              </w:rPr>
            </w:pPr>
            <w:r w:rsidRPr="0012760D">
              <w:rPr>
                <w:sz w:val="24"/>
                <w:szCs w:val="24"/>
              </w:rPr>
              <w:t>Waste Convertors</w:t>
            </w:r>
          </w:p>
        </w:tc>
        <w:tc>
          <w:tcPr>
            <w:tcW w:w="2335" w:type="pct"/>
            <w:shd w:val="clear" w:color="auto" w:fill="auto"/>
          </w:tcPr>
          <w:p w:rsidR="00C0532C" w:rsidRPr="0012760D" w:rsidRDefault="00C0532C" w:rsidP="00805FDC">
            <w:pPr>
              <w:rPr>
                <w:sz w:val="24"/>
                <w:szCs w:val="24"/>
              </w:rPr>
            </w:pPr>
            <w:r w:rsidRPr="0012760D">
              <w:rPr>
                <w:sz w:val="24"/>
                <w:szCs w:val="24"/>
              </w:rPr>
              <w:t>Upgrade of Waste Converters Recycling Facility</w:t>
            </w:r>
          </w:p>
        </w:tc>
        <w:tc>
          <w:tcPr>
            <w:tcW w:w="835" w:type="pct"/>
            <w:shd w:val="clear" w:color="auto" w:fill="auto"/>
          </w:tcPr>
          <w:p w:rsidR="00C0532C" w:rsidRPr="0012760D" w:rsidRDefault="00C0532C" w:rsidP="00805FDC">
            <w:pPr>
              <w:jc w:val="right"/>
              <w:rPr>
                <w:sz w:val="24"/>
                <w:szCs w:val="24"/>
              </w:rPr>
            </w:pPr>
            <w:r w:rsidRPr="0012760D">
              <w:rPr>
                <w:sz w:val="24"/>
                <w:szCs w:val="24"/>
              </w:rPr>
              <w:t>500,000</w:t>
            </w:r>
          </w:p>
        </w:tc>
      </w:tr>
      <w:tr w:rsidR="0012760D" w:rsidRPr="0012760D" w:rsidTr="00544C7A">
        <w:tblPrEx>
          <w:tblCellMar>
            <w:top w:w="0" w:type="dxa"/>
            <w:bottom w:w="0" w:type="dxa"/>
          </w:tblCellMar>
        </w:tblPrEx>
        <w:tc>
          <w:tcPr>
            <w:tcW w:w="1830" w:type="pct"/>
            <w:shd w:val="clear" w:color="auto" w:fill="auto"/>
          </w:tcPr>
          <w:p w:rsidR="00C0532C" w:rsidRPr="0012760D" w:rsidRDefault="00C0532C" w:rsidP="00805FDC">
            <w:pPr>
              <w:rPr>
                <w:sz w:val="24"/>
                <w:szCs w:val="24"/>
              </w:rPr>
            </w:pPr>
            <w:r w:rsidRPr="0012760D">
              <w:rPr>
                <w:sz w:val="24"/>
                <w:szCs w:val="24"/>
              </w:rPr>
              <w:t>Western Composting Technology</w:t>
            </w:r>
          </w:p>
        </w:tc>
        <w:tc>
          <w:tcPr>
            <w:tcW w:w="2335" w:type="pct"/>
            <w:shd w:val="clear" w:color="auto" w:fill="auto"/>
          </w:tcPr>
          <w:p w:rsidR="00C0532C" w:rsidRPr="0012760D" w:rsidRDefault="00C0532C" w:rsidP="00805FDC">
            <w:pPr>
              <w:rPr>
                <w:sz w:val="24"/>
                <w:szCs w:val="24"/>
              </w:rPr>
            </w:pPr>
            <w:r w:rsidRPr="0012760D">
              <w:rPr>
                <w:sz w:val="24"/>
                <w:szCs w:val="24"/>
              </w:rPr>
              <w:t xml:space="preserve">WCT Contaminant Removal </w:t>
            </w:r>
            <w:r w:rsidR="00236A13">
              <w:rPr>
                <w:sz w:val="24"/>
                <w:szCs w:val="24"/>
              </w:rPr>
              <w:t>and</w:t>
            </w:r>
            <w:r w:rsidRPr="0012760D">
              <w:rPr>
                <w:sz w:val="24"/>
                <w:szCs w:val="24"/>
              </w:rPr>
              <w:t xml:space="preserve"> Product Refinement</w:t>
            </w:r>
          </w:p>
        </w:tc>
        <w:tc>
          <w:tcPr>
            <w:tcW w:w="835" w:type="pct"/>
            <w:shd w:val="clear" w:color="auto" w:fill="auto"/>
          </w:tcPr>
          <w:p w:rsidR="00C0532C" w:rsidRPr="0012760D" w:rsidRDefault="00C0532C" w:rsidP="00805FDC">
            <w:pPr>
              <w:jc w:val="right"/>
              <w:rPr>
                <w:sz w:val="24"/>
                <w:szCs w:val="24"/>
              </w:rPr>
            </w:pPr>
            <w:r w:rsidRPr="0012760D">
              <w:rPr>
                <w:sz w:val="24"/>
                <w:szCs w:val="24"/>
              </w:rPr>
              <w:t>174,600</w:t>
            </w:r>
          </w:p>
        </w:tc>
      </w:tr>
    </w:tbl>
    <w:p w:rsidR="00C0532C" w:rsidRDefault="00C0532C" w:rsidP="00C0532C">
      <w:pPr>
        <w:rPr>
          <w:sz w:val="24"/>
          <w:szCs w:val="24"/>
        </w:rPr>
      </w:pPr>
    </w:p>
    <w:p w:rsidR="005A26D3" w:rsidRPr="0012760D" w:rsidRDefault="005A26D3" w:rsidP="00C0532C">
      <w:pPr>
        <w:rPr>
          <w:sz w:val="24"/>
          <w:szCs w:val="24"/>
        </w:rPr>
      </w:pPr>
    </w:p>
    <w:p w:rsidR="00C0532C" w:rsidRDefault="00C0532C" w:rsidP="005A26D3">
      <w:pPr>
        <w:pStyle w:val="Heading2"/>
      </w:pPr>
      <w:r w:rsidRPr="0012760D">
        <w:t>Overseen By Sustainability Victoria</w:t>
      </w:r>
    </w:p>
    <w:p w:rsidR="005A26D3" w:rsidRPr="0012760D" w:rsidRDefault="005A26D3" w:rsidP="00C0532C">
      <w:pPr>
        <w:rPr>
          <w:sz w:val="24"/>
          <w:szCs w:val="24"/>
        </w:rPr>
      </w:pPr>
    </w:p>
    <w:p w:rsidR="00C0532C" w:rsidRPr="0012760D" w:rsidRDefault="00C0532C" w:rsidP="005A26D3">
      <w:pPr>
        <w:pStyle w:val="Heading3"/>
      </w:pPr>
      <w:r w:rsidRPr="0012760D">
        <w:t>Funding Program: Building Victoria's Organics Recovery</w:t>
      </w:r>
    </w:p>
    <w:p w:rsidR="00C0532C" w:rsidRPr="0012760D" w:rsidRDefault="00C0532C" w:rsidP="00C0532C">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5137"/>
        <w:gridCol w:w="6579"/>
        <w:gridCol w:w="2318"/>
      </w:tblGrid>
      <w:tr w:rsidR="0012760D" w:rsidRPr="0012760D" w:rsidTr="00544C7A">
        <w:tblPrEx>
          <w:tblCellMar>
            <w:top w:w="0" w:type="dxa"/>
            <w:bottom w:w="0" w:type="dxa"/>
          </w:tblCellMar>
        </w:tblPrEx>
        <w:tc>
          <w:tcPr>
            <w:tcW w:w="1830" w:type="pct"/>
            <w:shd w:val="clear" w:color="auto" w:fill="auto"/>
          </w:tcPr>
          <w:p w:rsidR="00C0532C" w:rsidRPr="0012760D" w:rsidRDefault="00C0532C" w:rsidP="00805FDC">
            <w:pPr>
              <w:rPr>
                <w:sz w:val="24"/>
                <w:szCs w:val="24"/>
              </w:rPr>
            </w:pPr>
            <w:r w:rsidRPr="0012760D">
              <w:rPr>
                <w:bCs/>
                <w:sz w:val="24"/>
                <w:szCs w:val="24"/>
              </w:rPr>
              <w:t>Organisation</w:t>
            </w:r>
          </w:p>
        </w:tc>
        <w:tc>
          <w:tcPr>
            <w:tcW w:w="2344" w:type="pct"/>
            <w:shd w:val="clear" w:color="auto" w:fill="auto"/>
          </w:tcPr>
          <w:p w:rsidR="00C0532C" w:rsidRPr="0012760D" w:rsidRDefault="00C0532C" w:rsidP="00805FDC">
            <w:pPr>
              <w:rPr>
                <w:sz w:val="24"/>
                <w:szCs w:val="24"/>
              </w:rPr>
            </w:pPr>
            <w:r w:rsidRPr="0012760D">
              <w:rPr>
                <w:bCs/>
                <w:sz w:val="24"/>
                <w:szCs w:val="24"/>
              </w:rPr>
              <w:t>Project</w:t>
            </w:r>
          </w:p>
        </w:tc>
        <w:tc>
          <w:tcPr>
            <w:tcW w:w="827" w:type="pct"/>
            <w:shd w:val="clear" w:color="auto" w:fill="auto"/>
          </w:tcPr>
          <w:p w:rsidR="00C0532C" w:rsidRPr="0012760D" w:rsidRDefault="00C0532C" w:rsidP="00805FDC">
            <w:pPr>
              <w:rPr>
                <w:sz w:val="24"/>
                <w:szCs w:val="24"/>
              </w:rPr>
            </w:pPr>
            <w:r w:rsidRPr="0012760D">
              <w:rPr>
                <w:bCs/>
                <w:sz w:val="24"/>
                <w:szCs w:val="24"/>
              </w:rPr>
              <w:t>Funding support $</w:t>
            </w:r>
          </w:p>
        </w:tc>
      </w:tr>
      <w:tr w:rsidR="0012760D" w:rsidRPr="0012760D" w:rsidTr="00544C7A">
        <w:tblPrEx>
          <w:tblCellMar>
            <w:top w:w="0" w:type="dxa"/>
            <w:bottom w:w="0" w:type="dxa"/>
          </w:tblCellMar>
        </w:tblPrEx>
        <w:tc>
          <w:tcPr>
            <w:tcW w:w="1830" w:type="pct"/>
            <w:shd w:val="clear" w:color="auto" w:fill="auto"/>
          </w:tcPr>
          <w:p w:rsidR="00C0532C" w:rsidRPr="0012760D" w:rsidRDefault="00C0532C" w:rsidP="00805FDC">
            <w:pPr>
              <w:rPr>
                <w:sz w:val="24"/>
                <w:szCs w:val="24"/>
              </w:rPr>
            </w:pPr>
            <w:r w:rsidRPr="0012760D">
              <w:rPr>
                <w:sz w:val="24"/>
                <w:szCs w:val="24"/>
              </w:rPr>
              <w:t>Cleanaway Transpacific Industries</w:t>
            </w:r>
          </w:p>
        </w:tc>
        <w:tc>
          <w:tcPr>
            <w:tcW w:w="2344" w:type="pct"/>
            <w:shd w:val="clear" w:color="auto" w:fill="auto"/>
          </w:tcPr>
          <w:p w:rsidR="00C0532C" w:rsidRPr="0012760D" w:rsidRDefault="00C0532C" w:rsidP="00805FDC">
            <w:pPr>
              <w:rPr>
                <w:sz w:val="24"/>
                <w:szCs w:val="24"/>
              </w:rPr>
            </w:pPr>
            <w:r w:rsidRPr="0012760D">
              <w:rPr>
                <w:sz w:val="24"/>
                <w:szCs w:val="24"/>
              </w:rPr>
              <w:t>Mildura Weekly Organics Waste (WOW) Trial</w:t>
            </w:r>
          </w:p>
        </w:tc>
        <w:tc>
          <w:tcPr>
            <w:tcW w:w="827" w:type="pct"/>
            <w:shd w:val="clear" w:color="auto" w:fill="auto"/>
          </w:tcPr>
          <w:p w:rsidR="00C0532C" w:rsidRPr="0012760D" w:rsidRDefault="00C0532C" w:rsidP="00805FDC">
            <w:pPr>
              <w:jc w:val="right"/>
              <w:rPr>
                <w:sz w:val="24"/>
                <w:szCs w:val="24"/>
              </w:rPr>
            </w:pPr>
            <w:r w:rsidRPr="0012760D">
              <w:rPr>
                <w:sz w:val="24"/>
                <w:szCs w:val="24"/>
              </w:rPr>
              <w:t>100,000</w:t>
            </w:r>
          </w:p>
        </w:tc>
      </w:tr>
      <w:tr w:rsidR="0012760D" w:rsidRPr="0012760D" w:rsidTr="00544C7A">
        <w:tblPrEx>
          <w:tblCellMar>
            <w:top w:w="0" w:type="dxa"/>
            <w:bottom w:w="0" w:type="dxa"/>
          </w:tblCellMar>
        </w:tblPrEx>
        <w:tc>
          <w:tcPr>
            <w:tcW w:w="1830" w:type="pct"/>
            <w:shd w:val="clear" w:color="auto" w:fill="auto"/>
          </w:tcPr>
          <w:p w:rsidR="00C0532C" w:rsidRPr="0012760D" w:rsidRDefault="00C0532C" w:rsidP="00805FDC">
            <w:pPr>
              <w:rPr>
                <w:sz w:val="24"/>
                <w:szCs w:val="24"/>
              </w:rPr>
            </w:pPr>
            <w:r w:rsidRPr="0012760D">
              <w:rPr>
                <w:sz w:val="24"/>
                <w:szCs w:val="24"/>
              </w:rPr>
              <w:t>Corangamite Shire Council</w:t>
            </w:r>
          </w:p>
        </w:tc>
        <w:tc>
          <w:tcPr>
            <w:tcW w:w="2344" w:type="pct"/>
            <w:shd w:val="clear" w:color="auto" w:fill="auto"/>
          </w:tcPr>
          <w:p w:rsidR="00C0532C" w:rsidRPr="0012760D" w:rsidRDefault="00C0532C" w:rsidP="00805FDC">
            <w:pPr>
              <w:rPr>
                <w:sz w:val="24"/>
                <w:szCs w:val="24"/>
              </w:rPr>
            </w:pPr>
            <w:r w:rsidRPr="0012760D">
              <w:rPr>
                <w:sz w:val="24"/>
                <w:szCs w:val="24"/>
              </w:rPr>
              <w:t>Increasing organics recovery and composting capacity at Corangamite Regional Landfill</w:t>
            </w:r>
          </w:p>
        </w:tc>
        <w:tc>
          <w:tcPr>
            <w:tcW w:w="827" w:type="pct"/>
            <w:shd w:val="clear" w:color="auto" w:fill="auto"/>
          </w:tcPr>
          <w:p w:rsidR="00C0532C" w:rsidRPr="0012760D" w:rsidRDefault="00C0532C" w:rsidP="00805FDC">
            <w:pPr>
              <w:jc w:val="right"/>
              <w:rPr>
                <w:sz w:val="24"/>
                <w:szCs w:val="24"/>
              </w:rPr>
            </w:pPr>
            <w:r w:rsidRPr="0012760D">
              <w:rPr>
                <w:sz w:val="24"/>
                <w:szCs w:val="24"/>
              </w:rPr>
              <w:t>60,000</w:t>
            </w:r>
          </w:p>
        </w:tc>
      </w:tr>
      <w:tr w:rsidR="0012760D" w:rsidRPr="0012760D" w:rsidTr="00544C7A">
        <w:tblPrEx>
          <w:tblCellMar>
            <w:top w:w="0" w:type="dxa"/>
            <w:bottom w:w="0" w:type="dxa"/>
          </w:tblCellMar>
        </w:tblPrEx>
        <w:tc>
          <w:tcPr>
            <w:tcW w:w="1830" w:type="pct"/>
            <w:shd w:val="clear" w:color="auto" w:fill="auto"/>
          </w:tcPr>
          <w:p w:rsidR="00C0532C" w:rsidRPr="0012760D" w:rsidRDefault="00C0532C" w:rsidP="00805FDC">
            <w:pPr>
              <w:rPr>
                <w:sz w:val="24"/>
                <w:szCs w:val="24"/>
              </w:rPr>
            </w:pPr>
            <w:r w:rsidRPr="0012760D">
              <w:rPr>
                <w:sz w:val="24"/>
                <w:szCs w:val="24"/>
              </w:rPr>
              <w:t>East Gippsland Shire Council</w:t>
            </w:r>
          </w:p>
        </w:tc>
        <w:tc>
          <w:tcPr>
            <w:tcW w:w="2344" w:type="pct"/>
            <w:shd w:val="clear" w:color="auto" w:fill="auto"/>
          </w:tcPr>
          <w:p w:rsidR="00C0532C" w:rsidRPr="0012760D" w:rsidRDefault="00C0532C" w:rsidP="00805FDC">
            <w:pPr>
              <w:rPr>
                <w:sz w:val="24"/>
                <w:szCs w:val="24"/>
              </w:rPr>
            </w:pPr>
            <w:r w:rsidRPr="0012760D">
              <w:rPr>
                <w:sz w:val="24"/>
                <w:szCs w:val="24"/>
              </w:rPr>
              <w:t>Far East Gippsland Kitchen to Compost Organics Diversion</w:t>
            </w:r>
          </w:p>
        </w:tc>
        <w:tc>
          <w:tcPr>
            <w:tcW w:w="827" w:type="pct"/>
            <w:shd w:val="clear" w:color="auto" w:fill="auto"/>
          </w:tcPr>
          <w:p w:rsidR="00C0532C" w:rsidRPr="0012760D" w:rsidRDefault="00C0532C" w:rsidP="00805FDC">
            <w:pPr>
              <w:jc w:val="right"/>
              <w:rPr>
                <w:sz w:val="24"/>
                <w:szCs w:val="24"/>
              </w:rPr>
            </w:pPr>
            <w:r w:rsidRPr="0012760D">
              <w:rPr>
                <w:sz w:val="24"/>
                <w:szCs w:val="24"/>
              </w:rPr>
              <w:t>89,450</w:t>
            </w:r>
          </w:p>
        </w:tc>
      </w:tr>
      <w:tr w:rsidR="0012760D" w:rsidRPr="0012760D" w:rsidTr="00544C7A">
        <w:tblPrEx>
          <w:tblCellMar>
            <w:top w:w="0" w:type="dxa"/>
            <w:bottom w:w="0" w:type="dxa"/>
          </w:tblCellMar>
        </w:tblPrEx>
        <w:tc>
          <w:tcPr>
            <w:tcW w:w="1830" w:type="pct"/>
            <w:shd w:val="clear" w:color="auto" w:fill="auto"/>
          </w:tcPr>
          <w:p w:rsidR="00C0532C" w:rsidRPr="0012760D" w:rsidRDefault="00C0532C" w:rsidP="00805FDC">
            <w:pPr>
              <w:rPr>
                <w:sz w:val="24"/>
                <w:szCs w:val="24"/>
              </w:rPr>
            </w:pPr>
            <w:r w:rsidRPr="0012760D">
              <w:rPr>
                <w:sz w:val="24"/>
                <w:szCs w:val="24"/>
              </w:rPr>
              <w:t>Southern Grampians Council</w:t>
            </w:r>
          </w:p>
        </w:tc>
        <w:tc>
          <w:tcPr>
            <w:tcW w:w="2344" w:type="pct"/>
            <w:shd w:val="clear" w:color="auto" w:fill="auto"/>
          </w:tcPr>
          <w:p w:rsidR="00C0532C" w:rsidRPr="0012760D" w:rsidRDefault="00C0532C" w:rsidP="00805FDC">
            <w:pPr>
              <w:rPr>
                <w:sz w:val="24"/>
                <w:szCs w:val="24"/>
              </w:rPr>
            </w:pPr>
            <w:r w:rsidRPr="0012760D">
              <w:rPr>
                <w:sz w:val="24"/>
                <w:szCs w:val="24"/>
              </w:rPr>
              <w:t>Organics recovery in the Southern Grampians Shire</w:t>
            </w:r>
          </w:p>
        </w:tc>
        <w:tc>
          <w:tcPr>
            <w:tcW w:w="827" w:type="pct"/>
            <w:shd w:val="clear" w:color="auto" w:fill="auto"/>
          </w:tcPr>
          <w:p w:rsidR="00C0532C" w:rsidRPr="0012760D" w:rsidRDefault="00C0532C" w:rsidP="00805FDC">
            <w:pPr>
              <w:jc w:val="right"/>
              <w:rPr>
                <w:sz w:val="24"/>
                <w:szCs w:val="24"/>
              </w:rPr>
            </w:pPr>
            <w:r w:rsidRPr="0012760D">
              <w:rPr>
                <w:sz w:val="24"/>
                <w:szCs w:val="24"/>
              </w:rPr>
              <w:t>51,940</w:t>
            </w:r>
          </w:p>
        </w:tc>
      </w:tr>
    </w:tbl>
    <w:p w:rsidR="00544C7A" w:rsidRDefault="00544C7A" w:rsidP="00544C7A">
      <w:pPr>
        <w:rPr>
          <w:bCs/>
          <w:sz w:val="24"/>
          <w:szCs w:val="24"/>
        </w:rPr>
      </w:pPr>
      <w:r w:rsidRPr="0012760D">
        <w:rPr>
          <w:bCs/>
          <w:sz w:val="24"/>
          <w:szCs w:val="24"/>
        </w:rPr>
        <w:t>&lt;pp&gt; 87</w:t>
      </w:r>
    </w:p>
    <w:p w:rsidR="005A26D3" w:rsidRDefault="005A26D3" w:rsidP="00544C7A">
      <w:pPr>
        <w:rPr>
          <w:bCs/>
          <w:sz w:val="24"/>
          <w:szCs w:val="24"/>
        </w:rPr>
      </w:pPr>
    </w:p>
    <w:p w:rsidR="005A26D3" w:rsidRPr="0012760D" w:rsidRDefault="005A26D3" w:rsidP="00544C7A">
      <w:pPr>
        <w:rPr>
          <w:sz w:val="24"/>
          <w:szCs w:val="24"/>
        </w:rPr>
      </w:pPr>
    </w:p>
    <w:p w:rsidR="00544C7A" w:rsidRDefault="00544C7A" w:rsidP="005A26D3">
      <w:pPr>
        <w:pStyle w:val="Heading2"/>
      </w:pPr>
      <w:r w:rsidRPr="0012760D">
        <w:t>Overseen By Sustainability Victoria</w:t>
      </w:r>
    </w:p>
    <w:p w:rsidR="005A26D3" w:rsidRPr="0012760D" w:rsidRDefault="005A26D3" w:rsidP="00544C7A">
      <w:pPr>
        <w:rPr>
          <w:sz w:val="24"/>
          <w:szCs w:val="24"/>
        </w:rPr>
      </w:pPr>
    </w:p>
    <w:p w:rsidR="00544C7A" w:rsidRPr="0012760D" w:rsidRDefault="00544C7A" w:rsidP="005A26D3">
      <w:pPr>
        <w:pStyle w:val="Heading3"/>
      </w:pPr>
      <w:r w:rsidRPr="0012760D">
        <w:t>Funding Program: Regional Waste Management Groups Support Package</w:t>
      </w:r>
    </w:p>
    <w:p w:rsidR="00544C7A" w:rsidRPr="0012760D" w:rsidRDefault="00544C7A" w:rsidP="00544C7A">
      <w:pPr>
        <w:rPr>
          <w:sz w:val="24"/>
          <w:szCs w:val="24"/>
        </w:rPr>
      </w:pPr>
    </w:p>
    <w:tbl>
      <w:tblPr>
        <w:tblW w:w="4956"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5122"/>
        <w:gridCol w:w="6591"/>
        <w:gridCol w:w="2198"/>
      </w:tblGrid>
      <w:tr w:rsidR="0012760D" w:rsidRPr="0012760D" w:rsidTr="00544C7A">
        <w:tblPrEx>
          <w:tblCellMar>
            <w:top w:w="0" w:type="dxa"/>
            <w:bottom w:w="0" w:type="dxa"/>
          </w:tblCellMar>
        </w:tblPrEx>
        <w:tc>
          <w:tcPr>
            <w:tcW w:w="1841" w:type="pct"/>
            <w:shd w:val="clear" w:color="auto" w:fill="auto"/>
          </w:tcPr>
          <w:p w:rsidR="00544C7A" w:rsidRPr="0012760D" w:rsidRDefault="00544C7A" w:rsidP="00805FDC">
            <w:pPr>
              <w:rPr>
                <w:sz w:val="24"/>
                <w:szCs w:val="24"/>
              </w:rPr>
            </w:pPr>
            <w:r w:rsidRPr="0012760D">
              <w:rPr>
                <w:bCs/>
                <w:sz w:val="24"/>
                <w:szCs w:val="24"/>
              </w:rPr>
              <w:t>Regional Waste Management Group (RWMG)</w:t>
            </w:r>
          </w:p>
        </w:tc>
        <w:tc>
          <w:tcPr>
            <w:tcW w:w="2369" w:type="pct"/>
            <w:shd w:val="clear" w:color="auto" w:fill="auto"/>
          </w:tcPr>
          <w:p w:rsidR="00544C7A" w:rsidRPr="0012760D" w:rsidRDefault="00544C7A" w:rsidP="00805FDC">
            <w:pPr>
              <w:rPr>
                <w:sz w:val="24"/>
                <w:szCs w:val="24"/>
              </w:rPr>
            </w:pPr>
            <w:r w:rsidRPr="0012760D">
              <w:rPr>
                <w:bCs/>
                <w:sz w:val="24"/>
                <w:szCs w:val="24"/>
              </w:rPr>
              <w:t>Project</w:t>
            </w:r>
          </w:p>
        </w:tc>
        <w:tc>
          <w:tcPr>
            <w:tcW w:w="790" w:type="pct"/>
            <w:shd w:val="clear" w:color="auto" w:fill="auto"/>
          </w:tcPr>
          <w:p w:rsidR="00544C7A" w:rsidRPr="0012760D" w:rsidRDefault="00544C7A" w:rsidP="00805FDC">
            <w:pPr>
              <w:rPr>
                <w:sz w:val="24"/>
                <w:szCs w:val="24"/>
              </w:rPr>
            </w:pPr>
            <w:r w:rsidRPr="0012760D">
              <w:rPr>
                <w:bCs/>
                <w:sz w:val="24"/>
                <w:szCs w:val="24"/>
              </w:rPr>
              <w:t>Funding support $</w:t>
            </w:r>
          </w:p>
        </w:tc>
      </w:tr>
      <w:tr w:rsidR="0012760D" w:rsidRPr="0012760D" w:rsidTr="00544C7A">
        <w:tblPrEx>
          <w:tblCellMar>
            <w:top w:w="0" w:type="dxa"/>
            <w:bottom w:w="0" w:type="dxa"/>
          </w:tblCellMar>
        </w:tblPrEx>
        <w:tc>
          <w:tcPr>
            <w:tcW w:w="1841" w:type="pct"/>
            <w:shd w:val="clear" w:color="auto" w:fill="auto"/>
          </w:tcPr>
          <w:p w:rsidR="00544C7A" w:rsidRPr="0012760D" w:rsidRDefault="00544C7A" w:rsidP="00805FDC">
            <w:pPr>
              <w:rPr>
                <w:sz w:val="24"/>
                <w:szCs w:val="24"/>
              </w:rPr>
            </w:pPr>
            <w:r w:rsidRPr="0012760D">
              <w:rPr>
                <w:sz w:val="24"/>
                <w:szCs w:val="24"/>
              </w:rPr>
              <w:t>Barwon</w:t>
            </w:r>
          </w:p>
        </w:tc>
        <w:tc>
          <w:tcPr>
            <w:tcW w:w="2369" w:type="pct"/>
            <w:shd w:val="clear" w:color="auto" w:fill="auto"/>
          </w:tcPr>
          <w:p w:rsidR="00544C7A" w:rsidRPr="0012760D" w:rsidRDefault="00544C7A" w:rsidP="00805FDC">
            <w:pPr>
              <w:rPr>
                <w:sz w:val="24"/>
                <w:szCs w:val="24"/>
              </w:rPr>
            </w:pPr>
            <w:r w:rsidRPr="0012760D">
              <w:rPr>
                <w:sz w:val="24"/>
                <w:szCs w:val="24"/>
              </w:rPr>
              <w:t>Organics Processing at Alvie Landfill Colac Using GOSIP Concept</w:t>
            </w:r>
          </w:p>
        </w:tc>
        <w:tc>
          <w:tcPr>
            <w:tcW w:w="790" w:type="pct"/>
            <w:shd w:val="clear" w:color="auto" w:fill="auto"/>
          </w:tcPr>
          <w:p w:rsidR="00544C7A" w:rsidRPr="0012760D" w:rsidRDefault="00544C7A" w:rsidP="00805FDC">
            <w:pPr>
              <w:jc w:val="right"/>
              <w:rPr>
                <w:sz w:val="24"/>
                <w:szCs w:val="24"/>
              </w:rPr>
            </w:pPr>
            <w:r w:rsidRPr="0012760D">
              <w:rPr>
                <w:sz w:val="24"/>
                <w:szCs w:val="24"/>
              </w:rPr>
              <w:t>45,000</w:t>
            </w:r>
          </w:p>
        </w:tc>
      </w:tr>
      <w:tr w:rsidR="0012760D" w:rsidRPr="0012760D" w:rsidTr="00544C7A">
        <w:tblPrEx>
          <w:tblCellMar>
            <w:top w:w="0" w:type="dxa"/>
            <w:bottom w:w="0" w:type="dxa"/>
          </w:tblCellMar>
        </w:tblPrEx>
        <w:tc>
          <w:tcPr>
            <w:tcW w:w="1841" w:type="pct"/>
            <w:shd w:val="clear" w:color="auto" w:fill="auto"/>
          </w:tcPr>
          <w:p w:rsidR="00544C7A" w:rsidRPr="0012760D" w:rsidRDefault="00544C7A" w:rsidP="00805FDC">
            <w:pPr>
              <w:rPr>
                <w:sz w:val="24"/>
                <w:szCs w:val="24"/>
              </w:rPr>
            </w:pPr>
            <w:r w:rsidRPr="0012760D">
              <w:rPr>
                <w:sz w:val="24"/>
                <w:szCs w:val="24"/>
              </w:rPr>
              <w:t>Barwon</w:t>
            </w:r>
          </w:p>
        </w:tc>
        <w:tc>
          <w:tcPr>
            <w:tcW w:w="2369" w:type="pct"/>
            <w:shd w:val="clear" w:color="auto" w:fill="auto"/>
          </w:tcPr>
          <w:p w:rsidR="00544C7A" w:rsidRPr="0012760D" w:rsidRDefault="00544C7A" w:rsidP="00805FDC">
            <w:pPr>
              <w:rPr>
                <w:sz w:val="24"/>
                <w:szCs w:val="24"/>
              </w:rPr>
            </w:pPr>
            <w:r w:rsidRPr="0012760D">
              <w:rPr>
                <w:sz w:val="24"/>
                <w:szCs w:val="24"/>
              </w:rPr>
              <w:t>Regional Timber Market Development Strategy</w:t>
            </w:r>
          </w:p>
        </w:tc>
        <w:tc>
          <w:tcPr>
            <w:tcW w:w="790" w:type="pct"/>
            <w:shd w:val="clear" w:color="auto" w:fill="auto"/>
          </w:tcPr>
          <w:p w:rsidR="00544C7A" w:rsidRPr="0012760D" w:rsidRDefault="00544C7A" w:rsidP="00805FDC">
            <w:pPr>
              <w:jc w:val="right"/>
              <w:rPr>
                <w:sz w:val="24"/>
                <w:szCs w:val="24"/>
              </w:rPr>
            </w:pPr>
            <w:r w:rsidRPr="0012760D">
              <w:rPr>
                <w:sz w:val="24"/>
                <w:szCs w:val="24"/>
              </w:rPr>
              <w:t>40,000</w:t>
            </w:r>
          </w:p>
        </w:tc>
      </w:tr>
      <w:tr w:rsidR="0012760D" w:rsidRPr="0012760D" w:rsidTr="00544C7A">
        <w:tblPrEx>
          <w:tblCellMar>
            <w:top w:w="0" w:type="dxa"/>
            <w:bottom w:w="0" w:type="dxa"/>
          </w:tblCellMar>
        </w:tblPrEx>
        <w:tc>
          <w:tcPr>
            <w:tcW w:w="1841" w:type="pct"/>
            <w:shd w:val="clear" w:color="auto" w:fill="auto"/>
          </w:tcPr>
          <w:p w:rsidR="00544C7A" w:rsidRPr="0012760D" w:rsidRDefault="00544C7A" w:rsidP="00805FDC">
            <w:pPr>
              <w:rPr>
                <w:sz w:val="24"/>
                <w:szCs w:val="24"/>
              </w:rPr>
            </w:pPr>
            <w:r w:rsidRPr="0012760D">
              <w:rPr>
                <w:sz w:val="24"/>
                <w:szCs w:val="24"/>
              </w:rPr>
              <w:t>Barwon</w:t>
            </w:r>
          </w:p>
        </w:tc>
        <w:tc>
          <w:tcPr>
            <w:tcW w:w="2369" w:type="pct"/>
            <w:shd w:val="clear" w:color="auto" w:fill="auto"/>
          </w:tcPr>
          <w:p w:rsidR="00544C7A" w:rsidRPr="0012760D" w:rsidRDefault="00544C7A" w:rsidP="00805FDC">
            <w:pPr>
              <w:rPr>
                <w:sz w:val="24"/>
                <w:szCs w:val="24"/>
              </w:rPr>
            </w:pPr>
            <w:r w:rsidRPr="0012760D">
              <w:rPr>
                <w:sz w:val="24"/>
                <w:szCs w:val="24"/>
              </w:rPr>
              <w:t>Regional Transfer Station Strategy</w:t>
            </w:r>
          </w:p>
        </w:tc>
        <w:tc>
          <w:tcPr>
            <w:tcW w:w="790" w:type="pct"/>
            <w:shd w:val="clear" w:color="auto" w:fill="auto"/>
          </w:tcPr>
          <w:p w:rsidR="00544C7A" w:rsidRPr="0012760D" w:rsidRDefault="00544C7A" w:rsidP="00805FDC">
            <w:pPr>
              <w:jc w:val="right"/>
              <w:rPr>
                <w:sz w:val="24"/>
                <w:szCs w:val="24"/>
              </w:rPr>
            </w:pPr>
            <w:r w:rsidRPr="0012760D">
              <w:rPr>
                <w:sz w:val="24"/>
                <w:szCs w:val="24"/>
              </w:rPr>
              <w:t>40,000</w:t>
            </w:r>
          </w:p>
        </w:tc>
      </w:tr>
      <w:tr w:rsidR="0012760D" w:rsidRPr="0012760D" w:rsidTr="00544C7A">
        <w:tblPrEx>
          <w:tblCellMar>
            <w:top w:w="0" w:type="dxa"/>
            <w:bottom w:w="0" w:type="dxa"/>
          </w:tblCellMar>
        </w:tblPrEx>
        <w:tc>
          <w:tcPr>
            <w:tcW w:w="1841" w:type="pct"/>
            <w:shd w:val="clear" w:color="auto" w:fill="auto"/>
          </w:tcPr>
          <w:p w:rsidR="00544C7A" w:rsidRPr="0012760D" w:rsidRDefault="00544C7A" w:rsidP="00805FDC">
            <w:pPr>
              <w:rPr>
                <w:sz w:val="24"/>
                <w:szCs w:val="24"/>
              </w:rPr>
            </w:pPr>
            <w:r w:rsidRPr="0012760D">
              <w:rPr>
                <w:sz w:val="24"/>
                <w:szCs w:val="24"/>
              </w:rPr>
              <w:lastRenderedPageBreak/>
              <w:t>Calder</w:t>
            </w:r>
          </w:p>
        </w:tc>
        <w:tc>
          <w:tcPr>
            <w:tcW w:w="2369" w:type="pct"/>
            <w:shd w:val="clear" w:color="auto" w:fill="auto"/>
          </w:tcPr>
          <w:p w:rsidR="00544C7A" w:rsidRPr="0012760D" w:rsidRDefault="00544C7A" w:rsidP="00805FDC">
            <w:pPr>
              <w:rPr>
                <w:sz w:val="24"/>
                <w:szCs w:val="24"/>
              </w:rPr>
            </w:pPr>
            <w:r w:rsidRPr="0012760D">
              <w:rPr>
                <w:sz w:val="24"/>
                <w:szCs w:val="24"/>
              </w:rPr>
              <w:t>Organics Management Strategy</w:t>
            </w:r>
          </w:p>
        </w:tc>
        <w:tc>
          <w:tcPr>
            <w:tcW w:w="790" w:type="pct"/>
            <w:shd w:val="clear" w:color="auto" w:fill="auto"/>
          </w:tcPr>
          <w:p w:rsidR="00544C7A" w:rsidRPr="0012760D" w:rsidRDefault="00544C7A" w:rsidP="00805FDC">
            <w:pPr>
              <w:jc w:val="right"/>
              <w:rPr>
                <w:sz w:val="24"/>
                <w:szCs w:val="24"/>
              </w:rPr>
            </w:pPr>
            <w:r w:rsidRPr="0012760D">
              <w:rPr>
                <w:sz w:val="24"/>
                <w:szCs w:val="24"/>
              </w:rPr>
              <w:t>60,000</w:t>
            </w:r>
          </w:p>
        </w:tc>
      </w:tr>
      <w:tr w:rsidR="0012760D" w:rsidRPr="0012760D" w:rsidTr="00544C7A">
        <w:tblPrEx>
          <w:tblCellMar>
            <w:top w:w="0" w:type="dxa"/>
            <w:bottom w:w="0" w:type="dxa"/>
          </w:tblCellMar>
        </w:tblPrEx>
        <w:tc>
          <w:tcPr>
            <w:tcW w:w="1841" w:type="pct"/>
            <w:shd w:val="clear" w:color="auto" w:fill="auto"/>
          </w:tcPr>
          <w:p w:rsidR="00544C7A" w:rsidRPr="0012760D" w:rsidRDefault="00544C7A" w:rsidP="00805FDC">
            <w:pPr>
              <w:rPr>
                <w:sz w:val="24"/>
                <w:szCs w:val="24"/>
              </w:rPr>
            </w:pPr>
            <w:r w:rsidRPr="0012760D">
              <w:rPr>
                <w:sz w:val="24"/>
                <w:szCs w:val="24"/>
              </w:rPr>
              <w:t>Calder</w:t>
            </w:r>
          </w:p>
        </w:tc>
        <w:tc>
          <w:tcPr>
            <w:tcW w:w="2369" w:type="pct"/>
            <w:shd w:val="clear" w:color="auto" w:fill="auto"/>
          </w:tcPr>
          <w:p w:rsidR="00544C7A" w:rsidRPr="0012760D" w:rsidRDefault="00544C7A" w:rsidP="00805FDC">
            <w:pPr>
              <w:rPr>
                <w:sz w:val="24"/>
                <w:szCs w:val="24"/>
              </w:rPr>
            </w:pPr>
            <w:r w:rsidRPr="0012760D">
              <w:rPr>
                <w:sz w:val="24"/>
                <w:szCs w:val="24"/>
              </w:rPr>
              <w:t>Green Organics on Farm Management Trial</w:t>
            </w:r>
          </w:p>
        </w:tc>
        <w:tc>
          <w:tcPr>
            <w:tcW w:w="790" w:type="pct"/>
            <w:shd w:val="clear" w:color="auto" w:fill="auto"/>
          </w:tcPr>
          <w:p w:rsidR="00544C7A" w:rsidRPr="0012760D" w:rsidRDefault="00544C7A" w:rsidP="00805FDC">
            <w:pPr>
              <w:jc w:val="right"/>
              <w:rPr>
                <w:sz w:val="24"/>
                <w:szCs w:val="24"/>
              </w:rPr>
            </w:pPr>
            <w:r w:rsidRPr="0012760D">
              <w:rPr>
                <w:sz w:val="24"/>
                <w:szCs w:val="24"/>
              </w:rPr>
              <w:t>40,000</w:t>
            </w:r>
          </w:p>
        </w:tc>
      </w:tr>
      <w:tr w:rsidR="0012760D" w:rsidRPr="0012760D" w:rsidTr="00544C7A">
        <w:tblPrEx>
          <w:tblCellMar>
            <w:top w:w="0" w:type="dxa"/>
            <w:bottom w:w="0" w:type="dxa"/>
          </w:tblCellMar>
        </w:tblPrEx>
        <w:tc>
          <w:tcPr>
            <w:tcW w:w="1841" w:type="pct"/>
            <w:shd w:val="clear" w:color="auto" w:fill="auto"/>
          </w:tcPr>
          <w:p w:rsidR="00544C7A" w:rsidRPr="0012760D" w:rsidRDefault="00544C7A" w:rsidP="00805FDC">
            <w:pPr>
              <w:rPr>
                <w:sz w:val="24"/>
                <w:szCs w:val="24"/>
              </w:rPr>
            </w:pPr>
            <w:r w:rsidRPr="0012760D">
              <w:rPr>
                <w:sz w:val="24"/>
                <w:szCs w:val="24"/>
              </w:rPr>
              <w:t>Calder</w:t>
            </w:r>
          </w:p>
        </w:tc>
        <w:tc>
          <w:tcPr>
            <w:tcW w:w="2369" w:type="pct"/>
            <w:shd w:val="clear" w:color="auto" w:fill="auto"/>
          </w:tcPr>
          <w:p w:rsidR="00544C7A" w:rsidRPr="0012760D" w:rsidRDefault="00544C7A" w:rsidP="00805FDC">
            <w:pPr>
              <w:rPr>
                <w:sz w:val="24"/>
                <w:szCs w:val="24"/>
              </w:rPr>
            </w:pPr>
            <w:r w:rsidRPr="0012760D">
              <w:rPr>
                <w:sz w:val="24"/>
                <w:szCs w:val="24"/>
              </w:rPr>
              <w:t>Get it Right on Bin Night Campaign</w:t>
            </w:r>
          </w:p>
        </w:tc>
        <w:tc>
          <w:tcPr>
            <w:tcW w:w="790" w:type="pct"/>
            <w:shd w:val="clear" w:color="auto" w:fill="auto"/>
          </w:tcPr>
          <w:p w:rsidR="00544C7A" w:rsidRPr="0012760D" w:rsidRDefault="00544C7A" w:rsidP="00805FDC">
            <w:pPr>
              <w:jc w:val="right"/>
              <w:rPr>
                <w:sz w:val="24"/>
                <w:szCs w:val="24"/>
              </w:rPr>
            </w:pPr>
            <w:r w:rsidRPr="0012760D">
              <w:rPr>
                <w:sz w:val="24"/>
                <w:szCs w:val="24"/>
              </w:rPr>
              <w:t>25,000</w:t>
            </w:r>
          </w:p>
        </w:tc>
      </w:tr>
      <w:tr w:rsidR="0012760D" w:rsidRPr="0012760D" w:rsidTr="00544C7A">
        <w:tblPrEx>
          <w:tblCellMar>
            <w:top w:w="0" w:type="dxa"/>
            <w:bottom w:w="0" w:type="dxa"/>
          </w:tblCellMar>
        </w:tblPrEx>
        <w:tc>
          <w:tcPr>
            <w:tcW w:w="1841" w:type="pct"/>
            <w:shd w:val="clear" w:color="auto" w:fill="auto"/>
          </w:tcPr>
          <w:p w:rsidR="00544C7A" w:rsidRPr="0012760D" w:rsidRDefault="00544C7A" w:rsidP="00805FDC">
            <w:pPr>
              <w:rPr>
                <w:sz w:val="24"/>
                <w:szCs w:val="24"/>
              </w:rPr>
            </w:pPr>
            <w:r w:rsidRPr="0012760D">
              <w:rPr>
                <w:sz w:val="24"/>
                <w:szCs w:val="24"/>
              </w:rPr>
              <w:t>Central Murray</w:t>
            </w:r>
          </w:p>
        </w:tc>
        <w:tc>
          <w:tcPr>
            <w:tcW w:w="2369" w:type="pct"/>
            <w:shd w:val="clear" w:color="auto" w:fill="auto"/>
          </w:tcPr>
          <w:p w:rsidR="00544C7A" w:rsidRPr="0012760D" w:rsidRDefault="00544C7A" w:rsidP="00805FDC">
            <w:pPr>
              <w:rPr>
                <w:sz w:val="24"/>
                <w:szCs w:val="24"/>
              </w:rPr>
            </w:pPr>
            <w:r w:rsidRPr="0012760D">
              <w:rPr>
                <w:sz w:val="24"/>
                <w:szCs w:val="24"/>
              </w:rPr>
              <w:t>Kerbside Pride Organics (Organics Diversion)</w:t>
            </w:r>
          </w:p>
        </w:tc>
        <w:tc>
          <w:tcPr>
            <w:tcW w:w="790" w:type="pct"/>
            <w:shd w:val="clear" w:color="auto" w:fill="auto"/>
          </w:tcPr>
          <w:p w:rsidR="00544C7A" w:rsidRPr="0012760D" w:rsidRDefault="00544C7A" w:rsidP="00805FDC">
            <w:pPr>
              <w:jc w:val="right"/>
              <w:rPr>
                <w:sz w:val="24"/>
                <w:szCs w:val="24"/>
              </w:rPr>
            </w:pPr>
            <w:r w:rsidRPr="0012760D">
              <w:rPr>
                <w:sz w:val="24"/>
                <w:szCs w:val="24"/>
              </w:rPr>
              <w:t>30,000</w:t>
            </w:r>
          </w:p>
        </w:tc>
      </w:tr>
      <w:tr w:rsidR="0012760D" w:rsidRPr="0012760D" w:rsidTr="00544C7A">
        <w:tblPrEx>
          <w:tblCellMar>
            <w:top w:w="0" w:type="dxa"/>
            <w:bottom w:w="0" w:type="dxa"/>
          </w:tblCellMar>
        </w:tblPrEx>
        <w:tc>
          <w:tcPr>
            <w:tcW w:w="1841" w:type="pct"/>
            <w:shd w:val="clear" w:color="auto" w:fill="auto"/>
          </w:tcPr>
          <w:p w:rsidR="00544C7A" w:rsidRPr="0012760D" w:rsidRDefault="00544C7A" w:rsidP="00805FDC">
            <w:pPr>
              <w:rPr>
                <w:sz w:val="24"/>
                <w:szCs w:val="24"/>
              </w:rPr>
            </w:pPr>
            <w:r w:rsidRPr="0012760D">
              <w:rPr>
                <w:sz w:val="24"/>
                <w:szCs w:val="24"/>
              </w:rPr>
              <w:t>Central Murray</w:t>
            </w:r>
          </w:p>
        </w:tc>
        <w:tc>
          <w:tcPr>
            <w:tcW w:w="2369" w:type="pct"/>
            <w:shd w:val="clear" w:color="auto" w:fill="auto"/>
          </w:tcPr>
          <w:p w:rsidR="00544C7A" w:rsidRPr="0012760D" w:rsidRDefault="00544C7A" w:rsidP="00805FDC">
            <w:pPr>
              <w:rPr>
                <w:sz w:val="24"/>
                <w:szCs w:val="24"/>
              </w:rPr>
            </w:pPr>
            <w:r w:rsidRPr="0012760D">
              <w:rPr>
                <w:sz w:val="24"/>
                <w:szCs w:val="24"/>
              </w:rPr>
              <w:t>Landfill and transfer station assessment</w:t>
            </w:r>
          </w:p>
        </w:tc>
        <w:tc>
          <w:tcPr>
            <w:tcW w:w="790" w:type="pct"/>
            <w:shd w:val="clear" w:color="auto" w:fill="auto"/>
          </w:tcPr>
          <w:p w:rsidR="00544C7A" w:rsidRPr="0012760D" w:rsidRDefault="00544C7A" w:rsidP="00805FDC">
            <w:pPr>
              <w:jc w:val="right"/>
              <w:rPr>
                <w:sz w:val="24"/>
                <w:szCs w:val="24"/>
              </w:rPr>
            </w:pPr>
            <w:r w:rsidRPr="0012760D">
              <w:rPr>
                <w:sz w:val="24"/>
                <w:szCs w:val="24"/>
              </w:rPr>
              <w:t>95,000</w:t>
            </w:r>
          </w:p>
        </w:tc>
      </w:tr>
      <w:tr w:rsidR="0012760D" w:rsidRPr="0012760D" w:rsidTr="00544C7A">
        <w:tblPrEx>
          <w:tblCellMar>
            <w:top w:w="0" w:type="dxa"/>
            <w:bottom w:w="0" w:type="dxa"/>
          </w:tblCellMar>
        </w:tblPrEx>
        <w:tc>
          <w:tcPr>
            <w:tcW w:w="1841" w:type="pct"/>
            <w:shd w:val="clear" w:color="auto" w:fill="auto"/>
          </w:tcPr>
          <w:p w:rsidR="00544C7A" w:rsidRPr="0012760D" w:rsidRDefault="00544C7A" w:rsidP="00805FDC">
            <w:pPr>
              <w:rPr>
                <w:sz w:val="24"/>
                <w:szCs w:val="24"/>
              </w:rPr>
            </w:pPr>
            <w:r w:rsidRPr="0012760D">
              <w:rPr>
                <w:sz w:val="24"/>
                <w:szCs w:val="24"/>
              </w:rPr>
              <w:t>Desert Fringe</w:t>
            </w:r>
          </w:p>
        </w:tc>
        <w:tc>
          <w:tcPr>
            <w:tcW w:w="2369" w:type="pct"/>
            <w:shd w:val="clear" w:color="auto" w:fill="auto"/>
          </w:tcPr>
          <w:p w:rsidR="00544C7A" w:rsidRPr="0012760D" w:rsidRDefault="00544C7A" w:rsidP="00805FDC">
            <w:pPr>
              <w:rPr>
                <w:sz w:val="24"/>
                <w:szCs w:val="24"/>
              </w:rPr>
            </w:pPr>
            <w:r w:rsidRPr="0012760D">
              <w:rPr>
                <w:sz w:val="24"/>
                <w:szCs w:val="24"/>
              </w:rPr>
              <w:t>Transfer Station redesign</w:t>
            </w:r>
          </w:p>
        </w:tc>
        <w:tc>
          <w:tcPr>
            <w:tcW w:w="790" w:type="pct"/>
            <w:shd w:val="clear" w:color="auto" w:fill="auto"/>
          </w:tcPr>
          <w:p w:rsidR="00544C7A" w:rsidRPr="0012760D" w:rsidRDefault="00544C7A" w:rsidP="00805FDC">
            <w:pPr>
              <w:jc w:val="right"/>
              <w:rPr>
                <w:sz w:val="24"/>
                <w:szCs w:val="24"/>
              </w:rPr>
            </w:pPr>
            <w:r w:rsidRPr="0012760D">
              <w:rPr>
                <w:sz w:val="24"/>
                <w:szCs w:val="24"/>
              </w:rPr>
              <w:t>125,000</w:t>
            </w:r>
          </w:p>
        </w:tc>
      </w:tr>
      <w:tr w:rsidR="0012760D" w:rsidRPr="0012760D" w:rsidTr="00544C7A">
        <w:tblPrEx>
          <w:tblCellMar>
            <w:top w:w="0" w:type="dxa"/>
            <w:bottom w:w="0" w:type="dxa"/>
          </w:tblCellMar>
        </w:tblPrEx>
        <w:tc>
          <w:tcPr>
            <w:tcW w:w="1841" w:type="pct"/>
            <w:shd w:val="clear" w:color="auto" w:fill="auto"/>
          </w:tcPr>
          <w:p w:rsidR="00544C7A" w:rsidRPr="0012760D" w:rsidRDefault="00544C7A" w:rsidP="00805FDC">
            <w:pPr>
              <w:rPr>
                <w:sz w:val="24"/>
                <w:szCs w:val="24"/>
              </w:rPr>
            </w:pPr>
            <w:r w:rsidRPr="0012760D">
              <w:rPr>
                <w:sz w:val="24"/>
                <w:szCs w:val="24"/>
              </w:rPr>
              <w:t>Gippsland</w:t>
            </w:r>
          </w:p>
        </w:tc>
        <w:tc>
          <w:tcPr>
            <w:tcW w:w="2369" w:type="pct"/>
            <w:shd w:val="clear" w:color="auto" w:fill="auto"/>
          </w:tcPr>
          <w:p w:rsidR="00544C7A" w:rsidRPr="0012760D" w:rsidRDefault="00544C7A" w:rsidP="00805FDC">
            <w:pPr>
              <w:rPr>
                <w:sz w:val="24"/>
                <w:szCs w:val="24"/>
              </w:rPr>
            </w:pPr>
            <w:r w:rsidRPr="0012760D">
              <w:rPr>
                <w:sz w:val="24"/>
                <w:szCs w:val="24"/>
              </w:rPr>
              <w:t xml:space="preserve">Regional Landfill Rehabilitation Plan (closed </w:t>
            </w:r>
            <w:r w:rsidR="00236A13">
              <w:rPr>
                <w:sz w:val="24"/>
                <w:szCs w:val="24"/>
              </w:rPr>
              <w:t>and</w:t>
            </w:r>
            <w:r w:rsidRPr="0012760D">
              <w:rPr>
                <w:sz w:val="24"/>
                <w:szCs w:val="24"/>
              </w:rPr>
              <w:t xml:space="preserve"> soon to be closed landfills in Gippsland)</w:t>
            </w:r>
          </w:p>
        </w:tc>
        <w:tc>
          <w:tcPr>
            <w:tcW w:w="790" w:type="pct"/>
            <w:shd w:val="clear" w:color="auto" w:fill="auto"/>
          </w:tcPr>
          <w:p w:rsidR="00544C7A" w:rsidRPr="0012760D" w:rsidRDefault="00544C7A" w:rsidP="00805FDC">
            <w:pPr>
              <w:jc w:val="right"/>
              <w:rPr>
                <w:sz w:val="24"/>
                <w:szCs w:val="24"/>
              </w:rPr>
            </w:pPr>
            <w:r w:rsidRPr="0012760D">
              <w:rPr>
                <w:sz w:val="24"/>
                <w:szCs w:val="24"/>
              </w:rPr>
              <w:t>100,000</w:t>
            </w:r>
          </w:p>
        </w:tc>
      </w:tr>
      <w:tr w:rsidR="0012760D" w:rsidRPr="0012760D" w:rsidTr="00544C7A">
        <w:tblPrEx>
          <w:tblCellMar>
            <w:top w:w="0" w:type="dxa"/>
            <w:bottom w:w="0" w:type="dxa"/>
          </w:tblCellMar>
        </w:tblPrEx>
        <w:tc>
          <w:tcPr>
            <w:tcW w:w="1841" w:type="pct"/>
            <w:shd w:val="clear" w:color="auto" w:fill="auto"/>
          </w:tcPr>
          <w:p w:rsidR="00544C7A" w:rsidRPr="0012760D" w:rsidRDefault="00544C7A" w:rsidP="00805FDC">
            <w:pPr>
              <w:rPr>
                <w:sz w:val="24"/>
                <w:szCs w:val="24"/>
              </w:rPr>
            </w:pPr>
            <w:r w:rsidRPr="0012760D">
              <w:rPr>
                <w:sz w:val="24"/>
                <w:szCs w:val="24"/>
              </w:rPr>
              <w:t>Gippsland</w:t>
            </w:r>
          </w:p>
        </w:tc>
        <w:tc>
          <w:tcPr>
            <w:tcW w:w="2369" w:type="pct"/>
            <w:shd w:val="clear" w:color="auto" w:fill="auto"/>
          </w:tcPr>
          <w:p w:rsidR="00544C7A" w:rsidRPr="0012760D" w:rsidRDefault="00544C7A" w:rsidP="00805FDC">
            <w:pPr>
              <w:rPr>
                <w:sz w:val="24"/>
                <w:szCs w:val="24"/>
              </w:rPr>
            </w:pPr>
            <w:r w:rsidRPr="0012760D">
              <w:rPr>
                <w:sz w:val="24"/>
                <w:szCs w:val="24"/>
              </w:rPr>
              <w:t>Regional Landfill Business Case Workshop</w:t>
            </w:r>
          </w:p>
        </w:tc>
        <w:tc>
          <w:tcPr>
            <w:tcW w:w="790" w:type="pct"/>
            <w:shd w:val="clear" w:color="auto" w:fill="auto"/>
          </w:tcPr>
          <w:p w:rsidR="00544C7A" w:rsidRPr="0012760D" w:rsidRDefault="00544C7A" w:rsidP="00805FDC">
            <w:pPr>
              <w:jc w:val="right"/>
              <w:rPr>
                <w:sz w:val="24"/>
                <w:szCs w:val="24"/>
              </w:rPr>
            </w:pPr>
            <w:r w:rsidRPr="0012760D">
              <w:rPr>
                <w:sz w:val="24"/>
                <w:szCs w:val="24"/>
              </w:rPr>
              <w:t>20,000</w:t>
            </w:r>
          </w:p>
        </w:tc>
      </w:tr>
      <w:tr w:rsidR="0012760D" w:rsidRPr="0012760D" w:rsidTr="00544C7A">
        <w:tblPrEx>
          <w:tblCellMar>
            <w:top w:w="0" w:type="dxa"/>
            <w:bottom w:w="0" w:type="dxa"/>
          </w:tblCellMar>
        </w:tblPrEx>
        <w:tc>
          <w:tcPr>
            <w:tcW w:w="1841" w:type="pct"/>
            <w:shd w:val="clear" w:color="auto" w:fill="auto"/>
          </w:tcPr>
          <w:p w:rsidR="00544C7A" w:rsidRPr="0012760D" w:rsidRDefault="00544C7A" w:rsidP="00805FDC">
            <w:pPr>
              <w:rPr>
                <w:sz w:val="24"/>
                <w:szCs w:val="24"/>
              </w:rPr>
            </w:pPr>
            <w:r w:rsidRPr="0012760D">
              <w:rPr>
                <w:sz w:val="24"/>
                <w:szCs w:val="24"/>
              </w:rPr>
              <w:t>Gippsland</w:t>
            </w:r>
          </w:p>
        </w:tc>
        <w:tc>
          <w:tcPr>
            <w:tcW w:w="2369" w:type="pct"/>
            <w:shd w:val="clear" w:color="auto" w:fill="auto"/>
          </w:tcPr>
          <w:p w:rsidR="00544C7A" w:rsidRPr="0012760D" w:rsidRDefault="00544C7A" w:rsidP="00805FDC">
            <w:pPr>
              <w:rPr>
                <w:sz w:val="24"/>
                <w:szCs w:val="24"/>
              </w:rPr>
            </w:pPr>
            <w:r w:rsidRPr="0012760D">
              <w:rPr>
                <w:sz w:val="24"/>
                <w:szCs w:val="24"/>
              </w:rPr>
              <w:t>Silage wrap diversion from landfill</w:t>
            </w:r>
          </w:p>
        </w:tc>
        <w:tc>
          <w:tcPr>
            <w:tcW w:w="790" w:type="pct"/>
            <w:shd w:val="clear" w:color="auto" w:fill="auto"/>
          </w:tcPr>
          <w:p w:rsidR="00544C7A" w:rsidRPr="0012760D" w:rsidRDefault="00544C7A" w:rsidP="00805FDC">
            <w:pPr>
              <w:jc w:val="right"/>
              <w:rPr>
                <w:sz w:val="24"/>
                <w:szCs w:val="24"/>
              </w:rPr>
            </w:pPr>
            <w:r w:rsidRPr="0012760D">
              <w:rPr>
                <w:sz w:val="24"/>
                <w:szCs w:val="24"/>
              </w:rPr>
              <w:t>5,000</w:t>
            </w:r>
          </w:p>
        </w:tc>
      </w:tr>
      <w:tr w:rsidR="0012760D" w:rsidRPr="0012760D" w:rsidTr="00544C7A">
        <w:tblPrEx>
          <w:tblCellMar>
            <w:top w:w="0" w:type="dxa"/>
            <w:bottom w:w="0" w:type="dxa"/>
          </w:tblCellMar>
        </w:tblPrEx>
        <w:tc>
          <w:tcPr>
            <w:tcW w:w="1841" w:type="pct"/>
            <w:shd w:val="clear" w:color="auto" w:fill="auto"/>
          </w:tcPr>
          <w:p w:rsidR="00544C7A" w:rsidRPr="0012760D" w:rsidRDefault="00544C7A" w:rsidP="00805FDC">
            <w:pPr>
              <w:rPr>
                <w:sz w:val="24"/>
                <w:szCs w:val="24"/>
              </w:rPr>
            </w:pPr>
            <w:r w:rsidRPr="0012760D">
              <w:rPr>
                <w:sz w:val="24"/>
                <w:szCs w:val="24"/>
              </w:rPr>
              <w:t>Goulburn Valley</w:t>
            </w:r>
          </w:p>
        </w:tc>
        <w:tc>
          <w:tcPr>
            <w:tcW w:w="2369" w:type="pct"/>
            <w:shd w:val="clear" w:color="auto" w:fill="auto"/>
          </w:tcPr>
          <w:p w:rsidR="00544C7A" w:rsidRPr="0012760D" w:rsidRDefault="00544C7A" w:rsidP="00805FDC">
            <w:pPr>
              <w:rPr>
                <w:sz w:val="24"/>
                <w:szCs w:val="24"/>
              </w:rPr>
            </w:pPr>
            <w:r w:rsidRPr="0012760D">
              <w:rPr>
                <w:sz w:val="24"/>
                <w:szCs w:val="24"/>
              </w:rPr>
              <w:t>Dieldrin Contamination in Compost Investigation</w:t>
            </w:r>
          </w:p>
        </w:tc>
        <w:tc>
          <w:tcPr>
            <w:tcW w:w="790" w:type="pct"/>
            <w:shd w:val="clear" w:color="auto" w:fill="auto"/>
          </w:tcPr>
          <w:p w:rsidR="00544C7A" w:rsidRPr="0012760D" w:rsidRDefault="00544C7A" w:rsidP="00805FDC">
            <w:pPr>
              <w:jc w:val="right"/>
              <w:rPr>
                <w:sz w:val="24"/>
                <w:szCs w:val="24"/>
              </w:rPr>
            </w:pPr>
            <w:r w:rsidRPr="0012760D">
              <w:rPr>
                <w:sz w:val="24"/>
                <w:szCs w:val="24"/>
              </w:rPr>
              <w:t>4,000</w:t>
            </w:r>
          </w:p>
        </w:tc>
      </w:tr>
      <w:tr w:rsidR="0012760D" w:rsidRPr="0012760D" w:rsidTr="00544C7A">
        <w:tblPrEx>
          <w:tblCellMar>
            <w:top w:w="0" w:type="dxa"/>
            <w:bottom w:w="0" w:type="dxa"/>
          </w:tblCellMar>
        </w:tblPrEx>
        <w:tc>
          <w:tcPr>
            <w:tcW w:w="1841" w:type="pct"/>
            <w:shd w:val="clear" w:color="auto" w:fill="auto"/>
          </w:tcPr>
          <w:p w:rsidR="00544C7A" w:rsidRPr="0012760D" w:rsidRDefault="00544C7A" w:rsidP="00805FDC">
            <w:pPr>
              <w:rPr>
                <w:sz w:val="24"/>
                <w:szCs w:val="24"/>
              </w:rPr>
            </w:pPr>
            <w:r w:rsidRPr="0012760D">
              <w:rPr>
                <w:sz w:val="24"/>
                <w:szCs w:val="24"/>
              </w:rPr>
              <w:t>Goulburn Valley</w:t>
            </w:r>
          </w:p>
        </w:tc>
        <w:tc>
          <w:tcPr>
            <w:tcW w:w="2369" w:type="pct"/>
            <w:shd w:val="clear" w:color="auto" w:fill="auto"/>
          </w:tcPr>
          <w:p w:rsidR="00544C7A" w:rsidRPr="0012760D" w:rsidRDefault="00544C7A" w:rsidP="00805FDC">
            <w:pPr>
              <w:rPr>
                <w:sz w:val="24"/>
                <w:szCs w:val="24"/>
              </w:rPr>
            </w:pPr>
            <w:r w:rsidRPr="0012760D">
              <w:rPr>
                <w:sz w:val="24"/>
                <w:szCs w:val="24"/>
              </w:rPr>
              <w:t>Compost use in broad acre cropping regimes</w:t>
            </w:r>
          </w:p>
        </w:tc>
        <w:tc>
          <w:tcPr>
            <w:tcW w:w="790" w:type="pct"/>
            <w:shd w:val="clear" w:color="auto" w:fill="auto"/>
          </w:tcPr>
          <w:p w:rsidR="00544C7A" w:rsidRPr="0012760D" w:rsidRDefault="00544C7A" w:rsidP="00805FDC">
            <w:pPr>
              <w:jc w:val="right"/>
              <w:rPr>
                <w:sz w:val="24"/>
                <w:szCs w:val="24"/>
              </w:rPr>
            </w:pPr>
            <w:r w:rsidRPr="0012760D">
              <w:rPr>
                <w:sz w:val="24"/>
                <w:szCs w:val="24"/>
              </w:rPr>
              <w:t>4,000</w:t>
            </w:r>
          </w:p>
        </w:tc>
      </w:tr>
      <w:tr w:rsidR="0012760D" w:rsidRPr="0012760D" w:rsidTr="00544C7A">
        <w:tblPrEx>
          <w:tblCellMar>
            <w:top w:w="0" w:type="dxa"/>
            <w:bottom w:w="0" w:type="dxa"/>
          </w:tblCellMar>
        </w:tblPrEx>
        <w:tc>
          <w:tcPr>
            <w:tcW w:w="1841" w:type="pct"/>
            <w:shd w:val="clear" w:color="auto" w:fill="auto"/>
          </w:tcPr>
          <w:p w:rsidR="00544C7A" w:rsidRPr="0012760D" w:rsidRDefault="00544C7A" w:rsidP="00805FDC">
            <w:pPr>
              <w:rPr>
                <w:sz w:val="24"/>
                <w:szCs w:val="24"/>
              </w:rPr>
            </w:pPr>
            <w:r w:rsidRPr="0012760D">
              <w:rPr>
                <w:sz w:val="24"/>
                <w:szCs w:val="24"/>
              </w:rPr>
              <w:t>Goulburn Valley</w:t>
            </w:r>
          </w:p>
        </w:tc>
        <w:tc>
          <w:tcPr>
            <w:tcW w:w="2369" w:type="pct"/>
            <w:shd w:val="clear" w:color="auto" w:fill="auto"/>
          </w:tcPr>
          <w:p w:rsidR="00544C7A" w:rsidRPr="0012760D" w:rsidRDefault="00544C7A" w:rsidP="00805FDC">
            <w:pPr>
              <w:rPr>
                <w:sz w:val="24"/>
                <w:szCs w:val="24"/>
              </w:rPr>
            </w:pPr>
            <w:r w:rsidRPr="0012760D">
              <w:rPr>
                <w:sz w:val="24"/>
                <w:szCs w:val="24"/>
              </w:rPr>
              <w:t>Waste Plasterboard Management Plan</w:t>
            </w:r>
          </w:p>
        </w:tc>
        <w:tc>
          <w:tcPr>
            <w:tcW w:w="790" w:type="pct"/>
            <w:shd w:val="clear" w:color="auto" w:fill="auto"/>
          </w:tcPr>
          <w:p w:rsidR="00544C7A" w:rsidRPr="0012760D" w:rsidRDefault="00544C7A" w:rsidP="00805FDC">
            <w:pPr>
              <w:jc w:val="right"/>
              <w:rPr>
                <w:sz w:val="24"/>
                <w:szCs w:val="24"/>
              </w:rPr>
            </w:pPr>
            <w:r w:rsidRPr="0012760D">
              <w:rPr>
                <w:sz w:val="24"/>
                <w:szCs w:val="24"/>
              </w:rPr>
              <w:t>3,000</w:t>
            </w:r>
          </w:p>
        </w:tc>
      </w:tr>
      <w:tr w:rsidR="0012760D" w:rsidRPr="0012760D" w:rsidTr="00544C7A">
        <w:tblPrEx>
          <w:tblCellMar>
            <w:top w:w="0" w:type="dxa"/>
            <w:bottom w:w="0" w:type="dxa"/>
          </w:tblCellMar>
        </w:tblPrEx>
        <w:tc>
          <w:tcPr>
            <w:tcW w:w="1841" w:type="pct"/>
            <w:shd w:val="clear" w:color="auto" w:fill="auto"/>
          </w:tcPr>
          <w:p w:rsidR="00544C7A" w:rsidRPr="0012760D" w:rsidRDefault="00544C7A" w:rsidP="00805FDC">
            <w:pPr>
              <w:rPr>
                <w:sz w:val="24"/>
                <w:szCs w:val="24"/>
              </w:rPr>
            </w:pPr>
            <w:r w:rsidRPr="0012760D">
              <w:rPr>
                <w:sz w:val="24"/>
                <w:szCs w:val="24"/>
              </w:rPr>
              <w:t>Goulburn Valley</w:t>
            </w:r>
          </w:p>
        </w:tc>
        <w:tc>
          <w:tcPr>
            <w:tcW w:w="2369" w:type="pct"/>
            <w:shd w:val="clear" w:color="auto" w:fill="auto"/>
          </w:tcPr>
          <w:p w:rsidR="00544C7A" w:rsidRPr="0012760D" w:rsidRDefault="00544C7A" w:rsidP="00805FDC">
            <w:pPr>
              <w:rPr>
                <w:sz w:val="24"/>
                <w:szCs w:val="24"/>
              </w:rPr>
            </w:pPr>
            <w:r w:rsidRPr="0012760D">
              <w:rPr>
                <w:sz w:val="24"/>
                <w:szCs w:val="24"/>
              </w:rPr>
              <w:t>Constraint mapping in the Mitchell Shire</w:t>
            </w:r>
          </w:p>
        </w:tc>
        <w:tc>
          <w:tcPr>
            <w:tcW w:w="790" w:type="pct"/>
            <w:shd w:val="clear" w:color="auto" w:fill="auto"/>
          </w:tcPr>
          <w:p w:rsidR="00544C7A" w:rsidRPr="0012760D" w:rsidRDefault="00544C7A" w:rsidP="00805FDC">
            <w:pPr>
              <w:jc w:val="right"/>
              <w:rPr>
                <w:sz w:val="24"/>
                <w:szCs w:val="24"/>
              </w:rPr>
            </w:pPr>
            <w:r w:rsidRPr="0012760D">
              <w:rPr>
                <w:sz w:val="24"/>
                <w:szCs w:val="24"/>
              </w:rPr>
              <w:t>15,000</w:t>
            </w:r>
          </w:p>
        </w:tc>
      </w:tr>
      <w:tr w:rsidR="0012760D" w:rsidRPr="0012760D" w:rsidTr="00544C7A">
        <w:tblPrEx>
          <w:tblCellMar>
            <w:top w:w="0" w:type="dxa"/>
            <w:bottom w:w="0" w:type="dxa"/>
          </w:tblCellMar>
        </w:tblPrEx>
        <w:tc>
          <w:tcPr>
            <w:tcW w:w="1841" w:type="pct"/>
            <w:shd w:val="clear" w:color="auto" w:fill="auto"/>
          </w:tcPr>
          <w:p w:rsidR="00544C7A" w:rsidRPr="0012760D" w:rsidRDefault="00544C7A" w:rsidP="00805FDC">
            <w:pPr>
              <w:rPr>
                <w:sz w:val="24"/>
                <w:szCs w:val="24"/>
              </w:rPr>
            </w:pPr>
            <w:r w:rsidRPr="0012760D">
              <w:rPr>
                <w:sz w:val="24"/>
                <w:szCs w:val="24"/>
              </w:rPr>
              <w:t>Goulburn Valley</w:t>
            </w:r>
          </w:p>
        </w:tc>
        <w:tc>
          <w:tcPr>
            <w:tcW w:w="2369" w:type="pct"/>
            <w:shd w:val="clear" w:color="auto" w:fill="auto"/>
          </w:tcPr>
          <w:p w:rsidR="00544C7A" w:rsidRPr="0012760D" w:rsidRDefault="00544C7A" w:rsidP="00805FDC">
            <w:pPr>
              <w:rPr>
                <w:sz w:val="24"/>
                <w:szCs w:val="24"/>
              </w:rPr>
            </w:pPr>
            <w:r w:rsidRPr="0012760D">
              <w:rPr>
                <w:sz w:val="24"/>
                <w:szCs w:val="24"/>
              </w:rPr>
              <w:t>Conflict management training for transfer station staff</w:t>
            </w:r>
          </w:p>
        </w:tc>
        <w:tc>
          <w:tcPr>
            <w:tcW w:w="790" w:type="pct"/>
            <w:shd w:val="clear" w:color="auto" w:fill="auto"/>
          </w:tcPr>
          <w:p w:rsidR="00544C7A" w:rsidRPr="0012760D" w:rsidRDefault="00544C7A" w:rsidP="00805FDC">
            <w:pPr>
              <w:jc w:val="right"/>
              <w:rPr>
                <w:sz w:val="24"/>
                <w:szCs w:val="24"/>
              </w:rPr>
            </w:pPr>
            <w:r w:rsidRPr="0012760D">
              <w:rPr>
                <w:sz w:val="24"/>
                <w:szCs w:val="24"/>
              </w:rPr>
              <w:t>15,000</w:t>
            </w:r>
          </w:p>
        </w:tc>
      </w:tr>
      <w:tr w:rsidR="0012760D" w:rsidRPr="0012760D" w:rsidTr="00544C7A">
        <w:tblPrEx>
          <w:tblCellMar>
            <w:top w:w="0" w:type="dxa"/>
            <w:bottom w:w="0" w:type="dxa"/>
          </w:tblCellMar>
        </w:tblPrEx>
        <w:tc>
          <w:tcPr>
            <w:tcW w:w="1841" w:type="pct"/>
            <w:shd w:val="clear" w:color="auto" w:fill="auto"/>
          </w:tcPr>
          <w:p w:rsidR="00544C7A" w:rsidRPr="0012760D" w:rsidRDefault="00544C7A" w:rsidP="00805FDC">
            <w:pPr>
              <w:rPr>
                <w:sz w:val="24"/>
                <w:szCs w:val="24"/>
              </w:rPr>
            </w:pPr>
            <w:r w:rsidRPr="0012760D">
              <w:rPr>
                <w:sz w:val="24"/>
                <w:szCs w:val="24"/>
              </w:rPr>
              <w:t>Goulburn Valley</w:t>
            </w:r>
          </w:p>
        </w:tc>
        <w:tc>
          <w:tcPr>
            <w:tcW w:w="2369" w:type="pct"/>
            <w:shd w:val="clear" w:color="auto" w:fill="auto"/>
          </w:tcPr>
          <w:p w:rsidR="00544C7A" w:rsidRPr="0012760D" w:rsidRDefault="00544C7A" w:rsidP="00805FDC">
            <w:pPr>
              <w:rPr>
                <w:sz w:val="24"/>
                <w:szCs w:val="24"/>
              </w:rPr>
            </w:pPr>
            <w:r w:rsidRPr="0012760D">
              <w:rPr>
                <w:sz w:val="24"/>
                <w:szCs w:val="24"/>
              </w:rPr>
              <w:t>Certificate IV Asset maintenance (Waste Management) delivery in the GV</w:t>
            </w:r>
          </w:p>
        </w:tc>
        <w:tc>
          <w:tcPr>
            <w:tcW w:w="790" w:type="pct"/>
            <w:shd w:val="clear" w:color="auto" w:fill="auto"/>
          </w:tcPr>
          <w:p w:rsidR="00544C7A" w:rsidRPr="0012760D" w:rsidRDefault="00544C7A" w:rsidP="00805FDC">
            <w:pPr>
              <w:jc w:val="right"/>
              <w:rPr>
                <w:sz w:val="24"/>
                <w:szCs w:val="24"/>
              </w:rPr>
            </w:pPr>
            <w:r w:rsidRPr="0012760D">
              <w:rPr>
                <w:sz w:val="24"/>
                <w:szCs w:val="24"/>
              </w:rPr>
              <w:t>9,500</w:t>
            </w:r>
          </w:p>
        </w:tc>
      </w:tr>
      <w:tr w:rsidR="0012760D" w:rsidRPr="0012760D" w:rsidTr="00544C7A">
        <w:tblPrEx>
          <w:tblCellMar>
            <w:top w:w="0" w:type="dxa"/>
            <w:bottom w:w="0" w:type="dxa"/>
          </w:tblCellMar>
        </w:tblPrEx>
        <w:tc>
          <w:tcPr>
            <w:tcW w:w="1841" w:type="pct"/>
            <w:shd w:val="clear" w:color="auto" w:fill="auto"/>
          </w:tcPr>
          <w:p w:rsidR="00544C7A" w:rsidRPr="0012760D" w:rsidRDefault="00544C7A" w:rsidP="00805FDC">
            <w:pPr>
              <w:rPr>
                <w:sz w:val="24"/>
                <w:szCs w:val="24"/>
              </w:rPr>
            </w:pPr>
            <w:r w:rsidRPr="0012760D">
              <w:rPr>
                <w:sz w:val="24"/>
                <w:szCs w:val="24"/>
              </w:rPr>
              <w:t>Goulburn Valley</w:t>
            </w:r>
          </w:p>
        </w:tc>
        <w:tc>
          <w:tcPr>
            <w:tcW w:w="2369" w:type="pct"/>
            <w:shd w:val="clear" w:color="auto" w:fill="auto"/>
          </w:tcPr>
          <w:p w:rsidR="00544C7A" w:rsidRPr="0012760D" w:rsidRDefault="00544C7A" w:rsidP="00805FDC">
            <w:pPr>
              <w:rPr>
                <w:sz w:val="24"/>
                <w:szCs w:val="24"/>
              </w:rPr>
            </w:pPr>
            <w:r w:rsidRPr="0012760D">
              <w:rPr>
                <w:sz w:val="24"/>
                <w:szCs w:val="24"/>
              </w:rPr>
              <w:t xml:space="preserve">Kerbside organics trial collection for the Campaspe </w:t>
            </w:r>
            <w:r w:rsidR="00236A13">
              <w:rPr>
                <w:sz w:val="24"/>
                <w:szCs w:val="24"/>
              </w:rPr>
              <w:t>and</w:t>
            </w:r>
            <w:r w:rsidRPr="0012760D">
              <w:rPr>
                <w:sz w:val="24"/>
                <w:szCs w:val="24"/>
              </w:rPr>
              <w:t xml:space="preserve"> Mitchell Shires</w:t>
            </w:r>
          </w:p>
        </w:tc>
        <w:tc>
          <w:tcPr>
            <w:tcW w:w="790" w:type="pct"/>
            <w:shd w:val="clear" w:color="auto" w:fill="auto"/>
          </w:tcPr>
          <w:p w:rsidR="00544C7A" w:rsidRPr="0012760D" w:rsidRDefault="00544C7A" w:rsidP="00805FDC">
            <w:pPr>
              <w:jc w:val="right"/>
              <w:rPr>
                <w:sz w:val="24"/>
                <w:szCs w:val="24"/>
              </w:rPr>
            </w:pPr>
            <w:r w:rsidRPr="0012760D">
              <w:rPr>
                <w:sz w:val="24"/>
                <w:szCs w:val="24"/>
              </w:rPr>
              <w:t>26,500</w:t>
            </w:r>
          </w:p>
        </w:tc>
      </w:tr>
    </w:tbl>
    <w:p w:rsidR="00544C7A" w:rsidRPr="0012760D" w:rsidRDefault="00544C7A" w:rsidP="00544C7A">
      <w:pPr>
        <w:rPr>
          <w:sz w:val="24"/>
          <w:szCs w:val="24"/>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40" w:type="dxa"/>
          <w:right w:w="40" w:type="dxa"/>
        </w:tblCellMar>
        <w:tblLook w:val="0000" w:firstRow="0" w:lastRow="0" w:firstColumn="0" w:lastColumn="0" w:noHBand="0" w:noVBand="0"/>
      </w:tblPr>
      <w:tblGrid>
        <w:gridCol w:w="5109"/>
        <w:gridCol w:w="6621"/>
        <w:gridCol w:w="2304"/>
      </w:tblGrid>
      <w:tr w:rsidR="0012760D" w:rsidRPr="0012760D" w:rsidTr="00544C7A">
        <w:tblPrEx>
          <w:tblCellMar>
            <w:top w:w="0" w:type="dxa"/>
            <w:bottom w:w="0" w:type="dxa"/>
          </w:tblCellMar>
        </w:tblPrEx>
        <w:tc>
          <w:tcPr>
            <w:tcW w:w="1820" w:type="pct"/>
            <w:shd w:val="clear" w:color="auto" w:fill="auto"/>
          </w:tcPr>
          <w:p w:rsidR="00544C7A" w:rsidRPr="0012760D" w:rsidRDefault="00544C7A" w:rsidP="00805FDC">
            <w:pPr>
              <w:rPr>
                <w:sz w:val="24"/>
                <w:szCs w:val="24"/>
              </w:rPr>
            </w:pPr>
            <w:r w:rsidRPr="0012760D">
              <w:rPr>
                <w:sz w:val="24"/>
                <w:szCs w:val="24"/>
              </w:rPr>
              <w:t>Goulburn Valley</w:t>
            </w:r>
          </w:p>
        </w:tc>
        <w:tc>
          <w:tcPr>
            <w:tcW w:w="2359" w:type="pct"/>
            <w:shd w:val="clear" w:color="auto" w:fill="auto"/>
          </w:tcPr>
          <w:p w:rsidR="00544C7A" w:rsidRPr="0012760D" w:rsidRDefault="00544C7A" w:rsidP="00805FDC">
            <w:pPr>
              <w:rPr>
                <w:sz w:val="24"/>
                <w:szCs w:val="24"/>
              </w:rPr>
            </w:pPr>
            <w:r w:rsidRPr="0012760D">
              <w:rPr>
                <w:sz w:val="24"/>
                <w:szCs w:val="24"/>
              </w:rPr>
              <w:t>Regional Attitudinal Survey for Goulburn Valley</w:t>
            </w:r>
          </w:p>
        </w:tc>
        <w:tc>
          <w:tcPr>
            <w:tcW w:w="822" w:type="pct"/>
            <w:shd w:val="clear" w:color="auto" w:fill="auto"/>
          </w:tcPr>
          <w:p w:rsidR="00544C7A" w:rsidRPr="0012760D" w:rsidRDefault="00544C7A" w:rsidP="00805FDC">
            <w:pPr>
              <w:jc w:val="right"/>
              <w:rPr>
                <w:sz w:val="24"/>
                <w:szCs w:val="24"/>
              </w:rPr>
            </w:pPr>
            <w:r w:rsidRPr="0012760D">
              <w:rPr>
                <w:sz w:val="24"/>
                <w:szCs w:val="24"/>
              </w:rPr>
              <w:t>40,000</w:t>
            </w:r>
          </w:p>
        </w:tc>
      </w:tr>
      <w:tr w:rsidR="0012760D" w:rsidRPr="0012760D" w:rsidTr="00544C7A">
        <w:tblPrEx>
          <w:tblCellMar>
            <w:top w:w="0" w:type="dxa"/>
            <w:bottom w:w="0" w:type="dxa"/>
          </w:tblCellMar>
        </w:tblPrEx>
        <w:tc>
          <w:tcPr>
            <w:tcW w:w="1820" w:type="pct"/>
            <w:shd w:val="clear" w:color="auto" w:fill="auto"/>
          </w:tcPr>
          <w:p w:rsidR="00544C7A" w:rsidRPr="0012760D" w:rsidRDefault="00544C7A" w:rsidP="00805FDC">
            <w:pPr>
              <w:rPr>
                <w:sz w:val="24"/>
                <w:szCs w:val="24"/>
              </w:rPr>
            </w:pPr>
            <w:r w:rsidRPr="0012760D">
              <w:rPr>
                <w:sz w:val="24"/>
                <w:szCs w:val="24"/>
              </w:rPr>
              <w:t>Goulburn Valley</w:t>
            </w:r>
          </w:p>
        </w:tc>
        <w:tc>
          <w:tcPr>
            <w:tcW w:w="2359" w:type="pct"/>
            <w:shd w:val="clear" w:color="auto" w:fill="auto"/>
          </w:tcPr>
          <w:p w:rsidR="00544C7A" w:rsidRPr="0012760D" w:rsidRDefault="00544C7A" w:rsidP="00805FDC">
            <w:pPr>
              <w:rPr>
                <w:sz w:val="24"/>
                <w:szCs w:val="24"/>
              </w:rPr>
            </w:pPr>
            <w:r w:rsidRPr="0012760D">
              <w:rPr>
                <w:sz w:val="24"/>
                <w:szCs w:val="24"/>
              </w:rPr>
              <w:t>Regional Kerbside advertising campaign</w:t>
            </w:r>
          </w:p>
        </w:tc>
        <w:tc>
          <w:tcPr>
            <w:tcW w:w="822" w:type="pct"/>
            <w:shd w:val="clear" w:color="auto" w:fill="auto"/>
          </w:tcPr>
          <w:p w:rsidR="00544C7A" w:rsidRPr="0012760D" w:rsidRDefault="00544C7A" w:rsidP="00805FDC">
            <w:pPr>
              <w:jc w:val="right"/>
              <w:rPr>
                <w:sz w:val="24"/>
                <w:szCs w:val="24"/>
              </w:rPr>
            </w:pPr>
            <w:r w:rsidRPr="0012760D">
              <w:rPr>
                <w:sz w:val="24"/>
                <w:szCs w:val="24"/>
              </w:rPr>
              <w:t>8,000</w:t>
            </w:r>
          </w:p>
        </w:tc>
      </w:tr>
      <w:tr w:rsidR="0012760D" w:rsidRPr="0012760D" w:rsidTr="00544C7A">
        <w:tblPrEx>
          <w:tblCellMar>
            <w:top w:w="0" w:type="dxa"/>
            <w:bottom w:w="0" w:type="dxa"/>
          </w:tblCellMar>
        </w:tblPrEx>
        <w:tc>
          <w:tcPr>
            <w:tcW w:w="1820" w:type="pct"/>
            <w:shd w:val="clear" w:color="auto" w:fill="auto"/>
          </w:tcPr>
          <w:p w:rsidR="00544C7A" w:rsidRPr="0012760D" w:rsidRDefault="00544C7A" w:rsidP="00805FDC">
            <w:pPr>
              <w:rPr>
                <w:sz w:val="24"/>
                <w:szCs w:val="24"/>
              </w:rPr>
            </w:pPr>
            <w:r w:rsidRPr="0012760D">
              <w:rPr>
                <w:sz w:val="24"/>
                <w:szCs w:val="24"/>
              </w:rPr>
              <w:t>Grampians</w:t>
            </w:r>
          </w:p>
        </w:tc>
        <w:tc>
          <w:tcPr>
            <w:tcW w:w="2359" w:type="pct"/>
            <w:shd w:val="clear" w:color="auto" w:fill="auto"/>
          </w:tcPr>
          <w:p w:rsidR="00544C7A" w:rsidRPr="0012760D" w:rsidRDefault="00544C7A" w:rsidP="00805FDC">
            <w:pPr>
              <w:rPr>
                <w:sz w:val="24"/>
                <w:szCs w:val="24"/>
              </w:rPr>
            </w:pPr>
            <w:r w:rsidRPr="0012760D">
              <w:rPr>
                <w:sz w:val="24"/>
                <w:szCs w:val="24"/>
              </w:rPr>
              <w:t>2nd Hand Saturday</w:t>
            </w:r>
          </w:p>
        </w:tc>
        <w:tc>
          <w:tcPr>
            <w:tcW w:w="822" w:type="pct"/>
            <w:shd w:val="clear" w:color="auto" w:fill="auto"/>
          </w:tcPr>
          <w:p w:rsidR="00544C7A" w:rsidRPr="0012760D" w:rsidRDefault="00544C7A" w:rsidP="00805FDC">
            <w:pPr>
              <w:jc w:val="right"/>
              <w:rPr>
                <w:sz w:val="24"/>
                <w:szCs w:val="24"/>
              </w:rPr>
            </w:pPr>
            <w:r w:rsidRPr="0012760D">
              <w:rPr>
                <w:sz w:val="24"/>
                <w:szCs w:val="24"/>
              </w:rPr>
              <w:t>10,000</w:t>
            </w:r>
          </w:p>
        </w:tc>
      </w:tr>
      <w:tr w:rsidR="0012760D" w:rsidRPr="0012760D" w:rsidTr="00544C7A">
        <w:tblPrEx>
          <w:tblCellMar>
            <w:top w:w="0" w:type="dxa"/>
            <w:bottom w:w="0" w:type="dxa"/>
          </w:tblCellMar>
        </w:tblPrEx>
        <w:tc>
          <w:tcPr>
            <w:tcW w:w="1820" w:type="pct"/>
            <w:shd w:val="clear" w:color="auto" w:fill="auto"/>
          </w:tcPr>
          <w:p w:rsidR="00544C7A" w:rsidRPr="0012760D" w:rsidRDefault="00544C7A" w:rsidP="00805FDC">
            <w:pPr>
              <w:rPr>
                <w:sz w:val="24"/>
                <w:szCs w:val="24"/>
              </w:rPr>
            </w:pPr>
            <w:r w:rsidRPr="0012760D">
              <w:rPr>
                <w:sz w:val="24"/>
                <w:szCs w:val="24"/>
              </w:rPr>
              <w:t>Grampians</w:t>
            </w:r>
          </w:p>
        </w:tc>
        <w:tc>
          <w:tcPr>
            <w:tcW w:w="2359" w:type="pct"/>
            <w:shd w:val="clear" w:color="auto" w:fill="auto"/>
          </w:tcPr>
          <w:p w:rsidR="00544C7A" w:rsidRPr="0012760D" w:rsidRDefault="00544C7A" w:rsidP="00805FDC">
            <w:pPr>
              <w:rPr>
                <w:sz w:val="24"/>
                <w:szCs w:val="24"/>
              </w:rPr>
            </w:pPr>
            <w:r w:rsidRPr="0012760D">
              <w:rPr>
                <w:sz w:val="24"/>
                <w:szCs w:val="24"/>
              </w:rPr>
              <w:t>CROP (Cross Regional Organics Processing) Project in Highlands and Grampians Regions</w:t>
            </w:r>
          </w:p>
        </w:tc>
        <w:tc>
          <w:tcPr>
            <w:tcW w:w="822" w:type="pct"/>
            <w:shd w:val="clear" w:color="auto" w:fill="auto"/>
          </w:tcPr>
          <w:p w:rsidR="00544C7A" w:rsidRPr="0012760D" w:rsidRDefault="00544C7A" w:rsidP="00805FDC">
            <w:pPr>
              <w:jc w:val="right"/>
              <w:rPr>
                <w:sz w:val="24"/>
                <w:szCs w:val="24"/>
              </w:rPr>
            </w:pPr>
            <w:r w:rsidRPr="0012760D">
              <w:rPr>
                <w:sz w:val="24"/>
                <w:szCs w:val="24"/>
              </w:rPr>
              <w:t>50,000</w:t>
            </w:r>
          </w:p>
        </w:tc>
      </w:tr>
      <w:tr w:rsidR="0012760D" w:rsidRPr="0012760D" w:rsidTr="00544C7A">
        <w:tblPrEx>
          <w:tblCellMar>
            <w:top w:w="0" w:type="dxa"/>
            <w:bottom w:w="0" w:type="dxa"/>
          </w:tblCellMar>
        </w:tblPrEx>
        <w:tc>
          <w:tcPr>
            <w:tcW w:w="1820" w:type="pct"/>
            <w:shd w:val="clear" w:color="auto" w:fill="auto"/>
          </w:tcPr>
          <w:p w:rsidR="00544C7A" w:rsidRPr="0012760D" w:rsidRDefault="00544C7A" w:rsidP="00805FDC">
            <w:pPr>
              <w:rPr>
                <w:sz w:val="24"/>
                <w:szCs w:val="24"/>
              </w:rPr>
            </w:pPr>
            <w:r w:rsidRPr="0012760D">
              <w:rPr>
                <w:sz w:val="24"/>
                <w:szCs w:val="24"/>
              </w:rPr>
              <w:t>Grampians</w:t>
            </w:r>
          </w:p>
        </w:tc>
        <w:tc>
          <w:tcPr>
            <w:tcW w:w="2359" w:type="pct"/>
            <w:shd w:val="clear" w:color="auto" w:fill="auto"/>
          </w:tcPr>
          <w:p w:rsidR="00544C7A" w:rsidRPr="0012760D" w:rsidRDefault="00544C7A" w:rsidP="00805FDC">
            <w:pPr>
              <w:rPr>
                <w:sz w:val="24"/>
                <w:szCs w:val="24"/>
              </w:rPr>
            </w:pPr>
            <w:r w:rsidRPr="0012760D">
              <w:rPr>
                <w:sz w:val="24"/>
                <w:szCs w:val="24"/>
              </w:rPr>
              <w:t>GRASP (Glass Recycling and Market Development Solutions for the end Product)</w:t>
            </w:r>
          </w:p>
        </w:tc>
        <w:tc>
          <w:tcPr>
            <w:tcW w:w="822" w:type="pct"/>
            <w:shd w:val="clear" w:color="auto" w:fill="auto"/>
          </w:tcPr>
          <w:p w:rsidR="00544C7A" w:rsidRPr="0012760D" w:rsidRDefault="00544C7A" w:rsidP="00805FDC">
            <w:pPr>
              <w:jc w:val="right"/>
              <w:rPr>
                <w:sz w:val="24"/>
                <w:szCs w:val="24"/>
              </w:rPr>
            </w:pPr>
            <w:r w:rsidRPr="0012760D">
              <w:rPr>
                <w:sz w:val="24"/>
                <w:szCs w:val="24"/>
              </w:rPr>
              <w:t>15,000</w:t>
            </w:r>
          </w:p>
        </w:tc>
      </w:tr>
      <w:tr w:rsidR="0012760D" w:rsidRPr="0012760D" w:rsidTr="00544C7A">
        <w:tblPrEx>
          <w:tblCellMar>
            <w:top w:w="0" w:type="dxa"/>
            <w:bottom w:w="0" w:type="dxa"/>
          </w:tblCellMar>
        </w:tblPrEx>
        <w:tc>
          <w:tcPr>
            <w:tcW w:w="1820" w:type="pct"/>
            <w:shd w:val="clear" w:color="auto" w:fill="auto"/>
          </w:tcPr>
          <w:p w:rsidR="00544C7A" w:rsidRPr="0012760D" w:rsidRDefault="00544C7A" w:rsidP="00805FDC">
            <w:pPr>
              <w:rPr>
                <w:sz w:val="24"/>
                <w:szCs w:val="24"/>
              </w:rPr>
            </w:pPr>
            <w:r w:rsidRPr="0012760D">
              <w:rPr>
                <w:sz w:val="24"/>
                <w:szCs w:val="24"/>
              </w:rPr>
              <w:t>Grampians</w:t>
            </w:r>
          </w:p>
        </w:tc>
        <w:tc>
          <w:tcPr>
            <w:tcW w:w="2359" w:type="pct"/>
            <w:shd w:val="clear" w:color="auto" w:fill="auto"/>
          </w:tcPr>
          <w:p w:rsidR="00544C7A" w:rsidRPr="0012760D" w:rsidRDefault="00544C7A" w:rsidP="00805FDC">
            <w:pPr>
              <w:rPr>
                <w:sz w:val="24"/>
                <w:szCs w:val="24"/>
              </w:rPr>
            </w:pPr>
            <w:r w:rsidRPr="0012760D">
              <w:rPr>
                <w:sz w:val="24"/>
                <w:szCs w:val="24"/>
              </w:rPr>
              <w:t>Kerbside Audit Program (KAP)</w:t>
            </w:r>
          </w:p>
        </w:tc>
        <w:tc>
          <w:tcPr>
            <w:tcW w:w="822" w:type="pct"/>
            <w:shd w:val="clear" w:color="auto" w:fill="auto"/>
          </w:tcPr>
          <w:p w:rsidR="00544C7A" w:rsidRPr="0012760D" w:rsidRDefault="00544C7A" w:rsidP="00805FDC">
            <w:pPr>
              <w:jc w:val="right"/>
              <w:rPr>
                <w:sz w:val="24"/>
                <w:szCs w:val="24"/>
              </w:rPr>
            </w:pPr>
            <w:r w:rsidRPr="0012760D">
              <w:rPr>
                <w:sz w:val="24"/>
                <w:szCs w:val="24"/>
              </w:rPr>
              <w:t>50,000</w:t>
            </w:r>
          </w:p>
        </w:tc>
      </w:tr>
      <w:tr w:rsidR="0012760D" w:rsidRPr="0012760D" w:rsidTr="00544C7A">
        <w:tblPrEx>
          <w:tblCellMar>
            <w:top w:w="0" w:type="dxa"/>
            <w:bottom w:w="0" w:type="dxa"/>
          </w:tblCellMar>
        </w:tblPrEx>
        <w:tc>
          <w:tcPr>
            <w:tcW w:w="1820" w:type="pct"/>
            <w:shd w:val="clear" w:color="auto" w:fill="auto"/>
          </w:tcPr>
          <w:p w:rsidR="00544C7A" w:rsidRPr="0012760D" w:rsidRDefault="00544C7A" w:rsidP="00805FDC">
            <w:pPr>
              <w:rPr>
                <w:sz w:val="24"/>
                <w:szCs w:val="24"/>
              </w:rPr>
            </w:pPr>
            <w:r w:rsidRPr="0012760D">
              <w:rPr>
                <w:sz w:val="24"/>
                <w:szCs w:val="24"/>
              </w:rPr>
              <w:lastRenderedPageBreak/>
              <w:t>Highlands</w:t>
            </w:r>
          </w:p>
        </w:tc>
        <w:tc>
          <w:tcPr>
            <w:tcW w:w="2359" w:type="pct"/>
            <w:shd w:val="clear" w:color="auto" w:fill="auto"/>
          </w:tcPr>
          <w:p w:rsidR="00544C7A" w:rsidRPr="0012760D" w:rsidRDefault="00544C7A" w:rsidP="00805FDC">
            <w:pPr>
              <w:rPr>
                <w:sz w:val="24"/>
                <w:szCs w:val="24"/>
              </w:rPr>
            </w:pPr>
            <w:r w:rsidRPr="0012760D">
              <w:rPr>
                <w:sz w:val="24"/>
                <w:szCs w:val="24"/>
              </w:rPr>
              <w:t>Kerbside Community Education Program</w:t>
            </w:r>
          </w:p>
        </w:tc>
        <w:tc>
          <w:tcPr>
            <w:tcW w:w="822" w:type="pct"/>
            <w:shd w:val="clear" w:color="auto" w:fill="auto"/>
          </w:tcPr>
          <w:p w:rsidR="00544C7A" w:rsidRPr="0012760D" w:rsidRDefault="00544C7A" w:rsidP="00805FDC">
            <w:pPr>
              <w:jc w:val="right"/>
              <w:rPr>
                <w:sz w:val="24"/>
                <w:szCs w:val="24"/>
              </w:rPr>
            </w:pPr>
            <w:r w:rsidRPr="0012760D">
              <w:rPr>
                <w:sz w:val="24"/>
                <w:szCs w:val="24"/>
              </w:rPr>
              <w:t>35,685</w:t>
            </w:r>
          </w:p>
        </w:tc>
      </w:tr>
      <w:tr w:rsidR="0012760D" w:rsidRPr="0012760D" w:rsidTr="00544C7A">
        <w:tblPrEx>
          <w:tblCellMar>
            <w:top w:w="0" w:type="dxa"/>
            <w:bottom w:w="0" w:type="dxa"/>
          </w:tblCellMar>
        </w:tblPrEx>
        <w:tc>
          <w:tcPr>
            <w:tcW w:w="1820" w:type="pct"/>
            <w:shd w:val="clear" w:color="auto" w:fill="auto"/>
          </w:tcPr>
          <w:p w:rsidR="00544C7A" w:rsidRPr="0012760D" w:rsidRDefault="00544C7A" w:rsidP="00805FDC">
            <w:pPr>
              <w:rPr>
                <w:sz w:val="24"/>
                <w:szCs w:val="24"/>
              </w:rPr>
            </w:pPr>
            <w:r w:rsidRPr="0012760D">
              <w:rPr>
                <w:sz w:val="24"/>
                <w:szCs w:val="24"/>
              </w:rPr>
              <w:t>Highlands</w:t>
            </w:r>
          </w:p>
        </w:tc>
        <w:tc>
          <w:tcPr>
            <w:tcW w:w="2359" w:type="pct"/>
            <w:shd w:val="clear" w:color="auto" w:fill="auto"/>
          </w:tcPr>
          <w:p w:rsidR="00544C7A" w:rsidRPr="0012760D" w:rsidRDefault="00544C7A" w:rsidP="00805FDC">
            <w:pPr>
              <w:rPr>
                <w:sz w:val="24"/>
                <w:szCs w:val="24"/>
              </w:rPr>
            </w:pPr>
            <w:r w:rsidRPr="0012760D">
              <w:rPr>
                <w:sz w:val="24"/>
                <w:szCs w:val="24"/>
              </w:rPr>
              <w:t>Greenwaste Chipper Blender</w:t>
            </w:r>
          </w:p>
        </w:tc>
        <w:tc>
          <w:tcPr>
            <w:tcW w:w="822" w:type="pct"/>
            <w:shd w:val="clear" w:color="auto" w:fill="auto"/>
          </w:tcPr>
          <w:p w:rsidR="00544C7A" w:rsidRPr="0012760D" w:rsidRDefault="00544C7A" w:rsidP="00805FDC">
            <w:pPr>
              <w:jc w:val="right"/>
              <w:rPr>
                <w:sz w:val="24"/>
                <w:szCs w:val="24"/>
              </w:rPr>
            </w:pPr>
            <w:r w:rsidRPr="0012760D">
              <w:rPr>
                <w:sz w:val="24"/>
                <w:szCs w:val="24"/>
              </w:rPr>
              <w:t>65,000</w:t>
            </w:r>
          </w:p>
        </w:tc>
      </w:tr>
      <w:tr w:rsidR="0012760D" w:rsidRPr="0012760D" w:rsidTr="00544C7A">
        <w:tblPrEx>
          <w:tblCellMar>
            <w:top w:w="0" w:type="dxa"/>
            <w:bottom w:w="0" w:type="dxa"/>
          </w:tblCellMar>
        </w:tblPrEx>
        <w:tc>
          <w:tcPr>
            <w:tcW w:w="1820" w:type="pct"/>
            <w:shd w:val="clear" w:color="auto" w:fill="auto"/>
          </w:tcPr>
          <w:p w:rsidR="00544C7A" w:rsidRPr="0012760D" w:rsidRDefault="00544C7A" w:rsidP="00805FDC">
            <w:pPr>
              <w:rPr>
                <w:sz w:val="24"/>
                <w:szCs w:val="24"/>
              </w:rPr>
            </w:pPr>
            <w:r w:rsidRPr="0012760D">
              <w:rPr>
                <w:sz w:val="24"/>
                <w:szCs w:val="24"/>
              </w:rPr>
              <w:t>Mildura</w:t>
            </w:r>
          </w:p>
        </w:tc>
        <w:tc>
          <w:tcPr>
            <w:tcW w:w="2359" w:type="pct"/>
            <w:shd w:val="clear" w:color="auto" w:fill="auto"/>
          </w:tcPr>
          <w:p w:rsidR="00544C7A" w:rsidRPr="0012760D" w:rsidRDefault="00544C7A" w:rsidP="00805FDC">
            <w:pPr>
              <w:rPr>
                <w:sz w:val="24"/>
                <w:szCs w:val="24"/>
              </w:rPr>
            </w:pPr>
            <w:r w:rsidRPr="0012760D">
              <w:rPr>
                <w:sz w:val="24"/>
                <w:szCs w:val="24"/>
              </w:rPr>
              <w:t>Sharps and Medical Waste</w:t>
            </w:r>
          </w:p>
        </w:tc>
        <w:tc>
          <w:tcPr>
            <w:tcW w:w="822" w:type="pct"/>
            <w:shd w:val="clear" w:color="auto" w:fill="auto"/>
          </w:tcPr>
          <w:p w:rsidR="00544C7A" w:rsidRPr="0012760D" w:rsidRDefault="00544C7A" w:rsidP="00805FDC">
            <w:pPr>
              <w:jc w:val="right"/>
              <w:rPr>
                <w:sz w:val="24"/>
                <w:szCs w:val="24"/>
              </w:rPr>
            </w:pPr>
            <w:r w:rsidRPr="0012760D">
              <w:rPr>
                <w:sz w:val="24"/>
                <w:szCs w:val="24"/>
              </w:rPr>
              <w:t>2,500</w:t>
            </w:r>
          </w:p>
        </w:tc>
      </w:tr>
      <w:tr w:rsidR="0012760D" w:rsidRPr="0012760D" w:rsidTr="00544C7A">
        <w:tblPrEx>
          <w:tblCellMar>
            <w:top w:w="0" w:type="dxa"/>
            <w:bottom w:w="0" w:type="dxa"/>
          </w:tblCellMar>
        </w:tblPrEx>
        <w:tc>
          <w:tcPr>
            <w:tcW w:w="1820" w:type="pct"/>
            <w:shd w:val="clear" w:color="auto" w:fill="auto"/>
          </w:tcPr>
          <w:p w:rsidR="00544C7A" w:rsidRPr="0012760D" w:rsidRDefault="00544C7A" w:rsidP="00805FDC">
            <w:pPr>
              <w:rPr>
                <w:sz w:val="24"/>
                <w:szCs w:val="24"/>
              </w:rPr>
            </w:pPr>
            <w:r w:rsidRPr="0012760D">
              <w:rPr>
                <w:sz w:val="24"/>
                <w:szCs w:val="24"/>
              </w:rPr>
              <w:t>Mildura</w:t>
            </w:r>
          </w:p>
        </w:tc>
        <w:tc>
          <w:tcPr>
            <w:tcW w:w="2359" w:type="pct"/>
            <w:shd w:val="clear" w:color="auto" w:fill="auto"/>
          </w:tcPr>
          <w:p w:rsidR="00544C7A" w:rsidRPr="0012760D" w:rsidRDefault="00544C7A" w:rsidP="00805FDC">
            <w:pPr>
              <w:rPr>
                <w:sz w:val="24"/>
                <w:szCs w:val="24"/>
              </w:rPr>
            </w:pPr>
            <w:r w:rsidRPr="0012760D">
              <w:rPr>
                <w:sz w:val="24"/>
                <w:szCs w:val="24"/>
              </w:rPr>
              <w:t>Education Kit Upgrade</w:t>
            </w:r>
          </w:p>
        </w:tc>
        <w:tc>
          <w:tcPr>
            <w:tcW w:w="822" w:type="pct"/>
            <w:shd w:val="clear" w:color="auto" w:fill="auto"/>
          </w:tcPr>
          <w:p w:rsidR="00544C7A" w:rsidRPr="0012760D" w:rsidRDefault="00544C7A" w:rsidP="00805FDC">
            <w:pPr>
              <w:jc w:val="right"/>
              <w:rPr>
                <w:sz w:val="24"/>
                <w:szCs w:val="24"/>
              </w:rPr>
            </w:pPr>
            <w:r w:rsidRPr="0012760D">
              <w:rPr>
                <w:sz w:val="24"/>
                <w:szCs w:val="24"/>
              </w:rPr>
              <w:t>28,000</w:t>
            </w:r>
          </w:p>
        </w:tc>
      </w:tr>
      <w:tr w:rsidR="0012760D" w:rsidRPr="0012760D" w:rsidTr="00544C7A">
        <w:tblPrEx>
          <w:tblCellMar>
            <w:top w:w="0" w:type="dxa"/>
            <w:bottom w:w="0" w:type="dxa"/>
          </w:tblCellMar>
        </w:tblPrEx>
        <w:tc>
          <w:tcPr>
            <w:tcW w:w="1820" w:type="pct"/>
            <w:shd w:val="clear" w:color="auto" w:fill="auto"/>
          </w:tcPr>
          <w:p w:rsidR="00544C7A" w:rsidRPr="0012760D" w:rsidRDefault="00544C7A" w:rsidP="00805FDC">
            <w:pPr>
              <w:rPr>
                <w:sz w:val="24"/>
                <w:szCs w:val="24"/>
              </w:rPr>
            </w:pPr>
            <w:r w:rsidRPr="0012760D">
              <w:rPr>
                <w:sz w:val="24"/>
                <w:szCs w:val="24"/>
              </w:rPr>
              <w:t>Mildura</w:t>
            </w:r>
          </w:p>
        </w:tc>
        <w:tc>
          <w:tcPr>
            <w:tcW w:w="2359" w:type="pct"/>
            <w:shd w:val="clear" w:color="auto" w:fill="auto"/>
          </w:tcPr>
          <w:p w:rsidR="00544C7A" w:rsidRPr="0012760D" w:rsidRDefault="00544C7A" w:rsidP="00805FDC">
            <w:pPr>
              <w:rPr>
                <w:sz w:val="24"/>
                <w:szCs w:val="24"/>
              </w:rPr>
            </w:pPr>
            <w:r w:rsidRPr="0012760D">
              <w:rPr>
                <w:sz w:val="24"/>
                <w:szCs w:val="24"/>
              </w:rPr>
              <w:t>Kerbside Organics Trial</w:t>
            </w:r>
          </w:p>
        </w:tc>
        <w:tc>
          <w:tcPr>
            <w:tcW w:w="822" w:type="pct"/>
            <w:shd w:val="clear" w:color="auto" w:fill="auto"/>
          </w:tcPr>
          <w:p w:rsidR="00544C7A" w:rsidRPr="0012760D" w:rsidRDefault="00544C7A" w:rsidP="00805FDC">
            <w:pPr>
              <w:jc w:val="right"/>
              <w:rPr>
                <w:sz w:val="24"/>
                <w:szCs w:val="24"/>
              </w:rPr>
            </w:pPr>
            <w:r w:rsidRPr="0012760D">
              <w:rPr>
                <w:sz w:val="24"/>
                <w:szCs w:val="24"/>
              </w:rPr>
              <w:t>25,000</w:t>
            </w:r>
          </w:p>
        </w:tc>
      </w:tr>
      <w:tr w:rsidR="0012760D" w:rsidRPr="0012760D" w:rsidTr="00544C7A">
        <w:tblPrEx>
          <w:tblCellMar>
            <w:top w:w="0" w:type="dxa"/>
            <w:bottom w:w="0" w:type="dxa"/>
          </w:tblCellMar>
        </w:tblPrEx>
        <w:tc>
          <w:tcPr>
            <w:tcW w:w="1820" w:type="pct"/>
            <w:shd w:val="clear" w:color="auto" w:fill="auto"/>
          </w:tcPr>
          <w:p w:rsidR="00544C7A" w:rsidRPr="0012760D" w:rsidRDefault="00544C7A" w:rsidP="00805FDC">
            <w:pPr>
              <w:rPr>
                <w:sz w:val="24"/>
                <w:szCs w:val="24"/>
              </w:rPr>
            </w:pPr>
            <w:r w:rsidRPr="0012760D">
              <w:rPr>
                <w:sz w:val="24"/>
                <w:szCs w:val="24"/>
              </w:rPr>
              <w:t>Mildura</w:t>
            </w:r>
          </w:p>
        </w:tc>
        <w:tc>
          <w:tcPr>
            <w:tcW w:w="2359" w:type="pct"/>
            <w:shd w:val="clear" w:color="auto" w:fill="auto"/>
          </w:tcPr>
          <w:p w:rsidR="00544C7A" w:rsidRPr="0012760D" w:rsidRDefault="00544C7A" w:rsidP="00805FDC">
            <w:pPr>
              <w:rPr>
                <w:sz w:val="24"/>
                <w:szCs w:val="24"/>
              </w:rPr>
            </w:pPr>
            <w:r w:rsidRPr="0012760D">
              <w:rPr>
                <w:sz w:val="24"/>
                <w:szCs w:val="24"/>
              </w:rPr>
              <w:t>Polystyrene Compactor</w:t>
            </w:r>
          </w:p>
        </w:tc>
        <w:tc>
          <w:tcPr>
            <w:tcW w:w="822" w:type="pct"/>
            <w:shd w:val="clear" w:color="auto" w:fill="auto"/>
          </w:tcPr>
          <w:p w:rsidR="00544C7A" w:rsidRPr="0012760D" w:rsidRDefault="00544C7A" w:rsidP="00805FDC">
            <w:pPr>
              <w:jc w:val="right"/>
              <w:rPr>
                <w:sz w:val="24"/>
                <w:szCs w:val="24"/>
              </w:rPr>
            </w:pPr>
            <w:r w:rsidRPr="0012760D">
              <w:rPr>
                <w:sz w:val="24"/>
                <w:szCs w:val="24"/>
              </w:rPr>
              <w:t>25,000</w:t>
            </w:r>
          </w:p>
        </w:tc>
      </w:tr>
      <w:tr w:rsidR="0012760D" w:rsidRPr="0012760D" w:rsidTr="00544C7A">
        <w:tblPrEx>
          <w:tblCellMar>
            <w:top w:w="0" w:type="dxa"/>
            <w:bottom w:w="0" w:type="dxa"/>
          </w:tblCellMar>
        </w:tblPrEx>
        <w:tc>
          <w:tcPr>
            <w:tcW w:w="1820" w:type="pct"/>
            <w:shd w:val="clear" w:color="auto" w:fill="auto"/>
          </w:tcPr>
          <w:p w:rsidR="00544C7A" w:rsidRPr="0012760D" w:rsidRDefault="00544C7A" w:rsidP="00805FDC">
            <w:pPr>
              <w:rPr>
                <w:sz w:val="24"/>
                <w:szCs w:val="24"/>
              </w:rPr>
            </w:pPr>
            <w:r w:rsidRPr="0012760D">
              <w:rPr>
                <w:sz w:val="24"/>
                <w:szCs w:val="24"/>
              </w:rPr>
              <w:t>Mildura</w:t>
            </w:r>
          </w:p>
        </w:tc>
        <w:tc>
          <w:tcPr>
            <w:tcW w:w="2359" w:type="pct"/>
            <w:shd w:val="clear" w:color="auto" w:fill="auto"/>
          </w:tcPr>
          <w:p w:rsidR="00544C7A" w:rsidRPr="0012760D" w:rsidRDefault="00544C7A" w:rsidP="00805FDC">
            <w:pPr>
              <w:rPr>
                <w:sz w:val="24"/>
                <w:szCs w:val="24"/>
              </w:rPr>
            </w:pPr>
            <w:r w:rsidRPr="0012760D">
              <w:rPr>
                <w:sz w:val="24"/>
                <w:szCs w:val="24"/>
              </w:rPr>
              <w:t>Home Recycling Eco Bin</w:t>
            </w:r>
          </w:p>
        </w:tc>
        <w:tc>
          <w:tcPr>
            <w:tcW w:w="822" w:type="pct"/>
            <w:shd w:val="clear" w:color="auto" w:fill="auto"/>
          </w:tcPr>
          <w:p w:rsidR="00544C7A" w:rsidRPr="0012760D" w:rsidRDefault="00544C7A" w:rsidP="00805FDC">
            <w:pPr>
              <w:jc w:val="right"/>
              <w:rPr>
                <w:sz w:val="24"/>
                <w:szCs w:val="24"/>
              </w:rPr>
            </w:pPr>
            <w:r w:rsidRPr="0012760D">
              <w:rPr>
                <w:sz w:val="24"/>
                <w:szCs w:val="24"/>
              </w:rPr>
              <w:t>28,500</w:t>
            </w:r>
          </w:p>
        </w:tc>
      </w:tr>
      <w:tr w:rsidR="0012760D" w:rsidRPr="0012760D" w:rsidTr="00544C7A">
        <w:tblPrEx>
          <w:tblCellMar>
            <w:top w:w="0" w:type="dxa"/>
            <w:bottom w:w="0" w:type="dxa"/>
          </w:tblCellMar>
        </w:tblPrEx>
        <w:tc>
          <w:tcPr>
            <w:tcW w:w="1820" w:type="pct"/>
            <w:shd w:val="clear" w:color="auto" w:fill="auto"/>
          </w:tcPr>
          <w:p w:rsidR="00544C7A" w:rsidRPr="0012760D" w:rsidRDefault="00544C7A" w:rsidP="00805FDC">
            <w:pPr>
              <w:rPr>
                <w:sz w:val="24"/>
                <w:szCs w:val="24"/>
              </w:rPr>
            </w:pPr>
            <w:r w:rsidRPr="0012760D">
              <w:rPr>
                <w:sz w:val="24"/>
                <w:szCs w:val="24"/>
              </w:rPr>
              <w:t>Mildura</w:t>
            </w:r>
          </w:p>
        </w:tc>
        <w:tc>
          <w:tcPr>
            <w:tcW w:w="2359" w:type="pct"/>
            <w:shd w:val="clear" w:color="auto" w:fill="auto"/>
          </w:tcPr>
          <w:p w:rsidR="00544C7A" w:rsidRPr="0012760D" w:rsidRDefault="00544C7A" w:rsidP="00805FDC">
            <w:pPr>
              <w:rPr>
                <w:sz w:val="24"/>
                <w:szCs w:val="24"/>
              </w:rPr>
            </w:pPr>
            <w:r w:rsidRPr="0012760D">
              <w:rPr>
                <w:sz w:val="24"/>
                <w:szCs w:val="24"/>
              </w:rPr>
              <w:t>Dog Pouches</w:t>
            </w:r>
          </w:p>
        </w:tc>
        <w:tc>
          <w:tcPr>
            <w:tcW w:w="822" w:type="pct"/>
            <w:shd w:val="clear" w:color="auto" w:fill="auto"/>
          </w:tcPr>
          <w:p w:rsidR="00544C7A" w:rsidRPr="0012760D" w:rsidRDefault="00544C7A" w:rsidP="00805FDC">
            <w:pPr>
              <w:jc w:val="right"/>
              <w:rPr>
                <w:sz w:val="24"/>
                <w:szCs w:val="24"/>
              </w:rPr>
            </w:pPr>
            <w:r w:rsidRPr="0012760D">
              <w:rPr>
                <w:sz w:val="24"/>
                <w:szCs w:val="24"/>
              </w:rPr>
              <w:t>1,000</w:t>
            </w:r>
          </w:p>
        </w:tc>
      </w:tr>
      <w:tr w:rsidR="0012760D" w:rsidRPr="0012760D" w:rsidTr="00544C7A">
        <w:tblPrEx>
          <w:tblCellMar>
            <w:top w:w="0" w:type="dxa"/>
            <w:bottom w:w="0" w:type="dxa"/>
          </w:tblCellMar>
        </w:tblPrEx>
        <w:tc>
          <w:tcPr>
            <w:tcW w:w="1820" w:type="pct"/>
            <w:shd w:val="clear" w:color="auto" w:fill="auto"/>
          </w:tcPr>
          <w:p w:rsidR="00544C7A" w:rsidRPr="0012760D" w:rsidRDefault="00544C7A" w:rsidP="00805FDC">
            <w:pPr>
              <w:rPr>
                <w:sz w:val="24"/>
                <w:szCs w:val="24"/>
              </w:rPr>
            </w:pPr>
            <w:r w:rsidRPr="0012760D">
              <w:rPr>
                <w:sz w:val="24"/>
                <w:szCs w:val="24"/>
              </w:rPr>
              <w:t>Mildura</w:t>
            </w:r>
          </w:p>
        </w:tc>
        <w:tc>
          <w:tcPr>
            <w:tcW w:w="2359" w:type="pct"/>
            <w:shd w:val="clear" w:color="auto" w:fill="auto"/>
          </w:tcPr>
          <w:p w:rsidR="00544C7A" w:rsidRPr="0012760D" w:rsidRDefault="00544C7A" w:rsidP="00805FDC">
            <w:pPr>
              <w:rPr>
                <w:sz w:val="24"/>
                <w:szCs w:val="24"/>
              </w:rPr>
            </w:pPr>
            <w:r w:rsidRPr="0012760D">
              <w:rPr>
                <w:sz w:val="24"/>
                <w:szCs w:val="24"/>
              </w:rPr>
              <w:t>Food Waste Avoidance</w:t>
            </w:r>
          </w:p>
        </w:tc>
        <w:tc>
          <w:tcPr>
            <w:tcW w:w="822" w:type="pct"/>
            <w:shd w:val="clear" w:color="auto" w:fill="auto"/>
          </w:tcPr>
          <w:p w:rsidR="00544C7A" w:rsidRPr="0012760D" w:rsidRDefault="00544C7A" w:rsidP="00805FDC">
            <w:pPr>
              <w:jc w:val="right"/>
              <w:rPr>
                <w:sz w:val="24"/>
                <w:szCs w:val="24"/>
              </w:rPr>
            </w:pPr>
            <w:r w:rsidRPr="0012760D">
              <w:rPr>
                <w:sz w:val="24"/>
                <w:szCs w:val="24"/>
              </w:rPr>
              <w:t>10,000</w:t>
            </w:r>
          </w:p>
        </w:tc>
      </w:tr>
      <w:tr w:rsidR="0012760D" w:rsidRPr="0012760D" w:rsidTr="00544C7A">
        <w:tblPrEx>
          <w:tblCellMar>
            <w:top w:w="0" w:type="dxa"/>
            <w:bottom w:w="0" w:type="dxa"/>
          </w:tblCellMar>
        </w:tblPrEx>
        <w:tc>
          <w:tcPr>
            <w:tcW w:w="1820" w:type="pct"/>
            <w:shd w:val="clear" w:color="auto" w:fill="auto"/>
          </w:tcPr>
          <w:p w:rsidR="00544C7A" w:rsidRPr="0012760D" w:rsidRDefault="00544C7A" w:rsidP="00805FDC">
            <w:pPr>
              <w:rPr>
                <w:sz w:val="24"/>
                <w:szCs w:val="24"/>
              </w:rPr>
            </w:pPr>
            <w:r w:rsidRPr="0012760D">
              <w:rPr>
                <w:sz w:val="24"/>
                <w:szCs w:val="24"/>
              </w:rPr>
              <w:t>Mildura</w:t>
            </w:r>
          </w:p>
        </w:tc>
        <w:tc>
          <w:tcPr>
            <w:tcW w:w="2359" w:type="pct"/>
            <w:shd w:val="clear" w:color="auto" w:fill="auto"/>
          </w:tcPr>
          <w:p w:rsidR="00544C7A" w:rsidRPr="0012760D" w:rsidRDefault="00544C7A" w:rsidP="00805FDC">
            <w:pPr>
              <w:rPr>
                <w:sz w:val="24"/>
                <w:szCs w:val="24"/>
              </w:rPr>
            </w:pPr>
            <w:r w:rsidRPr="0012760D">
              <w:rPr>
                <w:sz w:val="24"/>
                <w:szCs w:val="24"/>
              </w:rPr>
              <w:t>Kerbside Pride for Business</w:t>
            </w:r>
          </w:p>
        </w:tc>
        <w:tc>
          <w:tcPr>
            <w:tcW w:w="822" w:type="pct"/>
            <w:shd w:val="clear" w:color="auto" w:fill="auto"/>
          </w:tcPr>
          <w:p w:rsidR="00544C7A" w:rsidRPr="0012760D" w:rsidRDefault="00544C7A" w:rsidP="00805FDC">
            <w:pPr>
              <w:jc w:val="right"/>
              <w:rPr>
                <w:sz w:val="24"/>
                <w:szCs w:val="24"/>
              </w:rPr>
            </w:pPr>
            <w:r w:rsidRPr="0012760D">
              <w:rPr>
                <w:sz w:val="24"/>
                <w:szCs w:val="24"/>
              </w:rPr>
              <w:t>5,000</w:t>
            </w:r>
          </w:p>
        </w:tc>
      </w:tr>
      <w:tr w:rsidR="0012760D" w:rsidRPr="0012760D" w:rsidTr="00544C7A">
        <w:tblPrEx>
          <w:tblCellMar>
            <w:top w:w="0" w:type="dxa"/>
            <w:bottom w:w="0" w:type="dxa"/>
          </w:tblCellMar>
        </w:tblPrEx>
        <w:tc>
          <w:tcPr>
            <w:tcW w:w="1820" w:type="pct"/>
            <w:shd w:val="clear" w:color="auto" w:fill="auto"/>
          </w:tcPr>
          <w:p w:rsidR="00544C7A" w:rsidRPr="0012760D" w:rsidRDefault="00544C7A" w:rsidP="00805FDC">
            <w:pPr>
              <w:rPr>
                <w:sz w:val="24"/>
                <w:szCs w:val="24"/>
              </w:rPr>
            </w:pPr>
            <w:r w:rsidRPr="0012760D">
              <w:rPr>
                <w:sz w:val="24"/>
                <w:szCs w:val="24"/>
              </w:rPr>
              <w:t>Mornington Peninsula</w:t>
            </w:r>
          </w:p>
        </w:tc>
        <w:tc>
          <w:tcPr>
            <w:tcW w:w="2359" w:type="pct"/>
            <w:shd w:val="clear" w:color="auto" w:fill="auto"/>
          </w:tcPr>
          <w:p w:rsidR="00544C7A" w:rsidRPr="0012760D" w:rsidRDefault="00544C7A" w:rsidP="00805FDC">
            <w:pPr>
              <w:rPr>
                <w:sz w:val="24"/>
                <w:szCs w:val="24"/>
              </w:rPr>
            </w:pPr>
            <w:r w:rsidRPr="0012760D">
              <w:rPr>
                <w:sz w:val="24"/>
                <w:szCs w:val="24"/>
              </w:rPr>
              <w:t>Get it right on Bin Night (Supporting Project)</w:t>
            </w:r>
          </w:p>
        </w:tc>
        <w:tc>
          <w:tcPr>
            <w:tcW w:w="822" w:type="pct"/>
            <w:shd w:val="clear" w:color="auto" w:fill="auto"/>
          </w:tcPr>
          <w:p w:rsidR="00544C7A" w:rsidRPr="0012760D" w:rsidRDefault="00544C7A" w:rsidP="00805FDC">
            <w:pPr>
              <w:jc w:val="right"/>
              <w:rPr>
                <w:sz w:val="24"/>
                <w:szCs w:val="24"/>
              </w:rPr>
            </w:pPr>
            <w:r w:rsidRPr="0012760D">
              <w:rPr>
                <w:sz w:val="24"/>
                <w:szCs w:val="24"/>
              </w:rPr>
              <w:t>125,000</w:t>
            </w:r>
          </w:p>
        </w:tc>
      </w:tr>
      <w:tr w:rsidR="0012760D" w:rsidRPr="0012760D" w:rsidTr="00544C7A">
        <w:tblPrEx>
          <w:tblCellMar>
            <w:top w:w="0" w:type="dxa"/>
            <w:bottom w:w="0" w:type="dxa"/>
          </w:tblCellMar>
        </w:tblPrEx>
        <w:tc>
          <w:tcPr>
            <w:tcW w:w="1820" w:type="pct"/>
            <w:shd w:val="clear" w:color="auto" w:fill="auto"/>
          </w:tcPr>
          <w:p w:rsidR="00544C7A" w:rsidRPr="0012760D" w:rsidRDefault="00544C7A" w:rsidP="00805FDC">
            <w:pPr>
              <w:rPr>
                <w:sz w:val="24"/>
                <w:szCs w:val="24"/>
              </w:rPr>
            </w:pPr>
            <w:r w:rsidRPr="0012760D">
              <w:rPr>
                <w:sz w:val="24"/>
                <w:szCs w:val="24"/>
              </w:rPr>
              <w:t>North East</w:t>
            </w:r>
          </w:p>
        </w:tc>
        <w:tc>
          <w:tcPr>
            <w:tcW w:w="2359" w:type="pct"/>
            <w:shd w:val="clear" w:color="auto" w:fill="auto"/>
          </w:tcPr>
          <w:p w:rsidR="00544C7A" w:rsidRPr="0012760D" w:rsidRDefault="00544C7A" w:rsidP="00805FDC">
            <w:pPr>
              <w:rPr>
                <w:sz w:val="24"/>
                <w:szCs w:val="24"/>
              </w:rPr>
            </w:pPr>
            <w:r w:rsidRPr="0012760D">
              <w:rPr>
                <w:sz w:val="24"/>
                <w:szCs w:val="24"/>
              </w:rPr>
              <w:t>360L Recycling Bin Trial</w:t>
            </w:r>
          </w:p>
        </w:tc>
        <w:tc>
          <w:tcPr>
            <w:tcW w:w="822" w:type="pct"/>
            <w:shd w:val="clear" w:color="auto" w:fill="auto"/>
          </w:tcPr>
          <w:p w:rsidR="00544C7A" w:rsidRPr="0012760D" w:rsidRDefault="00544C7A" w:rsidP="00805FDC">
            <w:pPr>
              <w:jc w:val="right"/>
              <w:rPr>
                <w:sz w:val="24"/>
                <w:szCs w:val="24"/>
              </w:rPr>
            </w:pPr>
            <w:r w:rsidRPr="0012760D">
              <w:rPr>
                <w:sz w:val="24"/>
                <w:szCs w:val="24"/>
              </w:rPr>
              <w:t>50,000</w:t>
            </w:r>
          </w:p>
        </w:tc>
      </w:tr>
      <w:tr w:rsidR="0012760D" w:rsidRPr="0012760D" w:rsidTr="00544C7A">
        <w:tblPrEx>
          <w:tblCellMar>
            <w:top w:w="0" w:type="dxa"/>
            <w:bottom w:w="0" w:type="dxa"/>
          </w:tblCellMar>
        </w:tblPrEx>
        <w:tc>
          <w:tcPr>
            <w:tcW w:w="1820" w:type="pct"/>
            <w:shd w:val="clear" w:color="auto" w:fill="auto"/>
          </w:tcPr>
          <w:p w:rsidR="00544C7A" w:rsidRPr="0012760D" w:rsidRDefault="00544C7A" w:rsidP="00805FDC">
            <w:pPr>
              <w:rPr>
                <w:sz w:val="24"/>
                <w:szCs w:val="24"/>
              </w:rPr>
            </w:pPr>
            <w:r w:rsidRPr="0012760D">
              <w:rPr>
                <w:sz w:val="24"/>
                <w:szCs w:val="24"/>
              </w:rPr>
              <w:t>North East</w:t>
            </w:r>
          </w:p>
        </w:tc>
        <w:tc>
          <w:tcPr>
            <w:tcW w:w="2359" w:type="pct"/>
            <w:shd w:val="clear" w:color="auto" w:fill="auto"/>
          </w:tcPr>
          <w:p w:rsidR="00544C7A" w:rsidRPr="0012760D" w:rsidRDefault="00544C7A" w:rsidP="00805FDC">
            <w:pPr>
              <w:rPr>
                <w:sz w:val="24"/>
                <w:szCs w:val="24"/>
              </w:rPr>
            </w:pPr>
            <w:r w:rsidRPr="0012760D">
              <w:rPr>
                <w:sz w:val="24"/>
                <w:szCs w:val="24"/>
              </w:rPr>
              <w:t>NevRwaste Kerbside Recycling and MSW Bin Audit</w:t>
            </w:r>
          </w:p>
        </w:tc>
        <w:tc>
          <w:tcPr>
            <w:tcW w:w="822" w:type="pct"/>
            <w:shd w:val="clear" w:color="auto" w:fill="auto"/>
          </w:tcPr>
          <w:p w:rsidR="00544C7A" w:rsidRPr="0012760D" w:rsidRDefault="00544C7A" w:rsidP="00805FDC">
            <w:pPr>
              <w:jc w:val="right"/>
              <w:rPr>
                <w:sz w:val="24"/>
                <w:szCs w:val="24"/>
              </w:rPr>
            </w:pPr>
            <w:r w:rsidRPr="0012760D">
              <w:rPr>
                <w:sz w:val="24"/>
                <w:szCs w:val="24"/>
              </w:rPr>
              <w:t>50,000</w:t>
            </w:r>
          </w:p>
        </w:tc>
      </w:tr>
      <w:tr w:rsidR="0012760D" w:rsidRPr="0012760D" w:rsidTr="00544C7A">
        <w:tblPrEx>
          <w:tblCellMar>
            <w:top w:w="0" w:type="dxa"/>
            <w:bottom w:w="0" w:type="dxa"/>
          </w:tblCellMar>
        </w:tblPrEx>
        <w:tc>
          <w:tcPr>
            <w:tcW w:w="1820" w:type="pct"/>
            <w:shd w:val="clear" w:color="auto" w:fill="auto"/>
          </w:tcPr>
          <w:p w:rsidR="00544C7A" w:rsidRPr="0012760D" w:rsidRDefault="00544C7A" w:rsidP="00805FDC">
            <w:pPr>
              <w:rPr>
                <w:sz w:val="24"/>
                <w:szCs w:val="24"/>
              </w:rPr>
            </w:pPr>
            <w:r w:rsidRPr="0012760D">
              <w:rPr>
                <w:sz w:val="24"/>
                <w:szCs w:val="24"/>
              </w:rPr>
              <w:t>North East</w:t>
            </w:r>
          </w:p>
        </w:tc>
        <w:tc>
          <w:tcPr>
            <w:tcW w:w="2359" w:type="pct"/>
            <w:shd w:val="clear" w:color="auto" w:fill="auto"/>
          </w:tcPr>
          <w:p w:rsidR="00544C7A" w:rsidRPr="0012760D" w:rsidRDefault="00544C7A" w:rsidP="00805FDC">
            <w:pPr>
              <w:rPr>
                <w:sz w:val="24"/>
                <w:szCs w:val="24"/>
              </w:rPr>
            </w:pPr>
            <w:r w:rsidRPr="0012760D">
              <w:rPr>
                <w:sz w:val="24"/>
                <w:szCs w:val="24"/>
              </w:rPr>
              <w:t>Onsite Alpine Organics</w:t>
            </w:r>
          </w:p>
        </w:tc>
        <w:tc>
          <w:tcPr>
            <w:tcW w:w="822" w:type="pct"/>
            <w:shd w:val="clear" w:color="auto" w:fill="auto"/>
          </w:tcPr>
          <w:p w:rsidR="00544C7A" w:rsidRPr="0012760D" w:rsidRDefault="00544C7A" w:rsidP="00805FDC">
            <w:pPr>
              <w:jc w:val="right"/>
              <w:rPr>
                <w:sz w:val="24"/>
                <w:szCs w:val="24"/>
              </w:rPr>
            </w:pPr>
            <w:r w:rsidRPr="0012760D">
              <w:rPr>
                <w:sz w:val="24"/>
                <w:szCs w:val="24"/>
              </w:rPr>
              <w:t>25,000</w:t>
            </w:r>
          </w:p>
        </w:tc>
      </w:tr>
      <w:tr w:rsidR="0012760D" w:rsidRPr="0012760D" w:rsidTr="00544C7A">
        <w:tblPrEx>
          <w:tblCellMar>
            <w:top w:w="0" w:type="dxa"/>
            <w:bottom w:w="0" w:type="dxa"/>
          </w:tblCellMar>
        </w:tblPrEx>
        <w:tc>
          <w:tcPr>
            <w:tcW w:w="1820" w:type="pct"/>
            <w:shd w:val="clear" w:color="auto" w:fill="auto"/>
          </w:tcPr>
          <w:p w:rsidR="00544C7A" w:rsidRPr="0012760D" w:rsidRDefault="00544C7A" w:rsidP="00805FDC">
            <w:pPr>
              <w:rPr>
                <w:sz w:val="24"/>
                <w:szCs w:val="24"/>
              </w:rPr>
            </w:pPr>
            <w:r w:rsidRPr="0012760D">
              <w:rPr>
                <w:sz w:val="24"/>
                <w:szCs w:val="24"/>
              </w:rPr>
              <w:t>South Western</w:t>
            </w:r>
          </w:p>
        </w:tc>
        <w:tc>
          <w:tcPr>
            <w:tcW w:w="2359" w:type="pct"/>
            <w:shd w:val="clear" w:color="auto" w:fill="auto"/>
          </w:tcPr>
          <w:p w:rsidR="00544C7A" w:rsidRPr="0012760D" w:rsidRDefault="00544C7A" w:rsidP="00805FDC">
            <w:pPr>
              <w:rPr>
                <w:sz w:val="24"/>
                <w:szCs w:val="24"/>
              </w:rPr>
            </w:pPr>
            <w:r w:rsidRPr="0012760D">
              <w:rPr>
                <w:sz w:val="24"/>
                <w:szCs w:val="24"/>
              </w:rPr>
              <w:t>Improved Data Collection</w:t>
            </w:r>
          </w:p>
        </w:tc>
        <w:tc>
          <w:tcPr>
            <w:tcW w:w="822" w:type="pct"/>
            <w:shd w:val="clear" w:color="auto" w:fill="auto"/>
          </w:tcPr>
          <w:p w:rsidR="00544C7A" w:rsidRPr="0012760D" w:rsidRDefault="00544C7A" w:rsidP="00805FDC">
            <w:pPr>
              <w:jc w:val="right"/>
              <w:rPr>
                <w:sz w:val="24"/>
                <w:szCs w:val="24"/>
              </w:rPr>
            </w:pPr>
            <w:r w:rsidRPr="0012760D">
              <w:rPr>
                <w:sz w:val="24"/>
                <w:szCs w:val="24"/>
              </w:rPr>
              <w:t>10,000</w:t>
            </w:r>
          </w:p>
        </w:tc>
      </w:tr>
      <w:tr w:rsidR="0012760D" w:rsidRPr="0012760D" w:rsidTr="00544C7A">
        <w:tblPrEx>
          <w:tblCellMar>
            <w:top w:w="0" w:type="dxa"/>
            <w:bottom w:w="0" w:type="dxa"/>
          </w:tblCellMar>
        </w:tblPrEx>
        <w:tc>
          <w:tcPr>
            <w:tcW w:w="1820" w:type="pct"/>
            <w:shd w:val="clear" w:color="auto" w:fill="auto"/>
          </w:tcPr>
          <w:p w:rsidR="00544C7A" w:rsidRPr="0012760D" w:rsidRDefault="00544C7A" w:rsidP="00805FDC">
            <w:pPr>
              <w:rPr>
                <w:sz w:val="24"/>
                <w:szCs w:val="24"/>
              </w:rPr>
            </w:pPr>
            <w:r w:rsidRPr="0012760D">
              <w:rPr>
                <w:sz w:val="24"/>
                <w:szCs w:val="24"/>
              </w:rPr>
              <w:t>South Western</w:t>
            </w:r>
          </w:p>
        </w:tc>
        <w:tc>
          <w:tcPr>
            <w:tcW w:w="2359" w:type="pct"/>
            <w:shd w:val="clear" w:color="auto" w:fill="auto"/>
          </w:tcPr>
          <w:p w:rsidR="00544C7A" w:rsidRPr="0012760D" w:rsidRDefault="00544C7A" w:rsidP="00805FDC">
            <w:pPr>
              <w:rPr>
                <w:sz w:val="24"/>
                <w:szCs w:val="24"/>
              </w:rPr>
            </w:pPr>
            <w:r w:rsidRPr="0012760D">
              <w:rPr>
                <w:sz w:val="24"/>
                <w:szCs w:val="24"/>
              </w:rPr>
              <w:t>Organics Practical Technologies and Market Development Opportunities</w:t>
            </w:r>
          </w:p>
        </w:tc>
        <w:tc>
          <w:tcPr>
            <w:tcW w:w="822" w:type="pct"/>
            <w:shd w:val="clear" w:color="auto" w:fill="auto"/>
          </w:tcPr>
          <w:p w:rsidR="00544C7A" w:rsidRPr="0012760D" w:rsidRDefault="00544C7A" w:rsidP="00805FDC">
            <w:pPr>
              <w:jc w:val="right"/>
              <w:rPr>
                <w:sz w:val="24"/>
                <w:szCs w:val="24"/>
              </w:rPr>
            </w:pPr>
            <w:r w:rsidRPr="0012760D">
              <w:rPr>
                <w:sz w:val="24"/>
                <w:szCs w:val="24"/>
              </w:rPr>
              <w:t>30,000</w:t>
            </w:r>
          </w:p>
        </w:tc>
      </w:tr>
      <w:tr w:rsidR="0012760D" w:rsidRPr="0012760D" w:rsidTr="00544C7A">
        <w:tblPrEx>
          <w:tblCellMar>
            <w:top w:w="0" w:type="dxa"/>
            <w:bottom w:w="0" w:type="dxa"/>
          </w:tblCellMar>
        </w:tblPrEx>
        <w:tc>
          <w:tcPr>
            <w:tcW w:w="1820" w:type="pct"/>
            <w:shd w:val="clear" w:color="auto" w:fill="auto"/>
          </w:tcPr>
          <w:p w:rsidR="00544C7A" w:rsidRPr="0012760D" w:rsidRDefault="00544C7A" w:rsidP="00805FDC">
            <w:pPr>
              <w:rPr>
                <w:sz w:val="24"/>
                <w:szCs w:val="24"/>
              </w:rPr>
            </w:pPr>
            <w:r w:rsidRPr="0012760D">
              <w:rPr>
                <w:sz w:val="24"/>
                <w:szCs w:val="24"/>
              </w:rPr>
              <w:t>South Western</w:t>
            </w:r>
          </w:p>
        </w:tc>
        <w:tc>
          <w:tcPr>
            <w:tcW w:w="2359" w:type="pct"/>
            <w:shd w:val="clear" w:color="auto" w:fill="auto"/>
          </w:tcPr>
          <w:p w:rsidR="00544C7A" w:rsidRPr="0012760D" w:rsidRDefault="00544C7A" w:rsidP="00805FDC">
            <w:pPr>
              <w:rPr>
                <w:sz w:val="24"/>
                <w:szCs w:val="24"/>
              </w:rPr>
            </w:pPr>
            <w:r w:rsidRPr="0012760D">
              <w:rPr>
                <w:sz w:val="24"/>
                <w:szCs w:val="24"/>
              </w:rPr>
              <w:t>Waste Facility Infrastructure Investment and Services</w:t>
            </w:r>
          </w:p>
        </w:tc>
        <w:tc>
          <w:tcPr>
            <w:tcW w:w="822" w:type="pct"/>
            <w:shd w:val="clear" w:color="auto" w:fill="auto"/>
          </w:tcPr>
          <w:p w:rsidR="00544C7A" w:rsidRPr="0012760D" w:rsidRDefault="00544C7A" w:rsidP="00805FDC">
            <w:pPr>
              <w:jc w:val="right"/>
              <w:rPr>
                <w:sz w:val="24"/>
                <w:szCs w:val="24"/>
              </w:rPr>
            </w:pPr>
            <w:r w:rsidRPr="0012760D">
              <w:rPr>
                <w:sz w:val="24"/>
                <w:szCs w:val="24"/>
              </w:rPr>
              <w:t>50,000</w:t>
            </w:r>
          </w:p>
        </w:tc>
      </w:tr>
      <w:tr w:rsidR="0012760D" w:rsidRPr="0012760D" w:rsidTr="00544C7A">
        <w:tblPrEx>
          <w:tblCellMar>
            <w:top w:w="0" w:type="dxa"/>
            <w:bottom w:w="0" w:type="dxa"/>
          </w:tblCellMar>
        </w:tblPrEx>
        <w:tc>
          <w:tcPr>
            <w:tcW w:w="1820" w:type="pct"/>
            <w:shd w:val="clear" w:color="auto" w:fill="auto"/>
          </w:tcPr>
          <w:p w:rsidR="00544C7A" w:rsidRPr="0012760D" w:rsidRDefault="00544C7A" w:rsidP="00805FDC">
            <w:pPr>
              <w:rPr>
                <w:sz w:val="24"/>
                <w:szCs w:val="24"/>
              </w:rPr>
            </w:pPr>
            <w:r w:rsidRPr="0012760D">
              <w:rPr>
                <w:sz w:val="24"/>
                <w:szCs w:val="24"/>
              </w:rPr>
              <w:t>South Western</w:t>
            </w:r>
          </w:p>
        </w:tc>
        <w:tc>
          <w:tcPr>
            <w:tcW w:w="2359" w:type="pct"/>
            <w:shd w:val="clear" w:color="auto" w:fill="auto"/>
          </w:tcPr>
          <w:p w:rsidR="00544C7A" w:rsidRPr="0012760D" w:rsidRDefault="00544C7A" w:rsidP="00805FDC">
            <w:pPr>
              <w:rPr>
                <w:sz w:val="24"/>
                <w:szCs w:val="24"/>
              </w:rPr>
            </w:pPr>
            <w:r w:rsidRPr="0012760D">
              <w:rPr>
                <w:sz w:val="24"/>
                <w:szCs w:val="24"/>
              </w:rPr>
              <w:t>Kerbside Pride</w:t>
            </w:r>
          </w:p>
        </w:tc>
        <w:tc>
          <w:tcPr>
            <w:tcW w:w="822" w:type="pct"/>
            <w:shd w:val="clear" w:color="auto" w:fill="auto"/>
          </w:tcPr>
          <w:p w:rsidR="00544C7A" w:rsidRPr="0012760D" w:rsidRDefault="00544C7A" w:rsidP="00805FDC">
            <w:pPr>
              <w:jc w:val="right"/>
              <w:rPr>
                <w:sz w:val="24"/>
                <w:szCs w:val="24"/>
              </w:rPr>
            </w:pPr>
            <w:r w:rsidRPr="0012760D">
              <w:rPr>
                <w:sz w:val="24"/>
                <w:szCs w:val="24"/>
              </w:rPr>
              <w:t>35,000</w:t>
            </w:r>
          </w:p>
        </w:tc>
      </w:tr>
    </w:tbl>
    <w:p w:rsidR="00190CAA" w:rsidRPr="0012760D" w:rsidRDefault="00190CAA" w:rsidP="0078679E">
      <w:pPr>
        <w:rPr>
          <w:sz w:val="24"/>
          <w:szCs w:val="24"/>
        </w:rPr>
        <w:sectPr w:rsidR="00190CAA" w:rsidRPr="0012760D" w:rsidSect="00D26C53">
          <w:pgSz w:w="16834" w:h="11909" w:orient="landscape"/>
          <w:pgMar w:top="1440" w:right="1440" w:bottom="1440" w:left="1440" w:header="720" w:footer="720" w:gutter="0"/>
          <w:cols w:space="720"/>
          <w:noEndnote/>
          <w:docGrid w:linePitch="272"/>
        </w:sectPr>
      </w:pPr>
    </w:p>
    <w:p w:rsidR="00545C9F" w:rsidRDefault="00545C9F" w:rsidP="00545C9F">
      <w:pPr>
        <w:rPr>
          <w:sz w:val="24"/>
          <w:szCs w:val="24"/>
        </w:rPr>
      </w:pPr>
      <w:r w:rsidRPr="0012760D">
        <w:rPr>
          <w:sz w:val="24"/>
          <w:szCs w:val="24"/>
        </w:rPr>
        <w:lastRenderedPageBreak/>
        <w:t>&lt;pp&gt; 68</w:t>
      </w:r>
    </w:p>
    <w:p w:rsidR="005A26D3" w:rsidRDefault="005A26D3" w:rsidP="00545C9F">
      <w:pPr>
        <w:rPr>
          <w:sz w:val="24"/>
          <w:szCs w:val="24"/>
        </w:rPr>
      </w:pPr>
    </w:p>
    <w:p w:rsidR="005A26D3" w:rsidRPr="0012760D" w:rsidRDefault="005A26D3" w:rsidP="00545C9F">
      <w:pPr>
        <w:rPr>
          <w:sz w:val="24"/>
          <w:szCs w:val="24"/>
        </w:rPr>
      </w:pPr>
    </w:p>
    <w:p w:rsidR="00545C9F" w:rsidRPr="0012760D" w:rsidRDefault="00545C9F" w:rsidP="005A26D3">
      <w:pPr>
        <w:pStyle w:val="Heading1"/>
      </w:pPr>
      <w:r w:rsidRPr="0012760D">
        <w:t>Appendix 10</w:t>
      </w:r>
      <w:r w:rsidR="005A26D3">
        <w:br/>
      </w:r>
      <w:r w:rsidRPr="0012760D">
        <w:t>Insurance Attestation</w:t>
      </w:r>
    </w:p>
    <w:p w:rsidR="00545C9F" w:rsidRPr="0012760D" w:rsidRDefault="00545C9F" w:rsidP="00545C9F">
      <w:pPr>
        <w:rPr>
          <w:sz w:val="24"/>
          <w:szCs w:val="24"/>
        </w:rPr>
      </w:pPr>
    </w:p>
    <w:p w:rsidR="00545C9F" w:rsidRPr="0012760D" w:rsidRDefault="00545C9F" w:rsidP="00545C9F">
      <w:pPr>
        <w:rPr>
          <w:sz w:val="24"/>
          <w:szCs w:val="24"/>
        </w:rPr>
      </w:pPr>
      <w:r w:rsidRPr="0012760D">
        <w:rPr>
          <w:sz w:val="24"/>
          <w:szCs w:val="24"/>
        </w:rPr>
        <w:t>Sustainability Victoria</w:t>
      </w:r>
    </w:p>
    <w:p w:rsidR="00545C9F" w:rsidRPr="0012760D" w:rsidRDefault="00545C9F" w:rsidP="00545C9F">
      <w:pPr>
        <w:rPr>
          <w:sz w:val="24"/>
          <w:szCs w:val="24"/>
        </w:rPr>
      </w:pPr>
      <w:r w:rsidRPr="0012760D">
        <w:rPr>
          <w:sz w:val="24"/>
          <w:szCs w:val="24"/>
        </w:rPr>
        <w:t>Level 28</w:t>
      </w:r>
    </w:p>
    <w:p w:rsidR="00545C9F" w:rsidRPr="0012760D" w:rsidRDefault="00545C9F" w:rsidP="00545C9F">
      <w:pPr>
        <w:rPr>
          <w:sz w:val="24"/>
          <w:szCs w:val="24"/>
        </w:rPr>
      </w:pPr>
      <w:r w:rsidRPr="0012760D">
        <w:rPr>
          <w:sz w:val="24"/>
          <w:szCs w:val="24"/>
        </w:rPr>
        <w:t>Urban Workshop</w:t>
      </w:r>
    </w:p>
    <w:p w:rsidR="00545C9F" w:rsidRPr="0012760D" w:rsidRDefault="00545C9F" w:rsidP="00545C9F">
      <w:pPr>
        <w:rPr>
          <w:sz w:val="24"/>
          <w:szCs w:val="24"/>
        </w:rPr>
      </w:pPr>
      <w:r w:rsidRPr="0012760D">
        <w:rPr>
          <w:sz w:val="24"/>
          <w:szCs w:val="24"/>
        </w:rPr>
        <w:t>50 Lonsdale Street</w:t>
      </w:r>
    </w:p>
    <w:p w:rsidR="00545C9F" w:rsidRPr="0012760D" w:rsidRDefault="00545C9F" w:rsidP="00545C9F">
      <w:pPr>
        <w:rPr>
          <w:sz w:val="24"/>
          <w:szCs w:val="24"/>
        </w:rPr>
      </w:pPr>
      <w:r w:rsidRPr="0012760D">
        <w:rPr>
          <w:sz w:val="24"/>
          <w:szCs w:val="24"/>
        </w:rPr>
        <w:t>Melbourne Victoria 3000 Australia</w:t>
      </w:r>
    </w:p>
    <w:p w:rsidR="00545C9F" w:rsidRPr="0012760D" w:rsidRDefault="00545C9F" w:rsidP="00545C9F">
      <w:pPr>
        <w:rPr>
          <w:sz w:val="24"/>
          <w:szCs w:val="24"/>
        </w:rPr>
      </w:pPr>
      <w:r w:rsidRPr="0012760D">
        <w:rPr>
          <w:sz w:val="24"/>
          <w:szCs w:val="24"/>
        </w:rPr>
        <w:t>Telephone +6</w:t>
      </w:r>
      <w:r w:rsidR="009A6AAD">
        <w:rPr>
          <w:sz w:val="24"/>
          <w:szCs w:val="24"/>
        </w:rPr>
        <w:t xml:space="preserve"> </w:t>
      </w:r>
      <w:r w:rsidRPr="0012760D">
        <w:rPr>
          <w:sz w:val="24"/>
          <w:szCs w:val="24"/>
        </w:rPr>
        <w:t>1</w:t>
      </w:r>
      <w:r w:rsidR="009A6AAD">
        <w:rPr>
          <w:sz w:val="24"/>
          <w:szCs w:val="24"/>
        </w:rPr>
        <w:t xml:space="preserve"> </w:t>
      </w:r>
      <w:r w:rsidRPr="0012760D">
        <w:rPr>
          <w:sz w:val="24"/>
          <w:szCs w:val="24"/>
        </w:rPr>
        <w:t>3 8</w:t>
      </w:r>
      <w:r w:rsidR="009A6AAD">
        <w:rPr>
          <w:sz w:val="24"/>
          <w:szCs w:val="24"/>
        </w:rPr>
        <w:t xml:space="preserve"> </w:t>
      </w:r>
      <w:r w:rsidRPr="0012760D">
        <w:rPr>
          <w:sz w:val="24"/>
          <w:szCs w:val="24"/>
        </w:rPr>
        <w:t>6</w:t>
      </w:r>
      <w:r w:rsidR="009A6AAD">
        <w:rPr>
          <w:sz w:val="24"/>
          <w:szCs w:val="24"/>
        </w:rPr>
        <w:t xml:space="preserve"> </w:t>
      </w:r>
      <w:r w:rsidRPr="0012760D">
        <w:rPr>
          <w:sz w:val="24"/>
          <w:szCs w:val="24"/>
        </w:rPr>
        <w:t>2</w:t>
      </w:r>
      <w:r w:rsidR="009A6AAD">
        <w:rPr>
          <w:sz w:val="24"/>
          <w:szCs w:val="24"/>
        </w:rPr>
        <w:t xml:space="preserve"> </w:t>
      </w:r>
      <w:r w:rsidRPr="0012760D">
        <w:rPr>
          <w:sz w:val="24"/>
          <w:szCs w:val="24"/>
        </w:rPr>
        <w:t>6 8</w:t>
      </w:r>
      <w:r w:rsidR="009A6AAD">
        <w:rPr>
          <w:sz w:val="24"/>
          <w:szCs w:val="24"/>
        </w:rPr>
        <w:t xml:space="preserve"> </w:t>
      </w:r>
      <w:r w:rsidRPr="0012760D">
        <w:rPr>
          <w:sz w:val="24"/>
          <w:szCs w:val="24"/>
        </w:rPr>
        <w:t>7</w:t>
      </w:r>
      <w:r w:rsidR="009A6AAD">
        <w:rPr>
          <w:sz w:val="24"/>
          <w:szCs w:val="24"/>
        </w:rPr>
        <w:t xml:space="preserve"> </w:t>
      </w:r>
      <w:r w:rsidRPr="0012760D">
        <w:rPr>
          <w:sz w:val="24"/>
          <w:szCs w:val="24"/>
        </w:rPr>
        <w:t>0</w:t>
      </w:r>
      <w:r w:rsidR="009A6AAD">
        <w:rPr>
          <w:sz w:val="24"/>
          <w:szCs w:val="24"/>
        </w:rPr>
        <w:t xml:space="preserve"> </w:t>
      </w:r>
      <w:r w:rsidRPr="0012760D">
        <w:rPr>
          <w:sz w:val="24"/>
          <w:szCs w:val="24"/>
        </w:rPr>
        <w:t>0</w:t>
      </w:r>
    </w:p>
    <w:p w:rsidR="00545C9F" w:rsidRPr="0012760D" w:rsidRDefault="00545C9F" w:rsidP="00545C9F">
      <w:pPr>
        <w:rPr>
          <w:sz w:val="24"/>
          <w:szCs w:val="24"/>
        </w:rPr>
      </w:pPr>
      <w:r w:rsidRPr="0012760D">
        <w:rPr>
          <w:sz w:val="24"/>
          <w:szCs w:val="24"/>
        </w:rPr>
        <w:t>Fax +6</w:t>
      </w:r>
      <w:r w:rsidR="009A6AAD">
        <w:rPr>
          <w:sz w:val="24"/>
          <w:szCs w:val="24"/>
        </w:rPr>
        <w:t xml:space="preserve"> </w:t>
      </w:r>
      <w:r w:rsidRPr="0012760D">
        <w:rPr>
          <w:sz w:val="24"/>
          <w:szCs w:val="24"/>
        </w:rPr>
        <w:t>1</w:t>
      </w:r>
      <w:r w:rsidR="009A6AAD">
        <w:rPr>
          <w:sz w:val="24"/>
          <w:szCs w:val="24"/>
        </w:rPr>
        <w:t xml:space="preserve"> </w:t>
      </w:r>
      <w:r w:rsidRPr="0012760D">
        <w:rPr>
          <w:sz w:val="24"/>
          <w:szCs w:val="24"/>
        </w:rPr>
        <w:t>3 9</w:t>
      </w:r>
      <w:r w:rsidR="009A6AAD">
        <w:rPr>
          <w:sz w:val="24"/>
          <w:szCs w:val="24"/>
        </w:rPr>
        <w:t xml:space="preserve"> </w:t>
      </w:r>
      <w:r w:rsidRPr="0012760D">
        <w:rPr>
          <w:sz w:val="24"/>
          <w:szCs w:val="24"/>
        </w:rPr>
        <w:t>6</w:t>
      </w:r>
      <w:r w:rsidR="009A6AAD">
        <w:rPr>
          <w:sz w:val="24"/>
          <w:szCs w:val="24"/>
        </w:rPr>
        <w:t xml:space="preserve"> </w:t>
      </w:r>
      <w:r w:rsidRPr="0012760D">
        <w:rPr>
          <w:sz w:val="24"/>
          <w:szCs w:val="24"/>
        </w:rPr>
        <w:t>6</w:t>
      </w:r>
      <w:r w:rsidR="009A6AAD">
        <w:rPr>
          <w:sz w:val="24"/>
          <w:szCs w:val="24"/>
        </w:rPr>
        <w:t xml:space="preserve"> </w:t>
      </w:r>
      <w:r w:rsidRPr="0012760D">
        <w:rPr>
          <w:sz w:val="24"/>
          <w:szCs w:val="24"/>
        </w:rPr>
        <w:t>3</w:t>
      </w:r>
      <w:r w:rsidR="009A6AAD">
        <w:rPr>
          <w:sz w:val="24"/>
          <w:szCs w:val="24"/>
        </w:rPr>
        <w:t xml:space="preserve"> </w:t>
      </w:r>
      <w:r w:rsidRPr="0012760D">
        <w:rPr>
          <w:sz w:val="24"/>
          <w:szCs w:val="24"/>
        </w:rPr>
        <w:t>1</w:t>
      </w:r>
      <w:r w:rsidR="009A6AAD">
        <w:rPr>
          <w:sz w:val="24"/>
          <w:szCs w:val="24"/>
        </w:rPr>
        <w:t xml:space="preserve"> </w:t>
      </w:r>
      <w:r w:rsidRPr="0012760D">
        <w:rPr>
          <w:sz w:val="24"/>
          <w:szCs w:val="24"/>
        </w:rPr>
        <w:t>0</w:t>
      </w:r>
      <w:r w:rsidR="009A6AAD">
        <w:rPr>
          <w:sz w:val="24"/>
          <w:szCs w:val="24"/>
        </w:rPr>
        <w:t xml:space="preserve"> </w:t>
      </w:r>
      <w:r w:rsidRPr="0012760D">
        <w:rPr>
          <w:sz w:val="24"/>
          <w:szCs w:val="24"/>
        </w:rPr>
        <w:t>0</w:t>
      </w:r>
      <w:r w:rsidR="009A6AAD">
        <w:rPr>
          <w:sz w:val="24"/>
          <w:szCs w:val="24"/>
        </w:rPr>
        <w:t xml:space="preserve"> </w:t>
      </w:r>
      <w:r w:rsidRPr="0012760D">
        <w:rPr>
          <w:sz w:val="24"/>
          <w:szCs w:val="24"/>
        </w:rPr>
        <w:t>7</w:t>
      </w:r>
    </w:p>
    <w:p w:rsidR="00545C9F" w:rsidRPr="0012760D" w:rsidRDefault="00545C9F" w:rsidP="00545C9F">
      <w:pPr>
        <w:rPr>
          <w:sz w:val="24"/>
          <w:szCs w:val="24"/>
        </w:rPr>
      </w:pPr>
      <w:hyperlink r:id="rId22" w:history="1">
        <w:r w:rsidRPr="0012760D">
          <w:rPr>
            <w:sz w:val="24"/>
            <w:szCs w:val="24"/>
          </w:rPr>
          <w:t xml:space="preserve">sustainability.vic.gov.au </w:t>
        </w:r>
      </w:hyperlink>
    </w:p>
    <w:p w:rsidR="00545C9F" w:rsidRPr="0012760D" w:rsidRDefault="00545C9F" w:rsidP="00545C9F">
      <w:pPr>
        <w:rPr>
          <w:sz w:val="24"/>
          <w:szCs w:val="24"/>
        </w:rPr>
      </w:pPr>
      <w:r w:rsidRPr="0012760D">
        <w:rPr>
          <w:sz w:val="24"/>
          <w:szCs w:val="24"/>
        </w:rPr>
        <w:t>ABN 6</w:t>
      </w:r>
      <w:r w:rsidR="009A6AAD">
        <w:rPr>
          <w:sz w:val="24"/>
          <w:szCs w:val="24"/>
        </w:rPr>
        <w:t xml:space="preserve"> </w:t>
      </w:r>
      <w:r w:rsidRPr="0012760D">
        <w:rPr>
          <w:sz w:val="24"/>
          <w:szCs w:val="24"/>
        </w:rPr>
        <w:t>2 0</w:t>
      </w:r>
      <w:r w:rsidR="009A6AAD">
        <w:rPr>
          <w:sz w:val="24"/>
          <w:szCs w:val="24"/>
        </w:rPr>
        <w:t xml:space="preserve"> </w:t>
      </w:r>
      <w:r w:rsidRPr="0012760D">
        <w:rPr>
          <w:sz w:val="24"/>
          <w:szCs w:val="24"/>
        </w:rPr>
        <w:t>1</w:t>
      </w:r>
      <w:r w:rsidR="009A6AAD">
        <w:rPr>
          <w:sz w:val="24"/>
          <w:szCs w:val="24"/>
        </w:rPr>
        <w:t xml:space="preserve"> </w:t>
      </w:r>
      <w:r w:rsidRPr="0012760D">
        <w:rPr>
          <w:sz w:val="24"/>
          <w:szCs w:val="24"/>
        </w:rPr>
        <w:t>9 8</w:t>
      </w:r>
      <w:r w:rsidR="009A6AAD">
        <w:rPr>
          <w:sz w:val="24"/>
          <w:szCs w:val="24"/>
        </w:rPr>
        <w:t xml:space="preserve"> </w:t>
      </w:r>
      <w:r w:rsidRPr="0012760D">
        <w:rPr>
          <w:sz w:val="24"/>
          <w:szCs w:val="24"/>
        </w:rPr>
        <w:t>5</w:t>
      </w:r>
      <w:r w:rsidR="009A6AAD">
        <w:rPr>
          <w:sz w:val="24"/>
          <w:szCs w:val="24"/>
        </w:rPr>
        <w:t xml:space="preserve"> </w:t>
      </w:r>
      <w:r w:rsidRPr="0012760D">
        <w:rPr>
          <w:sz w:val="24"/>
          <w:szCs w:val="24"/>
        </w:rPr>
        <w:t>4 0</w:t>
      </w:r>
      <w:r w:rsidR="009A6AAD">
        <w:rPr>
          <w:sz w:val="24"/>
          <w:szCs w:val="24"/>
        </w:rPr>
        <w:t xml:space="preserve"> </w:t>
      </w:r>
      <w:r w:rsidRPr="0012760D">
        <w:rPr>
          <w:sz w:val="24"/>
          <w:szCs w:val="24"/>
        </w:rPr>
        <w:t>6</w:t>
      </w:r>
      <w:r w:rsidR="009A6AAD">
        <w:rPr>
          <w:sz w:val="24"/>
          <w:szCs w:val="24"/>
        </w:rPr>
        <w:t xml:space="preserve"> </w:t>
      </w:r>
      <w:r w:rsidRPr="0012760D">
        <w:rPr>
          <w:sz w:val="24"/>
          <w:szCs w:val="24"/>
        </w:rPr>
        <w:t>7</w:t>
      </w:r>
    </w:p>
    <w:p w:rsidR="00545C9F" w:rsidRPr="0012760D" w:rsidRDefault="00545C9F" w:rsidP="00545C9F">
      <w:pPr>
        <w:rPr>
          <w:sz w:val="24"/>
          <w:szCs w:val="24"/>
        </w:rPr>
      </w:pPr>
    </w:p>
    <w:p w:rsidR="00545C9F" w:rsidRPr="0012760D" w:rsidRDefault="00545C9F" w:rsidP="00545C9F">
      <w:pPr>
        <w:rPr>
          <w:sz w:val="24"/>
          <w:szCs w:val="24"/>
        </w:rPr>
      </w:pPr>
    </w:p>
    <w:p w:rsidR="00545C9F" w:rsidRPr="0012760D" w:rsidRDefault="00545C9F" w:rsidP="005A26D3">
      <w:pPr>
        <w:pStyle w:val="Heading2"/>
      </w:pPr>
      <w:r w:rsidRPr="0012760D">
        <w:t>Insurance Attestation</w:t>
      </w:r>
    </w:p>
    <w:p w:rsidR="00545C9F" w:rsidRPr="0012760D" w:rsidRDefault="00545C9F" w:rsidP="00545C9F">
      <w:pPr>
        <w:rPr>
          <w:sz w:val="24"/>
          <w:szCs w:val="24"/>
        </w:rPr>
      </w:pPr>
    </w:p>
    <w:p w:rsidR="00545C9F" w:rsidRPr="0012760D" w:rsidRDefault="00545C9F" w:rsidP="00545C9F">
      <w:pPr>
        <w:rPr>
          <w:sz w:val="24"/>
          <w:szCs w:val="24"/>
        </w:rPr>
      </w:pPr>
      <w:r w:rsidRPr="0012760D">
        <w:rPr>
          <w:sz w:val="24"/>
          <w:szCs w:val="24"/>
        </w:rPr>
        <w:t>I, Stan Krpan, Chief Executive Officer of Sustainability Victoria, certify that Sustainability Victoria has complied with Ministerial Direction 4,5.5.1 - Insurance and:</w:t>
      </w:r>
    </w:p>
    <w:p w:rsidR="00545C9F" w:rsidRPr="0012760D" w:rsidRDefault="00545C9F" w:rsidP="00545C9F">
      <w:pPr>
        <w:rPr>
          <w:sz w:val="24"/>
          <w:szCs w:val="24"/>
        </w:rPr>
      </w:pPr>
      <w:r w:rsidRPr="0012760D">
        <w:rPr>
          <w:sz w:val="24"/>
          <w:szCs w:val="24"/>
        </w:rPr>
        <w:t>• Sustainability Victoria will develop a Register of Indemnities in 2013 to 14; and</w:t>
      </w:r>
    </w:p>
    <w:p w:rsidR="00545C9F" w:rsidRPr="0012760D" w:rsidRDefault="00545C9F" w:rsidP="00545C9F">
      <w:pPr>
        <w:rPr>
          <w:sz w:val="24"/>
          <w:szCs w:val="24"/>
        </w:rPr>
      </w:pPr>
      <w:r w:rsidRPr="0012760D">
        <w:rPr>
          <w:sz w:val="24"/>
          <w:szCs w:val="24"/>
        </w:rPr>
        <w:t>• Due to low deductibles, Sustainability Victoria does not record the value and basis for valuation of self-insured retained losses.</w:t>
      </w:r>
    </w:p>
    <w:p w:rsidR="005A26D3" w:rsidRDefault="005A26D3" w:rsidP="00545C9F">
      <w:pPr>
        <w:rPr>
          <w:sz w:val="24"/>
          <w:szCs w:val="24"/>
        </w:rPr>
      </w:pPr>
    </w:p>
    <w:p w:rsidR="00545C9F" w:rsidRPr="0012760D" w:rsidRDefault="00545C9F" w:rsidP="00545C9F">
      <w:pPr>
        <w:rPr>
          <w:sz w:val="24"/>
          <w:szCs w:val="24"/>
        </w:rPr>
      </w:pPr>
      <w:r w:rsidRPr="0012760D">
        <w:rPr>
          <w:sz w:val="24"/>
          <w:szCs w:val="24"/>
        </w:rPr>
        <w:t>In compliance with Ministerial Direction 4.5.5.1 - Insurance, and as part of the annual insurance renewal process, Sustainability Victoria:</w:t>
      </w:r>
    </w:p>
    <w:p w:rsidR="00545C9F" w:rsidRPr="0012760D" w:rsidRDefault="00545C9F" w:rsidP="00545C9F">
      <w:pPr>
        <w:rPr>
          <w:sz w:val="24"/>
          <w:szCs w:val="24"/>
        </w:rPr>
      </w:pPr>
      <w:r w:rsidRPr="0012760D">
        <w:rPr>
          <w:sz w:val="24"/>
          <w:szCs w:val="24"/>
        </w:rPr>
        <w:t xml:space="preserve">• Determines the appropriate level of insurance in consultation with the </w:t>
      </w:r>
      <w:r w:rsidR="009A6AAD">
        <w:rPr>
          <w:sz w:val="24"/>
          <w:szCs w:val="24"/>
        </w:rPr>
        <w:t>V M I A</w:t>
      </w:r>
      <w:r w:rsidRPr="0012760D">
        <w:rPr>
          <w:sz w:val="24"/>
          <w:szCs w:val="24"/>
        </w:rPr>
        <w:t xml:space="preserve"> based on Sustainability Victoria's risk profile;</w:t>
      </w:r>
    </w:p>
    <w:p w:rsidR="00545C9F" w:rsidRPr="0012760D" w:rsidRDefault="00545C9F" w:rsidP="00545C9F">
      <w:pPr>
        <w:rPr>
          <w:sz w:val="24"/>
          <w:szCs w:val="24"/>
        </w:rPr>
      </w:pPr>
      <w:r w:rsidRPr="0012760D">
        <w:rPr>
          <w:sz w:val="24"/>
          <w:szCs w:val="24"/>
        </w:rPr>
        <w:t>• Maintains a current register of all insurances; and</w:t>
      </w:r>
    </w:p>
    <w:p w:rsidR="00545C9F" w:rsidRPr="0012760D" w:rsidRDefault="00545C9F" w:rsidP="00545C9F">
      <w:pPr>
        <w:rPr>
          <w:sz w:val="24"/>
          <w:szCs w:val="24"/>
        </w:rPr>
      </w:pPr>
      <w:r w:rsidRPr="0012760D">
        <w:rPr>
          <w:sz w:val="24"/>
          <w:szCs w:val="24"/>
        </w:rPr>
        <w:t>• Provides Claims Management information to V</w:t>
      </w:r>
      <w:r w:rsidR="009A6AAD">
        <w:rPr>
          <w:sz w:val="24"/>
          <w:szCs w:val="24"/>
        </w:rPr>
        <w:t xml:space="preserve"> </w:t>
      </w:r>
      <w:r w:rsidRPr="0012760D">
        <w:rPr>
          <w:sz w:val="24"/>
          <w:szCs w:val="24"/>
        </w:rPr>
        <w:t>M</w:t>
      </w:r>
      <w:r w:rsidR="009A6AAD">
        <w:rPr>
          <w:sz w:val="24"/>
          <w:szCs w:val="24"/>
        </w:rPr>
        <w:t xml:space="preserve"> </w:t>
      </w:r>
      <w:r w:rsidRPr="0012760D">
        <w:rPr>
          <w:sz w:val="24"/>
          <w:szCs w:val="24"/>
        </w:rPr>
        <w:t>I</w:t>
      </w:r>
      <w:r w:rsidR="009A6AAD">
        <w:rPr>
          <w:sz w:val="24"/>
          <w:szCs w:val="24"/>
        </w:rPr>
        <w:t xml:space="preserve"> </w:t>
      </w:r>
      <w:r w:rsidRPr="0012760D">
        <w:rPr>
          <w:sz w:val="24"/>
          <w:szCs w:val="24"/>
        </w:rPr>
        <w:t>A on an annual basis.</w:t>
      </w:r>
    </w:p>
    <w:p w:rsidR="00545C9F" w:rsidRPr="0012760D" w:rsidRDefault="00545C9F" w:rsidP="00545C9F">
      <w:pPr>
        <w:rPr>
          <w:sz w:val="24"/>
          <w:szCs w:val="24"/>
        </w:rPr>
      </w:pPr>
    </w:p>
    <w:p w:rsidR="00545C9F" w:rsidRPr="0012760D" w:rsidRDefault="00545C9F" w:rsidP="00545C9F">
      <w:pPr>
        <w:rPr>
          <w:sz w:val="24"/>
          <w:szCs w:val="24"/>
        </w:rPr>
      </w:pPr>
      <w:r w:rsidRPr="0012760D">
        <w:rPr>
          <w:bCs/>
          <w:sz w:val="24"/>
          <w:szCs w:val="24"/>
        </w:rPr>
        <w:t>Stan Krpan</w:t>
      </w:r>
    </w:p>
    <w:p w:rsidR="00545C9F" w:rsidRPr="0012760D" w:rsidRDefault="00545C9F" w:rsidP="00545C9F">
      <w:pPr>
        <w:rPr>
          <w:sz w:val="24"/>
          <w:szCs w:val="24"/>
        </w:rPr>
      </w:pPr>
      <w:r w:rsidRPr="0012760D">
        <w:rPr>
          <w:bCs/>
          <w:sz w:val="24"/>
          <w:szCs w:val="24"/>
        </w:rPr>
        <w:t>Chief Executive Officer</w:t>
      </w:r>
    </w:p>
    <w:p w:rsidR="00545C9F" w:rsidRPr="0012760D" w:rsidRDefault="00545C9F" w:rsidP="00545C9F">
      <w:pPr>
        <w:rPr>
          <w:sz w:val="24"/>
          <w:szCs w:val="24"/>
        </w:rPr>
      </w:pPr>
      <w:r w:rsidRPr="0012760D">
        <w:rPr>
          <w:sz w:val="24"/>
          <w:szCs w:val="24"/>
        </w:rPr>
        <w:t>Sustainability Victoria</w:t>
      </w:r>
    </w:p>
    <w:p w:rsidR="00545C9F" w:rsidRPr="0012760D" w:rsidRDefault="00545C9F" w:rsidP="00545C9F">
      <w:pPr>
        <w:rPr>
          <w:sz w:val="24"/>
          <w:szCs w:val="24"/>
        </w:rPr>
      </w:pPr>
      <w:r w:rsidRPr="0012760D">
        <w:rPr>
          <w:sz w:val="24"/>
          <w:szCs w:val="24"/>
        </w:rPr>
        <w:t>Melbourne</w:t>
      </w:r>
    </w:p>
    <w:p w:rsidR="00545C9F" w:rsidRPr="0012760D" w:rsidRDefault="00545C9F" w:rsidP="00545C9F">
      <w:pPr>
        <w:rPr>
          <w:sz w:val="24"/>
          <w:szCs w:val="24"/>
        </w:rPr>
      </w:pPr>
      <w:r w:rsidRPr="0012760D">
        <w:rPr>
          <w:sz w:val="24"/>
          <w:szCs w:val="24"/>
        </w:rPr>
        <w:t>21 August 2013</w:t>
      </w:r>
    </w:p>
    <w:p w:rsidR="003A7179" w:rsidRDefault="003A7179" w:rsidP="003A7179">
      <w:pPr>
        <w:rPr>
          <w:sz w:val="24"/>
          <w:szCs w:val="24"/>
        </w:rPr>
      </w:pPr>
      <w:r w:rsidRPr="0012760D">
        <w:rPr>
          <w:sz w:val="24"/>
          <w:szCs w:val="24"/>
        </w:rPr>
        <w:t>&lt;pp&gt; 89</w:t>
      </w:r>
    </w:p>
    <w:p w:rsidR="005A26D3" w:rsidRDefault="005A26D3" w:rsidP="003A7179">
      <w:pPr>
        <w:rPr>
          <w:sz w:val="24"/>
          <w:szCs w:val="24"/>
        </w:rPr>
      </w:pPr>
    </w:p>
    <w:p w:rsidR="005A26D3" w:rsidRPr="0012760D" w:rsidRDefault="005A26D3" w:rsidP="003A7179">
      <w:pPr>
        <w:rPr>
          <w:sz w:val="24"/>
          <w:szCs w:val="24"/>
        </w:rPr>
      </w:pPr>
    </w:p>
    <w:p w:rsidR="003A7179" w:rsidRPr="0012760D" w:rsidRDefault="003A7179" w:rsidP="005A26D3">
      <w:pPr>
        <w:pStyle w:val="Heading1"/>
      </w:pPr>
      <w:r w:rsidRPr="0012760D">
        <w:t>Appendix 11</w:t>
      </w:r>
      <w:r w:rsidR="005A26D3">
        <w:br/>
      </w:r>
      <w:r w:rsidRPr="0012760D">
        <w:t>Board Chair's Risk Attestation</w:t>
      </w:r>
    </w:p>
    <w:p w:rsidR="003A7179" w:rsidRPr="0012760D" w:rsidRDefault="003A7179" w:rsidP="003A7179">
      <w:pPr>
        <w:rPr>
          <w:sz w:val="24"/>
          <w:szCs w:val="24"/>
        </w:rPr>
      </w:pPr>
    </w:p>
    <w:p w:rsidR="003A7179" w:rsidRPr="0012760D" w:rsidRDefault="003A7179" w:rsidP="003A7179">
      <w:pPr>
        <w:rPr>
          <w:sz w:val="24"/>
          <w:szCs w:val="24"/>
        </w:rPr>
      </w:pPr>
      <w:r w:rsidRPr="0012760D">
        <w:rPr>
          <w:sz w:val="24"/>
          <w:szCs w:val="24"/>
        </w:rPr>
        <w:t>Sustainability Victoria</w:t>
      </w:r>
    </w:p>
    <w:p w:rsidR="003A7179" w:rsidRPr="0012760D" w:rsidRDefault="003A7179" w:rsidP="003A7179">
      <w:pPr>
        <w:rPr>
          <w:sz w:val="24"/>
          <w:szCs w:val="24"/>
        </w:rPr>
      </w:pPr>
      <w:r w:rsidRPr="0012760D">
        <w:rPr>
          <w:sz w:val="24"/>
          <w:szCs w:val="24"/>
        </w:rPr>
        <w:t>Level 23</w:t>
      </w:r>
    </w:p>
    <w:p w:rsidR="003A7179" w:rsidRPr="0012760D" w:rsidRDefault="003A7179" w:rsidP="003A7179">
      <w:pPr>
        <w:rPr>
          <w:sz w:val="24"/>
          <w:szCs w:val="24"/>
        </w:rPr>
      </w:pPr>
      <w:r w:rsidRPr="0012760D">
        <w:rPr>
          <w:sz w:val="24"/>
          <w:szCs w:val="24"/>
        </w:rPr>
        <w:t>Urban Workshop</w:t>
      </w:r>
    </w:p>
    <w:p w:rsidR="003A7179" w:rsidRPr="0012760D" w:rsidRDefault="003A7179" w:rsidP="003A7179">
      <w:pPr>
        <w:rPr>
          <w:sz w:val="24"/>
          <w:szCs w:val="24"/>
        </w:rPr>
      </w:pPr>
      <w:r w:rsidRPr="0012760D">
        <w:rPr>
          <w:sz w:val="24"/>
          <w:szCs w:val="24"/>
        </w:rPr>
        <w:t>50 Lonsdale Street</w:t>
      </w:r>
    </w:p>
    <w:p w:rsidR="003A7179" w:rsidRPr="0012760D" w:rsidRDefault="003A7179" w:rsidP="003A7179">
      <w:pPr>
        <w:rPr>
          <w:sz w:val="24"/>
          <w:szCs w:val="24"/>
        </w:rPr>
      </w:pPr>
      <w:r w:rsidRPr="0012760D">
        <w:rPr>
          <w:sz w:val="24"/>
          <w:szCs w:val="24"/>
        </w:rPr>
        <w:t>Melbourne Victoria 3000 Australia</w:t>
      </w:r>
    </w:p>
    <w:p w:rsidR="003A7179" w:rsidRPr="0012760D" w:rsidRDefault="003A7179" w:rsidP="003A7179">
      <w:pPr>
        <w:rPr>
          <w:sz w:val="24"/>
          <w:szCs w:val="24"/>
        </w:rPr>
      </w:pPr>
      <w:r w:rsidRPr="0012760D">
        <w:rPr>
          <w:sz w:val="24"/>
          <w:szCs w:val="24"/>
        </w:rPr>
        <w:lastRenderedPageBreak/>
        <w:t>Telephone +6</w:t>
      </w:r>
      <w:r w:rsidR="009A6AAD">
        <w:rPr>
          <w:sz w:val="24"/>
          <w:szCs w:val="24"/>
        </w:rPr>
        <w:t xml:space="preserve"> </w:t>
      </w:r>
      <w:r w:rsidRPr="0012760D">
        <w:rPr>
          <w:sz w:val="24"/>
          <w:szCs w:val="24"/>
        </w:rPr>
        <w:t>1 3 8</w:t>
      </w:r>
      <w:r w:rsidR="009A6AAD">
        <w:rPr>
          <w:sz w:val="24"/>
          <w:szCs w:val="24"/>
        </w:rPr>
        <w:t xml:space="preserve"> </w:t>
      </w:r>
      <w:r w:rsidRPr="0012760D">
        <w:rPr>
          <w:sz w:val="24"/>
          <w:szCs w:val="24"/>
        </w:rPr>
        <w:t>6</w:t>
      </w:r>
      <w:r w:rsidR="009A6AAD">
        <w:rPr>
          <w:sz w:val="24"/>
          <w:szCs w:val="24"/>
        </w:rPr>
        <w:t xml:space="preserve"> </w:t>
      </w:r>
      <w:r w:rsidRPr="0012760D">
        <w:rPr>
          <w:sz w:val="24"/>
          <w:szCs w:val="24"/>
        </w:rPr>
        <w:t>2</w:t>
      </w:r>
      <w:r w:rsidR="009A6AAD">
        <w:rPr>
          <w:sz w:val="24"/>
          <w:szCs w:val="24"/>
        </w:rPr>
        <w:t xml:space="preserve"> </w:t>
      </w:r>
      <w:r w:rsidRPr="0012760D">
        <w:rPr>
          <w:sz w:val="24"/>
          <w:szCs w:val="24"/>
        </w:rPr>
        <w:t>6 3</w:t>
      </w:r>
      <w:r w:rsidR="009A6AAD">
        <w:rPr>
          <w:sz w:val="24"/>
          <w:szCs w:val="24"/>
        </w:rPr>
        <w:t xml:space="preserve"> </w:t>
      </w:r>
      <w:r w:rsidRPr="0012760D">
        <w:rPr>
          <w:sz w:val="24"/>
          <w:szCs w:val="24"/>
        </w:rPr>
        <w:t>7</w:t>
      </w:r>
      <w:r w:rsidR="009A6AAD">
        <w:rPr>
          <w:sz w:val="24"/>
          <w:szCs w:val="24"/>
        </w:rPr>
        <w:t xml:space="preserve"> </w:t>
      </w:r>
      <w:r w:rsidRPr="0012760D">
        <w:rPr>
          <w:sz w:val="24"/>
          <w:szCs w:val="24"/>
        </w:rPr>
        <w:t>0</w:t>
      </w:r>
      <w:r w:rsidR="009A6AAD">
        <w:rPr>
          <w:sz w:val="24"/>
          <w:szCs w:val="24"/>
        </w:rPr>
        <w:t xml:space="preserve"> </w:t>
      </w:r>
      <w:r w:rsidRPr="0012760D">
        <w:rPr>
          <w:sz w:val="24"/>
          <w:szCs w:val="24"/>
        </w:rPr>
        <w:t>0</w:t>
      </w:r>
    </w:p>
    <w:p w:rsidR="003A7179" w:rsidRPr="0012760D" w:rsidRDefault="003A7179" w:rsidP="003A7179">
      <w:pPr>
        <w:rPr>
          <w:sz w:val="24"/>
          <w:szCs w:val="24"/>
        </w:rPr>
      </w:pPr>
      <w:r w:rsidRPr="0012760D">
        <w:rPr>
          <w:sz w:val="24"/>
          <w:szCs w:val="24"/>
        </w:rPr>
        <w:t>Fax +6</w:t>
      </w:r>
      <w:r w:rsidR="009A6AAD">
        <w:rPr>
          <w:sz w:val="24"/>
          <w:szCs w:val="24"/>
        </w:rPr>
        <w:t xml:space="preserve"> </w:t>
      </w:r>
      <w:r w:rsidRPr="0012760D">
        <w:rPr>
          <w:sz w:val="24"/>
          <w:szCs w:val="24"/>
        </w:rPr>
        <w:t>1 3 9</w:t>
      </w:r>
      <w:r w:rsidR="009A6AAD">
        <w:rPr>
          <w:sz w:val="24"/>
          <w:szCs w:val="24"/>
        </w:rPr>
        <w:t xml:space="preserve"> </w:t>
      </w:r>
      <w:r w:rsidRPr="0012760D">
        <w:rPr>
          <w:sz w:val="24"/>
          <w:szCs w:val="24"/>
        </w:rPr>
        <w:t>6</w:t>
      </w:r>
      <w:r w:rsidR="009A6AAD">
        <w:rPr>
          <w:sz w:val="24"/>
          <w:szCs w:val="24"/>
        </w:rPr>
        <w:t xml:space="preserve"> </w:t>
      </w:r>
      <w:r w:rsidRPr="0012760D">
        <w:rPr>
          <w:sz w:val="24"/>
          <w:szCs w:val="24"/>
        </w:rPr>
        <w:t>6</w:t>
      </w:r>
      <w:r w:rsidR="009A6AAD">
        <w:rPr>
          <w:sz w:val="24"/>
          <w:szCs w:val="24"/>
        </w:rPr>
        <w:t xml:space="preserve"> </w:t>
      </w:r>
      <w:r w:rsidRPr="0012760D">
        <w:rPr>
          <w:sz w:val="24"/>
          <w:szCs w:val="24"/>
        </w:rPr>
        <w:t>3 1</w:t>
      </w:r>
      <w:r w:rsidR="009A6AAD">
        <w:rPr>
          <w:sz w:val="24"/>
          <w:szCs w:val="24"/>
        </w:rPr>
        <w:t xml:space="preserve"> </w:t>
      </w:r>
      <w:r w:rsidRPr="0012760D">
        <w:rPr>
          <w:sz w:val="24"/>
          <w:szCs w:val="24"/>
        </w:rPr>
        <w:t>0</w:t>
      </w:r>
      <w:r w:rsidR="009A6AAD">
        <w:rPr>
          <w:sz w:val="24"/>
          <w:szCs w:val="24"/>
        </w:rPr>
        <w:t xml:space="preserve"> </w:t>
      </w:r>
      <w:r w:rsidRPr="0012760D">
        <w:rPr>
          <w:sz w:val="24"/>
          <w:szCs w:val="24"/>
        </w:rPr>
        <w:t>0</w:t>
      </w:r>
      <w:r w:rsidR="009A6AAD">
        <w:rPr>
          <w:sz w:val="24"/>
          <w:szCs w:val="24"/>
        </w:rPr>
        <w:t xml:space="preserve"> </w:t>
      </w:r>
      <w:r w:rsidRPr="0012760D">
        <w:rPr>
          <w:sz w:val="24"/>
          <w:szCs w:val="24"/>
        </w:rPr>
        <w:t>7</w:t>
      </w:r>
    </w:p>
    <w:p w:rsidR="003A7179" w:rsidRPr="0012760D" w:rsidRDefault="003A7179" w:rsidP="003A7179">
      <w:pPr>
        <w:rPr>
          <w:sz w:val="24"/>
          <w:szCs w:val="24"/>
        </w:rPr>
      </w:pPr>
      <w:r w:rsidRPr="0012760D">
        <w:rPr>
          <w:sz w:val="24"/>
          <w:szCs w:val="24"/>
        </w:rPr>
        <w:t>sustainability.vic.</w:t>
      </w:r>
      <w:hyperlink r:id="rId23" w:history="1">
        <w:r w:rsidRPr="0012760D">
          <w:rPr>
            <w:sz w:val="24"/>
            <w:szCs w:val="24"/>
          </w:rPr>
          <w:t>gov.au</w:t>
        </w:r>
      </w:hyperlink>
    </w:p>
    <w:p w:rsidR="003A7179" w:rsidRPr="0012760D" w:rsidRDefault="003A7179" w:rsidP="003A7179">
      <w:pPr>
        <w:rPr>
          <w:sz w:val="24"/>
          <w:szCs w:val="24"/>
        </w:rPr>
      </w:pPr>
      <w:r w:rsidRPr="0012760D">
        <w:rPr>
          <w:sz w:val="24"/>
          <w:szCs w:val="24"/>
        </w:rPr>
        <w:t>ABN 6</w:t>
      </w:r>
      <w:r w:rsidR="009A6AAD">
        <w:rPr>
          <w:sz w:val="24"/>
          <w:szCs w:val="24"/>
        </w:rPr>
        <w:t xml:space="preserve"> </w:t>
      </w:r>
      <w:r w:rsidRPr="0012760D">
        <w:rPr>
          <w:sz w:val="24"/>
          <w:szCs w:val="24"/>
        </w:rPr>
        <w:t>2 0</w:t>
      </w:r>
      <w:r w:rsidR="009A6AAD">
        <w:rPr>
          <w:sz w:val="24"/>
          <w:szCs w:val="24"/>
        </w:rPr>
        <w:t xml:space="preserve"> </w:t>
      </w:r>
      <w:r w:rsidRPr="0012760D">
        <w:rPr>
          <w:sz w:val="24"/>
          <w:szCs w:val="24"/>
        </w:rPr>
        <w:t>1</w:t>
      </w:r>
      <w:r w:rsidR="009A6AAD">
        <w:rPr>
          <w:sz w:val="24"/>
          <w:szCs w:val="24"/>
        </w:rPr>
        <w:t xml:space="preserve"> </w:t>
      </w:r>
      <w:r w:rsidRPr="0012760D">
        <w:rPr>
          <w:sz w:val="24"/>
          <w:szCs w:val="24"/>
        </w:rPr>
        <w:t>9 6</w:t>
      </w:r>
      <w:r w:rsidR="009A6AAD">
        <w:rPr>
          <w:sz w:val="24"/>
          <w:szCs w:val="24"/>
        </w:rPr>
        <w:t xml:space="preserve"> </w:t>
      </w:r>
      <w:r w:rsidRPr="0012760D">
        <w:rPr>
          <w:sz w:val="24"/>
          <w:szCs w:val="24"/>
        </w:rPr>
        <w:t>5</w:t>
      </w:r>
      <w:r w:rsidR="009A6AAD">
        <w:rPr>
          <w:sz w:val="24"/>
          <w:szCs w:val="24"/>
        </w:rPr>
        <w:t xml:space="preserve"> </w:t>
      </w:r>
      <w:r w:rsidRPr="0012760D">
        <w:rPr>
          <w:sz w:val="24"/>
          <w:szCs w:val="24"/>
        </w:rPr>
        <w:t>4 0</w:t>
      </w:r>
      <w:r w:rsidR="009A6AAD">
        <w:rPr>
          <w:sz w:val="24"/>
          <w:szCs w:val="24"/>
        </w:rPr>
        <w:t xml:space="preserve"> </w:t>
      </w:r>
      <w:r w:rsidRPr="0012760D">
        <w:rPr>
          <w:sz w:val="24"/>
          <w:szCs w:val="24"/>
        </w:rPr>
        <w:t>6</w:t>
      </w:r>
      <w:r w:rsidR="009A6AAD">
        <w:rPr>
          <w:sz w:val="24"/>
          <w:szCs w:val="24"/>
        </w:rPr>
        <w:t xml:space="preserve"> </w:t>
      </w:r>
      <w:r w:rsidRPr="0012760D">
        <w:rPr>
          <w:sz w:val="24"/>
          <w:szCs w:val="24"/>
        </w:rPr>
        <w:t>7</w:t>
      </w:r>
    </w:p>
    <w:p w:rsidR="003A7179" w:rsidRPr="0012760D" w:rsidRDefault="003A7179" w:rsidP="003A7179">
      <w:pPr>
        <w:rPr>
          <w:bCs/>
          <w:sz w:val="24"/>
          <w:szCs w:val="24"/>
        </w:rPr>
      </w:pPr>
    </w:p>
    <w:p w:rsidR="003A7179" w:rsidRPr="0012760D" w:rsidRDefault="003A7179" w:rsidP="003A7179">
      <w:pPr>
        <w:rPr>
          <w:bCs/>
          <w:sz w:val="24"/>
          <w:szCs w:val="24"/>
        </w:rPr>
      </w:pPr>
    </w:p>
    <w:p w:rsidR="003A7179" w:rsidRPr="0012760D" w:rsidRDefault="003A7179" w:rsidP="005A26D3">
      <w:pPr>
        <w:pStyle w:val="Heading2"/>
      </w:pPr>
      <w:r w:rsidRPr="0012760D">
        <w:t>Risk Attestation</w:t>
      </w:r>
    </w:p>
    <w:p w:rsidR="003A7179" w:rsidRPr="0012760D" w:rsidRDefault="003A7179" w:rsidP="003A7179">
      <w:pPr>
        <w:rPr>
          <w:sz w:val="24"/>
          <w:szCs w:val="24"/>
        </w:rPr>
      </w:pPr>
    </w:p>
    <w:p w:rsidR="003A7179" w:rsidRPr="0012760D" w:rsidRDefault="003A7179" w:rsidP="003A7179">
      <w:pPr>
        <w:rPr>
          <w:sz w:val="24"/>
          <w:szCs w:val="24"/>
        </w:rPr>
      </w:pPr>
      <w:r w:rsidRPr="0012760D">
        <w:rPr>
          <w:sz w:val="24"/>
          <w:szCs w:val="24"/>
        </w:rPr>
        <w:t>I, Gillian Sparkes, certify that Sustainability Victoria has Risk management processes consistent with the Australian/New Zealand Risk Management Standard (A</w:t>
      </w:r>
      <w:r w:rsidR="009A6AAD">
        <w:rPr>
          <w:sz w:val="24"/>
          <w:szCs w:val="24"/>
        </w:rPr>
        <w:t xml:space="preserve"> </w:t>
      </w:r>
      <w:r w:rsidRPr="0012760D">
        <w:rPr>
          <w:sz w:val="24"/>
          <w:szCs w:val="24"/>
        </w:rPr>
        <w:t>S/NZS ISO 31000:2009 Standard) and an internal control system is in place that enables the executive to understand, manage and satisfactorily control risk exposures.</w:t>
      </w:r>
    </w:p>
    <w:p w:rsidR="005A26D3" w:rsidRDefault="005A26D3" w:rsidP="003A7179">
      <w:pPr>
        <w:rPr>
          <w:sz w:val="24"/>
          <w:szCs w:val="24"/>
        </w:rPr>
      </w:pPr>
    </w:p>
    <w:p w:rsidR="003A7179" w:rsidRPr="0012760D" w:rsidRDefault="003A7179" w:rsidP="003A7179">
      <w:pPr>
        <w:rPr>
          <w:sz w:val="24"/>
          <w:szCs w:val="24"/>
        </w:rPr>
      </w:pPr>
      <w:r w:rsidRPr="0012760D">
        <w:rPr>
          <w:sz w:val="24"/>
          <w:szCs w:val="24"/>
        </w:rPr>
        <w:t>The Audit, Risk and Finance Committee, verifies this assurance and that the risk profile of Sustainability Victoria has been critically reviewed within the last 12 months.</w:t>
      </w:r>
    </w:p>
    <w:p w:rsidR="005A26D3" w:rsidRDefault="005A26D3" w:rsidP="003A7179">
      <w:pPr>
        <w:rPr>
          <w:sz w:val="24"/>
          <w:szCs w:val="24"/>
        </w:rPr>
      </w:pPr>
    </w:p>
    <w:p w:rsidR="003A7179" w:rsidRPr="0012760D" w:rsidRDefault="003A7179" w:rsidP="003A7179">
      <w:pPr>
        <w:rPr>
          <w:sz w:val="24"/>
          <w:szCs w:val="24"/>
        </w:rPr>
      </w:pPr>
      <w:r w:rsidRPr="0012760D">
        <w:rPr>
          <w:sz w:val="24"/>
          <w:szCs w:val="24"/>
        </w:rPr>
        <w:t>Sustainability Victoria is committed to the continual improvement of its Risk Management Culture and the embedding of risk management principles as a business enabler. It recognises there are still opportunities to embed risk management practices into its business as usual processes and will continue this process in 2013 to 14.</w:t>
      </w:r>
    </w:p>
    <w:p w:rsidR="003A7179" w:rsidRPr="0012760D" w:rsidRDefault="003A7179" w:rsidP="003A7179">
      <w:pPr>
        <w:rPr>
          <w:sz w:val="24"/>
          <w:szCs w:val="24"/>
        </w:rPr>
      </w:pPr>
    </w:p>
    <w:p w:rsidR="003A7179" w:rsidRPr="0012760D" w:rsidRDefault="00FE5268" w:rsidP="003A7179">
      <w:pPr>
        <w:rPr>
          <w:bCs/>
          <w:sz w:val="24"/>
          <w:szCs w:val="24"/>
        </w:rPr>
      </w:pPr>
      <w:r>
        <w:rPr>
          <w:bCs/>
          <w:sz w:val="24"/>
          <w:szCs w:val="24"/>
        </w:rPr>
        <w:t xml:space="preserve">Doctor </w:t>
      </w:r>
      <w:r w:rsidR="003A7179" w:rsidRPr="0012760D">
        <w:rPr>
          <w:bCs/>
          <w:sz w:val="24"/>
          <w:szCs w:val="24"/>
        </w:rPr>
        <w:t>Gillian Sparkes</w:t>
      </w:r>
    </w:p>
    <w:p w:rsidR="003A7179" w:rsidRPr="0012760D" w:rsidRDefault="003A7179" w:rsidP="003A7179">
      <w:pPr>
        <w:rPr>
          <w:sz w:val="24"/>
          <w:szCs w:val="24"/>
        </w:rPr>
      </w:pPr>
      <w:r w:rsidRPr="0012760D">
        <w:rPr>
          <w:bCs/>
          <w:sz w:val="24"/>
          <w:szCs w:val="24"/>
        </w:rPr>
        <w:t>Chair</w:t>
      </w:r>
    </w:p>
    <w:p w:rsidR="003A7179" w:rsidRPr="0012760D" w:rsidRDefault="003A7179" w:rsidP="003A7179">
      <w:pPr>
        <w:rPr>
          <w:sz w:val="24"/>
          <w:szCs w:val="24"/>
        </w:rPr>
      </w:pPr>
      <w:r w:rsidRPr="0012760D">
        <w:rPr>
          <w:sz w:val="24"/>
          <w:szCs w:val="24"/>
        </w:rPr>
        <w:t>Sustainability Victoria</w:t>
      </w:r>
    </w:p>
    <w:p w:rsidR="003A7179" w:rsidRPr="0012760D" w:rsidRDefault="003A7179" w:rsidP="003A7179">
      <w:pPr>
        <w:rPr>
          <w:sz w:val="24"/>
          <w:szCs w:val="24"/>
        </w:rPr>
      </w:pPr>
      <w:r w:rsidRPr="0012760D">
        <w:rPr>
          <w:sz w:val="24"/>
          <w:szCs w:val="24"/>
        </w:rPr>
        <w:t>Melbourne</w:t>
      </w:r>
    </w:p>
    <w:p w:rsidR="003A7179" w:rsidRDefault="003A7179" w:rsidP="003A7179">
      <w:pPr>
        <w:rPr>
          <w:sz w:val="24"/>
          <w:szCs w:val="24"/>
        </w:rPr>
      </w:pPr>
      <w:r w:rsidRPr="0012760D">
        <w:rPr>
          <w:sz w:val="24"/>
          <w:szCs w:val="24"/>
        </w:rPr>
        <w:t>27 August 2013</w:t>
      </w:r>
    </w:p>
    <w:p w:rsidR="0012760D" w:rsidRPr="0012760D" w:rsidRDefault="0012760D" w:rsidP="003A7179">
      <w:pPr>
        <w:rPr>
          <w:sz w:val="24"/>
          <w:szCs w:val="24"/>
        </w:rPr>
      </w:pPr>
    </w:p>
    <w:p w:rsidR="0012760D" w:rsidRPr="0012760D" w:rsidRDefault="0012760D" w:rsidP="0012760D">
      <w:pPr>
        <w:rPr>
          <w:sz w:val="24"/>
          <w:szCs w:val="24"/>
        </w:rPr>
      </w:pPr>
      <w:r w:rsidRPr="0012760D">
        <w:rPr>
          <w:sz w:val="24"/>
          <w:szCs w:val="24"/>
        </w:rPr>
        <w:t xml:space="preserve">Published by </w:t>
      </w:r>
      <w:r>
        <w:rPr>
          <w:sz w:val="24"/>
          <w:szCs w:val="24"/>
        </w:rPr>
        <w:t>Sustainability Victoria.</w:t>
      </w:r>
    </w:p>
    <w:p w:rsidR="0012760D" w:rsidRPr="0012760D" w:rsidRDefault="0012760D" w:rsidP="0012760D">
      <w:pPr>
        <w:rPr>
          <w:sz w:val="24"/>
          <w:szCs w:val="24"/>
        </w:rPr>
      </w:pPr>
    </w:p>
    <w:p w:rsidR="0012760D" w:rsidRPr="0012760D" w:rsidRDefault="0012760D" w:rsidP="0012760D">
      <w:pPr>
        <w:rPr>
          <w:sz w:val="24"/>
          <w:szCs w:val="24"/>
        </w:rPr>
      </w:pPr>
      <w:r w:rsidRPr="0012760D">
        <w:rPr>
          <w:sz w:val="24"/>
          <w:szCs w:val="24"/>
        </w:rPr>
        <w:t xml:space="preserve">This </w:t>
      </w:r>
      <w:r>
        <w:rPr>
          <w:sz w:val="24"/>
          <w:szCs w:val="24"/>
        </w:rPr>
        <w:t>e-text</w:t>
      </w:r>
      <w:r w:rsidRPr="0012760D">
        <w:rPr>
          <w:sz w:val="24"/>
          <w:szCs w:val="24"/>
        </w:rPr>
        <w:t xml:space="preserve"> version was produced by Vision </w:t>
      </w:r>
      <w:smartTag w:uri="urn:schemas-microsoft-com:office:smarttags" w:element="country-region">
        <w:smartTag w:uri="urn:schemas-microsoft-com:office:smarttags" w:element="place">
          <w:r w:rsidRPr="0012760D">
            <w:rPr>
              <w:sz w:val="24"/>
              <w:szCs w:val="24"/>
            </w:rPr>
            <w:t>Australia</w:t>
          </w:r>
        </w:smartTag>
      </w:smartTag>
      <w:r w:rsidRPr="0012760D">
        <w:rPr>
          <w:sz w:val="24"/>
          <w:szCs w:val="24"/>
        </w:rPr>
        <w:t>.</w:t>
      </w:r>
    </w:p>
    <w:p w:rsidR="0012760D" w:rsidRPr="0012760D" w:rsidRDefault="0012760D" w:rsidP="0012760D">
      <w:pPr>
        <w:rPr>
          <w:sz w:val="24"/>
          <w:szCs w:val="24"/>
        </w:rPr>
      </w:pPr>
      <w:r w:rsidRPr="0012760D">
        <w:rPr>
          <w:sz w:val="24"/>
          <w:szCs w:val="24"/>
        </w:rPr>
        <w:t>Ph: 1</w:t>
      </w:r>
      <w:r w:rsidR="009A6AAD">
        <w:rPr>
          <w:sz w:val="24"/>
          <w:szCs w:val="24"/>
        </w:rPr>
        <w:t xml:space="preserve"> </w:t>
      </w:r>
      <w:r w:rsidRPr="0012760D">
        <w:rPr>
          <w:sz w:val="24"/>
          <w:szCs w:val="24"/>
        </w:rPr>
        <w:t>300 3</w:t>
      </w:r>
      <w:r w:rsidR="009A6AAD">
        <w:rPr>
          <w:sz w:val="24"/>
          <w:szCs w:val="24"/>
        </w:rPr>
        <w:t xml:space="preserve"> </w:t>
      </w:r>
      <w:r w:rsidRPr="0012760D">
        <w:rPr>
          <w:sz w:val="24"/>
          <w:szCs w:val="24"/>
        </w:rPr>
        <w:t>6</w:t>
      </w:r>
      <w:r w:rsidR="009A6AAD">
        <w:rPr>
          <w:sz w:val="24"/>
          <w:szCs w:val="24"/>
        </w:rPr>
        <w:t xml:space="preserve"> </w:t>
      </w:r>
      <w:r w:rsidRPr="0012760D">
        <w:rPr>
          <w:sz w:val="24"/>
          <w:szCs w:val="24"/>
        </w:rPr>
        <w:t>7 0</w:t>
      </w:r>
      <w:r w:rsidR="009A6AAD">
        <w:rPr>
          <w:sz w:val="24"/>
          <w:szCs w:val="24"/>
        </w:rPr>
        <w:t xml:space="preserve"> </w:t>
      </w:r>
      <w:r w:rsidRPr="0012760D">
        <w:rPr>
          <w:sz w:val="24"/>
          <w:szCs w:val="24"/>
        </w:rPr>
        <w:t>5</w:t>
      </w:r>
      <w:r w:rsidR="009A6AAD">
        <w:rPr>
          <w:sz w:val="24"/>
          <w:szCs w:val="24"/>
        </w:rPr>
        <w:t xml:space="preserve"> </w:t>
      </w:r>
      <w:r w:rsidRPr="0012760D">
        <w:rPr>
          <w:sz w:val="24"/>
          <w:szCs w:val="24"/>
        </w:rPr>
        <w:t>5</w:t>
      </w:r>
    </w:p>
    <w:p w:rsidR="0012760D" w:rsidRPr="0012760D" w:rsidRDefault="0012760D" w:rsidP="0012760D">
      <w:pPr>
        <w:rPr>
          <w:sz w:val="24"/>
          <w:szCs w:val="24"/>
        </w:rPr>
      </w:pPr>
      <w:r w:rsidRPr="0012760D">
        <w:rPr>
          <w:sz w:val="24"/>
          <w:szCs w:val="24"/>
        </w:rPr>
        <w:t xml:space="preserve">Email: </w:t>
      </w:r>
      <w:hyperlink r:id="rId24" w:history="1">
        <w:r w:rsidRPr="0012760D">
          <w:rPr>
            <w:rStyle w:val="Hyperlink"/>
            <w:color w:val="auto"/>
            <w:sz w:val="24"/>
            <w:szCs w:val="24"/>
            <w:u w:val="none"/>
          </w:rPr>
          <w:t>ais@visionaustralia.org</w:t>
        </w:r>
      </w:hyperlink>
    </w:p>
    <w:p w:rsidR="0012760D" w:rsidRPr="0012760D" w:rsidRDefault="0012760D" w:rsidP="0012760D">
      <w:pPr>
        <w:rPr>
          <w:sz w:val="24"/>
          <w:szCs w:val="24"/>
        </w:rPr>
      </w:pPr>
    </w:p>
    <w:p w:rsidR="0012760D" w:rsidRPr="0012760D" w:rsidRDefault="0012760D" w:rsidP="0012760D">
      <w:pPr>
        <w:rPr>
          <w:sz w:val="24"/>
          <w:szCs w:val="24"/>
        </w:rPr>
      </w:pPr>
      <w:r w:rsidRPr="0012760D">
        <w:rPr>
          <w:sz w:val="24"/>
          <w:szCs w:val="24"/>
        </w:rPr>
        <w:t>Although every effort was made during the transcription process to ensure an accurate representation of the original document, Vision Australia does not accept responsibility for any errors or omissions, nor for the results of specific action taken on the basis of this transcription. The original document should always remain the point of reference for content accuracy.</w:t>
      </w:r>
    </w:p>
    <w:p w:rsidR="00195356" w:rsidRPr="0012760D" w:rsidRDefault="00195356" w:rsidP="0078679E">
      <w:pPr>
        <w:rPr>
          <w:sz w:val="24"/>
          <w:szCs w:val="24"/>
        </w:rPr>
      </w:pPr>
    </w:p>
    <w:sectPr w:rsidR="00195356" w:rsidRPr="0012760D" w:rsidSect="00545C9F">
      <w:pgSz w:w="11909" w:h="16834"/>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79E"/>
    <w:rsid w:val="00021AD7"/>
    <w:rsid w:val="00027FF5"/>
    <w:rsid w:val="000328D1"/>
    <w:rsid w:val="000602AB"/>
    <w:rsid w:val="00073A1F"/>
    <w:rsid w:val="00075FC8"/>
    <w:rsid w:val="000A1607"/>
    <w:rsid w:val="000C7EC3"/>
    <w:rsid w:val="000D4D3A"/>
    <w:rsid w:val="0012760D"/>
    <w:rsid w:val="00133F16"/>
    <w:rsid w:val="00143898"/>
    <w:rsid w:val="00146F64"/>
    <w:rsid w:val="001813F1"/>
    <w:rsid w:val="00190CAA"/>
    <w:rsid w:val="00195356"/>
    <w:rsid w:val="001A59B2"/>
    <w:rsid w:val="001B3A3E"/>
    <w:rsid w:val="001C0456"/>
    <w:rsid w:val="001C3CF8"/>
    <w:rsid w:val="001D2FFC"/>
    <w:rsid w:val="001F0B7A"/>
    <w:rsid w:val="00234778"/>
    <w:rsid w:val="00236A13"/>
    <w:rsid w:val="002502C0"/>
    <w:rsid w:val="00273EC4"/>
    <w:rsid w:val="002C6FF0"/>
    <w:rsid w:val="002D4A0A"/>
    <w:rsid w:val="00304A9D"/>
    <w:rsid w:val="00326805"/>
    <w:rsid w:val="00350F71"/>
    <w:rsid w:val="00356EA1"/>
    <w:rsid w:val="003A6A05"/>
    <w:rsid w:val="003A7179"/>
    <w:rsid w:val="003E27B0"/>
    <w:rsid w:val="003E5497"/>
    <w:rsid w:val="00407410"/>
    <w:rsid w:val="00412AB7"/>
    <w:rsid w:val="00425F22"/>
    <w:rsid w:val="004418F4"/>
    <w:rsid w:val="00473F6B"/>
    <w:rsid w:val="00477909"/>
    <w:rsid w:val="004B2D65"/>
    <w:rsid w:val="004C37F6"/>
    <w:rsid w:val="004F6170"/>
    <w:rsid w:val="00517744"/>
    <w:rsid w:val="00544C7A"/>
    <w:rsid w:val="00545C9F"/>
    <w:rsid w:val="00552B7D"/>
    <w:rsid w:val="005A26D3"/>
    <w:rsid w:val="005F6669"/>
    <w:rsid w:val="0068183F"/>
    <w:rsid w:val="006B246A"/>
    <w:rsid w:val="006B72E0"/>
    <w:rsid w:val="006E6F1C"/>
    <w:rsid w:val="00716109"/>
    <w:rsid w:val="0071725E"/>
    <w:rsid w:val="00727C4E"/>
    <w:rsid w:val="00741BCF"/>
    <w:rsid w:val="0078679E"/>
    <w:rsid w:val="007E67C2"/>
    <w:rsid w:val="00800153"/>
    <w:rsid w:val="00805FDC"/>
    <w:rsid w:val="00826760"/>
    <w:rsid w:val="00830E84"/>
    <w:rsid w:val="00843A81"/>
    <w:rsid w:val="00875072"/>
    <w:rsid w:val="00894DCD"/>
    <w:rsid w:val="008E0B83"/>
    <w:rsid w:val="008E1F6B"/>
    <w:rsid w:val="00907E0B"/>
    <w:rsid w:val="0091105D"/>
    <w:rsid w:val="00913227"/>
    <w:rsid w:val="009201A6"/>
    <w:rsid w:val="00921EC2"/>
    <w:rsid w:val="00922881"/>
    <w:rsid w:val="00932E3A"/>
    <w:rsid w:val="00991AAF"/>
    <w:rsid w:val="00994911"/>
    <w:rsid w:val="009A6AAD"/>
    <w:rsid w:val="009D41D9"/>
    <w:rsid w:val="00A2471A"/>
    <w:rsid w:val="00A4473E"/>
    <w:rsid w:val="00A52E34"/>
    <w:rsid w:val="00A54719"/>
    <w:rsid w:val="00A83AB6"/>
    <w:rsid w:val="00AF2D9F"/>
    <w:rsid w:val="00AF5042"/>
    <w:rsid w:val="00B058BE"/>
    <w:rsid w:val="00B25C07"/>
    <w:rsid w:val="00B32D17"/>
    <w:rsid w:val="00B42166"/>
    <w:rsid w:val="00B435AA"/>
    <w:rsid w:val="00B45AD2"/>
    <w:rsid w:val="00B470E0"/>
    <w:rsid w:val="00B66707"/>
    <w:rsid w:val="00B7598F"/>
    <w:rsid w:val="00B814E4"/>
    <w:rsid w:val="00B90725"/>
    <w:rsid w:val="00B93117"/>
    <w:rsid w:val="00B9374D"/>
    <w:rsid w:val="00BC0AB9"/>
    <w:rsid w:val="00C0532C"/>
    <w:rsid w:val="00C16B42"/>
    <w:rsid w:val="00C17424"/>
    <w:rsid w:val="00C17529"/>
    <w:rsid w:val="00C645AF"/>
    <w:rsid w:val="00C944E7"/>
    <w:rsid w:val="00CA07BB"/>
    <w:rsid w:val="00CB215E"/>
    <w:rsid w:val="00CC75F2"/>
    <w:rsid w:val="00CE0A93"/>
    <w:rsid w:val="00D26C53"/>
    <w:rsid w:val="00D330C6"/>
    <w:rsid w:val="00D4581D"/>
    <w:rsid w:val="00D54B07"/>
    <w:rsid w:val="00D657E7"/>
    <w:rsid w:val="00D82BFB"/>
    <w:rsid w:val="00D82E05"/>
    <w:rsid w:val="00D83A20"/>
    <w:rsid w:val="00D843CA"/>
    <w:rsid w:val="00D97AFC"/>
    <w:rsid w:val="00DB2141"/>
    <w:rsid w:val="00DB3AF8"/>
    <w:rsid w:val="00DC226B"/>
    <w:rsid w:val="00DD262E"/>
    <w:rsid w:val="00DE3AF2"/>
    <w:rsid w:val="00DF2F8B"/>
    <w:rsid w:val="00E06798"/>
    <w:rsid w:val="00E06E62"/>
    <w:rsid w:val="00E13E88"/>
    <w:rsid w:val="00E320AB"/>
    <w:rsid w:val="00E674B0"/>
    <w:rsid w:val="00E750D5"/>
    <w:rsid w:val="00EB3B18"/>
    <w:rsid w:val="00EF242F"/>
    <w:rsid w:val="00F07D62"/>
    <w:rsid w:val="00F53B08"/>
    <w:rsid w:val="00F60D44"/>
    <w:rsid w:val="00F6746A"/>
    <w:rsid w:val="00F80869"/>
    <w:rsid w:val="00F83426"/>
    <w:rsid w:val="00FA5443"/>
    <w:rsid w:val="00FC127D"/>
    <w:rsid w:val="00FD0A8F"/>
    <w:rsid w:val="00FE52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cs="Arial"/>
    </w:rPr>
  </w:style>
  <w:style w:type="paragraph" w:styleId="Heading1">
    <w:name w:val="heading 1"/>
    <w:basedOn w:val="Normal"/>
    <w:next w:val="Normal"/>
    <w:link w:val="Heading1Char"/>
    <w:uiPriority w:val="9"/>
    <w:qFormat/>
    <w:rsid w:val="001C0456"/>
    <w:pPr>
      <w:keepNext/>
      <w:spacing w:before="240" w:after="60"/>
      <w:outlineLvl w:val="0"/>
    </w:pPr>
    <w:rPr>
      <w:rFonts w:cs="Times New Roman"/>
      <w:b/>
      <w:bCs/>
      <w:kern w:val="32"/>
      <w:sz w:val="24"/>
      <w:szCs w:val="32"/>
    </w:rPr>
  </w:style>
  <w:style w:type="paragraph" w:styleId="Heading2">
    <w:name w:val="heading 2"/>
    <w:basedOn w:val="Normal"/>
    <w:next w:val="Normal"/>
    <w:link w:val="Heading2Char"/>
    <w:uiPriority w:val="9"/>
    <w:unhideWhenUsed/>
    <w:qFormat/>
    <w:rsid w:val="00FE5268"/>
    <w:pPr>
      <w:keepNext/>
      <w:outlineLvl w:val="1"/>
    </w:pPr>
    <w:rPr>
      <w:rFonts w:cs="Times New Roman"/>
      <w:b/>
      <w:bCs/>
      <w:iCs/>
      <w:sz w:val="24"/>
      <w:szCs w:val="28"/>
    </w:rPr>
  </w:style>
  <w:style w:type="paragraph" w:styleId="Heading3">
    <w:name w:val="heading 3"/>
    <w:basedOn w:val="Normal"/>
    <w:next w:val="Normal"/>
    <w:link w:val="Heading3Char"/>
    <w:uiPriority w:val="9"/>
    <w:unhideWhenUsed/>
    <w:qFormat/>
    <w:rsid w:val="00FE5268"/>
    <w:pPr>
      <w:keepNext/>
      <w:outlineLvl w:val="2"/>
    </w:pPr>
    <w:rPr>
      <w:rFonts w:cs="Times New Roman"/>
      <w:b/>
      <w:bCs/>
      <w:sz w:val="24"/>
      <w:szCs w:val="26"/>
    </w:rPr>
  </w:style>
  <w:style w:type="paragraph" w:styleId="Heading4">
    <w:name w:val="heading 4"/>
    <w:basedOn w:val="Normal"/>
    <w:next w:val="Normal"/>
    <w:link w:val="Heading4Char"/>
    <w:uiPriority w:val="9"/>
    <w:unhideWhenUsed/>
    <w:qFormat/>
    <w:rsid w:val="00FE5268"/>
    <w:pPr>
      <w:keepNext/>
      <w:outlineLvl w:val="3"/>
    </w:pPr>
    <w:rPr>
      <w:rFonts w:cs="Times New Roman"/>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C0456"/>
    <w:rPr>
      <w:rFonts w:ascii="Arial" w:eastAsia="Times New Roman" w:hAnsi="Arial" w:cs="Times New Roman"/>
      <w:b/>
      <w:bCs/>
      <w:kern w:val="32"/>
      <w:sz w:val="24"/>
      <w:szCs w:val="32"/>
    </w:rPr>
  </w:style>
  <w:style w:type="character" w:customStyle="1" w:styleId="Heading2Char">
    <w:name w:val="Heading 2 Char"/>
    <w:link w:val="Heading2"/>
    <w:uiPriority w:val="9"/>
    <w:rsid w:val="00FE5268"/>
    <w:rPr>
      <w:rFonts w:ascii="Arial" w:hAnsi="Arial"/>
      <w:b/>
      <w:bCs/>
      <w:iCs/>
      <w:sz w:val="24"/>
      <w:szCs w:val="28"/>
    </w:rPr>
  </w:style>
  <w:style w:type="character" w:customStyle="1" w:styleId="Heading3Char">
    <w:name w:val="Heading 3 Char"/>
    <w:link w:val="Heading3"/>
    <w:uiPriority w:val="9"/>
    <w:rsid w:val="00FE5268"/>
    <w:rPr>
      <w:rFonts w:ascii="Arial" w:hAnsi="Arial"/>
      <w:b/>
      <w:bCs/>
      <w:sz w:val="24"/>
      <w:szCs w:val="26"/>
    </w:rPr>
  </w:style>
  <w:style w:type="character" w:styleId="Hyperlink">
    <w:name w:val="Hyperlink"/>
    <w:rsid w:val="0012760D"/>
    <w:rPr>
      <w:color w:val="0000FF"/>
      <w:u w:val="single"/>
    </w:rPr>
  </w:style>
  <w:style w:type="character" w:customStyle="1" w:styleId="Heading4Char">
    <w:name w:val="Heading 4 Char"/>
    <w:link w:val="Heading4"/>
    <w:uiPriority w:val="9"/>
    <w:rsid w:val="00FE5268"/>
    <w:rPr>
      <w:rFonts w:ascii="Arial" w:eastAsia="Times New Roman" w:hAnsi="Arial" w:cs="Times New Roman"/>
      <w:b/>
      <w:bCs/>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cs="Arial"/>
    </w:rPr>
  </w:style>
  <w:style w:type="paragraph" w:styleId="Heading1">
    <w:name w:val="heading 1"/>
    <w:basedOn w:val="Normal"/>
    <w:next w:val="Normal"/>
    <w:link w:val="Heading1Char"/>
    <w:uiPriority w:val="9"/>
    <w:qFormat/>
    <w:rsid w:val="001C0456"/>
    <w:pPr>
      <w:keepNext/>
      <w:spacing w:before="240" w:after="60"/>
      <w:outlineLvl w:val="0"/>
    </w:pPr>
    <w:rPr>
      <w:rFonts w:cs="Times New Roman"/>
      <w:b/>
      <w:bCs/>
      <w:kern w:val="32"/>
      <w:sz w:val="24"/>
      <w:szCs w:val="32"/>
    </w:rPr>
  </w:style>
  <w:style w:type="paragraph" w:styleId="Heading2">
    <w:name w:val="heading 2"/>
    <w:basedOn w:val="Normal"/>
    <w:next w:val="Normal"/>
    <w:link w:val="Heading2Char"/>
    <w:uiPriority w:val="9"/>
    <w:unhideWhenUsed/>
    <w:qFormat/>
    <w:rsid w:val="00FE5268"/>
    <w:pPr>
      <w:keepNext/>
      <w:outlineLvl w:val="1"/>
    </w:pPr>
    <w:rPr>
      <w:rFonts w:cs="Times New Roman"/>
      <w:b/>
      <w:bCs/>
      <w:iCs/>
      <w:sz w:val="24"/>
      <w:szCs w:val="28"/>
    </w:rPr>
  </w:style>
  <w:style w:type="paragraph" w:styleId="Heading3">
    <w:name w:val="heading 3"/>
    <w:basedOn w:val="Normal"/>
    <w:next w:val="Normal"/>
    <w:link w:val="Heading3Char"/>
    <w:uiPriority w:val="9"/>
    <w:unhideWhenUsed/>
    <w:qFormat/>
    <w:rsid w:val="00FE5268"/>
    <w:pPr>
      <w:keepNext/>
      <w:outlineLvl w:val="2"/>
    </w:pPr>
    <w:rPr>
      <w:rFonts w:cs="Times New Roman"/>
      <w:b/>
      <w:bCs/>
      <w:sz w:val="24"/>
      <w:szCs w:val="26"/>
    </w:rPr>
  </w:style>
  <w:style w:type="paragraph" w:styleId="Heading4">
    <w:name w:val="heading 4"/>
    <w:basedOn w:val="Normal"/>
    <w:next w:val="Normal"/>
    <w:link w:val="Heading4Char"/>
    <w:uiPriority w:val="9"/>
    <w:unhideWhenUsed/>
    <w:qFormat/>
    <w:rsid w:val="00FE5268"/>
    <w:pPr>
      <w:keepNext/>
      <w:outlineLvl w:val="3"/>
    </w:pPr>
    <w:rPr>
      <w:rFonts w:cs="Times New Roman"/>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C0456"/>
    <w:rPr>
      <w:rFonts w:ascii="Arial" w:eastAsia="Times New Roman" w:hAnsi="Arial" w:cs="Times New Roman"/>
      <w:b/>
      <w:bCs/>
      <w:kern w:val="32"/>
      <w:sz w:val="24"/>
      <w:szCs w:val="32"/>
    </w:rPr>
  </w:style>
  <w:style w:type="character" w:customStyle="1" w:styleId="Heading2Char">
    <w:name w:val="Heading 2 Char"/>
    <w:link w:val="Heading2"/>
    <w:uiPriority w:val="9"/>
    <w:rsid w:val="00FE5268"/>
    <w:rPr>
      <w:rFonts w:ascii="Arial" w:hAnsi="Arial"/>
      <w:b/>
      <w:bCs/>
      <w:iCs/>
      <w:sz w:val="24"/>
      <w:szCs w:val="28"/>
    </w:rPr>
  </w:style>
  <w:style w:type="character" w:customStyle="1" w:styleId="Heading3Char">
    <w:name w:val="Heading 3 Char"/>
    <w:link w:val="Heading3"/>
    <w:uiPriority w:val="9"/>
    <w:rsid w:val="00FE5268"/>
    <w:rPr>
      <w:rFonts w:ascii="Arial" w:hAnsi="Arial"/>
      <w:b/>
      <w:bCs/>
      <w:sz w:val="24"/>
      <w:szCs w:val="26"/>
    </w:rPr>
  </w:style>
  <w:style w:type="character" w:styleId="Hyperlink">
    <w:name w:val="Hyperlink"/>
    <w:rsid w:val="0012760D"/>
    <w:rPr>
      <w:color w:val="0000FF"/>
      <w:u w:val="single"/>
    </w:rPr>
  </w:style>
  <w:style w:type="character" w:customStyle="1" w:styleId="Heading4Char">
    <w:name w:val="Heading 4 Char"/>
    <w:link w:val="Heading4"/>
    <w:uiPriority w:val="9"/>
    <w:rsid w:val="00FE5268"/>
    <w:rPr>
      <w:rFonts w:ascii="Arial" w:eastAsia="Times New Roman" w:hAnsi="Arial" w:cs="Times New Roman"/>
      <w:b/>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5@audit.vic.gov.au" TargetMode="External"/><Relationship Id="rId13" Type="http://schemas.openxmlformats.org/officeDocument/2006/relationships/hyperlink" Target="http://www" TargetMode="External"/><Relationship Id="rId18" Type="http://schemas.openxmlformats.org/officeDocument/2006/relationships/hyperlink" Target="mailto:suzanne.knight@sustainability.vic.gov.a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ocpc.vic.gov.au" TargetMode="External"/><Relationship Id="rId7" Type="http://schemas.openxmlformats.org/officeDocument/2006/relationships/hyperlink" Target="http://creativecommons.org/licenses/by/3.0.au/" TargetMode="External"/><Relationship Id="rId12" Type="http://schemas.openxmlformats.org/officeDocument/2006/relationships/hyperlink" Target="http://www.foi.vic.gov.au" TargetMode="External"/><Relationship Id="rId17" Type="http://schemas.openxmlformats.org/officeDocument/2006/relationships/hyperlink" Target="http://lance.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ustainability.vic.gov.au" TargetMode="External"/><Relationship Id="rId20" Type="http://schemas.openxmlformats.org/officeDocument/2006/relationships/hyperlink" Target="mailto:ombudvic@ombudsman.vic.gov.au" TargetMode="External"/><Relationship Id="rId1" Type="http://schemas.openxmlformats.org/officeDocument/2006/relationships/customXml" Target="../customXml/item1.xml"/><Relationship Id="rId6" Type="http://schemas.openxmlformats.org/officeDocument/2006/relationships/hyperlink" Target="http://www.sustainability.vic.gov.au" TargetMode="External"/><Relationship Id="rId11" Type="http://schemas.openxmlformats.org/officeDocument/2006/relationships/hyperlink" Target="http://www.foi.vic.gov.au" TargetMode="External"/><Relationship Id="rId24" Type="http://schemas.openxmlformats.org/officeDocument/2006/relationships/hyperlink" Target="mailto:ais@visionaustralia.org" TargetMode="External"/><Relationship Id="rId5" Type="http://schemas.openxmlformats.org/officeDocument/2006/relationships/webSettings" Target="webSettings.xml"/><Relationship Id="rId15" Type="http://schemas.openxmlformats.org/officeDocument/2006/relationships/hyperlink" Target="http://www.sustainability.vic.gov.au" TargetMode="External"/><Relationship Id="rId23" Type="http://schemas.openxmlformats.org/officeDocument/2006/relationships/hyperlink" Target="http://gov.au" TargetMode="External"/><Relationship Id="rId10" Type="http://schemas.openxmlformats.org/officeDocument/2006/relationships/hyperlink" Target="mailto:derek.jones@sustainability.vic.gov.au" TargetMode="External"/><Relationship Id="rId19" Type="http://schemas.openxmlformats.org/officeDocument/2006/relationships/hyperlink" Target="http://www.ombudsman.vic.gov.au" TargetMode="External"/><Relationship Id="rId4" Type="http://schemas.openxmlformats.org/officeDocument/2006/relationships/settings" Target="settings.xml"/><Relationship Id="rId9" Type="http://schemas.openxmlformats.org/officeDocument/2006/relationships/hyperlink" Target="http://gov.au" TargetMode="External"/><Relationship Id="rId14" Type="http://schemas.openxmlformats.org/officeDocument/2006/relationships/hyperlink" Target="mailto:privacy@sustainability.vic.gov.au" TargetMode="External"/><Relationship Id="rId22" Type="http://schemas.openxmlformats.org/officeDocument/2006/relationships/hyperlink" Target="http://sustainability.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AEA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3FFB8-642A-400C-976C-7CC8D8578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132</Pages>
  <Words>37101</Words>
  <Characters>211476</Characters>
  <Application>Microsoft Office Word</Application>
  <DocSecurity>0</DocSecurity>
  <Lines>1762</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248081</CharactersWithSpaces>
  <SharedDoc>false</SharedDoc>
  <HLinks>
    <vt:vector size="114" baseType="variant">
      <vt:variant>
        <vt:i4>8323160</vt:i4>
      </vt:variant>
      <vt:variant>
        <vt:i4>54</vt:i4>
      </vt:variant>
      <vt:variant>
        <vt:i4>0</vt:i4>
      </vt:variant>
      <vt:variant>
        <vt:i4>5</vt:i4>
      </vt:variant>
      <vt:variant>
        <vt:lpwstr>mailto:ais@visionaustralia.org</vt:lpwstr>
      </vt:variant>
      <vt:variant>
        <vt:lpwstr/>
      </vt:variant>
      <vt:variant>
        <vt:i4>7602237</vt:i4>
      </vt:variant>
      <vt:variant>
        <vt:i4>51</vt:i4>
      </vt:variant>
      <vt:variant>
        <vt:i4>0</vt:i4>
      </vt:variant>
      <vt:variant>
        <vt:i4>5</vt:i4>
      </vt:variant>
      <vt:variant>
        <vt:lpwstr>http://gov.au/</vt:lpwstr>
      </vt:variant>
      <vt:variant>
        <vt:lpwstr/>
      </vt:variant>
      <vt:variant>
        <vt:i4>196636</vt:i4>
      </vt:variant>
      <vt:variant>
        <vt:i4>48</vt:i4>
      </vt:variant>
      <vt:variant>
        <vt:i4>0</vt:i4>
      </vt:variant>
      <vt:variant>
        <vt:i4>5</vt:i4>
      </vt:variant>
      <vt:variant>
        <vt:lpwstr>http://sustainability.vic.gov.au/</vt:lpwstr>
      </vt:variant>
      <vt:variant>
        <vt:lpwstr/>
      </vt:variant>
      <vt:variant>
        <vt:i4>6881333</vt:i4>
      </vt:variant>
      <vt:variant>
        <vt:i4>45</vt:i4>
      </vt:variant>
      <vt:variant>
        <vt:i4>0</vt:i4>
      </vt:variant>
      <vt:variant>
        <vt:i4>5</vt:i4>
      </vt:variant>
      <vt:variant>
        <vt:lpwstr>http://www.ocpc.vic.gov.au/</vt:lpwstr>
      </vt:variant>
      <vt:variant>
        <vt:lpwstr/>
      </vt:variant>
      <vt:variant>
        <vt:i4>7667784</vt:i4>
      </vt:variant>
      <vt:variant>
        <vt:i4>42</vt:i4>
      </vt:variant>
      <vt:variant>
        <vt:i4>0</vt:i4>
      </vt:variant>
      <vt:variant>
        <vt:i4>5</vt:i4>
      </vt:variant>
      <vt:variant>
        <vt:lpwstr>mailto:ombudvic@ombudsman.vic.gov.au</vt:lpwstr>
      </vt:variant>
      <vt:variant>
        <vt:lpwstr/>
      </vt:variant>
      <vt:variant>
        <vt:i4>720903</vt:i4>
      </vt:variant>
      <vt:variant>
        <vt:i4>39</vt:i4>
      </vt:variant>
      <vt:variant>
        <vt:i4>0</vt:i4>
      </vt:variant>
      <vt:variant>
        <vt:i4>5</vt:i4>
      </vt:variant>
      <vt:variant>
        <vt:lpwstr>http://www.ombudsman.vic.gov.au/</vt:lpwstr>
      </vt:variant>
      <vt:variant>
        <vt:lpwstr/>
      </vt:variant>
      <vt:variant>
        <vt:i4>6225982</vt:i4>
      </vt:variant>
      <vt:variant>
        <vt:i4>36</vt:i4>
      </vt:variant>
      <vt:variant>
        <vt:i4>0</vt:i4>
      </vt:variant>
      <vt:variant>
        <vt:i4>5</vt:i4>
      </vt:variant>
      <vt:variant>
        <vt:lpwstr>mailto:suzanne.knight@sustainability.vic.gov.au</vt:lpwstr>
      </vt:variant>
      <vt:variant>
        <vt:lpwstr/>
      </vt:variant>
      <vt:variant>
        <vt:i4>4325450</vt:i4>
      </vt:variant>
      <vt:variant>
        <vt:i4>33</vt:i4>
      </vt:variant>
      <vt:variant>
        <vt:i4>0</vt:i4>
      </vt:variant>
      <vt:variant>
        <vt:i4>5</vt:i4>
      </vt:variant>
      <vt:variant>
        <vt:lpwstr>http://lance.com/</vt:lpwstr>
      </vt:variant>
      <vt:variant>
        <vt:lpwstr/>
      </vt:variant>
      <vt:variant>
        <vt:i4>196677</vt:i4>
      </vt:variant>
      <vt:variant>
        <vt:i4>30</vt:i4>
      </vt:variant>
      <vt:variant>
        <vt:i4>0</vt:i4>
      </vt:variant>
      <vt:variant>
        <vt:i4>5</vt:i4>
      </vt:variant>
      <vt:variant>
        <vt:lpwstr>http://www.sustainability.vic.gov.au/</vt:lpwstr>
      </vt:variant>
      <vt:variant>
        <vt:lpwstr/>
      </vt:variant>
      <vt:variant>
        <vt:i4>196677</vt:i4>
      </vt:variant>
      <vt:variant>
        <vt:i4>27</vt:i4>
      </vt:variant>
      <vt:variant>
        <vt:i4>0</vt:i4>
      </vt:variant>
      <vt:variant>
        <vt:i4>5</vt:i4>
      </vt:variant>
      <vt:variant>
        <vt:lpwstr>http://www.sustainability.vic.gov.au/</vt:lpwstr>
      </vt:variant>
      <vt:variant>
        <vt:lpwstr/>
      </vt:variant>
      <vt:variant>
        <vt:i4>4915320</vt:i4>
      </vt:variant>
      <vt:variant>
        <vt:i4>24</vt:i4>
      </vt:variant>
      <vt:variant>
        <vt:i4>0</vt:i4>
      </vt:variant>
      <vt:variant>
        <vt:i4>5</vt:i4>
      </vt:variant>
      <vt:variant>
        <vt:lpwstr>mailto:privacy@sustainability.vic.gov.au</vt:lpwstr>
      </vt:variant>
      <vt:variant>
        <vt:lpwstr/>
      </vt:variant>
      <vt:variant>
        <vt:i4>2818174</vt:i4>
      </vt:variant>
      <vt:variant>
        <vt:i4>21</vt:i4>
      </vt:variant>
      <vt:variant>
        <vt:i4>0</vt:i4>
      </vt:variant>
      <vt:variant>
        <vt:i4>5</vt:i4>
      </vt:variant>
      <vt:variant>
        <vt:lpwstr>http://www/</vt:lpwstr>
      </vt:variant>
      <vt:variant>
        <vt:lpwstr/>
      </vt:variant>
      <vt:variant>
        <vt:i4>7209058</vt:i4>
      </vt:variant>
      <vt:variant>
        <vt:i4>18</vt:i4>
      </vt:variant>
      <vt:variant>
        <vt:i4>0</vt:i4>
      </vt:variant>
      <vt:variant>
        <vt:i4>5</vt:i4>
      </vt:variant>
      <vt:variant>
        <vt:lpwstr>http://www.foi.vic.gov.au/</vt:lpwstr>
      </vt:variant>
      <vt:variant>
        <vt:lpwstr/>
      </vt:variant>
      <vt:variant>
        <vt:i4>7209058</vt:i4>
      </vt:variant>
      <vt:variant>
        <vt:i4>15</vt:i4>
      </vt:variant>
      <vt:variant>
        <vt:i4>0</vt:i4>
      </vt:variant>
      <vt:variant>
        <vt:i4>5</vt:i4>
      </vt:variant>
      <vt:variant>
        <vt:lpwstr>http://www.foi.vic.gov.au/</vt:lpwstr>
      </vt:variant>
      <vt:variant>
        <vt:lpwstr/>
      </vt:variant>
      <vt:variant>
        <vt:i4>4194363</vt:i4>
      </vt:variant>
      <vt:variant>
        <vt:i4>12</vt:i4>
      </vt:variant>
      <vt:variant>
        <vt:i4>0</vt:i4>
      </vt:variant>
      <vt:variant>
        <vt:i4>5</vt:i4>
      </vt:variant>
      <vt:variant>
        <vt:lpwstr>mailto:derek.jones@sustainability.vic.gov.au</vt:lpwstr>
      </vt:variant>
      <vt:variant>
        <vt:lpwstr/>
      </vt:variant>
      <vt:variant>
        <vt:i4>7602237</vt:i4>
      </vt:variant>
      <vt:variant>
        <vt:i4>9</vt:i4>
      </vt:variant>
      <vt:variant>
        <vt:i4>0</vt:i4>
      </vt:variant>
      <vt:variant>
        <vt:i4>5</vt:i4>
      </vt:variant>
      <vt:variant>
        <vt:lpwstr>http://gov.au/</vt:lpwstr>
      </vt:variant>
      <vt:variant>
        <vt:lpwstr/>
      </vt:variant>
      <vt:variant>
        <vt:i4>2949194</vt:i4>
      </vt:variant>
      <vt:variant>
        <vt:i4>6</vt:i4>
      </vt:variant>
      <vt:variant>
        <vt:i4>0</vt:i4>
      </vt:variant>
      <vt:variant>
        <vt:i4>5</vt:i4>
      </vt:variant>
      <vt:variant>
        <vt:lpwstr>mailto:nt5@audit.vic.gov.au</vt:lpwstr>
      </vt:variant>
      <vt:variant>
        <vt:lpwstr/>
      </vt:variant>
      <vt:variant>
        <vt:i4>2752573</vt:i4>
      </vt:variant>
      <vt:variant>
        <vt:i4>3</vt:i4>
      </vt:variant>
      <vt:variant>
        <vt:i4>0</vt:i4>
      </vt:variant>
      <vt:variant>
        <vt:i4>5</vt:i4>
      </vt:variant>
      <vt:variant>
        <vt:lpwstr>http://creativecommons.org/licenses/by/3.0.au/</vt:lpwstr>
      </vt:variant>
      <vt:variant>
        <vt:lpwstr/>
      </vt:variant>
      <vt:variant>
        <vt:i4>196677</vt:i4>
      </vt:variant>
      <vt:variant>
        <vt:i4>0</vt:i4>
      </vt:variant>
      <vt:variant>
        <vt:i4>0</vt:i4>
      </vt:variant>
      <vt:variant>
        <vt:i4>5</vt:i4>
      </vt:variant>
      <vt:variant>
        <vt:lpwstr>http://www.sustainability.vic.gov.au/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Flood</dc:creator>
  <cp:keywords/>
  <dc:description/>
  <cp:lastModifiedBy>Colleen Flood</cp:lastModifiedBy>
  <cp:revision>2</cp:revision>
  <dcterms:created xsi:type="dcterms:W3CDTF">2014-01-16T23:08:00Z</dcterms:created>
  <dcterms:modified xsi:type="dcterms:W3CDTF">2014-01-16T23:08:00Z</dcterms:modified>
</cp:coreProperties>
</file>