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CF52" w14:textId="77777777" w:rsidR="00F26E05" w:rsidRPr="00F26E05" w:rsidRDefault="00F26E05" w:rsidP="00F26E05">
      <w:pPr>
        <w:pStyle w:val="Subtitle"/>
        <w:spacing w:after="120"/>
        <w:rPr>
          <w:rFonts w:eastAsiaTheme="majorEastAsia"/>
          <w:lang w:val="en-GB"/>
        </w:rPr>
      </w:pPr>
      <w:r w:rsidRPr="00F26E05">
        <w:rPr>
          <w:rFonts w:eastAsiaTheme="majorEastAsia"/>
          <w:lang w:val="en-GB"/>
        </w:rPr>
        <w:t>Forestry Transition Program</w:t>
      </w:r>
    </w:p>
    <w:p w14:paraId="210DC1BE" w14:textId="7824DE90" w:rsidR="00EB323D" w:rsidRDefault="00F26E05" w:rsidP="006D30B7">
      <w:pPr>
        <w:pStyle w:val="Title"/>
        <w:spacing w:after="600"/>
        <w:rPr>
          <w:rFonts w:cs="Times New Roman (Headings CS)"/>
          <w:bCs/>
          <w:spacing w:val="4"/>
          <w:lang w:val="en-GB"/>
        </w:rPr>
      </w:pPr>
      <w:r w:rsidRPr="00F26E05">
        <w:rPr>
          <w:rFonts w:cs="Times New Roman (Headings CS)"/>
          <w:bCs/>
          <w:spacing w:val="4"/>
          <w:lang w:val="en-GB"/>
        </w:rPr>
        <w:t>Community Forestry</w:t>
      </w:r>
      <w:r w:rsidR="006D30B7">
        <w:rPr>
          <w:rFonts w:cs="Times New Roman (Headings CS)"/>
          <w:bCs/>
          <w:spacing w:val="4"/>
          <w:lang w:val="en-GB"/>
        </w:rPr>
        <w:t xml:space="preserve"> </w:t>
      </w:r>
      <w:r w:rsidRPr="00F26E05">
        <w:rPr>
          <w:rFonts w:cs="Times New Roman (Headings CS)"/>
          <w:bCs/>
          <w:spacing w:val="4"/>
          <w:lang w:val="en-GB"/>
        </w:rPr>
        <w:t>Support Package</w:t>
      </w:r>
    </w:p>
    <w:p w14:paraId="727F3980" w14:textId="77777777" w:rsidR="006D30B7" w:rsidRPr="006D30B7" w:rsidRDefault="006D30B7" w:rsidP="006D30B7">
      <w:pPr>
        <w:pStyle w:val="BodyText"/>
        <w:rPr>
          <w:lang w:val="en-GB"/>
        </w:rPr>
      </w:pPr>
      <w:r w:rsidRPr="006D30B7">
        <w:rPr>
          <w:lang w:val="en-GB"/>
        </w:rPr>
        <w:t xml:space="preserve">The Community Forestry Support Package is a payment the Victorian Government will make to Forest Produce Licensees and firewood operators with a </w:t>
      </w:r>
      <w:proofErr w:type="spellStart"/>
      <w:r w:rsidRPr="006D30B7">
        <w:rPr>
          <w:lang w:val="en-GB"/>
        </w:rPr>
        <w:t>VicForests</w:t>
      </w:r>
      <w:proofErr w:type="spellEnd"/>
      <w:r w:rsidRPr="006D30B7">
        <w:rPr>
          <w:lang w:val="en-GB"/>
        </w:rPr>
        <w:t xml:space="preserve"> Timber Sales Agreement ahead of Forest Produce Licenses for small-scale timber production ending on 30 June 2024.</w:t>
      </w:r>
    </w:p>
    <w:p w14:paraId="15CDCD27" w14:textId="77777777" w:rsidR="006D30B7" w:rsidRPr="006D30B7" w:rsidRDefault="006D30B7" w:rsidP="006D30B7">
      <w:pPr>
        <w:pStyle w:val="BodyText"/>
        <w:rPr>
          <w:lang w:val="en-GB"/>
        </w:rPr>
      </w:pPr>
      <w:r w:rsidRPr="006D30B7">
        <w:rPr>
          <w:lang w:val="en-GB"/>
        </w:rPr>
        <w:t>Businesses can receive:</w:t>
      </w:r>
    </w:p>
    <w:p w14:paraId="134408FE" w14:textId="77777777" w:rsidR="006D30B7" w:rsidRPr="006D30B7" w:rsidRDefault="006D30B7" w:rsidP="006D30B7">
      <w:pPr>
        <w:pStyle w:val="ListBullet"/>
        <w:rPr>
          <w:lang w:val="en-GB"/>
        </w:rPr>
      </w:pPr>
      <w:r w:rsidRPr="006D30B7">
        <w:rPr>
          <w:lang w:val="en-GB"/>
        </w:rPr>
        <w:t>a volume compensation payment</w:t>
      </w:r>
    </w:p>
    <w:p w14:paraId="3419B81D" w14:textId="77777777" w:rsidR="006D30B7" w:rsidRPr="006D30B7" w:rsidRDefault="006D30B7" w:rsidP="006D30B7">
      <w:pPr>
        <w:pStyle w:val="ListBullet"/>
        <w:rPr>
          <w:lang w:val="en-GB"/>
        </w:rPr>
      </w:pPr>
      <w:r w:rsidRPr="006D30B7">
        <w:rPr>
          <w:lang w:val="en-GB"/>
        </w:rPr>
        <w:t>a payment of up to $1,000,000 for non-fully depreciated plant and equipment used for native timber harvesting or processing operations</w:t>
      </w:r>
    </w:p>
    <w:p w14:paraId="59B90115" w14:textId="397B2550" w:rsidR="006D30B7" w:rsidRDefault="006D30B7" w:rsidP="006D30B7">
      <w:pPr>
        <w:pStyle w:val="Bullet1last"/>
        <w:rPr>
          <w:lang w:val="en-GB"/>
        </w:rPr>
      </w:pPr>
      <w:r w:rsidRPr="006D30B7">
        <w:rPr>
          <w:lang w:val="en-GB"/>
        </w:rPr>
        <w:t>a reimbursement payment for any employee statutory redundancy costs.</w:t>
      </w:r>
    </w:p>
    <w:p w14:paraId="68685939" w14:textId="583E4E63" w:rsidR="000838C0" w:rsidRPr="000838C0" w:rsidRDefault="000838C0" w:rsidP="000838C0">
      <w:pPr>
        <w:pStyle w:val="Bullet1last"/>
        <w:rPr>
          <w:lang w:val="en-GB"/>
        </w:rPr>
      </w:pPr>
      <w:r w:rsidRPr="000838C0">
        <w:rPr>
          <w:lang w:val="en-GB"/>
        </w:rPr>
        <w:t>up to $50,000 for site rehabilitation and remediation for licensees and agreement holders with an annual allocation of 1,000 tonnes or cubic meters or more over one or more agreements or licences and intend to cease operating as a processor of forest products.</w:t>
      </w:r>
    </w:p>
    <w:p w14:paraId="184B47CF" w14:textId="22E79D85" w:rsidR="006D30B7" w:rsidRPr="006D30B7" w:rsidRDefault="006D30B7" w:rsidP="006D30B7">
      <w:pPr>
        <w:pStyle w:val="BodyText"/>
        <w:rPr>
          <w:lang w:val="en-GB"/>
        </w:rPr>
      </w:pPr>
      <w:r w:rsidRPr="006D30B7">
        <w:rPr>
          <w:lang w:val="en-GB"/>
        </w:rPr>
        <w:t xml:space="preserve">Any workers that are made redundant </w:t>
      </w:r>
      <w:proofErr w:type="gramStart"/>
      <w:r w:rsidRPr="006D30B7">
        <w:rPr>
          <w:lang w:val="en-GB"/>
        </w:rPr>
        <w:t>as a result of</w:t>
      </w:r>
      <w:proofErr w:type="gramEnd"/>
      <w:r w:rsidRPr="006D30B7">
        <w:rPr>
          <w:lang w:val="en-GB"/>
        </w:rPr>
        <w:t xml:space="preserve"> a business taking a package are eligible for the </w:t>
      </w:r>
      <w:r w:rsidRPr="006D30B7">
        <w:rPr>
          <w:rStyle w:val="Hyperlink"/>
          <w:lang w:val="en-GB"/>
        </w:rPr>
        <w:t>Forestry Worker Support Program</w:t>
      </w:r>
      <w:r w:rsidRPr="006D30B7">
        <w:rPr>
          <w:lang w:val="en-GB"/>
        </w:rPr>
        <w:t xml:space="preserve"> delivered by</w:t>
      </w:r>
      <w:r w:rsidR="00ED1FD5">
        <w:rPr>
          <w:lang w:val="en-GB"/>
        </w:rPr>
        <w:t xml:space="preserve"> </w:t>
      </w:r>
      <w:proofErr w:type="spellStart"/>
      <w:r w:rsidRPr="006D30B7">
        <w:rPr>
          <w:lang w:val="en-GB"/>
        </w:rPr>
        <w:t>ForestWorks</w:t>
      </w:r>
      <w:proofErr w:type="spellEnd"/>
      <w:r w:rsidRPr="006D30B7">
        <w:rPr>
          <w:lang w:val="en-GB"/>
        </w:rPr>
        <w:t>.</w:t>
      </w:r>
    </w:p>
    <w:p w14:paraId="1B0E9656" w14:textId="77777777" w:rsidR="006D30B7" w:rsidRPr="006D30B7" w:rsidRDefault="006D30B7" w:rsidP="006D30B7">
      <w:pPr>
        <w:pStyle w:val="Heading1"/>
        <w:rPr>
          <w:lang w:val="en-GB"/>
        </w:rPr>
      </w:pPr>
      <w:r w:rsidRPr="006D30B7">
        <w:rPr>
          <w:lang w:val="en-GB"/>
        </w:rPr>
        <w:t>Who is eligible?</w:t>
      </w:r>
    </w:p>
    <w:p w14:paraId="6165D1D2" w14:textId="26771E7B" w:rsidR="00623F87" w:rsidRDefault="00623F87" w:rsidP="00623F87">
      <w:pPr>
        <w:pStyle w:val="ListBullet"/>
        <w:numPr>
          <w:ilvl w:val="0"/>
          <w:numId w:val="0"/>
        </w:numPr>
        <w:ind w:left="357" w:hanging="357"/>
        <w:rPr>
          <w:lang w:val="en-GB"/>
        </w:rPr>
      </w:pPr>
      <w:r>
        <w:rPr>
          <w:lang w:val="en-GB"/>
        </w:rPr>
        <w:t>T</w:t>
      </w:r>
      <w:r w:rsidRPr="00623F87">
        <w:rPr>
          <w:lang w:val="en-GB"/>
        </w:rPr>
        <w:t>o be eligible to apply applicant businesses must:</w:t>
      </w:r>
      <w:r w:rsidRPr="00623F87">
        <w:rPr>
          <w:lang w:val="en-GB"/>
        </w:rPr>
        <w:t xml:space="preserve"> </w:t>
      </w:r>
    </w:p>
    <w:p w14:paraId="2D00A77C" w14:textId="148F881F" w:rsidR="006D30B7" w:rsidRPr="006D30B7" w:rsidRDefault="006D30B7" w:rsidP="006D30B7">
      <w:pPr>
        <w:pStyle w:val="ListBullet"/>
        <w:rPr>
          <w:lang w:val="en-GB"/>
        </w:rPr>
      </w:pPr>
      <w:r w:rsidRPr="006D30B7">
        <w:rPr>
          <w:lang w:val="en-GB"/>
        </w:rPr>
        <w:t xml:space="preserve">be a community forestry operator that holds a Forest Produce Licence or Forest Produce Agreement issued or administered by </w:t>
      </w:r>
      <w:proofErr w:type="spellStart"/>
      <w:r w:rsidRPr="006D30B7">
        <w:rPr>
          <w:lang w:val="en-GB"/>
        </w:rPr>
        <w:t>VicForests</w:t>
      </w:r>
      <w:proofErr w:type="spellEnd"/>
      <w:r w:rsidRPr="006D30B7">
        <w:rPr>
          <w:lang w:val="en-GB"/>
        </w:rPr>
        <w:t xml:space="preserve"> for timber supply in 2022-23 and/or 2023-24, that is not for the sole purpose of storm or bushfire salvage operations, as a one-off FPL or FPA for a defined </w:t>
      </w:r>
      <w:proofErr w:type="gramStart"/>
      <w:r w:rsidRPr="006D30B7">
        <w:rPr>
          <w:lang w:val="en-GB"/>
        </w:rPr>
        <w:t>period of time</w:t>
      </w:r>
      <w:proofErr w:type="gramEnd"/>
      <w:r w:rsidRPr="006D30B7">
        <w:rPr>
          <w:lang w:val="en-GB"/>
        </w:rPr>
        <w:t xml:space="preserve"> for a specific location; or</w:t>
      </w:r>
    </w:p>
    <w:p w14:paraId="0D25F879" w14:textId="06F059F4" w:rsidR="006D30B7" w:rsidRPr="006D30B7" w:rsidRDefault="006D30B7" w:rsidP="000838C0">
      <w:pPr>
        <w:pStyle w:val="Bullet1last"/>
        <w:rPr>
          <w:lang w:val="en-GB"/>
        </w:rPr>
      </w:pPr>
      <w:r w:rsidRPr="006D30B7">
        <w:rPr>
          <w:lang w:val="en-GB"/>
        </w:rPr>
        <w:t xml:space="preserve">be a non-contractor firewood customer that is party to a Timber Sale Agreement with </w:t>
      </w:r>
      <w:proofErr w:type="spellStart"/>
      <w:r w:rsidRPr="006D30B7">
        <w:rPr>
          <w:lang w:val="en-GB"/>
        </w:rPr>
        <w:t>VicForests</w:t>
      </w:r>
      <w:proofErr w:type="spellEnd"/>
      <w:r w:rsidRPr="006D30B7">
        <w:rPr>
          <w:lang w:val="en-GB"/>
        </w:rPr>
        <w:t xml:space="preserve"> for timber supply in </w:t>
      </w:r>
      <w:r w:rsidR="000838C0" w:rsidRPr="000838C0">
        <w:rPr>
          <w:lang w:val="en-GB"/>
        </w:rPr>
        <w:t>2022-23 and/or</w:t>
      </w:r>
      <w:r w:rsidR="000838C0">
        <w:rPr>
          <w:lang w:val="en-GB"/>
        </w:rPr>
        <w:t xml:space="preserve"> </w:t>
      </w:r>
      <w:r w:rsidRPr="006D30B7">
        <w:rPr>
          <w:lang w:val="en-GB"/>
        </w:rPr>
        <w:t>2023-24; and</w:t>
      </w:r>
    </w:p>
    <w:p w14:paraId="04B9E4D2" w14:textId="77777777" w:rsidR="006D30B7" w:rsidRPr="006D30B7" w:rsidRDefault="006D30B7" w:rsidP="006D30B7">
      <w:pPr>
        <w:pStyle w:val="BodyText"/>
        <w:rPr>
          <w:lang w:val="en-GB"/>
        </w:rPr>
      </w:pPr>
      <w:r w:rsidRPr="006D30B7">
        <w:rPr>
          <w:lang w:val="en-GB"/>
        </w:rPr>
        <w:t>All businesses must:</w:t>
      </w:r>
    </w:p>
    <w:p w14:paraId="6A8BFBDE" w14:textId="77777777" w:rsidR="006D30B7" w:rsidRPr="006D30B7" w:rsidRDefault="006D30B7" w:rsidP="006D30B7">
      <w:pPr>
        <w:pStyle w:val="ListBullet"/>
        <w:rPr>
          <w:lang w:val="en-GB"/>
        </w:rPr>
      </w:pPr>
      <w:r w:rsidRPr="006D30B7">
        <w:rPr>
          <w:lang w:val="en-GB"/>
        </w:rPr>
        <w:t>hold a current registered Australian Business Number (ABN), and</w:t>
      </w:r>
    </w:p>
    <w:p w14:paraId="174A5A9A" w14:textId="77777777" w:rsidR="006D30B7" w:rsidRPr="006D30B7" w:rsidRDefault="006D30B7" w:rsidP="006D30B7">
      <w:pPr>
        <w:pStyle w:val="Bullet1last"/>
        <w:rPr>
          <w:lang w:val="en-GB"/>
        </w:rPr>
      </w:pPr>
      <w:r w:rsidRPr="006D30B7">
        <w:rPr>
          <w:lang w:val="en-GB"/>
        </w:rPr>
        <w:t xml:space="preserve">declare that they meet all industrial relations obligations as an employer in accordance with the National Employment Standards under the </w:t>
      </w:r>
      <w:r w:rsidRPr="006D30B7">
        <w:rPr>
          <w:i/>
          <w:iCs/>
          <w:lang w:val="en-GB"/>
        </w:rPr>
        <w:t>Fair Work Act 2009</w:t>
      </w:r>
      <w:r w:rsidRPr="006D30B7">
        <w:rPr>
          <w:lang w:val="en-GB"/>
        </w:rPr>
        <w:t xml:space="preserve"> (</w:t>
      </w:r>
      <w:proofErr w:type="spellStart"/>
      <w:r w:rsidRPr="006D30B7">
        <w:rPr>
          <w:lang w:val="en-GB"/>
        </w:rPr>
        <w:t>Cth</w:t>
      </w:r>
      <w:proofErr w:type="spellEnd"/>
      <w:r w:rsidRPr="006D30B7">
        <w:rPr>
          <w:lang w:val="en-GB"/>
        </w:rPr>
        <w:t>) if they are an employing business.</w:t>
      </w:r>
    </w:p>
    <w:p w14:paraId="42E1A917" w14:textId="77777777" w:rsidR="006D30B7" w:rsidRPr="006D30B7" w:rsidRDefault="006D30B7" w:rsidP="006D30B7">
      <w:pPr>
        <w:pStyle w:val="Heading1"/>
        <w:rPr>
          <w:lang w:val="en-GB"/>
        </w:rPr>
      </w:pPr>
      <w:r w:rsidRPr="006D30B7">
        <w:rPr>
          <w:lang w:val="en-GB"/>
        </w:rPr>
        <w:lastRenderedPageBreak/>
        <w:t>Compensation</w:t>
      </w:r>
    </w:p>
    <w:p w14:paraId="6620C1D4" w14:textId="77777777" w:rsidR="006D30B7" w:rsidRPr="006D30B7" w:rsidRDefault="006D30B7" w:rsidP="006D30B7">
      <w:pPr>
        <w:pStyle w:val="Heading2"/>
      </w:pPr>
      <w:r w:rsidRPr="006D30B7">
        <w:t>Component 1 – Volume compensation</w:t>
      </w:r>
    </w:p>
    <w:p w14:paraId="11B8C021" w14:textId="77777777" w:rsidR="006D30B7" w:rsidRPr="006D30B7" w:rsidRDefault="006D30B7" w:rsidP="006D30B7">
      <w:pPr>
        <w:pStyle w:val="Heading3"/>
      </w:pPr>
      <w:r w:rsidRPr="006D30B7">
        <w:t xml:space="preserve">Forest Produce </w:t>
      </w:r>
      <w:proofErr w:type="spellStart"/>
      <w:r w:rsidRPr="006D30B7">
        <w:t>Licencees</w:t>
      </w:r>
      <w:proofErr w:type="spellEnd"/>
    </w:p>
    <w:p w14:paraId="77AF6ADB" w14:textId="3BA81576" w:rsidR="006D30B7" w:rsidRPr="006D30B7" w:rsidRDefault="006D30B7" w:rsidP="006D30B7">
      <w:pPr>
        <w:pStyle w:val="BodyText"/>
        <w:rPr>
          <w:lang w:val="en-GB"/>
        </w:rPr>
      </w:pPr>
      <w:r w:rsidRPr="006D30B7">
        <w:rPr>
          <w:lang w:val="en-GB"/>
        </w:rPr>
        <w:t>The Department will pay eligible Forest Produce Licence holders (including those who hold a Forest Produce Agreement) set rates for:</w:t>
      </w:r>
    </w:p>
    <w:p w14:paraId="570ADA6F" w14:textId="172D33E5" w:rsidR="006D30B7" w:rsidRPr="006D30B7" w:rsidRDefault="006D30B7" w:rsidP="006D30B7">
      <w:pPr>
        <w:pStyle w:val="ListBullet"/>
        <w:rPr>
          <w:lang w:val="en-GB"/>
        </w:rPr>
      </w:pPr>
      <w:r w:rsidRPr="006D30B7">
        <w:rPr>
          <w:lang w:val="en-GB"/>
        </w:rPr>
        <w:t xml:space="preserve">the Annual Supply Level volume for </w:t>
      </w:r>
      <w:r w:rsidR="000838C0" w:rsidRPr="000838C0">
        <w:rPr>
          <w:lang w:val="en-GB"/>
        </w:rPr>
        <w:t>2022-23 and</w:t>
      </w:r>
      <w:r w:rsidR="000838C0">
        <w:rPr>
          <w:lang w:val="en-GB"/>
        </w:rPr>
        <w:t xml:space="preserve"> </w:t>
      </w:r>
      <w:r w:rsidRPr="006D30B7">
        <w:rPr>
          <w:lang w:val="en-GB"/>
        </w:rPr>
        <w:t>2023-24 as per the relevant FPL</w:t>
      </w:r>
    </w:p>
    <w:p w14:paraId="566ABD86" w14:textId="77777777" w:rsidR="006D30B7" w:rsidRPr="006D30B7" w:rsidRDefault="006D30B7" w:rsidP="006D30B7">
      <w:pPr>
        <w:pStyle w:val="BodyText"/>
        <w:rPr>
          <w:b/>
          <w:bCs/>
          <w:lang w:val="en-GB"/>
        </w:rPr>
      </w:pPr>
      <w:r w:rsidRPr="006D30B7">
        <w:rPr>
          <w:b/>
          <w:bCs/>
          <w:lang w:val="en-GB"/>
        </w:rPr>
        <w:t>MINUS</w:t>
      </w:r>
    </w:p>
    <w:p w14:paraId="070DABFE" w14:textId="12D41981" w:rsidR="006D30B7" w:rsidRPr="006D30B7" w:rsidRDefault="006D30B7" w:rsidP="006D30B7">
      <w:pPr>
        <w:pStyle w:val="ListBullet"/>
        <w:rPr>
          <w:lang w:val="en-GB"/>
        </w:rPr>
      </w:pPr>
      <w:r w:rsidRPr="006D30B7">
        <w:rPr>
          <w:lang w:val="en-GB"/>
        </w:rPr>
        <w:t xml:space="preserve">any volume taken during </w:t>
      </w:r>
      <w:r w:rsidR="000838C0" w:rsidRPr="000838C0">
        <w:rPr>
          <w:lang w:val="en-GB"/>
        </w:rPr>
        <w:t>2022-23 and</w:t>
      </w:r>
      <w:r w:rsidR="000838C0">
        <w:rPr>
          <w:lang w:val="en-GB"/>
        </w:rPr>
        <w:t xml:space="preserve"> </w:t>
      </w:r>
      <w:r w:rsidRPr="006D30B7">
        <w:rPr>
          <w:lang w:val="en-GB"/>
        </w:rPr>
        <w:t>2023-24.</w:t>
      </w:r>
    </w:p>
    <w:p w14:paraId="328BDBA2" w14:textId="77777777" w:rsidR="006D30B7" w:rsidRPr="006D30B7" w:rsidRDefault="006D30B7" w:rsidP="006D30B7">
      <w:pPr>
        <w:pStyle w:val="Heading3"/>
      </w:pPr>
      <w:r w:rsidRPr="006D30B7">
        <w:t>Timber Sales Agreement holders</w:t>
      </w:r>
    </w:p>
    <w:p w14:paraId="3A759DB5" w14:textId="77777777" w:rsidR="006D30B7" w:rsidRPr="006D30B7" w:rsidRDefault="006D30B7" w:rsidP="006D30B7">
      <w:pPr>
        <w:pStyle w:val="BodyText"/>
        <w:rPr>
          <w:lang w:val="en-GB"/>
        </w:rPr>
      </w:pPr>
      <w:r w:rsidRPr="006D30B7">
        <w:rPr>
          <w:lang w:val="en-GB"/>
        </w:rPr>
        <w:t>The Department will pay eligible non-contractor Timber Sale Agreement  (TSA) holders set rates for:</w:t>
      </w:r>
    </w:p>
    <w:p w14:paraId="46FCE616" w14:textId="4E7C9740" w:rsidR="006D30B7" w:rsidRPr="006D30B7" w:rsidRDefault="006D30B7" w:rsidP="001F2925">
      <w:pPr>
        <w:pStyle w:val="ListBullet"/>
        <w:rPr>
          <w:lang w:val="en-GB"/>
        </w:rPr>
      </w:pPr>
      <w:r w:rsidRPr="006D30B7">
        <w:rPr>
          <w:lang w:val="en-GB"/>
        </w:rPr>
        <w:t>the minimum Annual Supply Level volume for </w:t>
      </w:r>
      <w:r w:rsidR="000838C0" w:rsidRPr="000838C0">
        <w:rPr>
          <w:lang w:val="en-GB"/>
        </w:rPr>
        <w:t>2022-23 and</w:t>
      </w:r>
      <w:r w:rsidR="000838C0">
        <w:rPr>
          <w:lang w:val="en-GB"/>
        </w:rPr>
        <w:t xml:space="preserve"> </w:t>
      </w:r>
      <w:r w:rsidRPr="006D30B7">
        <w:rPr>
          <w:lang w:val="en-GB"/>
        </w:rPr>
        <w:t>2023-24 as per the relevant TSA.</w:t>
      </w:r>
    </w:p>
    <w:p w14:paraId="6F13C164" w14:textId="77777777" w:rsidR="006D30B7" w:rsidRPr="006D30B7" w:rsidRDefault="006D30B7" w:rsidP="006D30B7">
      <w:pPr>
        <w:pStyle w:val="BodyText"/>
        <w:rPr>
          <w:b/>
          <w:bCs/>
          <w:lang w:val="en-GB"/>
        </w:rPr>
      </w:pPr>
      <w:r w:rsidRPr="006D30B7">
        <w:rPr>
          <w:b/>
          <w:bCs/>
          <w:lang w:val="en-GB"/>
        </w:rPr>
        <w:t>MINUS</w:t>
      </w:r>
    </w:p>
    <w:p w14:paraId="64C4DE65" w14:textId="46F35F50" w:rsidR="006D30B7" w:rsidRPr="006D30B7" w:rsidRDefault="006D30B7" w:rsidP="001F2925">
      <w:pPr>
        <w:pStyle w:val="ListBullet"/>
        <w:rPr>
          <w:lang w:val="en-GB"/>
        </w:rPr>
      </w:pPr>
      <w:r w:rsidRPr="006D30B7">
        <w:rPr>
          <w:lang w:val="en-GB"/>
        </w:rPr>
        <w:t xml:space="preserve">any volume taken during </w:t>
      </w:r>
      <w:r w:rsidR="000838C0" w:rsidRPr="000838C0">
        <w:rPr>
          <w:lang w:val="en-GB"/>
        </w:rPr>
        <w:t>2022-23 and</w:t>
      </w:r>
      <w:r w:rsidR="000838C0">
        <w:rPr>
          <w:lang w:val="en-GB"/>
        </w:rPr>
        <w:t xml:space="preserve"> </w:t>
      </w:r>
      <w:r w:rsidRPr="006D30B7">
        <w:rPr>
          <w:lang w:val="en-GB"/>
        </w:rPr>
        <w:t>2023-24</w:t>
      </w:r>
    </w:p>
    <w:p w14:paraId="6F94BB54" w14:textId="77777777" w:rsidR="006D30B7" w:rsidRPr="006D30B7" w:rsidRDefault="006D30B7" w:rsidP="001F2925">
      <w:pPr>
        <w:pStyle w:val="Bullet1last"/>
        <w:rPr>
          <w:lang w:val="en-GB"/>
        </w:rPr>
      </w:pPr>
      <w:r w:rsidRPr="006D30B7">
        <w:rPr>
          <w:lang w:val="en-GB"/>
        </w:rPr>
        <w:t xml:space="preserve">any compensation payments received from </w:t>
      </w:r>
      <w:proofErr w:type="spellStart"/>
      <w:r w:rsidRPr="006D30B7">
        <w:rPr>
          <w:lang w:val="en-GB"/>
        </w:rPr>
        <w:t>VicForests</w:t>
      </w:r>
      <w:proofErr w:type="spellEnd"/>
      <w:r w:rsidRPr="006D30B7">
        <w:rPr>
          <w:lang w:val="en-GB"/>
        </w:rPr>
        <w:t xml:space="preserve"> in 2022-23 and 2023-24 for the relevant Timber Sale Agreements.</w:t>
      </w:r>
    </w:p>
    <w:p w14:paraId="37E38246" w14:textId="77777777" w:rsidR="006D30B7" w:rsidRPr="006D30B7" w:rsidRDefault="006D30B7" w:rsidP="006D30B7">
      <w:pPr>
        <w:pStyle w:val="BodyText"/>
        <w:rPr>
          <w:lang w:val="en-GB"/>
        </w:rPr>
      </w:pPr>
      <w:r w:rsidRPr="006D30B7">
        <w:rPr>
          <w:lang w:val="en-GB"/>
        </w:rPr>
        <w:t>For Timber Sale Agreements with an ‘up to’ volume amount, the minimum volume will be used for the calculation.</w:t>
      </w:r>
    </w:p>
    <w:p w14:paraId="3AAE57BA" w14:textId="77777777" w:rsidR="006D30B7" w:rsidRPr="006D30B7" w:rsidRDefault="006D30B7" w:rsidP="009D1E59">
      <w:pPr>
        <w:pStyle w:val="Heading2"/>
        <w:spacing w:before="600"/>
      </w:pPr>
      <w:r w:rsidRPr="006D30B7">
        <w:t>Component 2 – Non-fully depreciated plant and equipment</w:t>
      </w:r>
    </w:p>
    <w:p w14:paraId="4D6850BD" w14:textId="77777777" w:rsidR="006D30B7" w:rsidRPr="006D30B7" w:rsidRDefault="006D30B7" w:rsidP="006D30B7">
      <w:pPr>
        <w:pStyle w:val="BodyText"/>
        <w:rPr>
          <w:lang w:val="en-GB"/>
        </w:rPr>
      </w:pPr>
      <w:r w:rsidRPr="006D30B7">
        <w:rPr>
          <w:lang w:val="en-GB"/>
        </w:rPr>
        <w:t>The Department will pay the difference between the non-fully depreciated value of the eligible plant and equipment and the current market value based on a valuation undertaken by the Valuer-General Victoria</w:t>
      </w:r>
    </w:p>
    <w:p w14:paraId="35EE3827" w14:textId="77777777" w:rsidR="006D30B7" w:rsidRPr="006D30B7" w:rsidRDefault="006D30B7" w:rsidP="006D30B7">
      <w:pPr>
        <w:pStyle w:val="BodyText"/>
        <w:rPr>
          <w:lang w:val="en-GB"/>
        </w:rPr>
      </w:pPr>
      <w:r w:rsidRPr="006D30B7">
        <w:rPr>
          <w:lang w:val="en-GB"/>
        </w:rPr>
        <w:t>To be eligible for the payment, plant and equipment must:</w:t>
      </w:r>
    </w:p>
    <w:p w14:paraId="0EED13AD" w14:textId="3D76B511" w:rsidR="006D30B7" w:rsidRPr="006D30B7" w:rsidRDefault="006D30B7" w:rsidP="009D1E59">
      <w:pPr>
        <w:pStyle w:val="ListBullet"/>
        <w:rPr>
          <w:lang w:val="en-GB"/>
        </w:rPr>
      </w:pPr>
      <w:r w:rsidRPr="006D30B7">
        <w:rPr>
          <w:lang w:val="en-GB"/>
        </w:rPr>
        <w:t>be listed on the business’s ATO-compliant 2021-22 or 2022-23 depreciation schedule with a closing value of greater than $0.00</w:t>
      </w:r>
    </w:p>
    <w:p w14:paraId="214E3E58" w14:textId="3C838B89" w:rsidR="006D30B7" w:rsidRPr="000838C0" w:rsidRDefault="006D30B7" w:rsidP="009D1E59">
      <w:pPr>
        <w:pStyle w:val="ListBullet"/>
        <w:rPr>
          <w:lang w:val="en-GB"/>
        </w:rPr>
      </w:pPr>
      <w:r w:rsidRPr="000838C0">
        <w:rPr>
          <w:lang w:val="en-GB"/>
        </w:rPr>
        <w:t>be used primarily for the harvesting, hauling, or processing of timber</w:t>
      </w:r>
      <w:r w:rsidR="000838C0" w:rsidRPr="000838C0">
        <w:rPr>
          <w:lang w:val="en-GB"/>
        </w:rPr>
        <w:t xml:space="preserve"> </w:t>
      </w:r>
      <w:proofErr w:type="gramStart"/>
      <w:r w:rsidRPr="000838C0">
        <w:rPr>
          <w:lang w:val="en-GB"/>
        </w:rPr>
        <w:t>not be</w:t>
      </w:r>
      <w:proofErr w:type="gramEnd"/>
      <w:r w:rsidRPr="000838C0">
        <w:rPr>
          <w:lang w:val="en-GB"/>
        </w:rPr>
        <w:t xml:space="preserve"> a motor vehicle, IT and office equipment, and infrastructure. These will be considered as separate asset classes from the plant and equipment used for the processing of native forest timber and will not be included in the valuation</w:t>
      </w:r>
      <w:r w:rsidR="000838C0">
        <w:rPr>
          <w:lang w:val="en-GB"/>
        </w:rPr>
        <w:t>.</w:t>
      </w:r>
    </w:p>
    <w:p w14:paraId="51BA67CC" w14:textId="77777777" w:rsidR="006D30B7" w:rsidRPr="006D30B7" w:rsidRDefault="006D30B7" w:rsidP="006D30B7">
      <w:pPr>
        <w:pStyle w:val="BodyText"/>
        <w:rPr>
          <w:lang w:val="en-GB"/>
        </w:rPr>
      </w:pPr>
      <w:r w:rsidRPr="006D30B7">
        <w:rPr>
          <w:lang w:val="en-GB"/>
        </w:rPr>
        <w:lastRenderedPageBreak/>
        <w:t>If the valuation amount is less than the written down value for a piece of plant or equipment, the Department will pay the difference, up to $1 million in total per eligible business.</w:t>
      </w:r>
    </w:p>
    <w:p w14:paraId="772CCEEE" w14:textId="77777777" w:rsidR="006D30B7" w:rsidRPr="006D30B7" w:rsidRDefault="006D30B7" w:rsidP="006D30B7">
      <w:pPr>
        <w:pStyle w:val="BodyText"/>
        <w:rPr>
          <w:lang w:val="en-GB"/>
        </w:rPr>
      </w:pPr>
      <w:r w:rsidRPr="006D30B7">
        <w:rPr>
          <w:lang w:val="en-GB"/>
        </w:rPr>
        <w:t>If the valuation amount is greater than the written down value for a piece of plant or equipment, the Department will not make a payment.</w:t>
      </w:r>
    </w:p>
    <w:p w14:paraId="1D876D17" w14:textId="0B7F95D5" w:rsidR="009D1E59" w:rsidRDefault="009D1E59" w:rsidP="009D1E59">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9A5371">
        <w:t>Examples of plant and equipment compensation calculation</w:t>
      </w:r>
    </w:p>
    <w:tbl>
      <w:tblPr>
        <w:tblStyle w:val="TableGrid"/>
        <w:tblW w:w="10205" w:type="dxa"/>
        <w:tblLayout w:type="fixed"/>
        <w:tblLook w:val="0020" w:firstRow="1" w:lastRow="0" w:firstColumn="0" w:lastColumn="0" w:noHBand="0" w:noVBand="0"/>
      </w:tblPr>
      <w:tblGrid>
        <w:gridCol w:w="1576"/>
        <w:gridCol w:w="2328"/>
        <w:gridCol w:w="2116"/>
        <w:gridCol w:w="1993"/>
        <w:gridCol w:w="2192"/>
      </w:tblGrid>
      <w:tr w:rsidR="009D1E59" w:rsidRPr="009D1E59" w14:paraId="3135FB1F" w14:textId="77777777" w:rsidTr="009D1E59">
        <w:trPr>
          <w:trHeight w:val="453"/>
          <w:tblHeader/>
        </w:trPr>
        <w:tc>
          <w:tcPr>
            <w:tcW w:w="1576" w:type="dxa"/>
            <w:vAlign w:val="center"/>
          </w:tcPr>
          <w:p w14:paraId="09AB399B" w14:textId="77777777" w:rsidR="009D1E59" w:rsidRPr="009D1E59" w:rsidRDefault="009D1E59" w:rsidP="009D1E59">
            <w:pPr>
              <w:pStyle w:val="Tabletext"/>
            </w:pPr>
          </w:p>
        </w:tc>
        <w:tc>
          <w:tcPr>
            <w:tcW w:w="2328" w:type="dxa"/>
            <w:vAlign w:val="center"/>
          </w:tcPr>
          <w:p w14:paraId="08CD9D2B" w14:textId="77777777" w:rsidR="009D1E59" w:rsidRPr="009D1E59" w:rsidRDefault="009D1E59" w:rsidP="009D1E59">
            <w:pPr>
              <w:pStyle w:val="Tabletext"/>
              <w:rPr>
                <w:b/>
                <w:bCs/>
              </w:rPr>
            </w:pPr>
            <w:r w:rsidRPr="009D1E59">
              <w:rPr>
                <w:b/>
                <w:bCs/>
              </w:rPr>
              <w:t>Written down value</w:t>
            </w:r>
          </w:p>
        </w:tc>
        <w:tc>
          <w:tcPr>
            <w:tcW w:w="2116" w:type="dxa"/>
            <w:vAlign w:val="center"/>
          </w:tcPr>
          <w:p w14:paraId="53133464" w14:textId="77777777" w:rsidR="009D1E59" w:rsidRPr="009D1E59" w:rsidRDefault="009D1E59" w:rsidP="009D1E59">
            <w:pPr>
              <w:pStyle w:val="Tabletext"/>
              <w:rPr>
                <w:b/>
                <w:bCs/>
              </w:rPr>
            </w:pPr>
            <w:r w:rsidRPr="009D1E59">
              <w:rPr>
                <w:b/>
                <w:bCs/>
              </w:rPr>
              <w:t>Current market value</w:t>
            </w:r>
          </w:p>
        </w:tc>
        <w:tc>
          <w:tcPr>
            <w:tcW w:w="1993" w:type="dxa"/>
            <w:vAlign w:val="center"/>
          </w:tcPr>
          <w:p w14:paraId="22CDBBE5" w14:textId="77777777" w:rsidR="009D1E59" w:rsidRPr="009D1E59" w:rsidRDefault="009D1E59" w:rsidP="009D1E59">
            <w:pPr>
              <w:pStyle w:val="Tabletext"/>
              <w:rPr>
                <w:b/>
                <w:bCs/>
              </w:rPr>
            </w:pPr>
            <w:r w:rsidRPr="009D1E59">
              <w:rPr>
                <w:b/>
                <w:bCs/>
              </w:rPr>
              <w:t>Projected loss on sale</w:t>
            </w:r>
          </w:p>
        </w:tc>
        <w:tc>
          <w:tcPr>
            <w:tcW w:w="2192" w:type="dxa"/>
            <w:vAlign w:val="center"/>
          </w:tcPr>
          <w:p w14:paraId="49ADF251" w14:textId="77777777" w:rsidR="009D1E59" w:rsidRPr="009D1E59" w:rsidRDefault="009D1E59" w:rsidP="009D1E59">
            <w:pPr>
              <w:pStyle w:val="Tabletext"/>
              <w:rPr>
                <w:b/>
                <w:bCs/>
              </w:rPr>
            </w:pPr>
            <w:proofErr w:type="spellStart"/>
            <w:r w:rsidRPr="009D1E59">
              <w:rPr>
                <w:b/>
                <w:bCs/>
              </w:rPr>
              <w:t>Departemental</w:t>
            </w:r>
            <w:proofErr w:type="spellEnd"/>
            <w:r w:rsidRPr="009D1E59">
              <w:rPr>
                <w:b/>
                <w:bCs/>
              </w:rPr>
              <w:t xml:space="preserve"> Payment</w:t>
            </w:r>
          </w:p>
        </w:tc>
      </w:tr>
      <w:tr w:rsidR="009D1E59" w:rsidRPr="009D1E59" w14:paraId="04CCC6D2" w14:textId="77777777" w:rsidTr="009D1E59">
        <w:trPr>
          <w:trHeight w:val="453"/>
        </w:trPr>
        <w:tc>
          <w:tcPr>
            <w:tcW w:w="1576" w:type="dxa"/>
            <w:vAlign w:val="center"/>
          </w:tcPr>
          <w:p w14:paraId="7EEFAB1A" w14:textId="77777777" w:rsidR="009D1E59" w:rsidRPr="009D1E59" w:rsidRDefault="009D1E59" w:rsidP="009D1E59">
            <w:pPr>
              <w:pStyle w:val="Tabletext"/>
              <w:rPr>
                <w:b/>
                <w:bCs/>
              </w:rPr>
            </w:pPr>
            <w:r w:rsidRPr="009D1E59">
              <w:rPr>
                <w:b/>
                <w:bCs/>
              </w:rPr>
              <w:t>Item 1</w:t>
            </w:r>
          </w:p>
        </w:tc>
        <w:tc>
          <w:tcPr>
            <w:tcW w:w="2328" w:type="dxa"/>
            <w:vAlign w:val="center"/>
          </w:tcPr>
          <w:p w14:paraId="4B83F24A" w14:textId="77777777" w:rsidR="009D1E59" w:rsidRPr="009D1E59" w:rsidRDefault="009D1E59" w:rsidP="009D1E59">
            <w:pPr>
              <w:pStyle w:val="Tabletext"/>
            </w:pPr>
            <w:r w:rsidRPr="009D1E59">
              <w:t>$250,000</w:t>
            </w:r>
          </w:p>
        </w:tc>
        <w:tc>
          <w:tcPr>
            <w:tcW w:w="2116" w:type="dxa"/>
            <w:vAlign w:val="center"/>
          </w:tcPr>
          <w:p w14:paraId="1FF2E5AA" w14:textId="77777777" w:rsidR="009D1E59" w:rsidRPr="009D1E59" w:rsidRDefault="009D1E59" w:rsidP="009D1E59">
            <w:pPr>
              <w:pStyle w:val="Tabletext"/>
            </w:pPr>
            <w:r w:rsidRPr="009D1E59">
              <w:t>$20,000</w:t>
            </w:r>
          </w:p>
        </w:tc>
        <w:tc>
          <w:tcPr>
            <w:tcW w:w="1993" w:type="dxa"/>
            <w:vAlign w:val="center"/>
          </w:tcPr>
          <w:p w14:paraId="446169FF" w14:textId="77777777" w:rsidR="009D1E59" w:rsidRPr="009D1E59" w:rsidRDefault="009D1E59" w:rsidP="009D1E59">
            <w:pPr>
              <w:pStyle w:val="Tabletext"/>
            </w:pPr>
            <w:r w:rsidRPr="009D1E59">
              <w:t>$230,000</w:t>
            </w:r>
          </w:p>
        </w:tc>
        <w:tc>
          <w:tcPr>
            <w:tcW w:w="2192" w:type="dxa"/>
            <w:vAlign w:val="center"/>
          </w:tcPr>
          <w:p w14:paraId="682C412A" w14:textId="77777777" w:rsidR="009D1E59" w:rsidRPr="009D1E59" w:rsidRDefault="009D1E59" w:rsidP="009D1E59">
            <w:pPr>
              <w:pStyle w:val="Tabletext"/>
            </w:pPr>
            <w:r w:rsidRPr="009D1E59">
              <w:t>$230,000</w:t>
            </w:r>
          </w:p>
        </w:tc>
      </w:tr>
      <w:tr w:rsidR="009D1E59" w:rsidRPr="009D1E59" w14:paraId="0E9E966C" w14:textId="77777777" w:rsidTr="009D1E59">
        <w:trPr>
          <w:trHeight w:val="453"/>
        </w:trPr>
        <w:tc>
          <w:tcPr>
            <w:tcW w:w="1576" w:type="dxa"/>
            <w:vAlign w:val="center"/>
          </w:tcPr>
          <w:p w14:paraId="3EF4229B" w14:textId="77777777" w:rsidR="009D1E59" w:rsidRPr="009D1E59" w:rsidRDefault="009D1E59" w:rsidP="009D1E59">
            <w:pPr>
              <w:pStyle w:val="Tabletext"/>
              <w:rPr>
                <w:b/>
                <w:bCs/>
              </w:rPr>
            </w:pPr>
            <w:r w:rsidRPr="009D1E59">
              <w:rPr>
                <w:b/>
                <w:bCs/>
              </w:rPr>
              <w:t>Item 2</w:t>
            </w:r>
          </w:p>
        </w:tc>
        <w:tc>
          <w:tcPr>
            <w:tcW w:w="2328" w:type="dxa"/>
            <w:vAlign w:val="center"/>
          </w:tcPr>
          <w:p w14:paraId="36E0769E" w14:textId="77777777" w:rsidR="009D1E59" w:rsidRPr="009D1E59" w:rsidRDefault="009D1E59" w:rsidP="009D1E59">
            <w:pPr>
              <w:pStyle w:val="Tabletext"/>
            </w:pPr>
            <w:r w:rsidRPr="009D1E59">
              <w:t>$100,000</w:t>
            </w:r>
          </w:p>
        </w:tc>
        <w:tc>
          <w:tcPr>
            <w:tcW w:w="2116" w:type="dxa"/>
            <w:vAlign w:val="center"/>
          </w:tcPr>
          <w:p w14:paraId="5C334ADC" w14:textId="77777777" w:rsidR="009D1E59" w:rsidRPr="009D1E59" w:rsidRDefault="009D1E59" w:rsidP="009D1E59">
            <w:pPr>
              <w:pStyle w:val="Tabletext"/>
            </w:pPr>
            <w:r w:rsidRPr="009D1E59">
              <w:t>$130,000</w:t>
            </w:r>
          </w:p>
        </w:tc>
        <w:tc>
          <w:tcPr>
            <w:tcW w:w="1993" w:type="dxa"/>
            <w:vAlign w:val="center"/>
          </w:tcPr>
          <w:p w14:paraId="36CBD45B" w14:textId="77777777" w:rsidR="009D1E59" w:rsidRPr="009D1E59" w:rsidRDefault="009D1E59" w:rsidP="009D1E59">
            <w:pPr>
              <w:pStyle w:val="Tabletext"/>
            </w:pPr>
            <w:r w:rsidRPr="009D1E59">
              <w:t>$0</w:t>
            </w:r>
          </w:p>
        </w:tc>
        <w:tc>
          <w:tcPr>
            <w:tcW w:w="2192" w:type="dxa"/>
            <w:vAlign w:val="center"/>
          </w:tcPr>
          <w:p w14:paraId="449E7941" w14:textId="77777777" w:rsidR="009D1E59" w:rsidRPr="009D1E59" w:rsidRDefault="009D1E59" w:rsidP="009D1E59">
            <w:pPr>
              <w:pStyle w:val="Tabletext"/>
            </w:pPr>
            <w:r w:rsidRPr="009D1E59">
              <w:t>$0</w:t>
            </w:r>
          </w:p>
        </w:tc>
      </w:tr>
    </w:tbl>
    <w:p w14:paraId="09997672" w14:textId="4D749755" w:rsidR="006D30B7" w:rsidRPr="006D30B7" w:rsidRDefault="006D30B7" w:rsidP="009D1E59">
      <w:pPr>
        <w:pStyle w:val="Heading2"/>
        <w:spacing w:before="480"/>
      </w:pPr>
      <w:r w:rsidRPr="006D30B7">
        <w:t>Component 3 - Employee statutory redundancy costs</w:t>
      </w:r>
    </w:p>
    <w:p w14:paraId="5F61A085" w14:textId="77777777" w:rsidR="006D30B7" w:rsidRPr="006D30B7" w:rsidRDefault="006D30B7" w:rsidP="009D1E59">
      <w:pPr>
        <w:pStyle w:val="Heading3"/>
      </w:pPr>
      <w:r w:rsidRPr="006D30B7">
        <w:t>Reimbursement amount</w:t>
      </w:r>
    </w:p>
    <w:p w14:paraId="3F57F57E" w14:textId="77777777" w:rsidR="006D30B7" w:rsidRPr="006D30B7" w:rsidRDefault="006D30B7" w:rsidP="006D30B7">
      <w:pPr>
        <w:pStyle w:val="BodyText"/>
        <w:rPr>
          <w:lang w:val="en-GB"/>
        </w:rPr>
      </w:pPr>
      <w:r w:rsidRPr="006D30B7">
        <w:rPr>
          <w:lang w:val="en-GB"/>
        </w:rPr>
        <w:t>The Department will reimburse the business for employee statutory redundancy payments made by the business, capped at the maximum rate specified in the applicable Award or National Employment Standards.</w:t>
      </w:r>
    </w:p>
    <w:p w14:paraId="2C71C12F" w14:textId="0CDE832E" w:rsidR="006D30B7" w:rsidRPr="006D30B7" w:rsidRDefault="006D30B7" w:rsidP="006D30B7">
      <w:pPr>
        <w:pStyle w:val="BodyText"/>
        <w:rPr>
          <w:lang w:val="en-GB"/>
        </w:rPr>
      </w:pPr>
      <w:r w:rsidRPr="006D30B7">
        <w:rPr>
          <w:lang w:val="en-GB"/>
        </w:rPr>
        <w:t>The reimbursement amount will be based on the evidence of the redundancy payment being made to an employee and the redundancy is a genuine redundancy.</w:t>
      </w:r>
    </w:p>
    <w:p w14:paraId="230CFCD2" w14:textId="4F5B3362" w:rsidR="006D30B7" w:rsidRPr="006D30B7" w:rsidRDefault="006D30B7" w:rsidP="006D30B7">
      <w:pPr>
        <w:pStyle w:val="BodyText"/>
        <w:rPr>
          <w:lang w:val="en-GB"/>
        </w:rPr>
      </w:pPr>
      <w:r w:rsidRPr="006D30B7">
        <w:rPr>
          <w:lang w:val="en-GB"/>
        </w:rPr>
        <w:t>A genuine redundancy means:</w:t>
      </w:r>
    </w:p>
    <w:p w14:paraId="444BC879" w14:textId="77777777" w:rsidR="006D30B7" w:rsidRPr="006D30B7" w:rsidRDefault="006D30B7" w:rsidP="009D1E59">
      <w:pPr>
        <w:pStyle w:val="ListBullet"/>
        <w:rPr>
          <w:lang w:val="en-GB"/>
        </w:rPr>
      </w:pPr>
      <w:r w:rsidRPr="006D30B7">
        <w:rPr>
          <w:lang w:val="en-GB"/>
        </w:rPr>
        <w:t xml:space="preserve">A worker’s position that is not required by the employer, in this case due to the consequence of the transition away from harvesting native timber from state forests and the termination is because of the redundancy of the position (and not for any other reason) </w:t>
      </w:r>
    </w:p>
    <w:p w14:paraId="2A56AF09" w14:textId="7D1432F7" w:rsidR="006D30B7" w:rsidRPr="006D30B7" w:rsidRDefault="006D30B7" w:rsidP="009D1E59">
      <w:pPr>
        <w:pStyle w:val="Bullet1last"/>
        <w:rPr>
          <w:lang w:val="en-GB"/>
        </w:rPr>
      </w:pPr>
      <w:r w:rsidRPr="006D30B7">
        <w:rPr>
          <w:lang w:val="en-GB"/>
        </w:rPr>
        <w:t>There must be no arrangements (such as promise of another job) or other circumstances which indicate the redundancy is not genuine</w:t>
      </w:r>
    </w:p>
    <w:p w14:paraId="5A85C762" w14:textId="0AF4216C" w:rsidR="006D30B7" w:rsidRDefault="006D30B7" w:rsidP="006D30B7">
      <w:pPr>
        <w:pStyle w:val="BodyText"/>
        <w:rPr>
          <w:lang w:val="en-GB"/>
        </w:rPr>
      </w:pPr>
      <w:r w:rsidRPr="006D30B7">
        <w:rPr>
          <w:lang w:val="en-GB"/>
        </w:rPr>
        <w:t>Some workers may be categorised as ‘dual capacity’ employees, in that they are engaged by an employing entity, and are also a decision maker or officeholder of that entity.</w:t>
      </w:r>
      <w:r w:rsidR="009D1E59">
        <w:rPr>
          <w:lang w:val="en-GB"/>
        </w:rPr>
        <w:t xml:space="preserve"> </w:t>
      </w:r>
      <w:r w:rsidRPr="006D30B7">
        <w:rPr>
          <w:lang w:val="en-GB"/>
        </w:rPr>
        <w:t>The department will seek to understand the nature of the termination in these circumstances to determine if there is a genuine redundancy. The Department will not reimburse the payment of leave entitlements.</w:t>
      </w:r>
    </w:p>
    <w:p w14:paraId="5E14BEA3" w14:textId="42D93888" w:rsidR="000838C0" w:rsidRPr="006D30B7" w:rsidRDefault="000838C0" w:rsidP="000838C0">
      <w:pPr>
        <w:pStyle w:val="Heading3"/>
      </w:pPr>
      <w:r w:rsidRPr="000838C0">
        <w:rPr>
          <w:color w:val="000000" w:themeColor="text1"/>
          <w:sz w:val="32"/>
          <w:szCs w:val="30"/>
        </w:rPr>
        <w:lastRenderedPageBreak/>
        <w:t>Component 4 - Site rehabilitation</w:t>
      </w:r>
    </w:p>
    <w:p w14:paraId="133DFB2E" w14:textId="77777777" w:rsidR="000838C0" w:rsidRDefault="000838C0" w:rsidP="009D1E59">
      <w:pPr>
        <w:pStyle w:val="Heading1"/>
        <w:rPr>
          <w:rFonts w:asciiTheme="minorHAnsi" w:eastAsiaTheme="minorEastAsia" w:hAnsiTheme="minorHAnsi" w:cs="Times New Roman (Body CS)"/>
          <w:b w:val="0"/>
          <w:bCs w:val="0"/>
          <w:kern w:val="24"/>
          <w:sz w:val="24"/>
          <w:szCs w:val="22"/>
          <w:lang w:val="en-GB"/>
        </w:rPr>
      </w:pPr>
      <w:r w:rsidRPr="000838C0">
        <w:rPr>
          <w:rFonts w:asciiTheme="minorHAnsi" w:eastAsiaTheme="minorEastAsia" w:hAnsiTheme="minorHAnsi" w:cs="Times New Roman (Body CS)"/>
          <w:b w:val="0"/>
          <w:bCs w:val="0"/>
          <w:kern w:val="24"/>
          <w:sz w:val="24"/>
          <w:szCs w:val="22"/>
          <w:lang w:val="en-GB"/>
        </w:rPr>
        <w:t>The Department will pay up to $50,000 towards site rehabilitation and remediation for licensees and agreement holders who have an annual allocation of 1,000 tonne or cubic metres or more, across one or more licences or agreements. The business is required to declare that they intend to cease operating as a processor of forest products.</w:t>
      </w:r>
    </w:p>
    <w:p w14:paraId="593ECFA5" w14:textId="7C097E44" w:rsidR="006D30B7" w:rsidRPr="006D30B7" w:rsidRDefault="006D30B7" w:rsidP="009D1E59">
      <w:pPr>
        <w:pStyle w:val="Heading1"/>
        <w:rPr>
          <w:lang w:val="en-GB"/>
        </w:rPr>
      </w:pPr>
      <w:r w:rsidRPr="006D30B7">
        <w:rPr>
          <w:lang w:val="en-GB"/>
        </w:rPr>
        <w:t>How to apply</w:t>
      </w:r>
    </w:p>
    <w:p w14:paraId="59B0CD00" w14:textId="77777777" w:rsidR="006D30B7" w:rsidRPr="006D30B7" w:rsidRDefault="006D30B7" w:rsidP="006D30B7">
      <w:pPr>
        <w:pStyle w:val="BodyText"/>
        <w:rPr>
          <w:lang w:val="en-GB"/>
        </w:rPr>
      </w:pPr>
      <w:r w:rsidRPr="006D30B7">
        <w:rPr>
          <w:lang w:val="en-GB"/>
        </w:rPr>
        <w:t>The application can be made through an online form or a manual form with help from the Department of Energy, Environment and Climate Action.</w:t>
      </w:r>
    </w:p>
    <w:p w14:paraId="6EB54D97" w14:textId="77777777" w:rsidR="006D30B7" w:rsidRPr="006D30B7" w:rsidRDefault="006D30B7" w:rsidP="006D30B7">
      <w:pPr>
        <w:pStyle w:val="BodyText"/>
        <w:rPr>
          <w:lang w:val="en-GB"/>
        </w:rPr>
      </w:pPr>
      <w:r w:rsidRPr="006D30B7">
        <w:rPr>
          <w:lang w:val="en-GB"/>
        </w:rPr>
        <w:t>To apply contact members of the Forestry Transition Business Support Team to discuss your application:</w:t>
      </w:r>
    </w:p>
    <w:p w14:paraId="7DAE9475" w14:textId="77777777" w:rsidR="00ED1FD5" w:rsidRDefault="006D30B7" w:rsidP="006D30B7">
      <w:pPr>
        <w:pStyle w:val="BodyText"/>
        <w:rPr>
          <w:lang w:val="en-GB"/>
        </w:rPr>
      </w:pPr>
      <w:r w:rsidRPr="006D30B7">
        <w:rPr>
          <w:lang w:val="en-GB"/>
        </w:rPr>
        <w:t xml:space="preserve">Kara </w:t>
      </w:r>
      <w:proofErr w:type="spellStart"/>
      <w:r w:rsidRPr="006D30B7">
        <w:rPr>
          <w:lang w:val="en-GB"/>
        </w:rPr>
        <w:t>Zdrzalka</w:t>
      </w:r>
      <w:proofErr w:type="spellEnd"/>
    </w:p>
    <w:p w14:paraId="3A098768" w14:textId="5FD0292A" w:rsidR="00ED1FD5" w:rsidRDefault="006D30B7" w:rsidP="006D30B7">
      <w:pPr>
        <w:pStyle w:val="BodyText"/>
        <w:rPr>
          <w:lang w:val="en-GB"/>
        </w:rPr>
      </w:pPr>
      <w:r w:rsidRPr="006D30B7">
        <w:rPr>
          <w:lang w:val="en-GB"/>
        </w:rPr>
        <w:t xml:space="preserve">Email: </w:t>
      </w:r>
      <w:hyperlink r:id="rId8" w:history="1">
        <w:r w:rsidR="00ED1FD5" w:rsidRPr="000838C0">
          <w:rPr>
            <w:rStyle w:val="Hyperlink"/>
            <w:b/>
            <w:bCs/>
            <w:lang w:val="en-GB"/>
          </w:rPr>
          <w:t>kara.zdrzalka@</w:t>
        </w:r>
        <w:r w:rsidR="000838C0" w:rsidRPr="000838C0">
          <w:rPr>
            <w:rStyle w:val="Hyperlink"/>
            <w:b/>
            <w:bCs/>
            <w:lang w:val="en-GB"/>
          </w:rPr>
          <w:t>deeca.vic.gov.au</w:t>
        </w:r>
      </w:hyperlink>
    </w:p>
    <w:p w14:paraId="1569A99C" w14:textId="77777777" w:rsidR="00ED1FD5" w:rsidRDefault="006D30B7" w:rsidP="006D30B7">
      <w:pPr>
        <w:pStyle w:val="BodyText"/>
        <w:rPr>
          <w:lang w:val="en-GB"/>
        </w:rPr>
      </w:pPr>
      <w:r w:rsidRPr="006D30B7">
        <w:rPr>
          <w:lang w:val="en-GB"/>
        </w:rPr>
        <w:t xml:space="preserve">Phone: </w:t>
      </w:r>
      <w:r w:rsidRPr="009D1E59">
        <w:rPr>
          <w:b/>
          <w:bCs/>
          <w:lang w:val="en-GB"/>
        </w:rPr>
        <w:t>0417 483 803</w:t>
      </w:r>
    </w:p>
    <w:p w14:paraId="3C6E9CD5" w14:textId="722BCD23" w:rsidR="006D30B7" w:rsidRPr="006D30B7" w:rsidRDefault="006D30B7" w:rsidP="006D30B7">
      <w:pPr>
        <w:pStyle w:val="BodyText"/>
        <w:rPr>
          <w:lang w:val="en-GB"/>
        </w:rPr>
      </w:pPr>
      <w:r w:rsidRPr="006D30B7">
        <w:rPr>
          <w:lang w:val="en-GB"/>
        </w:rPr>
        <w:t xml:space="preserve">Or visit </w:t>
      </w:r>
      <w:hyperlink r:id="rId9" w:history="1">
        <w:r w:rsidRPr="009D1E59">
          <w:rPr>
            <w:rStyle w:val="Hyperlink"/>
          </w:rPr>
          <w:t>vic.gov.au/forestry</w:t>
        </w:r>
      </w:hyperlink>
    </w:p>
    <w:p w14:paraId="7A835E55" w14:textId="77777777" w:rsidR="006D30B7" w:rsidRPr="006D30B7" w:rsidRDefault="006D30B7" w:rsidP="006D30B7">
      <w:pPr>
        <w:pStyle w:val="BodyText"/>
        <w:rPr>
          <w:lang w:val="en-GB"/>
        </w:rPr>
      </w:pPr>
      <w:r w:rsidRPr="006D30B7">
        <w:rPr>
          <w:lang w:val="en-GB"/>
        </w:rPr>
        <w:t>Applicants can also seek professional advice and support in the preparation of their application.</w:t>
      </w:r>
    </w:p>
    <w:p w14:paraId="1CC6E39C" w14:textId="77777777" w:rsidR="006D30B7" w:rsidRPr="006D30B7" w:rsidRDefault="006D30B7" w:rsidP="009D1E59">
      <w:pPr>
        <w:pStyle w:val="Heading1"/>
      </w:pPr>
      <w:r w:rsidRPr="006D30B7">
        <w:t>Key dates</w:t>
      </w:r>
    </w:p>
    <w:p w14:paraId="4E63760B" w14:textId="77777777" w:rsidR="009D1E59" w:rsidRDefault="006D30B7" w:rsidP="006D30B7">
      <w:pPr>
        <w:pStyle w:val="BodyText"/>
        <w:rPr>
          <w:lang w:val="en-GB"/>
        </w:rPr>
      </w:pPr>
      <w:r w:rsidRPr="006D30B7">
        <w:rPr>
          <w:lang w:val="en-GB"/>
        </w:rPr>
        <w:t>Application opening date: Friday 1 December</w:t>
      </w:r>
      <w:r w:rsidR="009D1E59">
        <w:rPr>
          <w:lang w:val="en-GB"/>
        </w:rPr>
        <w:t xml:space="preserve"> </w:t>
      </w:r>
      <w:r w:rsidRPr="006D30B7">
        <w:rPr>
          <w:lang w:val="en-GB"/>
        </w:rPr>
        <w:t>2023.</w:t>
      </w:r>
    </w:p>
    <w:p w14:paraId="5F7ADF25" w14:textId="75C75490" w:rsidR="006D30B7" w:rsidRDefault="006D30B7" w:rsidP="000838C0">
      <w:pPr>
        <w:pStyle w:val="BodyText"/>
        <w:spacing w:after="600"/>
        <w:rPr>
          <w:lang w:val="en-GB"/>
        </w:rPr>
      </w:pPr>
      <w:r w:rsidRPr="006D30B7">
        <w:rPr>
          <w:lang w:val="en-GB"/>
        </w:rPr>
        <w:t>Application closing date:</w:t>
      </w:r>
      <w:r w:rsidR="009D1E59">
        <w:rPr>
          <w:lang w:val="en-GB"/>
        </w:rPr>
        <w:t xml:space="preserve"> </w:t>
      </w:r>
      <w:r w:rsidRPr="006D30B7">
        <w:rPr>
          <w:lang w:val="en-GB"/>
        </w:rPr>
        <w:t xml:space="preserve">5pm, </w:t>
      </w:r>
      <w:r w:rsidR="000838C0" w:rsidRPr="000838C0">
        <w:rPr>
          <w:lang w:val="en-GB"/>
        </w:rPr>
        <w:t>Friday 27</w:t>
      </w:r>
      <w:r w:rsidR="000838C0" w:rsidRPr="000838C0">
        <w:rPr>
          <w:vertAlign w:val="superscript"/>
          <w:lang w:val="en-GB"/>
        </w:rPr>
        <w:t>th</w:t>
      </w:r>
      <w:r w:rsidR="000838C0">
        <w:rPr>
          <w:lang w:val="en-GB"/>
        </w:rPr>
        <w:t xml:space="preserve"> </w:t>
      </w:r>
      <w:proofErr w:type="gramStart"/>
      <w:r w:rsidR="000838C0" w:rsidRPr="000838C0">
        <w:rPr>
          <w:lang w:val="en-GB"/>
        </w:rPr>
        <w:t>September,</w:t>
      </w:r>
      <w:proofErr w:type="gramEnd"/>
      <w:r w:rsidR="000838C0" w:rsidRPr="000838C0">
        <w:rPr>
          <w:lang w:val="en-GB"/>
        </w:rPr>
        <w:t xml:space="preserve"> 2024.</w:t>
      </w:r>
    </w:p>
    <w:p w14:paraId="63298B96" w14:textId="66BE1FDC" w:rsidR="006D30B7" w:rsidRPr="006D30B7" w:rsidRDefault="006D30B7" w:rsidP="006D30B7">
      <w:pPr>
        <w:pStyle w:val="BodyText"/>
        <w:rPr>
          <w:lang w:val="en-GB"/>
        </w:rPr>
      </w:pPr>
      <w:r w:rsidRPr="006D30B7">
        <w:rPr>
          <w:lang w:val="en-GB"/>
        </w:rPr>
        <w:t>© Copyright State of Victoria, Department of Energy, Environment and Climate Action, November 2023</w:t>
      </w:r>
      <w:r w:rsidR="000838C0">
        <w:rPr>
          <w:lang w:val="en-GB"/>
        </w:rPr>
        <w:t xml:space="preserve">. Updated </w:t>
      </w:r>
      <w:r w:rsidR="0009746A">
        <w:rPr>
          <w:lang w:val="en-GB"/>
        </w:rPr>
        <w:t>June</w:t>
      </w:r>
      <w:r w:rsidR="000838C0">
        <w:rPr>
          <w:lang w:val="en-GB"/>
        </w:rPr>
        <w:t xml:space="preserve"> 2024.</w:t>
      </w:r>
    </w:p>
    <w:sectPr w:rsidR="006D30B7" w:rsidRPr="006D30B7" w:rsidSect="008475C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6AAC" w14:textId="77777777" w:rsidR="006228A4" w:rsidRDefault="006228A4" w:rsidP="00F2730B">
      <w:pPr>
        <w:spacing w:after="0" w:line="240" w:lineRule="auto"/>
      </w:pPr>
      <w:r>
        <w:separator/>
      </w:r>
    </w:p>
  </w:endnote>
  <w:endnote w:type="continuationSeparator" w:id="0">
    <w:p w14:paraId="3E0ADC07" w14:textId="77777777" w:rsidR="006228A4" w:rsidRDefault="006228A4"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altName w:val="VIC Light"/>
    <w:panose1 w:val="020B0604020202020204"/>
    <w:charset w:val="00"/>
    <w:family w:val="auto"/>
    <w:notTrueType/>
    <w:pitch w:val="variable"/>
    <w:sig w:usb0="00000007" w:usb1="00000000" w:usb2="00000000" w:usb3="00000000" w:csb0="00000093" w:csb1="00000000"/>
  </w:font>
  <w:font w:name="VIC SemiBold">
    <w:panose1 w:val="020B0604020202020204"/>
    <w:charset w:val="00"/>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panose1 w:val="020B0604020202020204"/>
    <w:charset w:val="00"/>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933D" w14:textId="77777777" w:rsidR="00561FF9" w:rsidRDefault="00561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7FAE" w14:textId="07CEBC2F" w:rsidR="00561FF9" w:rsidRDefault="00561FF9">
    <w:pPr>
      <w:pStyle w:val="Footer"/>
    </w:pPr>
    <w:r>
      <w:rPr>
        <w:noProof/>
      </w:rPr>
      <mc:AlternateContent>
        <mc:Choice Requires="wps">
          <w:drawing>
            <wp:anchor distT="0" distB="0" distL="114300" distR="114300" simplePos="0" relativeHeight="251659264" behindDoc="0" locked="0" layoutInCell="0" allowOverlap="1" wp14:anchorId="21161737" wp14:editId="2A362550">
              <wp:simplePos x="0" y="0"/>
              <wp:positionH relativeFrom="page">
                <wp:posOffset>0</wp:posOffset>
              </wp:positionH>
              <wp:positionV relativeFrom="page">
                <wp:posOffset>10227945</wp:posOffset>
              </wp:positionV>
              <wp:extent cx="7560310" cy="273050"/>
              <wp:effectExtent l="0" t="0" r="0" b="12700"/>
              <wp:wrapNone/>
              <wp:docPr id="56" name="MSIPCMded941fab433699aba67c0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FD42D" w14:textId="40FAF754" w:rsidR="00561FF9" w:rsidRPr="00561FF9" w:rsidRDefault="00561FF9" w:rsidP="00561FF9">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161737" id="_x0000_t202" coordsize="21600,21600" o:spt="202" path="m,l,21600r21600,l21600,xe">
              <v:stroke joinstyle="miter"/>
              <v:path gradientshapeok="t" o:connecttype="rect"/>
            </v:shapetype>
            <v:shape id="MSIPCMded941fab433699aba67c050"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" o:allowincell="f" filled="f" stroked="f" strokeweight=".5pt">
              <v:textbox inset=",0,,0">
                <w:txbxContent>
                  <w:p w14:paraId="31DFD42D" w14:textId="40FAF754" w:rsidR="00561FF9" w:rsidRPr="00561FF9" w:rsidRDefault="00561FF9" w:rsidP="00561FF9">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D78C" w14:textId="77777777" w:rsidR="00561FF9" w:rsidRDefault="0056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B982" w14:textId="77777777" w:rsidR="006228A4" w:rsidRDefault="006228A4" w:rsidP="00F2730B">
      <w:pPr>
        <w:spacing w:after="0" w:line="240" w:lineRule="auto"/>
      </w:pPr>
      <w:r>
        <w:separator/>
      </w:r>
    </w:p>
  </w:footnote>
  <w:footnote w:type="continuationSeparator" w:id="0">
    <w:p w14:paraId="1FBDF402" w14:textId="77777777" w:rsidR="006228A4" w:rsidRDefault="006228A4" w:rsidP="00F2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BB78" w14:textId="77777777" w:rsidR="00561FF9" w:rsidRDefault="00561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A1CB" w14:textId="77777777" w:rsidR="00561FF9" w:rsidRDefault="00561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7DA3" w14:textId="77777777" w:rsidR="00561FF9" w:rsidRDefault="0056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4D2F24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2" w15:restartNumberingAfterBreak="0">
    <w:nsid w:val="62CA3B4C"/>
    <w:multiLevelType w:val="hybridMultilevel"/>
    <w:tmpl w:val="18E09786"/>
    <w:lvl w:ilvl="0" w:tplc="8DB84B2A">
      <w:start w:val="1"/>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14"/>
  </w:num>
  <w:num w:numId="2" w16cid:durableId="1159077567">
    <w:abstractNumId w:val="9"/>
  </w:num>
  <w:num w:numId="3" w16cid:durableId="2084981408">
    <w:abstractNumId w:val="13"/>
  </w:num>
  <w:num w:numId="4" w16cid:durableId="1939754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19"/>
  </w:num>
  <w:num w:numId="6" w16cid:durableId="601570190">
    <w:abstractNumId w:val="28"/>
  </w:num>
  <w:num w:numId="7" w16cid:durableId="3866726">
    <w:abstractNumId w:val="26"/>
  </w:num>
  <w:num w:numId="8" w16cid:durableId="1535576679">
    <w:abstractNumId w:val="26"/>
    <w:lvlOverride w:ilvl="0">
      <w:startOverride w:val="1"/>
    </w:lvlOverride>
  </w:num>
  <w:num w:numId="9" w16cid:durableId="1135373507">
    <w:abstractNumId w:val="26"/>
  </w:num>
  <w:num w:numId="10" w16cid:durableId="1317493097">
    <w:abstractNumId w:val="26"/>
  </w:num>
  <w:num w:numId="11" w16cid:durableId="717898859">
    <w:abstractNumId w:val="26"/>
  </w:num>
  <w:num w:numId="12" w16cid:durableId="1813522522">
    <w:abstractNumId w:val="2"/>
  </w:num>
  <w:num w:numId="13" w16cid:durableId="1910386673">
    <w:abstractNumId w:val="8"/>
  </w:num>
  <w:num w:numId="14" w16cid:durableId="127019025">
    <w:abstractNumId w:val="0"/>
  </w:num>
  <w:num w:numId="15" w16cid:durableId="533276510">
    <w:abstractNumId w:val="27"/>
  </w:num>
  <w:num w:numId="16" w16cid:durableId="1637754716">
    <w:abstractNumId w:val="25"/>
  </w:num>
  <w:num w:numId="17" w16cid:durableId="771362055">
    <w:abstractNumId w:val="1"/>
  </w:num>
  <w:num w:numId="18" w16cid:durableId="2106723097">
    <w:abstractNumId w:val="1"/>
    <w:lvlOverride w:ilvl="0">
      <w:startOverride w:val="1"/>
    </w:lvlOverride>
  </w:num>
  <w:num w:numId="19" w16cid:durableId="1622150489">
    <w:abstractNumId w:val="16"/>
  </w:num>
  <w:num w:numId="20" w16cid:durableId="1378436537">
    <w:abstractNumId w:val="1"/>
    <w:lvlOverride w:ilvl="0">
      <w:startOverride w:val="1"/>
    </w:lvlOverride>
  </w:num>
  <w:num w:numId="21" w16cid:durableId="3823149">
    <w:abstractNumId w:val="17"/>
  </w:num>
  <w:num w:numId="22" w16cid:durableId="1109350762">
    <w:abstractNumId w:val="26"/>
  </w:num>
  <w:num w:numId="23" w16cid:durableId="338390637">
    <w:abstractNumId w:val="5"/>
  </w:num>
  <w:num w:numId="24" w16cid:durableId="182984412">
    <w:abstractNumId w:val="22"/>
  </w:num>
  <w:num w:numId="25" w16cid:durableId="900021413">
    <w:abstractNumId w:val="22"/>
  </w:num>
  <w:num w:numId="26" w16cid:durableId="1172570631">
    <w:abstractNumId w:val="22"/>
  </w:num>
  <w:num w:numId="27" w16cid:durableId="853954488">
    <w:abstractNumId w:val="15"/>
  </w:num>
  <w:num w:numId="28" w16cid:durableId="307325374">
    <w:abstractNumId w:val="7"/>
  </w:num>
  <w:num w:numId="29" w16cid:durableId="1498495089">
    <w:abstractNumId w:val="24"/>
  </w:num>
  <w:num w:numId="30" w16cid:durableId="1246037963">
    <w:abstractNumId w:val="22"/>
  </w:num>
  <w:num w:numId="31" w16cid:durableId="1880896679">
    <w:abstractNumId w:val="22"/>
  </w:num>
  <w:num w:numId="32" w16cid:durableId="888996331">
    <w:abstractNumId w:val="18"/>
  </w:num>
  <w:num w:numId="33" w16cid:durableId="1867258119">
    <w:abstractNumId w:val="22"/>
  </w:num>
  <w:num w:numId="34" w16cid:durableId="236399107">
    <w:abstractNumId w:val="22"/>
  </w:num>
  <w:num w:numId="35" w16cid:durableId="176046496">
    <w:abstractNumId w:val="29"/>
  </w:num>
  <w:num w:numId="36" w16cid:durableId="393359172">
    <w:abstractNumId w:val="22"/>
  </w:num>
  <w:num w:numId="37" w16cid:durableId="1021321418">
    <w:abstractNumId w:val="14"/>
  </w:num>
  <w:num w:numId="38" w16cid:durableId="1207567416">
    <w:abstractNumId w:val="12"/>
  </w:num>
  <w:num w:numId="39" w16cid:durableId="731777569">
    <w:abstractNumId w:val="11"/>
  </w:num>
  <w:num w:numId="40" w16cid:durableId="1205290667">
    <w:abstractNumId w:val="11"/>
    <w:lvlOverride w:ilvl="0">
      <w:startOverride w:val="1"/>
    </w:lvlOverride>
  </w:num>
  <w:num w:numId="41" w16cid:durableId="1428041625">
    <w:abstractNumId w:val="22"/>
  </w:num>
  <w:num w:numId="42" w16cid:durableId="269317627">
    <w:abstractNumId w:val="11"/>
  </w:num>
  <w:num w:numId="43" w16cid:durableId="1572933492">
    <w:abstractNumId w:val="11"/>
  </w:num>
  <w:num w:numId="44" w16cid:durableId="755370559">
    <w:abstractNumId w:val="11"/>
  </w:num>
  <w:num w:numId="45" w16cid:durableId="1714499310">
    <w:abstractNumId w:val="11"/>
  </w:num>
  <w:num w:numId="46" w16cid:durableId="982542587">
    <w:abstractNumId w:val="4"/>
  </w:num>
  <w:num w:numId="47" w16cid:durableId="2063869356">
    <w:abstractNumId w:val="11"/>
    <w:lvlOverride w:ilvl="0">
      <w:startOverride w:val="1"/>
    </w:lvlOverride>
  </w:num>
  <w:num w:numId="48" w16cid:durableId="1622690298">
    <w:abstractNumId w:val="22"/>
  </w:num>
  <w:num w:numId="49" w16cid:durableId="1024214926">
    <w:abstractNumId w:val="22"/>
  </w:num>
  <w:num w:numId="50" w16cid:durableId="1689873368">
    <w:abstractNumId w:val="21"/>
  </w:num>
  <w:num w:numId="51" w16cid:durableId="1150828710">
    <w:abstractNumId w:val="11"/>
  </w:num>
  <w:num w:numId="52" w16cid:durableId="25837290">
    <w:abstractNumId w:val="11"/>
  </w:num>
  <w:num w:numId="53" w16cid:durableId="2080979826">
    <w:abstractNumId w:val="22"/>
  </w:num>
  <w:num w:numId="54" w16cid:durableId="724259794">
    <w:abstractNumId w:val="22"/>
  </w:num>
  <w:num w:numId="55" w16cid:durableId="1655597716">
    <w:abstractNumId w:val="11"/>
    <w:lvlOverride w:ilvl="0">
      <w:startOverride w:val="1"/>
    </w:lvlOverride>
  </w:num>
  <w:num w:numId="56" w16cid:durableId="1949697085">
    <w:abstractNumId w:val="11"/>
  </w:num>
  <w:num w:numId="57" w16cid:durableId="416558369">
    <w:abstractNumId w:val="11"/>
  </w:num>
  <w:num w:numId="58" w16cid:durableId="1315331001">
    <w:abstractNumId w:val="11"/>
    <w:lvlOverride w:ilvl="0">
      <w:startOverride w:val="1"/>
    </w:lvlOverride>
  </w:num>
  <w:num w:numId="59" w16cid:durableId="1910573142">
    <w:abstractNumId w:val="1"/>
    <w:lvlOverride w:ilvl="0">
      <w:startOverride w:val="1"/>
    </w:lvlOverride>
  </w:num>
  <w:num w:numId="60" w16cid:durableId="1399983750">
    <w:abstractNumId w:val="23"/>
  </w:num>
  <w:num w:numId="61" w16cid:durableId="1557817223">
    <w:abstractNumId w:val="20"/>
  </w:num>
  <w:num w:numId="62" w16cid:durableId="186136112">
    <w:abstractNumId w:val="22"/>
  </w:num>
  <w:num w:numId="63" w16cid:durableId="766468131">
    <w:abstractNumId w:val="6"/>
  </w:num>
  <w:num w:numId="64" w16cid:durableId="401634644">
    <w:abstractNumId w:val="3"/>
  </w:num>
  <w:num w:numId="65" w16cid:durableId="1061367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24EED"/>
    <w:rsid w:val="00033D9B"/>
    <w:rsid w:val="000838C0"/>
    <w:rsid w:val="0009746A"/>
    <w:rsid w:val="000B0305"/>
    <w:rsid w:val="000B62B5"/>
    <w:rsid w:val="000C4A37"/>
    <w:rsid w:val="000C4B11"/>
    <w:rsid w:val="00101019"/>
    <w:rsid w:val="001073C1"/>
    <w:rsid w:val="00124CDD"/>
    <w:rsid w:val="00125150"/>
    <w:rsid w:val="001273C5"/>
    <w:rsid w:val="001500AB"/>
    <w:rsid w:val="00151489"/>
    <w:rsid w:val="00175022"/>
    <w:rsid w:val="001B02D0"/>
    <w:rsid w:val="001B2A51"/>
    <w:rsid w:val="001E3FB4"/>
    <w:rsid w:val="001E4846"/>
    <w:rsid w:val="001E6288"/>
    <w:rsid w:val="001F2925"/>
    <w:rsid w:val="00202A5B"/>
    <w:rsid w:val="002143C5"/>
    <w:rsid w:val="00215E01"/>
    <w:rsid w:val="00240749"/>
    <w:rsid w:val="00241796"/>
    <w:rsid w:val="00241E12"/>
    <w:rsid w:val="00244E10"/>
    <w:rsid w:val="002460FA"/>
    <w:rsid w:val="00252B69"/>
    <w:rsid w:val="002612BF"/>
    <w:rsid w:val="0026182E"/>
    <w:rsid w:val="00266DF9"/>
    <w:rsid w:val="00276F9F"/>
    <w:rsid w:val="00281939"/>
    <w:rsid w:val="00283316"/>
    <w:rsid w:val="002848F0"/>
    <w:rsid w:val="00295CE3"/>
    <w:rsid w:val="002C3499"/>
    <w:rsid w:val="002C75FC"/>
    <w:rsid w:val="002D2205"/>
    <w:rsid w:val="002D70AB"/>
    <w:rsid w:val="002F2CD2"/>
    <w:rsid w:val="0031002A"/>
    <w:rsid w:val="003116DC"/>
    <w:rsid w:val="00320E94"/>
    <w:rsid w:val="003367D8"/>
    <w:rsid w:val="00337320"/>
    <w:rsid w:val="003616B0"/>
    <w:rsid w:val="00365844"/>
    <w:rsid w:val="00395B17"/>
    <w:rsid w:val="00397BEF"/>
    <w:rsid w:val="003B25BA"/>
    <w:rsid w:val="003C2291"/>
    <w:rsid w:val="003C7DED"/>
    <w:rsid w:val="003E3C61"/>
    <w:rsid w:val="0040225E"/>
    <w:rsid w:val="00404F0E"/>
    <w:rsid w:val="004163B5"/>
    <w:rsid w:val="00451ABC"/>
    <w:rsid w:val="00460D9F"/>
    <w:rsid w:val="0046520A"/>
    <w:rsid w:val="0049720C"/>
    <w:rsid w:val="004A0E5A"/>
    <w:rsid w:val="004A68CA"/>
    <w:rsid w:val="004B30FB"/>
    <w:rsid w:val="004C5429"/>
    <w:rsid w:val="004E2D9F"/>
    <w:rsid w:val="00506B0D"/>
    <w:rsid w:val="0053353B"/>
    <w:rsid w:val="00536DD7"/>
    <w:rsid w:val="00556105"/>
    <w:rsid w:val="005576D8"/>
    <w:rsid w:val="00561FF9"/>
    <w:rsid w:val="00564079"/>
    <w:rsid w:val="00576223"/>
    <w:rsid w:val="00597962"/>
    <w:rsid w:val="005A6B8F"/>
    <w:rsid w:val="005B0BB4"/>
    <w:rsid w:val="005B10AD"/>
    <w:rsid w:val="005B593D"/>
    <w:rsid w:val="005C1D42"/>
    <w:rsid w:val="005C4602"/>
    <w:rsid w:val="005C79C1"/>
    <w:rsid w:val="005D1F35"/>
    <w:rsid w:val="005E3F95"/>
    <w:rsid w:val="005F1A1C"/>
    <w:rsid w:val="00605A83"/>
    <w:rsid w:val="00620098"/>
    <w:rsid w:val="006228A4"/>
    <w:rsid w:val="00623F87"/>
    <w:rsid w:val="0062675C"/>
    <w:rsid w:val="006368F9"/>
    <w:rsid w:val="00645230"/>
    <w:rsid w:val="006466AF"/>
    <w:rsid w:val="00661920"/>
    <w:rsid w:val="00673096"/>
    <w:rsid w:val="0068129E"/>
    <w:rsid w:val="006D30B7"/>
    <w:rsid w:val="006D4F10"/>
    <w:rsid w:val="00700BF1"/>
    <w:rsid w:val="0073229A"/>
    <w:rsid w:val="00740461"/>
    <w:rsid w:val="00750D1B"/>
    <w:rsid w:val="00785918"/>
    <w:rsid w:val="007A16FB"/>
    <w:rsid w:val="007A261A"/>
    <w:rsid w:val="007A7ED1"/>
    <w:rsid w:val="007B211D"/>
    <w:rsid w:val="007B509C"/>
    <w:rsid w:val="007C1E53"/>
    <w:rsid w:val="007D58CB"/>
    <w:rsid w:val="007F39FA"/>
    <w:rsid w:val="007F6BDB"/>
    <w:rsid w:val="007F748D"/>
    <w:rsid w:val="00803E96"/>
    <w:rsid w:val="00807062"/>
    <w:rsid w:val="008071AB"/>
    <w:rsid w:val="00827815"/>
    <w:rsid w:val="00840E7A"/>
    <w:rsid w:val="008475CB"/>
    <w:rsid w:val="00880B31"/>
    <w:rsid w:val="00886D42"/>
    <w:rsid w:val="008A44D0"/>
    <w:rsid w:val="008C3D83"/>
    <w:rsid w:val="008C71C0"/>
    <w:rsid w:val="00904039"/>
    <w:rsid w:val="00910401"/>
    <w:rsid w:val="00912DD1"/>
    <w:rsid w:val="0093403C"/>
    <w:rsid w:val="009C565D"/>
    <w:rsid w:val="009D1E59"/>
    <w:rsid w:val="009D3FEB"/>
    <w:rsid w:val="009D7B95"/>
    <w:rsid w:val="009E5947"/>
    <w:rsid w:val="009F5E71"/>
    <w:rsid w:val="00A10D57"/>
    <w:rsid w:val="00A268C9"/>
    <w:rsid w:val="00A3786E"/>
    <w:rsid w:val="00A42F8A"/>
    <w:rsid w:val="00A56B9D"/>
    <w:rsid w:val="00A803C5"/>
    <w:rsid w:val="00A93914"/>
    <w:rsid w:val="00AB025E"/>
    <w:rsid w:val="00AB6104"/>
    <w:rsid w:val="00AE397A"/>
    <w:rsid w:val="00B01AE9"/>
    <w:rsid w:val="00B142F1"/>
    <w:rsid w:val="00B14FBE"/>
    <w:rsid w:val="00B437D8"/>
    <w:rsid w:val="00B520CF"/>
    <w:rsid w:val="00B573B1"/>
    <w:rsid w:val="00B66945"/>
    <w:rsid w:val="00B712B3"/>
    <w:rsid w:val="00B75868"/>
    <w:rsid w:val="00B80DD2"/>
    <w:rsid w:val="00B84C3C"/>
    <w:rsid w:val="00B868B3"/>
    <w:rsid w:val="00BA4CD9"/>
    <w:rsid w:val="00BB7BE8"/>
    <w:rsid w:val="00BC0A72"/>
    <w:rsid w:val="00BC2466"/>
    <w:rsid w:val="00BE09DE"/>
    <w:rsid w:val="00BE1D2C"/>
    <w:rsid w:val="00BF545C"/>
    <w:rsid w:val="00C122AF"/>
    <w:rsid w:val="00C14FE6"/>
    <w:rsid w:val="00C173AC"/>
    <w:rsid w:val="00C20D01"/>
    <w:rsid w:val="00C3751A"/>
    <w:rsid w:val="00C6259B"/>
    <w:rsid w:val="00C70C5F"/>
    <w:rsid w:val="00C71AEC"/>
    <w:rsid w:val="00CD0AA8"/>
    <w:rsid w:val="00CD2217"/>
    <w:rsid w:val="00D03821"/>
    <w:rsid w:val="00D10395"/>
    <w:rsid w:val="00D26A00"/>
    <w:rsid w:val="00D35365"/>
    <w:rsid w:val="00D44761"/>
    <w:rsid w:val="00D46731"/>
    <w:rsid w:val="00D50B49"/>
    <w:rsid w:val="00D54C6D"/>
    <w:rsid w:val="00D96D80"/>
    <w:rsid w:val="00DF071B"/>
    <w:rsid w:val="00E00C8A"/>
    <w:rsid w:val="00E11A71"/>
    <w:rsid w:val="00E157A5"/>
    <w:rsid w:val="00E602B9"/>
    <w:rsid w:val="00E6081B"/>
    <w:rsid w:val="00E6112B"/>
    <w:rsid w:val="00E65843"/>
    <w:rsid w:val="00E97655"/>
    <w:rsid w:val="00EB323D"/>
    <w:rsid w:val="00EC5782"/>
    <w:rsid w:val="00ED1FD5"/>
    <w:rsid w:val="00EE5012"/>
    <w:rsid w:val="00F1500A"/>
    <w:rsid w:val="00F1720B"/>
    <w:rsid w:val="00F21502"/>
    <w:rsid w:val="00F26E05"/>
    <w:rsid w:val="00F2730B"/>
    <w:rsid w:val="00F32C3C"/>
    <w:rsid w:val="00F32C3F"/>
    <w:rsid w:val="00F32F35"/>
    <w:rsid w:val="00F41B13"/>
    <w:rsid w:val="00F532FB"/>
    <w:rsid w:val="00F81B23"/>
    <w:rsid w:val="00F93CBE"/>
    <w:rsid w:val="00FB7831"/>
    <w:rsid w:val="00FC1016"/>
    <w:rsid w:val="00FC10F2"/>
    <w:rsid w:val="00FC4832"/>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59"/>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7B509C"/>
    <w:pPr>
      <w:keepNext/>
      <w:keepLines/>
      <w:spacing w:before="120" w:after="12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7B509C"/>
    <w:pPr>
      <w:keepNext/>
      <w:keepLines/>
      <w:spacing w:before="24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lang w:val="en-GB"/>
    </w:r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BodyCopyBodycopy"/>
    <w:uiPriority w:val="99"/>
    <w:rsid w:val="006368F9"/>
    <w:pPr>
      <w:widowControl/>
      <w:ind w:left="1020" w:hanging="340"/>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BodyCopyBodycopy"/>
    <w:uiPriority w:val="99"/>
    <w:rsid w:val="008071AB"/>
    <w:pPr>
      <w:widowControl/>
      <w:numPr>
        <w:numId w:val="2"/>
      </w:numPr>
      <w:spacing w:before="0" w:after="120"/>
    </w:pPr>
    <w:rPr>
      <w:rFonts w:ascii="Arial" w:hAnsi="Arial" w:cs="Arial"/>
      <w:sz w:val="22"/>
      <w:szCs w:val="22"/>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paragraph" w:customStyle="1" w:styleId="Bullet2Lists">
    <w:name w:val="Bullet 2 (Lists)"/>
    <w:basedOn w:val="BodyCopyBodycopy"/>
    <w:uiPriority w:val="99"/>
    <w:rsid w:val="00033D9B"/>
    <w:pPr>
      <w:widowControl/>
      <w:spacing w:after="57"/>
      <w:ind w:left="340" w:hanging="170"/>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BodyCopyBodycopy"/>
    <w:uiPriority w:val="99"/>
    <w:rsid w:val="00033D9B"/>
    <w:pPr>
      <w:widowControl/>
      <w:spacing w:after="57" w:line="200" w:lineRule="atLeast"/>
      <w:ind w:left="680" w:hanging="680"/>
    </w:pPr>
    <w:rPr>
      <w:sz w:val="16"/>
      <w:szCs w:val="16"/>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BodyCopyBodycopy"/>
    <w:uiPriority w:val="99"/>
    <w:rsid w:val="001B2A51"/>
    <w:pPr>
      <w:widowControl/>
      <w:spacing w:before="113"/>
    </w:pPr>
    <w:rPr>
      <w:rFonts w:ascii="VIC SemiBold" w:hAnsi="VIC SemiBold" w:cs="VIC SemiBold"/>
      <w:b/>
      <w:bCs/>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45"/>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7B509C"/>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7B509C"/>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56B9D"/>
    <w:pPr>
      <w:spacing w:before="60" w:after="6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paragraph" w:customStyle="1" w:styleId="Bullet1Lists">
    <w:name w:val="Bullet 1 (Lists)"/>
    <w:basedOn w:val="BodyCopyBodycopy"/>
    <w:uiPriority w:val="99"/>
    <w:rsid w:val="005B593D"/>
    <w:pPr>
      <w:widowControl/>
      <w:spacing w:before="0" w:after="57"/>
      <w:ind w:left="170" w:hanging="170"/>
    </w:pPr>
  </w:style>
  <w:style w:type="paragraph" w:customStyle="1" w:styleId="Bullet2">
    <w:name w:val="Bullet 2"/>
    <w:basedOn w:val="Bullet1"/>
    <w:qFormat/>
    <w:rsid w:val="0068129E"/>
    <w:pPr>
      <w:numPr>
        <w:numId w:val="6"/>
      </w:numPr>
      <w:ind w:left="680" w:hanging="340"/>
    </w:pPr>
  </w:style>
  <w:style w:type="paragraph" w:customStyle="1" w:styleId="Listparagrapha">
    <w:name w:val="List paragraph (a.)"/>
    <w:basedOn w:val="BodyText"/>
    <w:qFormat/>
    <w:rsid w:val="00C20D01"/>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1500AB"/>
    <w:pPr>
      <w:spacing w:before="120" w:after="120"/>
    </w:pPr>
    <w:rPr>
      <w:rFonts w:cs="Arial (Body)"/>
      <w:bCs/>
      <w:szCs w:val="20"/>
    </w:rPr>
  </w:style>
  <w:style w:type="paragraph" w:styleId="TOC2">
    <w:name w:val="toc 2"/>
    <w:basedOn w:val="Normal"/>
    <w:next w:val="Normal"/>
    <w:uiPriority w:val="39"/>
    <w:unhideWhenUsed/>
    <w:rsid w:val="004A0E5A"/>
    <w:pPr>
      <w:spacing w:after="0"/>
      <w:ind w:left="240"/>
    </w:pPr>
    <w:rPr>
      <w:rFonts w:cstheme="minorHAnsi"/>
      <w:smallCaps/>
      <w:sz w:val="20"/>
      <w:szCs w:val="20"/>
    </w:rPr>
  </w:style>
  <w:style w:type="paragraph" w:styleId="TOC3">
    <w:name w:val="toc 3"/>
    <w:basedOn w:val="Normal"/>
    <w:next w:val="Normal"/>
    <w:uiPriority w:val="39"/>
    <w:unhideWhenUsed/>
    <w:rsid w:val="004A0E5A"/>
    <w:pPr>
      <w:spacing w:after="0"/>
      <w:ind w:left="480"/>
    </w:pPr>
    <w:rPr>
      <w:rFonts w:cstheme="minorHAnsi"/>
      <w:i/>
      <w:iCs/>
      <w:sz w:val="20"/>
      <w:szCs w:val="20"/>
    </w:rPr>
  </w:style>
  <w:style w:type="paragraph" w:styleId="BodyText">
    <w:name w:val="Body Text"/>
    <w:basedOn w:val="Normal"/>
    <w:link w:val="BodyTextChar"/>
    <w:uiPriority w:val="99"/>
    <w:unhideWhenUsed/>
    <w:rsid w:val="00320E94"/>
    <w:pPr>
      <w:spacing w:after="120" w:line="288" w:lineRule="auto"/>
    </w:pPr>
    <w:rPr>
      <w:rFonts w:cs="Times New Roman (Body CS)"/>
      <w:kern w:val="24"/>
    </w:rPr>
  </w:style>
  <w:style w:type="character" w:customStyle="1" w:styleId="BodyTextChar">
    <w:name w:val="Body Text Char"/>
    <w:basedOn w:val="DefaultParagraphFont"/>
    <w:link w:val="BodyText"/>
    <w:uiPriority w:val="99"/>
    <w:rsid w:val="00320E94"/>
    <w:rPr>
      <w:rFonts w:cs="Times New Roman (Body CS)"/>
      <w:kern w:val="24"/>
      <w:sz w:val="24"/>
    </w:rPr>
  </w:style>
  <w:style w:type="paragraph" w:styleId="ListBullet">
    <w:name w:val="List Bullet"/>
    <w:basedOn w:val="BodyText"/>
    <w:uiPriority w:val="99"/>
    <w:unhideWhenUsed/>
    <w:rsid w:val="00404F0E"/>
    <w:pPr>
      <w:numPr>
        <w:numId w:val="12"/>
      </w:numPr>
      <w:ind w:left="357" w:hanging="357"/>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pPr>
      <w:spacing w:before="120"/>
    </w:pPr>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A10D57"/>
    <w:pPr>
      <w:numPr>
        <w:numId w:val="15"/>
      </w:numPr>
      <w:spacing w:line="264" w:lineRule="auto"/>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0C4B11"/>
    <w:pPr>
      <w:spacing w:after="0"/>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17"/>
      </w:numPr>
      <w:ind w:left="357" w:hanging="357"/>
    </w:pPr>
  </w:style>
  <w:style w:type="paragraph" w:customStyle="1" w:styleId="BodyCopy">
    <w:name w:val="BodyCopy"/>
    <w:basedOn w:val="NoParagraphStyle"/>
    <w:uiPriority w:val="99"/>
    <w:rsid w:val="00E00C8A"/>
    <w:pPr>
      <w:widowControl/>
      <w:suppressAutoHyphens/>
      <w:spacing w:after="113" w:line="260" w:lineRule="atLeast"/>
    </w:pPr>
    <w:rPr>
      <w:rFonts w:ascii="VIC Light" w:hAnsi="VIC Light" w:cs="VIC Light"/>
      <w:sz w:val="19"/>
      <w:szCs w:val="19"/>
      <w:lang w:val="en-GB"/>
    </w:rPr>
  </w:style>
  <w:style w:type="paragraph" w:customStyle="1" w:styleId="BODY">
    <w:name w:val="BODY"/>
    <w:basedOn w:val="NoParagraphStyle"/>
    <w:uiPriority w:val="99"/>
    <w:rsid w:val="00281939"/>
    <w:pPr>
      <w:widowControl/>
      <w:suppressAutoHyphens/>
      <w:spacing w:after="85" w:line="220" w:lineRule="atLeast"/>
    </w:pPr>
    <w:rPr>
      <w:rFonts w:ascii="VIC Light" w:hAnsi="VIC Light" w:cs="VIC Light"/>
      <w:sz w:val="18"/>
      <w:szCs w:val="18"/>
      <w:lang w:val="en-GB"/>
    </w:r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18"/>
      <w:szCs w:val="18"/>
    </w:rPr>
  </w:style>
  <w:style w:type="paragraph" w:styleId="TOC5">
    <w:name w:val="toc 5"/>
    <w:basedOn w:val="Normal"/>
    <w:next w:val="Normal"/>
    <w:autoRedefine/>
    <w:uiPriority w:val="39"/>
    <w:unhideWhenUsed/>
    <w:rsid w:val="005E3F95"/>
    <w:pPr>
      <w:spacing w:after="0"/>
      <w:ind w:left="960"/>
    </w:pPr>
    <w:rPr>
      <w:rFonts w:cstheme="minorHAnsi"/>
      <w:sz w:val="18"/>
      <w:szCs w:val="18"/>
    </w:rPr>
  </w:style>
  <w:style w:type="paragraph" w:styleId="TOC6">
    <w:name w:val="toc 6"/>
    <w:basedOn w:val="Normal"/>
    <w:next w:val="Normal"/>
    <w:autoRedefine/>
    <w:uiPriority w:val="39"/>
    <w:unhideWhenUsed/>
    <w:rsid w:val="005E3F95"/>
    <w:pPr>
      <w:spacing w:after="0"/>
      <w:ind w:left="1200"/>
    </w:pPr>
    <w:rPr>
      <w:rFonts w:cstheme="minorHAnsi"/>
      <w:sz w:val="18"/>
      <w:szCs w:val="18"/>
    </w:rPr>
  </w:style>
  <w:style w:type="paragraph" w:styleId="TOC7">
    <w:name w:val="toc 7"/>
    <w:basedOn w:val="Normal"/>
    <w:next w:val="Normal"/>
    <w:autoRedefine/>
    <w:uiPriority w:val="39"/>
    <w:unhideWhenUsed/>
    <w:rsid w:val="005E3F95"/>
    <w:pPr>
      <w:spacing w:after="0"/>
      <w:ind w:left="1440"/>
    </w:pPr>
    <w:rPr>
      <w:rFonts w:cstheme="minorHAnsi"/>
      <w:sz w:val="18"/>
      <w:szCs w:val="18"/>
    </w:rPr>
  </w:style>
  <w:style w:type="paragraph" w:styleId="TOC8">
    <w:name w:val="toc 8"/>
    <w:basedOn w:val="Normal"/>
    <w:next w:val="Normal"/>
    <w:autoRedefine/>
    <w:uiPriority w:val="39"/>
    <w:unhideWhenUsed/>
    <w:rsid w:val="005E3F95"/>
    <w:pPr>
      <w:spacing w:after="0"/>
      <w:ind w:left="1680"/>
    </w:pPr>
    <w:rPr>
      <w:rFonts w:cstheme="minorHAnsi"/>
      <w:sz w:val="18"/>
      <w:szCs w:val="18"/>
    </w:rPr>
  </w:style>
  <w:style w:type="paragraph" w:styleId="TOC9">
    <w:name w:val="toc 9"/>
    <w:basedOn w:val="Normal"/>
    <w:next w:val="Normal"/>
    <w:autoRedefine/>
    <w:uiPriority w:val="39"/>
    <w:unhideWhenUsed/>
    <w:rsid w:val="005E3F95"/>
    <w:pPr>
      <w:spacing w:after="0"/>
      <w:ind w:left="1920"/>
    </w:pPr>
    <w:rPr>
      <w:rFonts w:cstheme="minorHAnsi"/>
      <w:sz w:val="18"/>
      <w:szCs w:val="18"/>
    </w:rPr>
  </w:style>
  <w:style w:type="paragraph" w:styleId="TOAHeading">
    <w:name w:val="toa heading"/>
    <w:basedOn w:val="Normal"/>
    <w:next w:val="Normal"/>
    <w:uiPriority w:val="99"/>
    <w:unhideWhenUsed/>
    <w:rsid w:val="001500AB"/>
    <w:pPr>
      <w:spacing w:before="12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zdrzalka@deeca.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c.gov.au/forest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Kathryn A Parker (DEECA)</cp:lastModifiedBy>
  <cp:revision>3</cp:revision>
  <dcterms:created xsi:type="dcterms:W3CDTF">2024-06-06T22:43:00Z</dcterms:created>
  <dcterms:modified xsi:type="dcterms:W3CDTF">2024-06-06T22:44:00Z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