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C91C02" w14:textId="4B6BBFB2" w:rsidR="0064627E" w:rsidRDefault="0064627E" w:rsidP="00F51716"/>
    <w:p w14:paraId="61873352" w14:textId="1B0E60CA" w:rsidR="0064627E" w:rsidRDefault="0064627E" w:rsidP="00F51716"/>
    <w:p w14:paraId="23180831" w14:textId="77777777" w:rsidR="0064627E" w:rsidRDefault="0064627E" w:rsidP="00F51716"/>
    <w:p w14:paraId="3173DDB0" w14:textId="44B4FC64" w:rsidR="0064627E" w:rsidRDefault="0064627E" w:rsidP="00F51716"/>
    <w:p w14:paraId="08AF0440" w14:textId="77777777" w:rsidR="0064627E" w:rsidRDefault="0064627E" w:rsidP="00F51716"/>
    <w:p w14:paraId="435F8578" w14:textId="7965BCEC" w:rsidR="0064627E" w:rsidRDefault="0064627E" w:rsidP="00F51716"/>
    <w:p w14:paraId="58B25F7E" w14:textId="0809F587" w:rsidR="0064627E" w:rsidRDefault="0064627E" w:rsidP="00F51716"/>
    <w:p w14:paraId="5F88EB1F" w14:textId="77777777" w:rsidR="0064627E" w:rsidRDefault="0064627E" w:rsidP="00F51716"/>
    <w:p w14:paraId="78000933" w14:textId="5C3340A4" w:rsidR="0064627E" w:rsidRDefault="0064627E" w:rsidP="00F51716"/>
    <w:p w14:paraId="1E2C94CA" w14:textId="580CB137" w:rsidR="0064627E" w:rsidRPr="00BA1111" w:rsidRDefault="0064627E" w:rsidP="00F51716">
      <w:pPr>
        <w:pStyle w:val="CoverHeading"/>
        <w:rPr>
          <w:rStyle w:val="BookTitle"/>
          <w:b/>
          <w:bCs w:val="0"/>
          <w:smallCaps w:val="0"/>
        </w:rPr>
      </w:pPr>
      <w:r w:rsidRPr="00BA1111">
        <w:rPr>
          <w:rStyle w:val="BookTitle"/>
          <w:b/>
          <w:bCs w:val="0"/>
          <w:smallCaps w:val="0"/>
        </w:rPr>
        <w:t>Sustainability Victoria Annual Report</w:t>
      </w:r>
      <w:r w:rsidR="0045665B" w:rsidRPr="00BA1111">
        <w:rPr>
          <w:rStyle w:val="BookTitle"/>
          <w:b/>
          <w:bCs w:val="0"/>
          <w:smallCaps w:val="0"/>
        </w:rPr>
        <w:t xml:space="preserve"> </w:t>
      </w:r>
      <w:r w:rsidR="005D5DBE" w:rsidRPr="00BA1111">
        <w:rPr>
          <w:rStyle w:val="BookTitle"/>
          <w:b/>
          <w:bCs w:val="0"/>
          <w:smallCaps w:val="0"/>
        </w:rPr>
        <w:t>2019–20</w:t>
      </w:r>
    </w:p>
    <w:p w14:paraId="50C14F2C" w14:textId="77777777" w:rsidR="00FB2384" w:rsidRDefault="00FB2384" w:rsidP="00F51716">
      <w:pPr>
        <w:rPr>
          <w:rFonts w:asciiTheme="majorHAnsi" w:eastAsiaTheme="majorEastAsia" w:hAnsiTheme="majorHAnsi" w:cstheme="majorBidi"/>
          <w:color w:val="82C341" w:themeColor="accent1"/>
          <w:sz w:val="36"/>
          <w:szCs w:val="40"/>
        </w:rPr>
      </w:pPr>
      <w:r>
        <w:br w:type="page"/>
      </w:r>
    </w:p>
    <w:p w14:paraId="77DBBA36" w14:textId="77777777" w:rsidR="003072B8" w:rsidRDefault="003072B8" w:rsidP="00F51716"/>
    <w:p w14:paraId="1AC8D0FF" w14:textId="77777777" w:rsidR="003072B8" w:rsidRDefault="003072B8" w:rsidP="00F51716"/>
    <w:p w14:paraId="73B78254" w14:textId="77777777" w:rsidR="003072B8" w:rsidRDefault="003072B8" w:rsidP="00F51716"/>
    <w:p w14:paraId="28D1BF4F" w14:textId="77777777" w:rsidR="003072B8" w:rsidRDefault="003072B8" w:rsidP="00F51716"/>
    <w:p w14:paraId="32BE086D" w14:textId="77777777" w:rsidR="00A45012" w:rsidRDefault="00A45012" w:rsidP="00F51716"/>
    <w:p w14:paraId="42B63631" w14:textId="77777777" w:rsidR="00A45012" w:rsidRDefault="00A45012" w:rsidP="00F51716"/>
    <w:p w14:paraId="148CCAF3" w14:textId="77777777" w:rsidR="00A45012" w:rsidRDefault="00A45012" w:rsidP="00F51716"/>
    <w:p w14:paraId="0CD8DDC4" w14:textId="53D103D4" w:rsidR="003072B8" w:rsidRPr="003072B8" w:rsidRDefault="003072B8" w:rsidP="00F51716">
      <w:r w:rsidRPr="003072B8">
        <w:t xml:space="preserve">Published </w:t>
      </w:r>
      <w:r w:rsidRPr="00E94CF8">
        <w:t>December 2020</w:t>
      </w:r>
      <w:r w:rsidRPr="003072B8">
        <w:t xml:space="preserve"> by Sustainability Victoria </w:t>
      </w:r>
    </w:p>
    <w:p w14:paraId="76C06DE2" w14:textId="77777777" w:rsidR="003072B8" w:rsidRPr="003072B8" w:rsidRDefault="003072B8" w:rsidP="00F51716">
      <w:r w:rsidRPr="003072B8">
        <w:t xml:space="preserve">ABN 62 019 854 067 </w:t>
      </w:r>
    </w:p>
    <w:p w14:paraId="4F447475" w14:textId="77777777" w:rsidR="003072B8" w:rsidRPr="003072B8" w:rsidRDefault="003072B8" w:rsidP="00F51716">
      <w:r w:rsidRPr="003072B8">
        <w:t xml:space="preserve">Level 28, Urban Workshop 50 Lonsdale Street, Melbourne Victoria 3000 Australia </w:t>
      </w:r>
    </w:p>
    <w:p w14:paraId="10348200" w14:textId="77777777" w:rsidR="003072B8" w:rsidRPr="003072B8" w:rsidRDefault="003072B8" w:rsidP="00F51716">
      <w:r w:rsidRPr="003072B8">
        <w:t xml:space="preserve">ISSN: 1836-3563 </w:t>
      </w:r>
    </w:p>
    <w:p w14:paraId="496BF724" w14:textId="3435A1A4" w:rsidR="003072B8" w:rsidRPr="003072B8" w:rsidRDefault="003072B8" w:rsidP="00F51716">
      <w:r w:rsidRPr="003072B8">
        <w:t xml:space="preserve">Also available on </w:t>
      </w:r>
      <w:hyperlink r:id="rId11" w:history="1">
        <w:r w:rsidR="00AB7A8A" w:rsidRPr="00AB7A8A">
          <w:rPr>
            <w:rStyle w:val="Hyperlink"/>
            <w:rFonts w:cstheme="minorBidi"/>
          </w:rPr>
          <w:t xml:space="preserve">sustainability.vic.gov.au </w:t>
        </w:r>
      </w:hyperlink>
    </w:p>
    <w:p w14:paraId="4DF5024F" w14:textId="2438E5D0" w:rsidR="003072B8" w:rsidRPr="003072B8" w:rsidRDefault="003072B8" w:rsidP="00F51716">
      <w:r w:rsidRPr="003072B8">
        <w:t>Sustainability Victoria Annual Report 20</w:t>
      </w:r>
      <w:r>
        <w:t>19–20</w:t>
      </w:r>
    </w:p>
    <w:p w14:paraId="4B666F8F" w14:textId="0FED99B5" w:rsidR="003072B8" w:rsidRPr="003072B8" w:rsidRDefault="003072B8" w:rsidP="00F51716">
      <w:r w:rsidRPr="003072B8">
        <w:t>© State of Victoria, Sustainability Victoria 20</w:t>
      </w:r>
      <w:r>
        <w:t>20</w:t>
      </w:r>
      <w:r w:rsidRPr="003072B8">
        <w:t xml:space="preserve"> </w:t>
      </w:r>
    </w:p>
    <w:p w14:paraId="33D29924" w14:textId="77777777" w:rsidR="003072B8" w:rsidRPr="003072B8" w:rsidRDefault="003072B8" w:rsidP="00F51716">
      <w:r w:rsidRPr="003072B8">
        <w:t xml:space="preserve">This publication is copyright. No part may be reproduced by any process except in accordance with the provisions of the </w:t>
      </w:r>
      <w:r w:rsidRPr="003072B8">
        <w:rPr>
          <w:i/>
          <w:iCs/>
        </w:rPr>
        <w:t>Copyright Act 1968</w:t>
      </w:r>
      <w:r w:rsidRPr="003072B8">
        <w:t xml:space="preserve">. </w:t>
      </w:r>
    </w:p>
    <w:p w14:paraId="3149CBE7" w14:textId="77777777" w:rsidR="003072B8" w:rsidRPr="003072B8" w:rsidRDefault="003072B8" w:rsidP="00F51716">
      <w:r w:rsidRPr="003072B8">
        <w:t xml:space="preserve">Authorised by Sustainability Victoria, Level 28, Urban Workshop, 50 Lonsdale Street, Melbourne Victoria 3000 Australia. </w:t>
      </w:r>
    </w:p>
    <w:p w14:paraId="77201DE1" w14:textId="77777777" w:rsidR="003072B8" w:rsidRPr="003072B8" w:rsidRDefault="003072B8" w:rsidP="00F51716">
      <w:r w:rsidRPr="003072B8">
        <w:t xml:space="preserve">While all reasonable efforts have been made to ensure the contents of this publication are factually correct, Sustainability Victoria does not guarantee its accuracy, completeness, currency or suitability for any particular purpose and to the extent permitted by law, does not accept any liability for loss or damages stemming from reliance placed upon it. This publication is provided on the basis that its readers undertake responsibility for assessing the relevance and accuracy of its content. </w:t>
      </w:r>
    </w:p>
    <w:p w14:paraId="26272D16" w14:textId="0FAB0FB0" w:rsidR="003072B8" w:rsidRPr="003072B8" w:rsidRDefault="003072B8" w:rsidP="00F51716">
      <w:r w:rsidRPr="003072B8">
        <w:t>Sustainability Victoria Annual Report 20</w:t>
      </w:r>
      <w:r>
        <w:t>19–20</w:t>
      </w:r>
      <w:r w:rsidRPr="003072B8">
        <w:t xml:space="preserve"> should be attributed to Sustainability Victoria. </w:t>
      </w:r>
    </w:p>
    <w:p w14:paraId="47F971A5" w14:textId="7E41C197" w:rsidR="003072B8" w:rsidRDefault="003072B8" w:rsidP="00F51716">
      <w:r w:rsidRPr="003072B8">
        <w:t>Sustainability Victoria Annual Report 201</w:t>
      </w:r>
      <w:r>
        <w:t>9–20</w:t>
      </w:r>
      <w:r w:rsidRPr="003072B8">
        <w:t xml:space="preserve"> is licensed under a Creative Commons Attribution 4.0 Australia licence. In essence, you are free to copy, distribute and adapt the work, but must attribute it and abide by the other licence terms. A copy of this licence is here: http://creativecommons.org/licenses/by/4.0/. </w:t>
      </w:r>
    </w:p>
    <w:p w14:paraId="3BACB48B" w14:textId="4661734C" w:rsidR="00CA6860" w:rsidRPr="003072B8" w:rsidRDefault="00CA6860" w:rsidP="00F51716">
      <w:r w:rsidRPr="00CA6860">
        <w:rPr>
          <w:highlight w:val="yellow"/>
        </w:rPr>
        <w:t>&lt;Insert cc logo&gt;</w:t>
      </w:r>
    </w:p>
    <w:p w14:paraId="5A0BB75E" w14:textId="478999D0" w:rsidR="003072B8" w:rsidRDefault="003072B8" w:rsidP="00F51716">
      <w:r w:rsidRPr="003072B8">
        <w:t>We value your feedback. Email feedback or questions to info@sustainability.vic.gov.au or speak to a customer services coordinator on +61 3 8626 8700.</w:t>
      </w:r>
    </w:p>
    <w:p w14:paraId="7FB28D83" w14:textId="77777777" w:rsidR="003072B8" w:rsidRDefault="003072B8" w:rsidP="00F51716">
      <w:pPr>
        <w:rPr>
          <w:rFonts w:asciiTheme="majorHAnsi" w:eastAsiaTheme="majorEastAsia" w:hAnsiTheme="majorHAnsi" w:cstheme="majorBidi"/>
          <w:color w:val="82C341" w:themeColor="accent1"/>
          <w:sz w:val="36"/>
          <w:szCs w:val="36"/>
        </w:rPr>
      </w:pPr>
      <w:r>
        <w:br w:type="page"/>
      </w:r>
    </w:p>
    <w:sdt>
      <w:sdtPr>
        <w:rPr>
          <w:rFonts w:asciiTheme="minorHAnsi" w:eastAsiaTheme="minorEastAsia" w:hAnsiTheme="minorHAnsi" w:cstheme="minorBidi"/>
          <w:b w:val="0"/>
          <w:color w:val="auto"/>
          <w:sz w:val="22"/>
          <w:szCs w:val="22"/>
        </w:rPr>
        <w:id w:val="859712276"/>
        <w:docPartObj>
          <w:docPartGallery w:val="Table of Contents"/>
          <w:docPartUnique/>
        </w:docPartObj>
      </w:sdtPr>
      <w:sdtEndPr>
        <w:rPr>
          <w:bCs/>
          <w:noProof/>
        </w:rPr>
      </w:sdtEndPr>
      <w:sdtContent>
        <w:p w14:paraId="02483B4F" w14:textId="0FF3DE2F" w:rsidR="00C24856" w:rsidRDefault="00C24856" w:rsidP="002D4B7F">
          <w:pPr>
            <w:pStyle w:val="TOCHeading"/>
          </w:pPr>
          <w:r>
            <w:t>Contents</w:t>
          </w:r>
        </w:p>
        <w:p w14:paraId="474373D4" w14:textId="415DCE80" w:rsidR="001E0606" w:rsidRDefault="00640C2A">
          <w:pPr>
            <w:pStyle w:val="TOC1"/>
            <w:rPr>
              <w:rFonts w:asciiTheme="minorHAnsi" w:hAnsiTheme="minorHAnsi"/>
              <w:b w:val="0"/>
              <w:lang w:eastAsia="en-AU"/>
            </w:rPr>
          </w:pPr>
          <w:r>
            <w:fldChar w:fldCharType="begin"/>
          </w:r>
          <w:r>
            <w:instrText xml:space="preserve"> TOC \o "1-2" \h \z \u </w:instrText>
          </w:r>
          <w:r>
            <w:fldChar w:fldCharType="separate"/>
          </w:r>
          <w:hyperlink w:anchor="_Toc59624183" w:history="1">
            <w:r w:rsidR="001E0606" w:rsidRPr="00C90FE3">
              <w:rPr>
                <w:rStyle w:val="Hyperlink"/>
              </w:rPr>
              <w:t>Declaration in report of operations</w:t>
            </w:r>
            <w:r w:rsidR="001E0606">
              <w:rPr>
                <w:webHidden/>
              </w:rPr>
              <w:tab/>
            </w:r>
            <w:r w:rsidR="001E0606">
              <w:rPr>
                <w:webHidden/>
              </w:rPr>
              <w:fldChar w:fldCharType="begin"/>
            </w:r>
            <w:r w:rsidR="001E0606">
              <w:rPr>
                <w:webHidden/>
              </w:rPr>
              <w:instrText xml:space="preserve"> PAGEREF _Toc59624183 \h </w:instrText>
            </w:r>
            <w:r w:rsidR="001E0606">
              <w:rPr>
                <w:webHidden/>
              </w:rPr>
            </w:r>
            <w:r w:rsidR="001E0606">
              <w:rPr>
                <w:webHidden/>
              </w:rPr>
              <w:fldChar w:fldCharType="separate"/>
            </w:r>
            <w:r w:rsidR="001E0606">
              <w:rPr>
                <w:webHidden/>
              </w:rPr>
              <w:t>1</w:t>
            </w:r>
            <w:r w:rsidR="001E0606">
              <w:rPr>
                <w:webHidden/>
              </w:rPr>
              <w:fldChar w:fldCharType="end"/>
            </w:r>
          </w:hyperlink>
        </w:p>
        <w:p w14:paraId="01BF6EA0" w14:textId="343052E3" w:rsidR="001E0606" w:rsidRDefault="004169A0">
          <w:pPr>
            <w:pStyle w:val="TOC2"/>
            <w:rPr>
              <w:rFonts w:asciiTheme="minorHAnsi" w:hAnsiTheme="minorHAnsi"/>
              <w:color w:val="auto"/>
              <w:lang w:eastAsia="en-AU"/>
            </w:rPr>
          </w:pPr>
          <w:hyperlink w:anchor="_Toc59624184" w:history="1">
            <w:r w:rsidR="001E0606" w:rsidRPr="00C90FE3">
              <w:rPr>
                <w:rStyle w:val="Hyperlink"/>
              </w:rPr>
              <w:t>Responsible Body Declaration</w:t>
            </w:r>
            <w:r w:rsidR="001E0606">
              <w:rPr>
                <w:webHidden/>
              </w:rPr>
              <w:tab/>
            </w:r>
            <w:r w:rsidR="001E0606">
              <w:rPr>
                <w:webHidden/>
              </w:rPr>
              <w:fldChar w:fldCharType="begin"/>
            </w:r>
            <w:r w:rsidR="001E0606">
              <w:rPr>
                <w:webHidden/>
              </w:rPr>
              <w:instrText xml:space="preserve"> PAGEREF _Toc59624184 \h </w:instrText>
            </w:r>
            <w:r w:rsidR="001E0606">
              <w:rPr>
                <w:webHidden/>
              </w:rPr>
            </w:r>
            <w:r w:rsidR="001E0606">
              <w:rPr>
                <w:webHidden/>
              </w:rPr>
              <w:fldChar w:fldCharType="separate"/>
            </w:r>
            <w:r w:rsidR="001E0606">
              <w:rPr>
                <w:webHidden/>
              </w:rPr>
              <w:t>1</w:t>
            </w:r>
            <w:r w:rsidR="001E0606">
              <w:rPr>
                <w:webHidden/>
              </w:rPr>
              <w:fldChar w:fldCharType="end"/>
            </w:r>
          </w:hyperlink>
        </w:p>
        <w:p w14:paraId="2803A51A" w14:textId="5994F67D" w:rsidR="001E0606" w:rsidRDefault="004169A0">
          <w:pPr>
            <w:pStyle w:val="TOC1"/>
            <w:rPr>
              <w:rFonts w:asciiTheme="minorHAnsi" w:hAnsiTheme="minorHAnsi"/>
              <w:b w:val="0"/>
              <w:lang w:eastAsia="en-AU"/>
            </w:rPr>
          </w:pPr>
          <w:hyperlink w:anchor="_Toc59624185" w:history="1">
            <w:r w:rsidR="001E0606" w:rsidRPr="00C90FE3">
              <w:rPr>
                <w:rStyle w:val="Hyperlink"/>
              </w:rPr>
              <w:t>About us</w:t>
            </w:r>
            <w:r w:rsidR="001E0606">
              <w:rPr>
                <w:webHidden/>
              </w:rPr>
              <w:tab/>
            </w:r>
            <w:r w:rsidR="001E0606">
              <w:rPr>
                <w:webHidden/>
              </w:rPr>
              <w:fldChar w:fldCharType="begin"/>
            </w:r>
            <w:r w:rsidR="001E0606">
              <w:rPr>
                <w:webHidden/>
              </w:rPr>
              <w:instrText xml:space="preserve"> PAGEREF _Toc59624185 \h </w:instrText>
            </w:r>
            <w:r w:rsidR="001E0606">
              <w:rPr>
                <w:webHidden/>
              </w:rPr>
            </w:r>
            <w:r w:rsidR="001E0606">
              <w:rPr>
                <w:webHidden/>
              </w:rPr>
              <w:fldChar w:fldCharType="separate"/>
            </w:r>
            <w:r w:rsidR="001E0606">
              <w:rPr>
                <w:webHidden/>
              </w:rPr>
              <w:t>2</w:t>
            </w:r>
            <w:r w:rsidR="001E0606">
              <w:rPr>
                <w:webHidden/>
              </w:rPr>
              <w:fldChar w:fldCharType="end"/>
            </w:r>
          </w:hyperlink>
        </w:p>
        <w:p w14:paraId="2EE19A09" w14:textId="1547C26C" w:rsidR="001E0606" w:rsidRDefault="004169A0">
          <w:pPr>
            <w:pStyle w:val="TOC2"/>
            <w:rPr>
              <w:rFonts w:asciiTheme="minorHAnsi" w:hAnsiTheme="minorHAnsi"/>
              <w:color w:val="auto"/>
              <w:lang w:eastAsia="en-AU"/>
            </w:rPr>
          </w:pPr>
          <w:hyperlink w:anchor="_Toc59624186" w:history="1">
            <w:r w:rsidR="001E0606" w:rsidRPr="00C90FE3">
              <w:rPr>
                <w:rStyle w:val="Hyperlink"/>
              </w:rPr>
              <w:t>Our vision</w:t>
            </w:r>
            <w:r w:rsidR="001E0606">
              <w:rPr>
                <w:webHidden/>
              </w:rPr>
              <w:tab/>
            </w:r>
            <w:r w:rsidR="001E0606">
              <w:rPr>
                <w:webHidden/>
              </w:rPr>
              <w:fldChar w:fldCharType="begin"/>
            </w:r>
            <w:r w:rsidR="001E0606">
              <w:rPr>
                <w:webHidden/>
              </w:rPr>
              <w:instrText xml:space="preserve"> PAGEREF _Toc59624186 \h </w:instrText>
            </w:r>
            <w:r w:rsidR="001E0606">
              <w:rPr>
                <w:webHidden/>
              </w:rPr>
            </w:r>
            <w:r w:rsidR="001E0606">
              <w:rPr>
                <w:webHidden/>
              </w:rPr>
              <w:fldChar w:fldCharType="separate"/>
            </w:r>
            <w:r w:rsidR="001E0606">
              <w:rPr>
                <w:webHidden/>
              </w:rPr>
              <w:t>2</w:t>
            </w:r>
            <w:r w:rsidR="001E0606">
              <w:rPr>
                <w:webHidden/>
              </w:rPr>
              <w:fldChar w:fldCharType="end"/>
            </w:r>
          </w:hyperlink>
        </w:p>
        <w:p w14:paraId="1FDF0F9B" w14:textId="1D01ED3F" w:rsidR="001E0606" w:rsidRDefault="004169A0">
          <w:pPr>
            <w:pStyle w:val="TOC2"/>
            <w:rPr>
              <w:rFonts w:asciiTheme="minorHAnsi" w:hAnsiTheme="minorHAnsi"/>
              <w:color w:val="auto"/>
              <w:lang w:eastAsia="en-AU"/>
            </w:rPr>
          </w:pPr>
          <w:hyperlink w:anchor="_Toc59624187" w:history="1">
            <w:r w:rsidR="001E0606" w:rsidRPr="00C90FE3">
              <w:rPr>
                <w:rStyle w:val="Hyperlink"/>
              </w:rPr>
              <w:t>Our purpose</w:t>
            </w:r>
            <w:r w:rsidR="001E0606">
              <w:rPr>
                <w:webHidden/>
              </w:rPr>
              <w:tab/>
            </w:r>
            <w:r w:rsidR="001E0606">
              <w:rPr>
                <w:webHidden/>
              </w:rPr>
              <w:fldChar w:fldCharType="begin"/>
            </w:r>
            <w:r w:rsidR="001E0606">
              <w:rPr>
                <w:webHidden/>
              </w:rPr>
              <w:instrText xml:space="preserve"> PAGEREF _Toc59624187 \h </w:instrText>
            </w:r>
            <w:r w:rsidR="001E0606">
              <w:rPr>
                <w:webHidden/>
              </w:rPr>
            </w:r>
            <w:r w:rsidR="001E0606">
              <w:rPr>
                <w:webHidden/>
              </w:rPr>
              <w:fldChar w:fldCharType="separate"/>
            </w:r>
            <w:r w:rsidR="001E0606">
              <w:rPr>
                <w:webHidden/>
              </w:rPr>
              <w:t>2</w:t>
            </w:r>
            <w:r w:rsidR="001E0606">
              <w:rPr>
                <w:webHidden/>
              </w:rPr>
              <w:fldChar w:fldCharType="end"/>
            </w:r>
          </w:hyperlink>
        </w:p>
        <w:p w14:paraId="4B6679F6" w14:textId="11DE191C" w:rsidR="001E0606" w:rsidRDefault="004169A0">
          <w:pPr>
            <w:pStyle w:val="TOC2"/>
            <w:rPr>
              <w:rFonts w:asciiTheme="minorHAnsi" w:hAnsiTheme="minorHAnsi"/>
              <w:color w:val="auto"/>
              <w:lang w:eastAsia="en-AU"/>
            </w:rPr>
          </w:pPr>
          <w:hyperlink w:anchor="_Toc59624188" w:history="1">
            <w:r w:rsidR="001E0606" w:rsidRPr="00C90FE3">
              <w:rPr>
                <w:rStyle w:val="Hyperlink"/>
              </w:rPr>
              <w:t>Our strategic focus</w:t>
            </w:r>
            <w:r w:rsidR="001E0606">
              <w:rPr>
                <w:webHidden/>
              </w:rPr>
              <w:tab/>
            </w:r>
            <w:r w:rsidR="001E0606">
              <w:rPr>
                <w:webHidden/>
              </w:rPr>
              <w:fldChar w:fldCharType="begin"/>
            </w:r>
            <w:r w:rsidR="001E0606">
              <w:rPr>
                <w:webHidden/>
              </w:rPr>
              <w:instrText xml:space="preserve"> PAGEREF _Toc59624188 \h </w:instrText>
            </w:r>
            <w:r w:rsidR="001E0606">
              <w:rPr>
                <w:webHidden/>
              </w:rPr>
            </w:r>
            <w:r w:rsidR="001E0606">
              <w:rPr>
                <w:webHidden/>
              </w:rPr>
              <w:fldChar w:fldCharType="separate"/>
            </w:r>
            <w:r w:rsidR="001E0606">
              <w:rPr>
                <w:webHidden/>
              </w:rPr>
              <w:t>3</w:t>
            </w:r>
            <w:r w:rsidR="001E0606">
              <w:rPr>
                <w:webHidden/>
              </w:rPr>
              <w:fldChar w:fldCharType="end"/>
            </w:r>
          </w:hyperlink>
        </w:p>
        <w:p w14:paraId="3561A53D" w14:textId="6F156934" w:rsidR="001E0606" w:rsidRDefault="004169A0">
          <w:pPr>
            <w:pStyle w:val="TOC1"/>
            <w:rPr>
              <w:rFonts w:asciiTheme="minorHAnsi" w:hAnsiTheme="minorHAnsi"/>
              <w:b w:val="0"/>
              <w:lang w:eastAsia="en-AU"/>
            </w:rPr>
          </w:pPr>
          <w:hyperlink w:anchor="_Toc59624189" w:history="1">
            <w:r w:rsidR="001E0606" w:rsidRPr="00C90FE3">
              <w:rPr>
                <w:rStyle w:val="Hyperlink"/>
              </w:rPr>
              <w:t>Message from the Chair and CEO</w:t>
            </w:r>
            <w:r w:rsidR="001E0606">
              <w:rPr>
                <w:webHidden/>
              </w:rPr>
              <w:tab/>
            </w:r>
            <w:r w:rsidR="001E0606">
              <w:rPr>
                <w:webHidden/>
              </w:rPr>
              <w:fldChar w:fldCharType="begin"/>
            </w:r>
            <w:r w:rsidR="001E0606">
              <w:rPr>
                <w:webHidden/>
              </w:rPr>
              <w:instrText xml:space="preserve"> PAGEREF _Toc59624189 \h </w:instrText>
            </w:r>
            <w:r w:rsidR="001E0606">
              <w:rPr>
                <w:webHidden/>
              </w:rPr>
            </w:r>
            <w:r w:rsidR="001E0606">
              <w:rPr>
                <w:webHidden/>
              </w:rPr>
              <w:fldChar w:fldCharType="separate"/>
            </w:r>
            <w:r w:rsidR="001E0606">
              <w:rPr>
                <w:webHidden/>
              </w:rPr>
              <w:t>4</w:t>
            </w:r>
            <w:r w:rsidR="001E0606">
              <w:rPr>
                <w:webHidden/>
              </w:rPr>
              <w:fldChar w:fldCharType="end"/>
            </w:r>
          </w:hyperlink>
        </w:p>
        <w:p w14:paraId="7E0CEAF3" w14:textId="1A4982D6" w:rsidR="001E0606" w:rsidRDefault="004169A0">
          <w:pPr>
            <w:pStyle w:val="TOC1"/>
            <w:rPr>
              <w:rFonts w:asciiTheme="minorHAnsi" w:hAnsiTheme="minorHAnsi"/>
              <w:b w:val="0"/>
              <w:lang w:eastAsia="en-AU"/>
            </w:rPr>
          </w:pPr>
          <w:hyperlink w:anchor="_Toc59624190" w:history="1">
            <w:r w:rsidR="001E0606" w:rsidRPr="00C90FE3">
              <w:rPr>
                <w:rStyle w:val="Hyperlink"/>
              </w:rPr>
              <w:t>Purpose and functions</w:t>
            </w:r>
            <w:r w:rsidR="001E0606">
              <w:rPr>
                <w:webHidden/>
              </w:rPr>
              <w:tab/>
            </w:r>
            <w:r w:rsidR="001E0606">
              <w:rPr>
                <w:webHidden/>
              </w:rPr>
              <w:fldChar w:fldCharType="begin"/>
            </w:r>
            <w:r w:rsidR="001E0606">
              <w:rPr>
                <w:webHidden/>
              </w:rPr>
              <w:instrText xml:space="preserve"> PAGEREF _Toc59624190 \h </w:instrText>
            </w:r>
            <w:r w:rsidR="001E0606">
              <w:rPr>
                <w:webHidden/>
              </w:rPr>
            </w:r>
            <w:r w:rsidR="001E0606">
              <w:rPr>
                <w:webHidden/>
              </w:rPr>
              <w:fldChar w:fldCharType="separate"/>
            </w:r>
            <w:r w:rsidR="001E0606">
              <w:rPr>
                <w:webHidden/>
              </w:rPr>
              <w:t>6</w:t>
            </w:r>
            <w:r w:rsidR="001E0606">
              <w:rPr>
                <w:webHidden/>
              </w:rPr>
              <w:fldChar w:fldCharType="end"/>
            </w:r>
          </w:hyperlink>
        </w:p>
        <w:p w14:paraId="509E6BA8" w14:textId="5A7FE3A2" w:rsidR="001E0606" w:rsidRDefault="004169A0">
          <w:pPr>
            <w:pStyle w:val="TOC1"/>
            <w:rPr>
              <w:rFonts w:asciiTheme="minorHAnsi" w:hAnsiTheme="minorHAnsi"/>
              <w:b w:val="0"/>
              <w:lang w:eastAsia="en-AU"/>
            </w:rPr>
          </w:pPr>
          <w:hyperlink w:anchor="_Toc59624191" w:history="1">
            <w:r w:rsidR="001E0606" w:rsidRPr="00C90FE3">
              <w:rPr>
                <w:rStyle w:val="Hyperlink"/>
              </w:rPr>
              <w:t>Performance summary (non-financial)</w:t>
            </w:r>
            <w:r w:rsidR="001E0606">
              <w:rPr>
                <w:webHidden/>
              </w:rPr>
              <w:tab/>
            </w:r>
            <w:r w:rsidR="001E0606">
              <w:rPr>
                <w:webHidden/>
              </w:rPr>
              <w:fldChar w:fldCharType="begin"/>
            </w:r>
            <w:r w:rsidR="001E0606">
              <w:rPr>
                <w:webHidden/>
              </w:rPr>
              <w:instrText xml:space="preserve"> PAGEREF _Toc59624191 \h </w:instrText>
            </w:r>
            <w:r w:rsidR="001E0606">
              <w:rPr>
                <w:webHidden/>
              </w:rPr>
            </w:r>
            <w:r w:rsidR="001E0606">
              <w:rPr>
                <w:webHidden/>
              </w:rPr>
              <w:fldChar w:fldCharType="separate"/>
            </w:r>
            <w:r w:rsidR="001E0606">
              <w:rPr>
                <w:webHidden/>
              </w:rPr>
              <w:t>7</w:t>
            </w:r>
            <w:r w:rsidR="001E0606">
              <w:rPr>
                <w:webHidden/>
              </w:rPr>
              <w:fldChar w:fldCharType="end"/>
            </w:r>
          </w:hyperlink>
        </w:p>
        <w:p w14:paraId="6894DDC7" w14:textId="4A922191" w:rsidR="001E0606" w:rsidRDefault="004169A0">
          <w:pPr>
            <w:pStyle w:val="TOC2"/>
            <w:rPr>
              <w:rFonts w:asciiTheme="minorHAnsi" w:hAnsiTheme="minorHAnsi"/>
              <w:color w:val="auto"/>
              <w:lang w:eastAsia="en-AU"/>
            </w:rPr>
          </w:pPr>
          <w:hyperlink w:anchor="_Toc59624192" w:history="1">
            <w:r w:rsidR="001E0606" w:rsidRPr="00C90FE3">
              <w:rPr>
                <w:rStyle w:val="Hyperlink"/>
              </w:rPr>
              <w:t>Operating under COVID-19</w:t>
            </w:r>
            <w:r w:rsidR="001E0606">
              <w:rPr>
                <w:webHidden/>
              </w:rPr>
              <w:tab/>
            </w:r>
            <w:r w:rsidR="001E0606">
              <w:rPr>
                <w:webHidden/>
              </w:rPr>
              <w:fldChar w:fldCharType="begin"/>
            </w:r>
            <w:r w:rsidR="001E0606">
              <w:rPr>
                <w:webHidden/>
              </w:rPr>
              <w:instrText xml:space="preserve"> PAGEREF _Toc59624192 \h </w:instrText>
            </w:r>
            <w:r w:rsidR="001E0606">
              <w:rPr>
                <w:webHidden/>
              </w:rPr>
            </w:r>
            <w:r w:rsidR="001E0606">
              <w:rPr>
                <w:webHidden/>
              </w:rPr>
              <w:fldChar w:fldCharType="separate"/>
            </w:r>
            <w:r w:rsidR="001E0606">
              <w:rPr>
                <w:webHidden/>
              </w:rPr>
              <w:t>7</w:t>
            </w:r>
            <w:r w:rsidR="001E0606">
              <w:rPr>
                <w:webHidden/>
              </w:rPr>
              <w:fldChar w:fldCharType="end"/>
            </w:r>
          </w:hyperlink>
        </w:p>
        <w:p w14:paraId="320CFBA7" w14:textId="6B1CD1C3" w:rsidR="001E0606" w:rsidRDefault="004169A0">
          <w:pPr>
            <w:pStyle w:val="TOC2"/>
            <w:rPr>
              <w:rFonts w:asciiTheme="minorHAnsi" w:hAnsiTheme="minorHAnsi"/>
              <w:color w:val="auto"/>
              <w:lang w:eastAsia="en-AU"/>
            </w:rPr>
          </w:pPr>
          <w:hyperlink w:anchor="_Toc59624193" w:history="1">
            <w:r w:rsidR="001E0606" w:rsidRPr="00C90FE3">
              <w:rPr>
                <w:rStyle w:val="Hyperlink"/>
              </w:rPr>
              <w:t>Changes to policy and planning in 2019–20</w:t>
            </w:r>
            <w:r w:rsidR="001E0606">
              <w:rPr>
                <w:webHidden/>
              </w:rPr>
              <w:tab/>
            </w:r>
            <w:r w:rsidR="001E0606">
              <w:rPr>
                <w:webHidden/>
              </w:rPr>
              <w:fldChar w:fldCharType="begin"/>
            </w:r>
            <w:r w:rsidR="001E0606">
              <w:rPr>
                <w:webHidden/>
              </w:rPr>
              <w:instrText xml:space="preserve"> PAGEREF _Toc59624193 \h </w:instrText>
            </w:r>
            <w:r w:rsidR="001E0606">
              <w:rPr>
                <w:webHidden/>
              </w:rPr>
            </w:r>
            <w:r w:rsidR="001E0606">
              <w:rPr>
                <w:webHidden/>
              </w:rPr>
              <w:fldChar w:fldCharType="separate"/>
            </w:r>
            <w:r w:rsidR="001E0606">
              <w:rPr>
                <w:webHidden/>
              </w:rPr>
              <w:t>7</w:t>
            </w:r>
            <w:r w:rsidR="001E0606">
              <w:rPr>
                <w:webHidden/>
              </w:rPr>
              <w:fldChar w:fldCharType="end"/>
            </w:r>
          </w:hyperlink>
        </w:p>
        <w:p w14:paraId="371EFFC6" w14:textId="7583E88B" w:rsidR="001E0606" w:rsidRDefault="004169A0">
          <w:pPr>
            <w:pStyle w:val="TOC2"/>
            <w:rPr>
              <w:rFonts w:asciiTheme="minorHAnsi" w:hAnsiTheme="minorHAnsi"/>
              <w:color w:val="auto"/>
              <w:lang w:eastAsia="en-AU"/>
            </w:rPr>
          </w:pPr>
          <w:hyperlink w:anchor="_Toc59624194" w:history="1">
            <w:r w:rsidR="001E0606" w:rsidRPr="00C90FE3">
              <w:rPr>
                <w:rStyle w:val="Hyperlink"/>
              </w:rPr>
              <w:t>Summary of operational performance</w:t>
            </w:r>
            <w:r w:rsidR="001E0606">
              <w:rPr>
                <w:webHidden/>
              </w:rPr>
              <w:tab/>
            </w:r>
            <w:r w:rsidR="001E0606">
              <w:rPr>
                <w:webHidden/>
              </w:rPr>
              <w:fldChar w:fldCharType="begin"/>
            </w:r>
            <w:r w:rsidR="001E0606">
              <w:rPr>
                <w:webHidden/>
              </w:rPr>
              <w:instrText xml:space="preserve"> PAGEREF _Toc59624194 \h </w:instrText>
            </w:r>
            <w:r w:rsidR="001E0606">
              <w:rPr>
                <w:webHidden/>
              </w:rPr>
            </w:r>
            <w:r w:rsidR="001E0606">
              <w:rPr>
                <w:webHidden/>
              </w:rPr>
              <w:fldChar w:fldCharType="separate"/>
            </w:r>
            <w:r w:rsidR="001E0606">
              <w:rPr>
                <w:webHidden/>
              </w:rPr>
              <w:t>8</w:t>
            </w:r>
            <w:r w:rsidR="001E0606">
              <w:rPr>
                <w:webHidden/>
              </w:rPr>
              <w:fldChar w:fldCharType="end"/>
            </w:r>
          </w:hyperlink>
        </w:p>
        <w:p w14:paraId="3B471B0F" w14:textId="600A8EEE" w:rsidR="001E0606" w:rsidRDefault="004169A0">
          <w:pPr>
            <w:pStyle w:val="TOC1"/>
            <w:rPr>
              <w:rFonts w:asciiTheme="minorHAnsi" w:hAnsiTheme="minorHAnsi"/>
              <w:b w:val="0"/>
              <w:lang w:eastAsia="en-AU"/>
            </w:rPr>
          </w:pPr>
          <w:hyperlink w:anchor="_Toc59624195" w:history="1">
            <w:r w:rsidR="001E0606" w:rsidRPr="00C90FE3">
              <w:rPr>
                <w:rStyle w:val="Hyperlink"/>
              </w:rPr>
              <w:t>Key initiatives and projects in 2019–20</w:t>
            </w:r>
            <w:r w:rsidR="001E0606">
              <w:rPr>
                <w:webHidden/>
              </w:rPr>
              <w:tab/>
            </w:r>
            <w:r w:rsidR="001E0606">
              <w:rPr>
                <w:webHidden/>
              </w:rPr>
              <w:fldChar w:fldCharType="begin"/>
            </w:r>
            <w:r w:rsidR="001E0606">
              <w:rPr>
                <w:webHidden/>
              </w:rPr>
              <w:instrText xml:space="preserve"> PAGEREF _Toc59624195 \h </w:instrText>
            </w:r>
            <w:r w:rsidR="001E0606">
              <w:rPr>
                <w:webHidden/>
              </w:rPr>
            </w:r>
            <w:r w:rsidR="001E0606">
              <w:rPr>
                <w:webHidden/>
              </w:rPr>
              <w:fldChar w:fldCharType="separate"/>
            </w:r>
            <w:r w:rsidR="001E0606">
              <w:rPr>
                <w:webHidden/>
              </w:rPr>
              <w:t>11</w:t>
            </w:r>
            <w:r w:rsidR="001E0606">
              <w:rPr>
                <w:webHidden/>
              </w:rPr>
              <w:fldChar w:fldCharType="end"/>
            </w:r>
          </w:hyperlink>
        </w:p>
        <w:p w14:paraId="31E5D6E8" w14:textId="684CAB9D" w:rsidR="001E0606" w:rsidRDefault="004169A0">
          <w:pPr>
            <w:pStyle w:val="TOC2"/>
            <w:rPr>
              <w:rFonts w:asciiTheme="minorHAnsi" w:hAnsiTheme="minorHAnsi"/>
              <w:color w:val="auto"/>
              <w:lang w:eastAsia="en-AU"/>
            </w:rPr>
          </w:pPr>
          <w:hyperlink w:anchor="_Toc59624196" w:history="1">
            <w:r w:rsidR="001E0606" w:rsidRPr="00C90FE3">
              <w:rPr>
                <w:rStyle w:val="Hyperlink"/>
              </w:rPr>
              <w:t>Priority One: Help Victorians act on climate change</w:t>
            </w:r>
            <w:r w:rsidR="001E0606">
              <w:rPr>
                <w:webHidden/>
              </w:rPr>
              <w:tab/>
            </w:r>
            <w:r w:rsidR="001E0606">
              <w:rPr>
                <w:webHidden/>
              </w:rPr>
              <w:fldChar w:fldCharType="begin"/>
            </w:r>
            <w:r w:rsidR="001E0606">
              <w:rPr>
                <w:webHidden/>
              </w:rPr>
              <w:instrText xml:space="preserve"> PAGEREF _Toc59624196 \h </w:instrText>
            </w:r>
            <w:r w:rsidR="001E0606">
              <w:rPr>
                <w:webHidden/>
              </w:rPr>
            </w:r>
            <w:r w:rsidR="001E0606">
              <w:rPr>
                <w:webHidden/>
              </w:rPr>
              <w:fldChar w:fldCharType="separate"/>
            </w:r>
            <w:r w:rsidR="001E0606">
              <w:rPr>
                <w:webHidden/>
              </w:rPr>
              <w:t>11</w:t>
            </w:r>
            <w:r w:rsidR="001E0606">
              <w:rPr>
                <w:webHidden/>
              </w:rPr>
              <w:fldChar w:fldCharType="end"/>
            </w:r>
          </w:hyperlink>
        </w:p>
        <w:p w14:paraId="59724E8F" w14:textId="4ECDFA04" w:rsidR="001E0606" w:rsidRDefault="004169A0">
          <w:pPr>
            <w:pStyle w:val="TOC2"/>
            <w:rPr>
              <w:rFonts w:asciiTheme="minorHAnsi" w:hAnsiTheme="minorHAnsi"/>
              <w:color w:val="auto"/>
              <w:lang w:eastAsia="en-AU"/>
            </w:rPr>
          </w:pPr>
          <w:hyperlink w:anchor="_Toc59624197" w:history="1">
            <w:r w:rsidR="001E0606" w:rsidRPr="00C90FE3">
              <w:rPr>
                <w:rStyle w:val="Hyperlink"/>
              </w:rPr>
              <w:t>Priority Two: Help Victorians to use resources wisely</w:t>
            </w:r>
            <w:r w:rsidR="001E0606">
              <w:rPr>
                <w:webHidden/>
              </w:rPr>
              <w:tab/>
            </w:r>
            <w:r w:rsidR="001E0606">
              <w:rPr>
                <w:webHidden/>
              </w:rPr>
              <w:fldChar w:fldCharType="begin"/>
            </w:r>
            <w:r w:rsidR="001E0606">
              <w:rPr>
                <w:webHidden/>
              </w:rPr>
              <w:instrText xml:space="preserve"> PAGEREF _Toc59624197 \h </w:instrText>
            </w:r>
            <w:r w:rsidR="001E0606">
              <w:rPr>
                <w:webHidden/>
              </w:rPr>
            </w:r>
            <w:r w:rsidR="001E0606">
              <w:rPr>
                <w:webHidden/>
              </w:rPr>
              <w:fldChar w:fldCharType="separate"/>
            </w:r>
            <w:r w:rsidR="001E0606">
              <w:rPr>
                <w:webHidden/>
              </w:rPr>
              <w:t>18</w:t>
            </w:r>
            <w:r w:rsidR="001E0606">
              <w:rPr>
                <w:webHidden/>
              </w:rPr>
              <w:fldChar w:fldCharType="end"/>
            </w:r>
          </w:hyperlink>
        </w:p>
        <w:p w14:paraId="113C9A58" w14:textId="55D96F25" w:rsidR="001E0606" w:rsidRDefault="004169A0">
          <w:pPr>
            <w:pStyle w:val="TOC2"/>
            <w:rPr>
              <w:rFonts w:asciiTheme="minorHAnsi" w:hAnsiTheme="minorHAnsi"/>
              <w:color w:val="auto"/>
              <w:lang w:eastAsia="en-AU"/>
            </w:rPr>
          </w:pPr>
          <w:hyperlink w:anchor="_Toc59624198" w:history="1">
            <w:r w:rsidR="001E0606" w:rsidRPr="00C90FE3">
              <w:rPr>
                <w:rStyle w:val="Hyperlink"/>
              </w:rPr>
              <w:t>Enabling delivery</w:t>
            </w:r>
            <w:r w:rsidR="001E0606">
              <w:rPr>
                <w:webHidden/>
              </w:rPr>
              <w:tab/>
            </w:r>
            <w:r w:rsidR="001E0606">
              <w:rPr>
                <w:webHidden/>
              </w:rPr>
              <w:fldChar w:fldCharType="begin"/>
            </w:r>
            <w:r w:rsidR="001E0606">
              <w:rPr>
                <w:webHidden/>
              </w:rPr>
              <w:instrText xml:space="preserve"> PAGEREF _Toc59624198 \h </w:instrText>
            </w:r>
            <w:r w:rsidR="001E0606">
              <w:rPr>
                <w:webHidden/>
              </w:rPr>
            </w:r>
            <w:r w:rsidR="001E0606">
              <w:rPr>
                <w:webHidden/>
              </w:rPr>
              <w:fldChar w:fldCharType="separate"/>
            </w:r>
            <w:r w:rsidR="001E0606">
              <w:rPr>
                <w:webHidden/>
              </w:rPr>
              <w:t>24</w:t>
            </w:r>
            <w:r w:rsidR="001E0606">
              <w:rPr>
                <w:webHidden/>
              </w:rPr>
              <w:fldChar w:fldCharType="end"/>
            </w:r>
          </w:hyperlink>
        </w:p>
        <w:p w14:paraId="5CF9E601" w14:textId="597424F4" w:rsidR="001E0606" w:rsidRDefault="004169A0">
          <w:pPr>
            <w:pStyle w:val="TOC1"/>
            <w:rPr>
              <w:rFonts w:asciiTheme="minorHAnsi" w:hAnsiTheme="minorHAnsi"/>
              <w:b w:val="0"/>
              <w:lang w:eastAsia="en-AU"/>
            </w:rPr>
          </w:pPr>
          <w:hyperlink w:anchor="_Toc59624199" w:history="1">
            <w:r w:rsidR="001E0606" w:rsidRPr="00C90FE3">
              <w:rPr>
                <w:rStyle w:val="Hyperlink"/>
              </w:rPr>
              <w:t>Performance reporting (financial)</w:t>
            </w:r>
            <w:r w:rsidR="001E0606">
              <w:rPr>
                <w:webHidden/>
              </w:rPr>
              <w:tab/>
            </w:r>
            <w:r w:rsidR="001E0606">
              <w:rPr>
                <w:webHidden/>
              </w:rPr>
              <w:fldChar w:fldCharType="begin"/>
            </w:r>
            <w:r w:rsidR="001E0606">
              <w:rPr>
                <w:webHidden/>
              </w:rPr>
              <w:instrText xml:space="preserve"> PAGEREF _Toc59624199 \h </w:instrText>
            </w:r>
            <w:r w:rsidR="001E0606">
              <w:rPr>
                <w:webHidden/>
              </w:rPr>
            </w:r>
            <w:r w:rsidR="001E0606">
              <w:rPr>
                <w:webHidden/>
              </w:rPr>
              <w:fldChar w:fldCharType="separate"/>
            </w:r>
            <w:r w:rsidR="001E0606">
              <w:rPr>
                <w:webHidden/>
              </w:rPr>
              <w:t>28</w:t>
            </w:r>
            <w:r w:rsidR="001E0606">
              <w:rPr>
                <w:webHidden/>
              </w:rPr>
              <w:fldChar w:fldCharType="end"/>
            </w:r>
          </w:hyperlink>
        </w:p>
        <w:p w14:paraId="79F98B80" w14:textId="606E9DED" w:rsidR="001E0606" w:rsidRDefault="004169A0">
          <w:pPr>
            <w:pStyle w:val="TOC2"/>
            <w:rPr>
              <w:rFonts w:asciiTheme="minorHAnsi" w:hAnsiTheme="minorHAnsi"/>
              <w:color w:val="auto"/>
              <w:lang w:eastAsia="en-AU"/>
            </w:rPr>
          </w:pPr>
          <w:hyperlink w:anchor="_Toc59624200" w:history="1">
            <w:r w:rsidR="001E0606" w:rsidRPr="00C90FE3">
              <w:rPr>
                <w:rStyle w:val="Hyperlink"/>
              </w:rPr>
              <w:t>Five-year financial summary</w:t>
            </w:r>
            <w:r w:rsidR="001E0606">
              <w:rPr>
                <w:webHidden/>
              </w:rPr>
              <w:tab/>
            </w:r>
            <w:r w:rsidR="001E0606">
              <w:rPr>
                <w:webHidden/>
              </w:rPr>
              <w:fldChar w:fldCharType="begin"/>
            </w:r>
            <w:r w:rsidR="001E0606">
              <w:rPr>
                <w:webHidden/>
              </w:rPr>
              <w:instrText xml:space="preserve"> PAGEREF _Toc59624200 \h </w:instrText>
            </w:r>
            <w:r w:rsidR="001E0606">
              <w:rPr>
                <w:webHidden/>
              </w:rPr>
            </w:r>
            <w:r w:rsidR="001E0606">
              <w:rPr>
                <w:webHidden/>
              </w:rPr>
              <w:fldChar w:fldCharType="separate"/>
            </w:r>
            <w:r w:rsidR="001E0606">
              <w:rPr>
                <w:webHidden/>
              </w:rPr>
              <w:t>28</w:t>
            </w:r>
            <w:r w:rsidR="001E0606">
              <w:rPr>
                <w:webHidden/>
              </w:rPr>
              <w:fldChar w:fldCharType="end"/>
            </w:r>
          </w:hyperlink>
        </w:p>
        <w:p w14:paraId="7569B737" w14:textId="53073F1F" w:rsidR="001E0606" w:rsidRDefault="004169A0">
          <w:pPr>
            <w:pStyle w:val="TOC2"/>
            <w:rPr>
              <w:rFonts w:asciiTheme="minorHAnsi" w:hAnsiTheme="minorHAnsi"/>
              <w:color w:val="auto"/>
              <w:lang w:eastAsia="en-AU"/>
            </w:rPr>
          </w:pPr>
          <w:hyperlink w:anchor="_Toc59624201" w:history="1">
            <w:r w:rsidR="001E0606" w:rsidRPr="00C90FE3">
              <w:rPr>
                <w:rStyle w:val="Hyperlink"/>
              </w:rPr>
              <w:t>Current year financial review</w:t>
            </w:r>
            <w:r w:rsidR="001E0606">
              <w:rPr>
                <w:webHidden/>
              </w:rPr>
              <w:tab/>
            </w:r>
            <w:r w:rsidR="001E0606">
              <w:rPr>
                <w:webHidden/>
              </w:rPr>
              <w:fldChar w:fldCharType="begin"/>
            </w:r>
            <w:r w:rsidR="001E0606">
              <w:rPr>
                <w:webHidden/>
              </w:rPr>
              <w:instrText xml:space="preserve"> PAGEREF _Toc59624201 \h </w:instrText>
            </w:r>
            <w:r w:rsidR="001E0606">
              <w:rPr>
                <w:webHidden/>
              </w:rPr>
            </w:r>
            <w:r w:rsidR="001E0606">
              <w:rPr>
                <w:webHidden/>
              </w:rPr>
              <w:fldChar w:fldCharType="separate"/>
            </w:r>
            <w:r w:rsidR="001E0606">
              <w:rPr>
                <w:webHidden/>
              </w:rPr>
              <w:t>28</w:t>
            </w:r>
            <w:r w:rsidR="001E0606">
              <w:rPr>
                <w:webHidden/>
              </w:rPr>
              <w:fldChar w:fldCharType="end"/>
            </w:r>
          </w:hyperlink>
        </w:p>
        <w:p w14:paraId="73A6B3C9" w14:textId="7F8731E9" w:rsidR="001E0606" w:rsidRDefault="004169A0">
          <w:pPr>
            <w:pStyle w:val="TOC1"/>
            <w:rPr>
              <w:rFonts w:asciiTheme="minorHAnsi" w:hAnsiTheme="minorHAnsi"/>
              <w:b w:val="0"/>
              <w:lang w:eastAsia="en-AU"/>
            </w:rPr>
          </w:pPr>
          <w:hyperlink w:anchor="_Toc59624202" w:history="1">
            <w:r w:rsidR="001E0606" w:rsidRPr="00C90FE3">
              <w:rPr>
                <w:rStyle w:val="Hyperlink"/>
              </w:rPr>
              <w:t>Governance and organisational structure</w:t>
            </w:r>
            <w:r w:rsidR="001E0606">
              <w:rPr>
                <w:webHidden/>
              </w:rPr>
              <w:tab/>
            </w:r>
            <w:r w:rsidR="001E0606">
              <w:rPr>
                <w:webHidden/>
              </w:rPr>
              <w:fldChar w:fldCharType="begin"/>
            </w:r>
            <w:r w:rsidR="001E0606">
              <w:rPr>
                <w:webHidden/>
              </w:rPr>
              <w:instrText xml:space="preserve"> PAGEREF _Toc59624202 \h </w:instrText>
            </w:r>
            <w:r w:rsidR="001E0606">
              <w:rPr>
                <w:webHidden/>
              </w:rPr>
            </w:r>
            <w:r w:rsidR="001E0606">
              <w:rPr>
                <w:webHidden/>
              </w:rPr>
              <w:fldChar w:fldCharType="separate"/>
            </w:r>
            <w:r w:rsidR="001E0606">
              <w:rPr>
                <w:webHidden/>
              </w:rPr>
              <w:t>31</w:t>
            </w:r>
            <w:r w:rsidR="001E0606">
              <w:rPr>
                <w:webHidden/>
              </w:rPr>
              <w:fldChar w:fldCharType="end"/>
            </w:r>
          </w:hyperlink>
        </w:p>
        <w:p w14:paraId="5D4C1B22" w14:textId="4414B7CB" w:rsidR="001E0606" w:rsidRDefault="004169A0">
          <w:pPr>
            <w:pStyle w:val="TOC2"/>
            <w:rPr>
              <w:rFonts w:asciiTheme="minorHAnsi" w:hAnsiTheme="minorHAnsi"/>
              <w:color w:val="auto"/>
              <w:lang w:eastAsia="en-AU"/>
            </w:rPr>
          </w:pPr>
          <w:hyperlink w:anchor="_Toc59624203" w:history="1">
            <w:r w:rsidR="001E0606" w:rsidRPr="00C90FE3">
              <w:rPr>
                <w:rStyle w:val="Hyperlink"/>
              </w:rPr>
              <w:t>Our Board</w:t>
            </w:r>
            <w:r w:rsidR="001E0606">
              <w:rPr>
                <w:webHidden/>
              </w:rPr>
              <w:tab/>
            </w:r>
            <w:r w:rsidR="001E0606">
              <w:rPr>
                <w:webHidden/>
              </w:rPr>
              <w:fldChar w:fldCharType="begin"/>
            </w:r>
            <w:r w:rsidR="001E0606">
              <w:rPr>
                <w:webHidden/>
              </w:rPr>
              <w:instrText xml:space="preserve"> PAGEREF _Toc59624203 \h </w:instrText>
            </w:r>
            <w:r w:rsidR="001E0606">
              <w:rPr>
                <w:webHidden/>
              </w:rPr>
            </w:r>
            <w:r w:rsidR="001E0606">
              <w:rPr>
                <w:webHidden/>
              </w:rPr>
              <w:fldChar w:fldCharType="separate"/>
            </w:r>
            <w:r w:rsidR="001E0606">
              <w:rPr>
                <w:webHidden/>
              </w:rPr>
              <w:t>31</w:t>
            </w:r>
            <w:r w:rsidR="001E0606">
              <w:rPr>
                <w:webHidden/>
              </w:rPr>
              <w:fldChar w:fldCharType="end"/>
            </w:r>
          </w:hyperlink>
        </w:p>
        <w:p w14:paraId="4BB9BD98" w14:textId="6B097372" w:rsidR="001E0606" w:rsidRDefault="004169A0">
          <w:pPr>
            <w:pStyle w:val="TOC2"/>
            <w:rPr>
              <w:rFonts w:asciiTheme="minorHAnsi" w:hAnsiTheme="minorHAnsi"/>
              <w:color w:val="auto"/>
              <w:lang w:eastAsia="en-AU"/>
            </w:rPr>
          </w:pPr>
          <w:hyperlink w:anchor="_Toc59624204" w:history="1">
            <w:r w:rsidR="001E0606" w:rsidRPr="00C90FE3">
              <w:rPr>
                <w:rStyle w:val="Hyperlink"/>
              </w:rPr>
              <w:t>Board committees</w:t>
            </w:r>
            <w:r w:rsidR="001E0606">
              <w:rPr>
                <w:webHidden/>
              </w:rPr>
              <w:tab/>
            </w:r>
            <w:r w:rsidR="001E0606">
              <w:rPr>
                <w:webHidden/>
              </w:rPr>
              <w:fldChar w:fldCharType="begin"/>
            </w:r>
            <w:r w:rsidR="001E0606">
              <w:rPr>
                <w:webHidden/>
              </w:rPr>
              <w:instrText xml:space="preserve"> PAGEREF _Toc59624204 \h </w:instrText>
            </w:r>
            <w:r w:rsidR="001E0606">
              <w:rPr>
                <w:webHidden/>
              </w:rPr>
            </w:r>
            <w:r w:rsidR="001E0606">
              <w:rPr>
                <w:webHidden/>
              </w:rPr>
              <w:fldChar w:fldCharType="separate"/>
            </w:r>
            <w:r w:rsidR="001E0606">
              <w:rPr>
                <w:webHidden/>
              </w:rPr>
              <w:t>35</w:t>
            </w:r>
            <w:r w:rsidR="001E0606">
              <w:rPr>
                <w:webHidden/>
              </w:rPr>
              <w:fldChar w:fldCharType="end"/>
            </w:r>
          </w:hyperlink>
        </w:p>
        <w:p w14:paraId="2FAB4CAE" w14:textId="29EA3865" w:rsidR="001E0606" w:rsidRDefault="004169A0">
          <w:pPr>
            <w:pStyle w:val="TOC2"/>
            <w:rPr>
              <w:rFonts w:asciiTheme="minorHAnsi" w:hAnsiTheme="minorHAnsi"/>
              <w:color w:val="auto"/>
              <w:lang w:eastAsia="en-AU"/>
            </w:rPr>
          </w:pPr>
          <w:hyperlink w:anchor="_Toc59624205" w:history="1">
            <w:r w:rsidR="001E0606" w:rsidRPr="00C90FE3">
              <w:rPr>
                <w:rStyle w:val="Hyperlink"/>
              </w:rPr>
              <w:t>Board Working Groups</w:t>
            </w:r>
            <w:r w:rsidR="001E0606">
              <w:rPr>
                <w:webHidden/>
              </w:rPr>
              <w:tab/>
            </w:r>
            <w:r w:rsidR="001E0606">
              <w:rPr>
                <w:webHidden/>
              </w:rPr>
              <w:fldChar w:fldCharType="begin"/>
            </w:r>
            <w:r w:rsidR="001E0606">
              <w:rPr>
                <w:webHidden/>
              </w:rPr>
              <w:instrText xml:space="preserve"> PAGEREF _Toc59624205 \h </w:instrText>
            </w:r>
            <w:r w:rsidR="001E0606">
              <w:rPr>
                <w:webHidden/>
              </w:rPr>
            </w:r>
            <w:r w:rsidR="001E0606">
              <w:rPr>
                <w:webHidden/>
              </w:rPr>
              <w:fldChar w:fldCharType="separate"/>
            </w:r>
            <w:r w:rsidR="001E0606">
              <w:rPr>
                <w:webHidden/>
              </w:rPr>
              <w:t>36</w:t>
            </w:r>
            <w:r w:rsidR="001E0606">
              <w:rPr>
                <w:webHidden/>
              </w:rPr>
              <w:fldChar w:fldCharType="end"/>
            </w:r>
          </w:hyperlink>
        </w:p>
        <w:p w14:paraId="59A98E98" w14:textId="62CB7FA2" w:rsidR="001E0606" w:rsidRDefault="004169A0">
          <w:pPr>
            <w:pStyle w:val="TOC2"/>
            <w:rPr>
              <w:rFonts w:asciiTheme="minorHAnsi" w:hAnsiTheme="minorHAnsi"/>
              <w:color w:val="auto"/>
              <w:lang w:eastAsia="en-AU"/>
            </w:rPr>
          </w:pPr>
          <w:hyperlink w:anchor="_Toc59624206" w:history="1">
            <w:r w:rsidR="001E0606" w:rsidRPr="00C90FE3">
              <w:rPr>
                <w:rStyle w:val="Hyperlink"/>
              </w:rPr>
              <w:t>Organisational structure and corporate governance arrangements</w:t>
            </w:r>
            <w:r w:rsidR="001E0606">
              <w:rPr>
                <w:webHidden/>
              </w:rPr>
              <w:tab/>
            </w:r>
            <w:r w:rsidR="001E0606">
              <w:rPr>
                <w:webHidden/>
              </w:rPr>
              <w:fldChar w:fldCharType="begin"/>
            </w:r>
            <w:r w:rsidR="001E0606">
              <w:rPr>
                <w:webHidden/>
              </w:rPr>
              <w:instrText xml:space="preserve"> PAGEREF _Toc59624206 \h </w:instrText>
            </w:r>
            <w:r w:rsidR="001E0606">
              <w:rPr>
                <w:webHidden/>
              </w:rPr>
            </w:r>
            <w:r w:rsidR="001E0606">
              <w:rPr>
                <w:webHidden/>
              </w:rPr>
              <w:fldChar w:fldCharType="separate"/>
            </w:r>
            <w:r w:rsidR="001E0606">
              <w:rPr>
                <w:webHidden/>
              </w:rPr>
              <w:t>37</w:t>
            </w:r>
            <w:r w:rsidR="001E0606">
              <w:rPr>
                <w:webHidden/>
              </w:rPr>
              <w:fldChar w:fldCharType="end"/>
            </w:r>
          </w:hyperlink>
        </w:p>
        <w:p w14:paraId="58D03FD3" w14:textId="128722B1" w:rsidR="001E0606" w:rsidRDefault="004169A0">
          <w:pPr>
            <w:pStyle w:val="TOC1"/>
            <w:rPr>
              <w:rFonts w:asciiTheme="minorHAnsi" w:hAnsiTheme="minorHAnsi"/>
              <w:b w:val="0"/>
              <w:lang w:eastAsia="en-AU"/>
            </w:rPr>
          </w:pPr>
          <w:hyperlink w:anchor="_Toc59624207" w:history="1">
            <w:r w:rsidR="001E0606" w:rsidRPr="00C90FE3">
              <w:rPr>
                <w:rStyle w:val="Hyperlink"/>
              </w:rPr>
              <w:t>Workforce data</w:t>
            </w:r>
            <w:r w:rsidR="001E0606">
              <w:rPr>
                <w:webHidden/>
              </w:rPr>
              <w:tab/>
            </w:r>
            <w:r w:rsidR="001E0606">
              <w:rPr>
                <w:webHidden/>
              </w:rPr>
              <w:fldChar w:fldCharType="begin"/>
            </w:r>
            <w:r w:rsidR="001E0606">
              <w:rPr>
                <w:webHidden/>
              </w:rPr>
              <w:instrText xml:space="preserve"> PAGEREF _Toc59624207 \h </w:instrText>
            </w:r>
            <w:r w:rsidR="001E0606">
              <w:rPr>
                <w:webHidden/>
              </w:rPr>
            </w:r>
            <w:r w:rsidR="001E0606">
              <w:rPr>
                <w:webHidden/>
              </w:rPr>
              <w:fldChar w:fldCharType="separate"/>
            </w:r>
            <w:r w:rsidR="001E0606">
              <w:rPr>
                <w:webHidden/>
              </w:rPr>
              <w:t>41</w:t>
            </w:r>
            <w:r w:rsidR="001E0606">
              <w:rPr>
                <w:webHidden/>
              </w:rPr>
              <w:fldChar w:fldCharType="end"/>
            </w:r>
          </w:hyperlink>
        </w:p>
        <w:p w14:paraId="482D5CFD" w14:textId="1FC9B8FC" w:rsidR="001E0606" w:rsidRDefault="004169A0">
          <w:pPr>
            <w:pStyle w:val="TOC2"/>
            <w:rPr>
              <w:rFonts w:asciiTheme="minorHAnsi" w:hAnsiTheme="minorHAnsi"/>
              <w:color w:val="auto"/>
              <w:lang w:eastAsia="en-AU"/>
            </w:rPr>
          </w:pPr>
          <w:hyperlink w:anchor="_Toc59624208" w:history="1">
            <w:r w:rsidR="001E0606" w:rsidRPr="00C90FE3">
              <w:rPr>
                <w:rStyle w:val="Hyperlink"/>
              </w:rPr>
              <w:t>Public sector values and employment principles</w:t>
            </w:r>
            <w:r w:rsidR="001E0606">
              <w:rPr>
                <w:webHidden/>
              </w:rPr>
              <w:tab/>
            </w:r>
            <w:r w:rsidR="001E0606">
              <w:rPr>
                <w:webHidden/>
              </w:rPr>
              <w:fldChar w:fldCharType="begin"/>
            </w:r>
            <w:r w:rsidR="001E0606">
              <w:rPr>
                <w:webHidden/>
              </w:rPr>
              <w:instrText xml:space="preserve"> PAGEREF _Toc59624208 \h </w:instrText>
            </w:r>
            <w:r w:rsidR="001E0606">
              <w:rPr>
                <w:webHidden/>
              </w:rPr>
            </w:r>
            <w:r w:rsidR="001E0606">
              <w:rPr>
                <w:webHidden/>
              </w:rPr>
              <w:fldChar w:fldCharType="separate"/>
            </w:r>
            <w:r w:rsidR="001E0606">
              <w:rPr>
                <w:webHidden/>
              </w:rPr>
              <w:t>41</w:t>
            </w:r>
            <w:r w:rsidR="001E0606">
              <w:rPr>
                <w:webHidden/>
              </w:rPr>
              <w:fldChar w:fldCharType="end"/>
            </w:r>
          </w:hyperlink>
        </w:p>
        <w:p w14:paraId="0F553FDD" w14:textId="1FE94551" w:rsidR="001E0606" w:rsidRDefault="004169A0">
          <w:pPr>
            <w:pStyle w:val="TOC2"/>
            <w:rPr>
              <w:rFonts w:asciiTheme="minorHAnsi" w:hAnsiTheme="minorHAnsi"/>
              <w:color w:val="auto"/>
              <w:lang w:eastAsia="en-AU"/>
            </w:rPr>
          </w:pPr>
          <w:hyperlink w:anchor="_Toc59624209" w:history="1">
            <w:r w:rsidR="001E0606" w:rsidRPr="00C90FE3">
              <w:rPr>
                <w:rStyle w:val="Hyperlink"/>
              </w:rPr>
              <w:t>Comparative workforce data</w:t>
            </w:r>
            <w:r w:rsidR="001E0606">
              <w:rPr>
                <w:webHidden/>
              </w:rPr>
              <w:tab/>
            </w:r>
            <w:r w:rsidR="001E0606">
              <w:rPr>
                <w:webHidden/>
              </w:rPr>
              <w:fldChar w:fldCharType="begin"/>
            </w:r>
            <w:r w:rsidR="001E0606">
              <w:rPr>
                <w:webHidden/>
              </w:rPr>
              <w:instrText xml:space="preserve"> PAGEREF _Toc59624209 \h </w:instrText>
            </w:r>
            <w:r w:rsidR="001E0606">
              <w:rPr>
                <w:webHidden/>
              </w:rPr>
            </w:r>
            <w:r w:rsidR="001E0606">
              <w:rPr>
                <w:webHidden/>
              </w:rPr>
              <w:fldChar w:fldCharType="separate"/>
            </w:r>
            <w:r w:rsidR="001E0606">
              <w:rPr>
                <w:webHidden/>
              </w:rPr>
              <w:t>41</w:t>
            </w:r>
            <w:r w:rsidR="001E0606">
              <w:rPr>
                <w:webHidden/>
              </w:rPr>
              <w:fldChar w:fldCharType="end"/>
            </w:r>
          </w:hyperlink>
        </w:p>
        <w:p w14:paraId="547FAE9E" w14:textId="0E3A1665" w:rsidR="001E0606" w:rsidRDefault="004169A0">
          <w:pPr>
            <w:pStyle w:val="TOC2"/>
            <w:rPr>
              <w:rFonts w:asciiTheme="minorHAnsi" w:hAnsiTheme="minorHAnsi"/>
              <w:color w:val="auto"/>
              <w:lang w:eastAsia="en-AU"/>
            </w:rPr>
          </w:pPr>
          <w:hyperlink w:anchor="_Toc59624210" w:history="1">
            <w:r w:rsidR="001E0606" w:rsidRPr="00C90FE3">
              <w:rPr>
                <w:rStyle w:val="Hyperlink"/>
              </w:rPr>
              <w:t>Workforce inclusion policy</w:t>
            </w:r>
            <w:r w:rsidR="001E0606">
              <w:rPr>
                <w:webHidden/>
              </w:rPr>
              <w:tab/>
            </w:r>
            <w:r w:rsidR="001E0606">
              <w:rPr>
                <w:webHidden/>
              </w:rPr>
              <w:fldChar w:fldCharType="begin"/>
            </w:r>
            <w:r w:rsidR="001E0606">
              <w:rPr>
                <w:webHidden/>
              </w:rPr>
              <w:instrText xml:space="preserve"> PAGEREF _Toc59624210 \h </w:instrText>
            </w:r>
            <w:r w:rsidR="001E0606">
              <w:rPr>
                <w:webHidden/>
              </w:rPr>
            </w:r>
            <w:r w:rsidR="001E0606">
              <w:rPr>
                <w:webHidden/>
              </w:rPr>
              <w:fldChar w:fldCharType="separate"/>
            </w:r>
            <w:r w:rsidR="001E0606">
              <w:rPr>
                <w:webHidden/>
              </w:rPr>
              <w:t>43</w:t>
            </w:r>
            <w:r w:rsidR="001E0606">
              <w:rPr>
                <w:webHidden/>
              </w:rPr>
              <w:fldChar w:fldCharType="end"/>
            </w:r>
          </w:hyperlink>
        </w:p>
        <w:p w14:paraId="415AB91E" w14:textId="5D7292BB" w:rsidR="001E0606" w:rsidRDefault="004169A0">
          <w:pPr>
            <w:pStyle w:val="TOC2"/>
            <w:rPr>
              <w:rFonts w:asciiTheme="minorHAnsi" w:hAnsiTheme="minorHAnsi"/>
              <w:color w:val="auto"/>
              <w:lang w:eastAsia="en-AU"/>
            </w:rPr>
          </w:pPr>
          <w:hyperlink w:anchor="_Toc59624211" w:history="1">
            <w:r w:rsidR="001E0606" w:rsidRPr="00C90FE3">
              <w:rPr>
                <w:rStyle w:val="Hyperlink"/>
              </w:rPr>
              <w:t>Executive officer data</w:t>
            </w:r>
            <w:r w:rsidR="001E0606">
              <w:rPr>
                <w:webHidden/>
              </w:rPr>
              <w:tab/>
            </w:r>
            <w:r w:rsidR="001E0606">
              <w:rPr>
                <w:webHidden/>
              </w:rPr>
              <w:fldChar w:fldCharType="begin"/>
            </w:r>
            <w:r w:rsidR="001E0606">
              <w:rPr>
                <w:webHidden/>
              </w:rPr>
              <w:instrText xml:space="preserve"> PAGEREF _Toc59624211 \h </w:instrText>
            </w:r>
            <w:r w:rsidR="001E0606">
              <w:rPr>
                <w:webHidden/>
              </w:rPr>
            </w:r>
            <w:r w:rsidR="001E0606">
              <w:rPr>
                <w:webHidden/>
              </w:rPr>
              <w:fldChar w:fldCharType="separate"/>
            </w:r>
            <w:r w:rsidR="001E0606">
              <w:rPr>
                <w:webHidden/>
              </w:rPr>
              <w:t>44</w:t>
            </w:r>
            <w:r w:rsidR="001E0606">
              <w:rPr>
                <w:webHidden/>
              </w:rPr>
              <w:fldChar w:fldCharType="end"/>
            </w:r>
          </w:hyperlink>
        </w:p>
        <w:p w14:paraId="507C85F2" w14:textId="239BD41E" w:rsidR="001E0606" w:rsidRDefault="004169A0">
          <w:pPr>
            <w:pStyle w:val="TOC1"/>
            <w:rPr>
              <w:rFonts w:asciiTheme="minorHAnsi" w:hAnsiTheme="minorHAnsi"/>
              <w:b w:val="0"/>
              <w:lang w:eastAsia="en-AU"/>
            </w:rPr>
          </w:pPr>
          <w:hyperlink w:anchor="_Toc59624212" w:history="1">
            <w:r w:rsidR="001E0606" w:rsidRPr="00C90FE3">
              <w:rPr>
                <w:rStyle w:val="Hyperlink"/>
              </w:rPr>
              <w:t>Other disclosures</w:t>
            </w:r>
            <w:r w:rsidR="001E0606">
              <w:rPr>
                <w:webHidden/>
              </w:rPr>
              <w:tab/>
            </w:r>
            <w:r w:rsidR="001E0606">
              <w:rPr>
                <w:webHidden/>
              </w:rPr>
              <w:fldChar w:fldCharType="begin"/>
            </w:r>
            <w:r w:rsidR="001E0606">
              <w:rPr>
                <w:webHidden/>
              </w:rPr>
              <w:instrText xml:space="preserve"> PAGEREF _Toc59624212 \h </w:instrText>
            </w:r>
            <w:r w:rsidR="001E0606">
              <w:rPr>
                <w:webHidden/>
              </w:rPr>
            </w:r>
            <w:r w:rsidR="001E0606">
              <w:rPr>
                <w:webHidden/>
              </w:rPr>
              <w:fldChar w:fldCharType="separate"/>
            </w:r>
            <w:r w:rsidR="001E0606">
              <w:rPr>
                <w:webHidden/>
              </w:rPr>
              <w:t>45</w:t>
            </w:r>
            <w:r w:rsidR="001E0606">
              <w:rPr>
                <w:webHidden/>
              </w:rPr>
              <w:fldChar w:fldCharType="end"/>
            </w:r>
          </w:hyperlink>
        </w:p>
        <w:p w14:paraId="542B6AC8" w14:textId="7F77AA0C" w:rsidR="001E0606" w:rsidRDefault="004169A0">
          <w:pPr>
            <w:pStyle w:val="TOC2"/>
            <w:rPr>
              <w:rFonts w:asciiTheme="minorHAnsi" w:hAnsiTheme="minorHAnsi"/>
              <w:color w:val="auto"/>
              <w:lang w:eastAsia="en-AU"/>
            </w:rPr>
          </w:pPr>
          <w:hyperlink w:anchor="_Toc59624213" w:history="1">
            <w:r w:rsidR="001E0606" w:rsidRPr="00C90FE3">
              <w:rPr>
                <w:rStyle w:val="Hyperlink"/>
              </w:rPr>
              <w:t>Local Jobs First</w:t>
            </w:r>
            <w:r w:rsidR="001E0606">
              <w:rPr>
                <w:webHidden/>
              </w:rPr>
              <w:tab/>
            </w:r>
            <w:r w:rsidR="001E0606">
              <w:rPr>
                <w:webHidden/>
              </w:rPr>
              <w:fldChar w:fldCharType="begin"/>
            </w:r>
            <w:r w:rsidR="001E0606">
              <w:rPr>
                <w:webHidden/>
              </w:rPr>
              <w:instrText xml:space="preserve"> PAGEREF _Toc59624213 \h </w:instrText>
            </w:r>
            <w:r w:rsidR="001E0606">
              <w:rPr>
                <w:webHidden/>
              </w:rPr>
            </w:r>
            <w:r w:rsidR="001E0606">
              <w:rPr>
                <w:webHidden/>
              </w:rPr>
              <w:fldChar w:fldCharType="separate"/>
            </w:r>
            <w:r w:rsidR="001E0606">
              <w:rPr>
                <w:webHidden/>
              </w:rPr>
              <w:t>45</w:t>
            </w:r>
            <w:r w:rsidR="001E0606">
              <w:rPr>
                <w:webHidden/>
              </w:rPr>
              <w:fldChar w:fldCharType="end"/>
            </w:r>
          </w:hyperlink>
        </w:p>
        <w:p w14:paraId="20AC5AA4" w14:textId="313B80CC" w:rsidR="001E0606" w:rsidRDefault="004169A0">
          <w:pPr>
            <w:pStyle w:val="TOC2"/>
            <w:rPr>
              <w:rFonts w:asciiTheme="minorHAnsi" w:hAnsiTheme="minorHAnsi"/>
              <w:color w:val="auto"/>
              <w:lang w:eastAsia="en-AU"/>
            </w:rPr>
          </w:pPr>
          <w:hyperlink w:anchor="_Toc59624214" w:history="1">
            <w:r w:rsidR="001E0606" w:rsidRPr="00C90FE3">
              <w:rPr>
                <w:rStyle w:val="Hyperlink"/>
              </w:rPr>
              <w:t>Reporting requirements – grants</w:t>
            </w:r>
            <w:r w:rsidR="001E0606">
              <w:rPr>
                <w:webHidden/>
              </w:rPr>
              <w:tab/>
            </w:r>
            <w:r w:rsidR="001E0606">
              <w:rPr>
                <w:webHidden/>
              </w:rPr>
              <w:fldChar w:fldCharType="begin"/>
            </w:r>
            <w:r w:rsidR="001E0606">
              <w:rPr>
                <w:webHidden/>
              </w:rPr>
              <w:instrText xml:space="preserve"> PAGEREF _Toc59624214 \h </w:instrText>
            </w:r>
            <w:r w:rsidR="001E0606">
              <w:rPr>
                <w:webHidden/>
              </w:rPr>
            </w:r>
            <w:r w:rsidR="001E0606">
              <w:rPr>
                <w:webHidden/>
              </w:rPr>
              <w:fldChar w:fldCharType="separate"/>
            </w:r>
            <w:r w:rsidR="001E0606">
              <w:rPr>
                <w:webHidden/>
              </w:rPr>
              <w:t>45</w:t>
            </w:r>
            <w:r w:rsidR="001E0606">
              <w:rPr>
                <w:webHidden/>
              </w:rPr>
              <w:fldChar w:fldCharType="end"/>
            </w:r>
          </w:hyperlink>
        </w:p>
        <w:p w14:paraId="0F1E1335" w14:textId="46DA93F8" w:rsidR="001E0606" w:rsidRDefault="004169A0">
          <w:pPr>
            <w:pStyle w:val="TOC2"/>
            <w:rPr>
              <w:rFonts w:asciiTheme="minorHAnsi" w:hAnsiTheme="minorHAnsi"/>
              <w:color w:val="auto"/>
              <w:lang w:eastAsia="en-AU"/>
            </w:rPr>
          </w:pPr>
          <w:hyperlink w:anchor="_Toc59624215" w:history="1">
            <w:r w:rsidR="001E0606" w:rsidRPr="00C90FE3">
              <w:rPr>
                <w:rStyle w:val="Hyperlink"/>
              </w:rPr>
              <w:t>Government advertising expenditure</w:t>
            </w:r>
            <w:r w:rsidR="001E0606">
              <w:rPr>
                <w:webHidden/>
              </w:rPr>
              <w:tab/>
            </w:r>
            <w:r w:rsidR="001E0606">
              <w:rPr>
                <w:webHidden/>
              </w:rPr>
              <w:fldChar w:fldCharType="begin"/>
            </w:r>
            <w:r w:rsidR="001E0606">
              <w:rPr>
                <w:webHidden/>
              </w:rPr>
              <w:instrText xml:space="preserve"> PAGEREF _Toc59624215 \h </w:instrText>
            </w:r>
            <w:r w:rsidR="001E0606">
              <w:rPr>
                <w:webHidden/>
              </w:rPr>
            </w:r>
            <w:r w:rsidR="001E0606">
              <w:rPr>
                <w:webHidden/>
              </w:rPr>
              <w:fldChar w:fldCharType="separate"/>
            </w:r>
            <w:r w:rsidR="001E0606">
              <w:rPr>
                <w:webHidden/>
              </w:rPr>
              <w:t>45</w:t>
            </w:r>
            <w:r w:rsidR="001E0606">
              <w:rPr>
                <w:webHidden/>
              </w:rPr>
              <w:fldChar w:fldCharType="end"/>
            </w:r>
          </w:hyperlink>
        </w:p>
        <w:p w14:paraId="0FD392A0" w14:textId="49BA4AAE" w:rsidR="001E0606" w:rsidRDefault="004169A0">
          <w:pPr>
            <w:pStyle w:val="TOC2"/>
            <w:rPr>
              <w:rFonts w:asciiTheme="minorHAnsi" w:hAnsiTheme="minorHAnsi"/>
              <w:color w:val="auto"/>
              <w:lang w:eastAsia="en-AU"/>
            </w:rPr>
          </w:pPr>
          <w:hyperlink w:anchor="_Toc59624216" w:history="1">
            <w:r w:rsidR="001E0606" w:rsidRPr="00C90FE3">
              <w:rPr>
                <w:rStyle w:val="Hyperlink"/>
              </w:rPr>
              <w:t>Consultancy expenditure</w:t>
            </w:r>
            <w:r w:rsidR="001E0606">
              <w:rPr>
                <w:webHidden/>
              </w:rPr>
              <w:tab/>
            </w:r>
            <w:r w:rsidR="001E0606">
              <w:rPr>
                <w:webHidden/>
              </w:rPr>
              <w:fldChar w:fldCharType="begin"/>
            </w:r>
            <w:r w:rsidR="001E0606">
              <w:rPr>
                <w:webHidden/>
              </w:rPr>
              <w:instrText xml:space="preserve"> PAGEREF _Toc59624216 \h </w:instrText>
            </w:r>
            <w:r w:rsidR="001E0606">
              <w:rPr>
                <w:webHidden/>
              </w:rPr>
            </w:r>
            <w:r w:rsidR="001E0606">
              <w:rPr>
                <w:webHidden/>
              </w:rPr>
              <w:fldChar w:fldCharType="separate"/>
            </w:r>
            <w:r w:rsidR="001E0606">
              <w:rPr>
                <w:webHidden/>
              </w:rPr>
              <w:t>46</w:t>
            </w:r>
            <w:r w:rsidR="001E0606">
              <w:rPr>
                <w:webHidden/>
              </w:rPr>
              <w:fldChar w:fldCharType="end"/>
            </w:r>
          </w:hyperlink>
        </w:p>
        <w:p w14:paraId="42ACCAB5" w14:textId="671086D9" w:rsidR="001E0606" w:rsidRDefault="004169A0">
          <w:pPr>
            <w:pStyle w:val="TOC2"/>
            <w:rPr>
              <w:rFonts w:asciiTheme="minorHAnsi" w:hAnsiTheme="minorHAnsi"/>
              <w:color w:val="auto"/>
              <w:lang w:eastAsia="en-AU"/>
            </w:rPr>
          </w:pPr>
          <w:hyperlink w:anchor="_Toc59624217" w:history="1">
            <w:r w:rsidR="001E0606" w:rsidRPr="00C90FE3">
              <w:rPr>
                <w:rStyle w:val="Hyperlink"/>
              </w:rPr>
              <w:t>Details of consultancies (valued at less than $10,000)</w:t>
            </w:r>
            <w:r w:rsidR="001E0606">
              <w:rPr>
                <w:webHidden/>
              </w:rPr>
              <w:tab/>
            </w:r>
            <w:r w:rsidR="001E0606">
              <w:rPr>
                <w:webHidden/>
              </w:rPr>
              <w:fldChar w:fldCharType="begin"/>
            </w:r>
            <w:r w:rsidR="001E0606">
              <w:rPr>
                <w:webHidden/>
              </w:rPr>
              <w:instrText xml:space="preserve"> PAGEREF _Toc59624217 \h </w:instrText>
            </w:r>
            <w:r w:rsidR="001E0606">
              <w:rPr>
                <w:webHidden/>
              </w:rPr>
            </w:r>
            <w:r w:rsidR="001E0606">
              <w:rPr>
                <w:webHidden/>
              </w:rPr>
              <w:fldChar w:fldCharType="separate"/>
            </w:r>
            <w:r w:rsidR="001E0606">
              <w:rPr>
                <w:webHidden/>
              </w:rPr>
              <w:t>48</w:t>
            </w:r>
            <w:r w:rsidR="001E0606">
              <w:rPr>
                <w:webHidden/>
              </w:rPr>
              <w:fldChar w:fldCharType="end"/>
            </w:r>
          </w:hyperlink>
        </w:p>
        <w:p w14:paraId="79E95FA3" w14:textId="44A231AF" w:rsidR="001E0606" w:rsidRDefault="004169A0">
          <w:pPr>
            <w:pStyle w:val="TOC2"/>
            <w:rPr>
              <w:rFonts w:asciiTheme="minorHAnsi" w:hAnsiTheme="minorHAnsi"/>
              <w:color w:val="auto"/>
              <w:lang w:eastAsia="en-AU"/>
            </w:rPr>
          </w:pPr>
          <w:hyperlink w:anchor="_Toc59624218" w:history="1">
            <w:r w:rsidR="001E0606" w:rsidRPr="00C90FE3">
              <w:rPr>
                <w:rStyle w:val="Hyperlink"/>
              </w:rPr>
              <w:t>Information and Communication Technology expenditure</w:t>
            </w:r>
            <w:r w:rsidR="001E0606">
              <w:rPr>
                <w:webHidden/>
              </w:rPr>
              <w:tab/>
            </w:r>
            <w:r w:rsidR="001E0606">
              <w:rPr>
                <w:webHidden/>
              </w:rPr>
              <w:fldChar w:fldCharType="begin"/>
            </w:r>
            <w:r w:rsidR="001E0606">
              <w:rPr>
                <w:webHidden/>
              </w:rPr>
              <w:instrText xml:space="preserve"> PAGEREF _Toc59624218 \h </w:instrText>
            </w:r>
            <w:r w:rsidR="001E0606">
              <w:rPr>
                <w:webHidden/>
              </w:rPr>
            </w:r>
            <w:r w:rsidR="001E0606">
              <w:rPr>
                <w:webHidden/>
              </w:rPr>
              <w:fldChar w:fldCharType="separate"/>
            </w:r>
            <w:r w:rsidR="001E0606">
              <w:rPr>
                <w:webHidden/>
              </w:rPr>
              <w:t>48</w:t>
            </w:r>
            <w:r w:rsidR="001E0606">
              <w:rPr>
                <w:webHidden/>
              </w:rPr>
              <w:fldChar w:fldCharType="end"/>
            </w:r>
          </w:hyperlink>
        </w:p>
        <w:p w14:paraId="0906E0E9" w14:textId="6CF9330A" w:rsidR="001E0606" w:rsidRDefault="004169A0">
          <w:pPr>
            <w:pStyle w:val="TOC2"/>
            <w:rPr>
              <w:rFonts w:asciiTheme="minorHAnsi" w:hAnsiTheme="minorHAnsi"/>
              <w:color w:val="auto"/>
              <w:lang w:eastAsia="en-AU"/>
            </w:rPr>
          </w:pPr>
          <w:hyperlink w:anchor="_Toc59624219" w:history="1">
            <w:r w:rsidR="001E0606" w:rsidRPr="00C90FE3">
              <w:rPr>
                <w:rStyle w:val="Hyperlink"/>
              </w:rPr>
              <w:t>Disclosure of major contracts</w:t>
            </w:r>
            <w:r w:rsidR="001E0606">
              <w:rPr>
                <w:webHidden/>
              </w:rPr>
              <w:tab/>
            </w:r>
            <w:r w:rsidR="001E0606">
              <w:rPr>
                <w:webHidden/>
              </w:rPr>
              <w:fldChar w:fldCharType="begin"/>
            </w:r>
            <w:r w:rsidR="001E0606">
              <w:rPr>
                <w:webHidden/>
              </w:rPr>
              <w:instrText xml:space="preserve"> PAGEREF _Toc59624219 \h </w:instrText>
            </w:r>
            <w:r w:rsidR="001E0606">
              <w:rPr>
                <w:webHidden/>
              </w:rPr>
            </w:r>
            <w:r w:rsidR="001E0606">
              <w:rPr>
                <w:webHidden/>
              </w:rPr>
              <w:fldChar w:fldCharType="separate"/>
            </w:r>
            <w:r w:rsidR="001E0606">
              <w:rPr>
                <w:webHidden/>
              </w:rPr>
              <w:t>48</w:t>
            </w:r>
            <w:r w:rsidR="001E0606">
              <w:rPr>
                <w:webHidden/>
              </w:rPr>
              <w:fldChar w:fldCharType="end"/>
            </w:r>
          </w:hyperlink>
        </w:p>
        <w:p w14:paraId="67EF0550" w14:textId="026C96E6" w:rsidR="001E0606" w:rsidRDefault="004169A0">
          <w:pPr>
            <w:pStyle w:val="TOC2"/>
            <w:rPr>
              <w:rFonts w:asciiTheme="minorHAnsi" w:hAnsiTheme="minorHAnsi"/>
              <w:color w:val="auto"/>
              <w:lang w:eastAsia="en-AU"/>
            </w:rPr>
          </w:pPr>
          <w:hyperlink w:anchor="_Toc59624220" w:history="1">
            <w:r w:rsidR="001E0606" w:rsidRPr="00C90FE3">
              <w:rPr>
                <w:rStyle w:val="Hyperlink"/>
              </w:rPr>
              <w:t>Freedom of information</w:t>
            </w:r>
            <w:r w:rsidR="001E0606">
              <w:rPr>
                <w:webHidden/>
              </w:rPr>
              <w:tab/>
            </w:r>
            <w:r w:rsidR="001E0606">
              <w:rPr>
                <w:webHidden/>
              </w:rPr>
              <w:fldChar w:fldCharType="begin"/>
            </w:r>
            <w:r w:rsidR="001E0606">
              <w:rPr>
                <w:webHidden/>
              </w:rPr>
              <w:instrText xml:space="preserve"> PAGEREF _Toc59624220 \h </w:instrText>
            </w:r>
            <w:r w:rsidR="001E0606">
              <w:rPr>
                <w:webHidden/>
              </w:rPr>
            </w:r>
            <w:r w:rsidR="001E0606">
              <w:rPr>
                <w:webHidden/>
              </w:rPr>
              <w:fldChar w:fldCharType="separate"/>
            </w:r>
            <w:r w:rsidR="001E0606">
              <w:rPr>
                <w:webHidden/>
              </w:rPr>
              <w:t>49</w:t>
            </w:r>
            <w:r w:rsidR="001E0606">
              <w:rPr>
                <w:webHidden/>
              </w:rPr>
              <w:fldChar w:fldCharType="end"/>
            </w:r>
          </w:hyperlink>
        </w:p>
        <w:p w14:paraId="57ABB084" w14:textId="6C215E83" w:rsidR="001E0606" w:rsidRDefault="004169A0">
          <w:pPr>
            <w:pStyle w:val="TOC2"/>
            <w:rPr>
              <w:rFonts w:asciiTheme="minorHAnsi" w:hAnsiTheme="minorHAnsi"/>
              <w:color w:val="auto"/>
              <w:lang w:eastAsia="en-AU"/>
            </w:rPr>
          </w:pPr>
          <w:hyperlink w:anchor="_Toc59624221" w:history="1">
            <w:r w:rsidR="001E0606" w:rsidRPr="00C90FE3">
              <w:rPr>
                <w:rStyle w:val="Hyperlink"/>
              </w:rPr>
              <w:t>Compliance with Building Act 1993</w:t>
            </w:r>
            <w:r w:rsidR="001E0606">
              <w:rPr>
                <w:webHidden/>
              </w:rPr>
              <w:tab/>
            </w:r>
            <w:r w:rsidR="001E0606">
              <w:rPr>
                <w:webHidden/>
              </w:rPr>
              <w:fldChar w:fldCharType="begin"/>
            </w:r>
            <w:r w:rsidR="001E0606">
              <w:rPr>
                <w:webHidden/>
              </w:rPr>
              <w:instrText xml:space="preserve"> PAGEREF _Toc59624221 \h </w:instrText>
            </w:r>
            <w:r w:rsidR="001E0606">
              <w:rPr>
                <w:webHidden/>
              </w:rPr>
            </w:r>
            <w:r w:rsidR="001E0606">
              <w:rPr>
                <w:webHidden/>
              </w:rPr>
              <w:fldChar w:fldCharType="separate"/>
            </w:r>
            <w:r w:rsidR="001E0606">
              <w:rPr>
                <w:webHidden/>
              </w:rPr>
              <w:t>51</w:t>
            </w:r>
            <w:r w:rsidR="001E0606">
              <w:rPr>
                <w:webHidden/>
              </w:rPr>
              <w:fldChar w:fldCharType="end"/>
            </w:r>
          </w:hyperlink>
        </w:p>
        <w:p w14:paraId="709FABB7" w14:textId="25C99086" w:rsidR="001E0606" w:rsidRDefault="004169A0">
          <w:pPr>
            <w:pStyle w:val="TOC2"/>
            <w:rPr>
              <w:rFonts w:asciiTheme="minorHAnsi" w:hAnsiTheme="minorHAnsi"/>
              <w:color w:val="auto"/>
              <w:lang w:eastAsia="en-AU"/>
            </w:rPr>
          </w:pPr>
          <w:hyperlink w:anchor="_Toc59624222" w:history="1">
            <w:r w:rsidR="001E0606" w:rsidRPr="00C90FE3">
              <w:rPr>
                <w:rStyle w:val="Hyperlink"/>
              </w:rPr>
              <w:t>Privacy and Data Protection Act 2014</w:t>
            </w:r>
            <w:r w:rsidR="001E0606">
              <w:rPr>
                <w:webHidden/>
              </w:rPr>
              <w:tab/>
            </w:r>
            <w:r w:rsidR="001E0606">
              <w:rPr>
                <w:webHidden/>
              </w:rPr>
              <w:fldChar w:fldCharType="begin"/>
            </w:r>
            <w:r w:rsidR="001E0606">
              <w:rPr>
                <w:webHidden/>
              </w:rPr>
              <w:instrText xml:space="preserve"> PAGEREF _Toc59624222 \h </w:instrText>
            </w:r>
            <w:r w:rsidR="001E0606">
              <w:rPr>
                <w:webHidden/>
              </w:rPr>
            </w:r>
            <w:r w:rsidR="001E0606">
              <w:rPr>
                <w:webHidden/>
              </w:rPr>
              <w:fldChar w:fldCharType="separate"/>
            </w:r>
            <w:r w:rsidR="001E0606">
              <w:rPr>
                <w:webHidden/>
              </w:rPr>
              <w:t>51</w:t>
            </w:r>
            <w:r w:rsidR="001E0606">
              <w:rPr>
                <w:webHidden/>
              </w:rPr>
              <w:fldChar w:fldCharType="end"/>
            </w:r>
          </w:hyperlink>
        </w:p>
        <w:p w14:paraId="388B7DAC" w14:textId="1D3B8E45" w:rsidR="001E0606" w:rsidRDefault="004169A0">
          <w:pPr>
            <w:pStyle w:val="TOC2"/>
            <w:rPr>
              <w:rFonts w:asciiTheme="minorHAnsi" w:hAnsiTheme="minorHAnsi"/>
              <w:color w:val="auto"/>
              <w:lang w:eastAsia="en-AU"/>
            </w:rPr>
          </w:pPr>
          <w:hyperlink w:anchor="_Toc59624223" w:history="1">
            <w:r w:rsidR="001E0606" w:rsidRPr="00C90FE3">
              <w:rPr>
                <w:rStyle w:val="Hyperlink"/>
              </w:rPr>
              <w:t>Competitive Neutrality Policy Victoria</w:t>
            </w:r>
            <w:r w:rsidR="001E0606">
              <w:rPr>
                <w:webHidden/>
              </w:rPr>
              <w:tab/>
            </w:r>
            <w:r w:rsidR="001E0606">
              <w:rPr>
                <w:webHidden/>
              </w:rPr>
              <w:fldChar w:fldCharType="begin"/>
            </w:r>
            <w:r w:rsidR="001E0606">
              <w:rPr>
                <w:webHidden/>
              </w:rPr>
              <w:instrText xml:space="preserve"> PAGEREF _Toc59624223 \h </w:instrText>
            </w:r>
            <w:r w:rsidR="001E0606">
              <w:rPr>
                <w:webHidden/>
              </w:rPr>
            </w:r>
            <w:r w:rsidR="001E0606">
              <w:rPr>
                <w:webHidden/>
              </w:rPr>
              <w:fldChar w:fldCharType="separate"/>
            </w:r>
            <w:r w:rsidR="001E0606">
              <w:rPr>
                <w:webHidden/>
              </w:rPr>
              <w:t>51</w:t>
            </w:r>
            <w:r w:rsidR="001E0606">
              <w:rPr>
                <w:webHidden/>
              </w:rPr>
              <w:fldChar w:fldCharType="end"/>
            </w:r>
          </w:hyperlink>
        </w:p>
        <w:p w14:paraId="5A61026E" w14:textId="33C649AF" w:rsidR="001E0606" w:rsidRDefault="004169A0">
          <w:pPr>
            <w:pStyle w:val="TOC2"/>
            <w:rPr>
              <w:rFonts w:asciiTheme="minorHAnsi" w:hAnsiTheme="minorHAnsi"/>
              <w:color w:val="auto"/>
              <w:lang w:eastAsia="en-AU"/>
            </w:rPr>
          </w:pPr>
          <w:hyperlink w:anchor="_Toc59624224" w:history="1">
            <w:r w:rsidR="001E0606" w:rsidRPr="00C90FE3">
              <w:rPr>
                <w:rStyle w:val="Hyperlink"/>
              </w:rPr>
              <w:t>Compliance with Public Interest Disclosures Act 2012</w:t>
            </w:r>
            <w:r w:rsidR="001E0606">
              <w:rPr>
                <w:webHidden/>
              </w:rPr>
              <w:tab/>
            </w:r>
            <w:r w:rsidR="001E0606">
              <w:rPr>
                <w:webHidden/>
              </w:rPr>
              <w:fldChar w:fldCharType="begin"/>
            </w:r>
            <w:r w:rsidR="001E0606">
              <w:rPr>
                <w:webHidden/>
              </w:rPr>
              <w:instrText xml:space="preserve"> PAGEREF _Toc59624224 \h </w:instrText>
            </w:r>
            <w:r w:rsidR="001E0606">
              <w:rPr>
                <w:webHidden/>
              </w:rPr>
            </w:r>
            <w:r w:rsidR="001E0606">
              <w:rPr>
                <w:webHidden/>
              </w:rPr>
              <w:fldChar w:fldCharType="separate"/>
            </w:r>
            <w:r w:rsidR="001E0606">
              <w:rPr>
                <w:webHidden/>
              </w:rPr>
              <w:t>51</w:t>
            </w:r>
            <w:r w:rsidR="001E0606">
              <w:rPr>
                <w:webHidden/>
              </w:rPr>
              <w:fldChar w:fldCharType="end"/>
            </w:r>
          </w:hyperlink>
        </w:p>
        <w:p w14:paraId="56A712B9" w14:textId="0A90117C" w:rsidR="001E0606" w:rsidRDefault="004169A0">
          <w:pPr>
            <w:pStyle w:val="TOC2"/>
            <w:rPr>
              <w:rFonts w:asciiTheme="minorHAnsi" w:hAnsiTheme="minorHAnsi"/>
              <w:color w:val="auto"/>
              <w:lang w:eastAsia="en-AU"/>
            </w:rPr>
          </w:pPr>
          <w:hyperlink w:anchor="_Toc59624225" w:history="1">
            <w:r w:rsidR="001E0606" w:rsidRPr="00C90FE3">
              <w:rPr>
                <w:rStyle w:val="Hyperlink"/>
              </w:rPr>
              <w:t>Compliance with DataVic Access Policy</w:t>
            </w:r>
            <w:r w:rsidR="001E0606">
              <w:rPr>
                <w:webHidden/>
              </w:rPr>
              <w:tab/>
            </w:r>
            <w:r w:rsidR="001E0606">
              <w:rPr>
                <w:webHidden/>
              </w:rPr>
              <w:fldChar w:fldCharType="begin"/>
            </w:r>
            <w:r w:rsidR="001E0606">
              <w:rPr>
                <w:webHidden/>
              </w:rPr>
              <w:instrText xml:space="preserve"> PAGEREF _Toc59624225 \h </w:instrText>
            </w:r>
            <w:r w:rsidR="001E0606">
              <w:rPr>
                <w:webHidden/>
              </w:rPr>
            </w:r>
            <w:r w:rsidR="001E0606">
              <w:rPr>
                <w:webHidden/>
              </w:rPr>
              <w:fldChar w:fldCharType="separate"/>
            </w:r>
            <w:r w:rsidR="001E0606">
              <w:rPr>
                <w:webHidden/>
              </w:rPr>
              <w:t>52</w:t>
            </w:r>
            <w:r w:rsidR="001E0606">
              <w:rPr>
                <w:webHidden/>
              </w:rPr>
              <w:fldChar w:fldCharType="end"/>
            </w:r>
          </w:hyperlink>
        </w:p>
        <w:p w14:paraId="62861819" w14:textId="16935CBA" w:rsidR="001E0606" w:rsidRDefault="004169A0">
          <w:pPr>
            <w:pStyle w:val="TOC1"/>
            <w:rPr>
              <w:rFonts w:asciiTheme="minorHAnsi" w:hAnsiTheme="minorHAnsi"/>
              <w:b w:val="0"/>
              <w:lang w:eastAsia="en-AU"/>
            </w:rPr>
          </w:pPr>
          <w:hyperlink w:anchor="_Toc59624226" w:history="1">
            <w:r w:rsidR="001E0606" w:rsidRPr="00C90FE3">
              <w:rPr>
                <w:rStyle w:val="Hyperlink"/>
              </w:rPr>
              <w:t>Annual ﬁnancial statements</w:t>
            </w:r>
            <w:r w:rsidR="001E0606">
              <w:rPr>
                <w:webHidden/>
              </w:rPr>
              <w:tab/>
            </w:r>
            <w:r w:rsidR="001E0606">
              <w:rPr>
                <w:webHidden/>
              </w:rPr>
              <w:fldChar w:fldCharType="begin"/>
            </w:r>
            <w:r w:rsidR="001E0606">
              <w:rPr>
                <w:webHidden/>
              </w:rPr>
              <w:instrText xml:space="preserve"> PAGEREF _Toc59624226 \h </w:instrText>
            </w:r>
            <w:r w:rsidR="001E0606">
              <w:rPr>
                <w:webHidden/>
              </w:rPr>
            </w:r>
            <w:r w:rsidR="001E0606">
              <w:rPr>
                <w:webHidden/>
              </w:rPr>
              <w:fldChar w:fldCharType="separate"/>
            </w:r>
            <w:r w:rsidR="001E0606">
              <w:rPr>
                <w:webHidden/>
              </w:rPr>
              <w:t>53</w:t>
            </w:r>
            <w:r w:rsidR="001E0606">
              <w:rPr>
                <w:webHidden/>
              </w:rPr>
              <w:fldChar w:fldCharType="end"/>
            </w:r>
          </w:hyperlink>
        </w:p>
        <w:p w14:paraId="4D576F91" w14:textId="5E7C1236" w:rsidR="001E0606" w:rsidRDefault="004169A0">
          <w:pPr>
            <w:pStyle w:val="TOC1"/>
            <w:rPr>
              <w:rFonts w:asciiTheme="minorHAnsi" w:hAnsiTheme="minorHAnsi"/>
              <w:b w:val="0"/>
              <w:lang w:eastAsia="en-AU"/>
            </w:rPr>
          </w:pPr>
          <w:hyperlink w:anchor="_Toc59624227" w:history="1">
            <w:r w:rsidR="001E0606" w:rsidRPr="00C90FE3">
              <w:rPr>
                <w:rStyle w:val="Hyperlink"/>
              </w:rPr>
              <w:t>Available as a separate document</w:t>
            </w:r>
            <w:r w:rsidR="001E0606">
              <w:rPr>
                <w:webHidden/>
              </w:rPr>
              <w:tab/>
            </w:r>
            <w:r w:rsidR="001E0606">
              <w:rPr>
                <w:webHidden/>
              </w:rPr>
              <w:fldChar w:fldCharType="begin"/>
            </w:r>
            <w:r w:rsidR="001E0606">
              <w:rPr>
                <w:webHidden/>
              </w:rPr>
              <w:instrText xml:space="preserve"> PAGEREF _Toc59624227 \h </w:instrText>
            </w:r>
            <w:r w:rsidR="001E0606">
              <w:rPr>
                <w:webHidden/>
              </w:rPr>
            </w:r>
            <w:r w:rsidR="001E0606">
              <w:rPr>
                <w:webHidden/>
              </w:rPr>
              <w:fldChar w:fldCharType="separate"/>
            </w:r>
            <w:r w:rsidR="001E0606">
              <w:rPr>
                <w:webHidden/>
              </w:rPr>
              <w:t>53</w:t>
            </w:r>
            <w:r w:rsidR="001E0606">
              <w:rPr>
                <w:webHidden/>
              </w:rPr>
              <w:fldChar w:fldCharType="end"/>
            </w:r>
          </w:hyperlink>
        </w:p>
        <w:p w14:paraId="2E5FEA83" w14:textId="069D3C6D" w:rsidR="001E0606" w:rsidRDefault="004169A0">
          <w:pPr>
            <w:pStyle w:val="TOC2"/>
            <w:rPr>
              <w:rFonts w:asciiTheme="minorHAnsi" w:hAnsiTheme="minorHAnsi"/>
              <w:color w:val="auto"/>
              <w:lang w:eastAsia="en-AU"/>
            </w:rPr>
          </w:pPr>
          <w:hyperlink w:anchor="_Toc59624228" w:history="1">
            <w:r w:rsidR="001E0606" w:rsidRPr="00C90FE3">
              <w:rPr>
                <w:rStyle w:val="Hyperlink"/>
              </w:rPr>
              <w:t>How this report is structured</w:t>
            </w:r>
            <w:r w:rsidR="001E0606">
              <w:rPr>
                <w:webHidden/>
              </w:rPr>
              <w:tab/>
            </w:r>
            <w:r w:rsidR="001E0606">
              <w:rPr>
                <w:webHidden/>
              </w:rPr>
              <w:fldChar w:fldCharType="begin"/>
            </w:r>
            <w:r w:rsidR="001E0606">
              <w:rPr>
                <w:webHidden/>
              </w:rPr>
              <w:instrText xml:space="preserve"> PAGEREF _Toc59624228 \h </w:instrText>
            </w:r>
            <w:r w:rsidR="001E0606">
              <w:rPr>
                <w:webHidden/>
              </w:rPr>
            </w:r>
            <w:r w:rsidR="001E0606">
              <w:rPr>
                <w:webHidden/>
              </w:rPr>
              <w:fldChar w:fldCharType="separate"/>
            </w:r>
            <w:r w:rsidR="001E0606">
              <w:rPr>
                <w:webHidden/>
              </w:rPr>
              <w:t>53</w:t>
            </w:r>
            <w:r w:rsidR="001E0606">
              <w:rPr>
                <w:webHidden/>
              </w:rPr>
              <w:fldChar w:fldCharType="end"/>
            </w:r>
          </w:hyperlink>
        </w:p>
        <w:p w14:paraId="30B47F74" w14:textId="322EF8E8" w:rsidR="001E0606" w:rsidRDefault="004169A0">
          <w:pPr>
            <w:pStyle w:val="TOC1"/>
            <w:rPr>
              <w:rFonts w:asciiTheme="minorHAnsi" w:hAnsiTheme="minorHAnsi"/>
              <w:b w:val="0"/>
              <w:lang w:eastAsia="en-AU"/>
            </w:rPr>
          </w:pPr>
          <w:hyperlink w:anchor="_Toc59624229" w:history="1">
            <w:r w:rsidR="001E0606" w:rsidRPr="00C90FE3">
              <w:rPr>
                <w:rStyle w:val="Hyperlink"/>
              </w:rPr>
              <w:t>Notes to the ﬁnancial statements</w:t>
            </w:r>
            <w:r w:rsidR="001E0606">
              <w:rPr>
                <w:webHidden/>
              </w:rPr>
              <w:tab/>
            </w:r>
            <w:r w:rsidR="001E0606">
              <w:rPr>
                <w:webHidden/>
              </w:rPr>
              <w:fldChar w:fldCharType="begin"/>
            </w:r>
            <w:r w:rsidR="001E0606">
              <w:rPr>
                <w:webHidden/>
              </w:rPr>
              <w:instrText xml:space="preserve"> PAGEREF _Toc59624229 \h </w:instrText>
            </w:r>
            <w:r w:rsidR="001E0606">
              <w:rPr>
                <w:webHidden/>
              </w:rPr>
            </w:r>
            <w:r w:rsidR="001E0606">
              <w:rPr>
                <w:webHidden/>
              </w:rPr>
              <w:fldChar w:fldCharType="separate"/>
            </w:r>
            <w:r w:rsidR="001E0606">
              <w:rPr>
                <w:webHidden/>
              </w:rPr>
              <w:t>53</w:t>
            </w:r>
            <w:r w:rsidR="001E0606">
              <w:rPr>
                <w:webHidden/>
              </w:rPr>
              <w:fldChar w:fldCharType="end"/>
            </w:r>
          </w:hyperlink>
        </w:p>
        <w:p w14:paraId="178A5325" w14:textId="0036E8AE" w:rsidR="001E0606" w:rsidRDefault="004169A0">
          <w:pPr>
            <w:pStyle w:val="TOC1"/>
            <w:rPr>
              <w:rFonts w:asciiTheme="minorHAnsi" w:hAnsiTheme="minorHAnsi"/>
              <w:b w:val="0"/>
              <w:lang w:eastAsia="en-AU"/>
            </w:rPr>
          </w:pPr>
          <w:hyperlink w:anchor="_Toc59624230" w:history="1">
            <w:r w:rsidR="001E0606" w:rsidRPr="00C90FE3">
              <w:rPr>
                <w:rStyle w:val="Hyperlink"/>
              </w:rPr>
              <w:t>Appendix 1: Disclosure index</w:t>
            </w:r>
            <w:r w:rsidR="001E0606">
              <w:rPr>
                <w:webHidden/>
              </w:rPr>
              <w:tab/>
            </w:r>
            <w:r w:rsidR="001E0606">
              <w:rPr>
                <w:webHidden/>
              </w:rPr>
              <w:fldChar w:fldCharType="begin"/>
            </w:r>
            <w:r w:rsidR="001E0606">
              <w:rPr>
                <w:webHidden/>
              </w:rPr>
              <w:instrText xml:space="preserve"> PAGEREF _Toc59624230 \h </w:instrText>
            </w:r>
            <w:r w:rsidR="001E0606">
              <w:rPr>
                <w:webHidden/>
              </w:rPr>
            </w:r>
            <w:r w:rsidR="001E0606">
              <w:rPr>
                <w:webHidden/>
              </w:rPr>
              <w:fldChar w:fldCharType="separate"/>
            </w:r>
            <w:r w:rsidR="001E0606">
              <w:rPr>
                <w:webHidden/>
              </w:rPr>
              <w:t>54</w:t>
            </w:r>
            <w:r w:rsidR="001E0606">
              <w:rPr>
                <w:webHidden/>
              </w:rPr>
              <w:fldChar w:fldCharType="end"/>
            </w:r>
          </w:hyperlink>
        </w:p>
        <w:p w14:paraId="30A4694A" w14:textId="3746B783" w:rsidR="001E0606" w:rsidRDefault="004169A0">
          <w:pPr>
            <w:pStyle w:val="TOC1"/>
            <w:rPr>
              <w:rFonts w:asciiTheme="minorHAnsi" w:hAnsiTheme="minorHAnsi"/>
              <w:b w:val="0"/>
              <w:lang w:eastAsia="en-AU"/>
            </w:rPr>
          </w:pPr>
          <w:hyperlink w:anchor="_Toc59624231" w:history="1">
            <w:r w:rsidR="001E0606" w:rsidRPr="00C90FE3">
              <w:rPr>
                <w:rStyle w:val="Hyperlink"/>
              </w:rPr>
              <w:t>Appendix 2: Office-based environmental performance</w:t>
            </w:r>
            <w:r w:rsidR="001E0606">
              <w:rPr>
                <w:webHidden/>
              </w:rPr>
              <w:tab/>
            </w:r>
            <w:r w:rsidR="001E0606">
              <w:rPr>
                <w:webHidden/>
              </w:rPr>
              <w:fldChar w:fldCharType="begin"/>
            </w:r>
            <w:r w:rsidR="001E0606">
              <w:rPr>
                <w:webHidden/>
              </w:rPr>
              <w:instrText xml:space="preserve"> PAGEREF _Toc59624231 \h </w:instrText>
            </w:r>
            <w:r w:rsidR="001E0606">
              <w:rPr>
                <w:webHidden/>
              </w:rPr>
            </w:r>
            <w:r w:rsidR="001E0606">
              <w:rPr>
                <w:webHidden/>
              </w:rPr>
              <w:fldChar w:fldCharType="separate"/>
            </w:r>
            <w:r w:rsidR="001E0606">
              <w:rPr>
                <w:webHidden/>
              </w:rPr>
              <w:t>57</w:t>
            </w:r>
            <w:r w:rsidR="001E0606">
              <w:rPr>
                <w:webHidden/>
              </w:rPr>
              <w:fldChar w:fldCharType="end"/>
            </w:r>
          </w:hyperlink>
        </w:p>
        <w:p w14:paraId="2E68143A" w14:textId="500B6E41" w:rsidR="001E0606" w:rsidRDefault="004169A0">
          <w:pPr>
            <w:pStyle w:val="TOC1"/>
            <w:rPr>
              <w:rFonts w:asciiTheme="minorHAnsi" w:hAnsiTheme="minorHAnsi"/>
              <w:b w:val="0"/>
              <w:lang w:eastAsia="en-AU"/>
            </w:rPr>
          </w:pPr>
          <w:hyperlink w:anchor="_Toc59624232" w:history="1">
            <w:r w:rsidR="001E0606" w:rsidRPr="00C90FE3">
              <w:rPr>
                <w:rStyle w:val="Hyperlink"/>
              </w:rPr>
              <w:t>Appendix 3: Office-based environmental impacts</w:t>
            </w:r>
            <w:r w:rsidR="001E0606">
              <w:rPr>
                <w:webHidden/>
              </w:rPr>
              <w:tab/>
            </w:r>
            <w:r w:rsidR="001E0606">
              <w:rPr>
                <w:webHidden/>
              </w:rPr>
              <w:fldChar w:fldCharType="begin"/>
            </w:r>
            <w:r w:rsidR="001E0606">
              <w:rPr>
                <w:webHidden/>
              </w:rPr>
              <w:instrText xml:space="preserve"> PAGEREF _Toc59624232 \h </w:instrText>
            </w:r>
            <w:r w:rsidR="001E0606">
              <w:rPr>
                <w:webHidden/>
              </w:rPr>
            </w:r>
            <w:r w:rsidR="001E0606">
              <w:rPr>
                <w:webHidden/>
              </w:rPr>
              <w:fldChar w:fldCharType="separate"/>
            </w:r>
            <w:r w:rsidR="001E0606">
              <w:rPr>
                <w:webHidden/>
              </w:rPr>
              <w:t>58</w:t>
            </w:r>
            <w:r w:rsidR="001E0606">
              <w:rPr>
                <w:webHidden/>
              </w:rPr>
              <w:fldChar w:fldCharType="end"/>
            </w:r>
          </w:hyperlink>
        </w:p>
        <w:p w14:paraId="69DCAE77" w14:textId="038E498A" w:rsidR="001E0606" w:rsidRDefault="004169A0">
          <w:pPr>
            <w:pStyle w:val="TOC1"/>
            <w:rPr>
              <w:rFonts w:asciiTheme="minorHAnsi" w:hAnsiTheme="minorHAnsi"/>
              <w:b w:val="0"/>
              <w:lang w:eastAsia="en-AU"/>
            </w:rPr>
          </w:pPr>
          <w:hyperlink w:anchor="_Toc59624233" w:history="1">
            <w:r w:rsidR="001E0606" w:rsidRPr="00C90FE3">
              <w:rPr>
                <w:rStyle w:val="Hyperlink"/>
              </w:rPr>
              <w:t>Appendix 4: Grant allocations</w:t>
            </w:r>
            <w:r w:rsidR="001E0606">
              <w:rPr>
                <w:webHidden/>
              </w:rPr>
              <w:tab/>
            </w:r>
            <w:r w:rsidR="001E0606">
              <w:rPr>
                <w:webHidden/>
              </w:rPr>
              <w:fldChar w:fldCharType="begin"/>
            </w:r>
            <w:r w:rsidR="001E0606">
              <w:rPr>
                <w:webHidden/>
              </w:rPr>
              <w:instrText xml:space="preserve"> PAGEREF _Toc59624233 \h </w:instrText>
            </w:r>
            <w:r w:rsidR="001E0606">
              <w:rPr>
                <w:webHidden/>
              </w:rPr>
            </w:r>
            <w:r w:rsidR="001E0606">
              <w:rPr>
                <w:webHidden/>
              </w:rPr>
              <w:fldChar w:fldCharType="separate"/>
            </w:r>
            <w:r w:rsidR="001E0606">
              <w:rPr>
                <w:webHidden/>
              </w:rPr>
              <w:t>64</w:t>
            </w:r>
            <w:r w:rsidR="001E0606">
              <w:rPr>
                <w:webHidden/>
              </w:rPr>
              <w:fldChar w:fldCharType="end"/>
            </w:r>
          </w:hyperlink>
        </w:p>
        <w:p w14:paraId="521DEA50" w14:textId="373DEDE0" w:rsidR="001E0606" w:rsidRDefault="004169A0">
          <w:pPr>
            <w:pStyle w:val="TOC1"/>
            <w:rPr>
              <w:rFonts w:asciiTheme="minorHAnsi" w:hAnsiTheme="minorHAnsi"/>
              <w:b w:val="0"/>
              <w:lang w:eastAsia="en-AU"/>
            </w:rPr>
          </w:pPr>
          <w:hyperlink w:anchor="_Toc59624234" w:history="1">
            <w:r w:rsidR="001E0606" w:rsidRPr="00C90FE3">
              <w:rPr>
                <w:rStyle w:val="Hyperlink"/>
              </w:rPr>
              <w:t>Appendix 5: Attestation for compliance with Ministerial Standing Direction</w:t>
            </w:r>
            <w:r w:rsidR="001E0606">
              <w:rPr>
                <w:webHidden/>
              </w:rPr>
              <w:tab/>
            </w:r>
            <w:r w:rsidR="001E0606">
              <w:rPr>
                <w:webHidden/>
              </w:rPr>
              <w:fldChar w:fldCharType="begin"/>
            </w:r>
            <w:r w:rsidR="001E0606">
              <w:rPr>
                <w:webHidden/>
              </w:rPr>
              <w:instrText xml:space="preserve"> PAGEREF _Toc59624234 \h </w:instrText>
            </w:r>
            <w:r w:rsidR="001E0606">
              <w:rPr>
                <w:webHidden/>
              </w:rPr>
            </w:r>
            <w:r w:rsidR="001E0606">
              <w:rPr>
                <w:webHidden/>
              </w:rPr>
              <w:fldChar w:fldCharType="separate"/>
            </w:r>
            <w:r w:rsidR="001E0606">
              <w:rPr>
                <w:webHidden/>
              </w:rPr>
              <w:t>85</w:t>
            </w:r>
            <w:r w:rsidR="001E0606">
              <w:rPr>
                <w:webHidden/>
              </w:rPr>
              <w:fldChar w:fldCharType="end"/>
            </w:r>
          </w:hyperlink>
        </w:p>
        <w:p w14:paraId="60B2EC28" w14:textId="31F5EE45" w:rsidR="001E0606" w:rsidRDefault="004169A0">
          <w:pPr>
            <w:pStyle w:val="TOC1"/>
            <w:rPr>
              <w:rFonts w:asciiTheme="minorHAnsi" w:hAnsiTheme="minorHAnsi"/>
              <w:b w:val="0"/>
              <w:lang w:eastAsia="en-AU"/>
            </w:rPr>
          </w:pPr>
          <w:hyperlink w:anchor="_Toc59624235" w:history="1">
            <w:r w:rsidR="001E0606" w:rsidRPr="00C90FE3">
              <w:rPr>
                <w:rStyle w:val="Hyperlink"/>
              </w:rPr>
              <w:t>Appendix 6: Acronyms</w:t>
            </w:r>
            <w:r w:rsidR="001E0606">
              <w:rPr>
                <w:webHidden/>
              </w:rPr>
              <w:tab/>
            </w:r>
            <w:r w:rsidR="001E0606">
              <w:rPr>
                <w:webHidden/>
              </w:rPr>
              <w:fldChar w:fldCharType="begin"/>
            </w:r>
            <w:r w:rsidR="001E0606">
              <w:rPr>
                <w:webHidden/>
              </w:rPr>
              <w:instrText xml:space="preserve"> PAGEREF _Toc59624235 \h </w:instrText>
            </w:r>
            <w:r w:rsidR="001E0606">
              <w:rPr>
                <w:webHidden/>
              </w:rPr>
            </w:r>
            <w:r w:rsidR="001E0606">
              <w:rPr>
                <w:webHidden/>
              </w:rPr>
              <w:fldChar w:fldCharType="separate"/>
            </w:r>
            <w:r w:rsidR="001E0606">
              <w:rPr>
                <w:webHidden/>
              </w:rPr>
              <w:t>86</w:t>
            </w:r>
            <w:r w:rsidR="001E0606">
              <w:rPr>
                <w:webHidden/>
              </w:rPr>
              <w:fldChar w:fldCharType="end"/>
            </w:r>
          </w:hyperlink>
        </w:p>
        <w:p w14:paraId="2817FBE0" w14:textId="53DE042F" w:rsidR="00C24856" w:rsidRDefault="00640C2A" w:rsidP="002D4B7F">
          <w:r>
            <w:rPr>
              <w:rFonts w:asciiTheme="majorHAnsi" w:hAnsiTheme="majorHAnsi"/>
              <w:b/>
              <w:noProof/>
            </w:rPr>
            <w:fldChar w:fldCharType="end"/>
          </w:r>
        </w:p>
      </w:sdtContent>
    </w:sdt>
    <w:p w14:paraId="6BD38624" w14:textId="7F84E4D4" w:rsidR="00CA6860" w:rsidRDefault="00CA6860" w:rsidP="006A49E5"/>
    <w:p w14:paraId="6F784D15" w14:textId="77777777" w:rsidR="00C24856" w:rsidRDefault="00C24856" w:rsidP="006A49E5">
      <w:pPr>
        <w:sectPr w:rsidR="00C24856" w:rsidSect="00A90711">
          <w:headerReference w:type="default" r:id="rId12"/>
          <w:footerReference w:type="even" r:id="rId13"/>
          <w:footerReference w:type="default" r:id="rId14"/>
          <w:footerReference w:type="first" r:id="rId15"/>
          <w:pgSz w:w="11906" w:h="16838" w:code="9"/>
          <w:pgMar w:top="1702" w:right="1440" w:bottom="993" w:left="1440" w:header="851" w:footer="369" w:gutter="0"/>
          <w:cols w:space="708"/>
          <w:titlePg/>
          <w:docGrid w:linePitch="360"/>
        </w:sectPr>
      </w:pPr>
    </w:p>
    <w:p w14:paraId="254639B7" w14:textId="77777777" w:rsidR="00B30771" w:rsidRDefault="00B30771" w:rsidP="00B30771">
      <w:pPr>
        <w:pStyle w:val="Heading1"/>
      </w:pPr>
      <w:bookmarkStart w:id="0" w:name="_Toc59624183"/>
      <w:r>
        <w:lastRenderedPageBreak/>
        <w:t>Declaration in report of operations</w:t>
      </w:r>
      <w:bookmarkEnd w:id="0"/>
    </w:p>
    <w:p w14:paraId="1220F09C" w14:textId="77777777" w:rsidR="00B30771" w:rsidRDefault="00B30771" w:rsidP="00B30771"/>
    <w:p w14:paraId="14BB3CF5" w14:textId="77777777" w:rsidR="00B30771" w:rsidRDefault="00B30771" w:rsidP="00B30771">
      <w:pPr>
        <w:pStyle w:val="Heading2"/>
      </w:pPr>
      <w:bookmarkStart w:id="1" w:name="_Toc59624184"/>
      <w:r>
        <w:t>Responsible Body Declaration</w:t>
      </w:r>
      <w:bookmarkEnd w:id="1"/>
    </w:p>
    <w:p w14:paraId="6559DF97" w14:textId="1C7863EB" w:rsidR="00C133ED" w:rsidRDefault="00B30771" w:rsidP="00B30771">
      <w:r>
        <w:t xml:space="preserve">In accordance with the </w:t>
      </w:r>
      <w:r w:rsidRPr="00B30771">
        <w:rPr>
          <w:i/>
          <w:iCs/>
        </w:rPr>
        <w:t>Financial Management Act 1994</w:t>
      </w:r>
      <w:r>
        <w:t>, I am pleased to present Sustainability Victoria’s Annual Report for the year ending 30</w:t>
      </w:r>
      <w:r w:rsidR="007536F1">
        <w:t> </w:t>
      </w:r>
      <w:r>
        <w:t>June</w:t>
      </w:r>
      <w:r w:rsidR="007536F1">
        <w:t> </w:t>
      </w:r>
      <w:r>
        <w:t>2020.</w:t>
      </w:r>
    </w:p>
    <w:p w14:paraId="46A59DAF" w14:textId="77777777" w:rsidR="004A5B35" w:rsidRDefault="004A5B35" w:rsidP="00F51716">
      <w:pPr>
        <w:rPr>
          <w:highlight w:val="yellow"/>
        </w:rPr>
      </w:pPr>
    </w:p>
    <w:p w14:paraId="0D643540" w14:textId="77777777" w:rsidR="004A5B35" w:rsidRDefault="004A5B35" w:rsidP="00F51716">
      <w:pPr>
        <w:rPr>
          <w:highlight w:val="yellow"/>
        </w:rPr>
      </w:pPr>
    </w:p>
    <w:p w14:paraId="64F56B6D" w14:textId="4F3A5F3B" w:rsidR="00C133ED" w:rsidRPr="00E94CF8" w:rsidRDefault="00F53FEB" w:rsidP="00F51716">
      <w:r w:rsidRPr="00E94CF8">
        <w:t>Chairperson Signature inserted</w:t>
      </w:r>
    </w:p>
    <w:p w14:paraId="1BC6959B" w14:textId="078E3D27" w:rsidR="00F051AF" w:rsidRPr="00E94CF8" w:rsidRDefault="00F051AF" w:rsidP="00F51716"/>
    <w:p w14:paraId="35ED2ED6" w14:textId="25ED490F" w:rsidR="00F051AF" w:rsidRPr="00E94CF8" w:rsidRDefault="00F051AF" w:rsidP="00F51716"/>
    <w:p w14:paraId="1B189DC4" w14:textId="6CE5032A" w:rsidR="00F051AF" w:rsidRPr="00E94CF8" w:rsidRDefault="00F051AF" w:rsidP="00F51716"/>
    <w:p w14:paraId="28B75C65" w14:textId="77777777" w:rsidR="00F051AF" w:rsidRPr="00E94CF8" w:rsidRDefault="00F051AF" w:rsidP="00F51716"/>
    <w:p w14:paraId="253F7526" w14:textId="1229D197" w:rsidR="00C133ED" w:rsidRPr="00E94CF8" w:rsidRDefault="00FD196C" w:rsidP="00F51716">
      <w:r w:rsidRPr="00E94CF8">
        <w:t>Vicky Darling</w:t>
      </w:r>
    </w:p>
    <w:p w14:paraId="201F0F9C" w14:textId="1A713D0A" w:rsidR="00FD196C" w:rsidRPr="00E94CF8" w:rsidRDefault="00FD196C" w:rsidP="00F51716">
      <w:r w:rsidRPr="00E94CF8">
        <w:t>Chairperson</w:t>
      </w:r>
    </w:p>
    <w:p w14:paraId="022361A3" w14:textId="30646892" w:rsidR="00C133ED" w:rsidRPr="00E94CF8" w:rsidRDefault="00C133ED" w:rsidP="00F51716">
      <w:r w:rsidRPr="00E94CF8">
        <w:t>Sustainability Victoria</w:t>
      </w:r>
    </w:p>
    <w:p w14:paraId="170C6BE1" w14:textId="7AED7C4E" w:rsidR="004A5B35" w:rsidRPr="00E94CF8" w:rsidRDefault="004A5B35" w:rsidP="00F51716">
      <w:r w:rsidRPr="00E94CF8">
        <w:t>December 2020</w:t>
      </w:r>
    </w:p>
    <w:p w14:paraId="7033FF7B" w14:textId="3A34DD98" w:rsidR="0064627E" w:rsidRPr="00E94CF8" w:rsidRDefault="0064627E" w:rsidP="00F51716"/>
    <w:p w14:paraId="1925E198" w14:textId="1C741EFC" w:rsidR="00846607" w:rsidRPr="00E94CF8" w:rsidRDefault="00846607" w:rsidP="00F51716"/>
    <w:p w14:paraId="2DD55D40" w14:textId="28554242" w:rsidR="00846607" w:rsidRDefault="00846607" w:rsidP="00F51716">
      <w:r w:rsidRPr="00E94CF8">
        <w:rPr>
          <w:noProof/>
        </w:rPr>
        <mc:AlternateContent>
          <mc:Choice Requires="wps">
            <w:drawing>
              <wp:anchor distT="0" distB="0" distL="114300" distR="114300" simplePos="0" relativeHeight="251658240" behindDoc="0" locked="0" layoutInCell="1" allowOverlap="1" wp14:anchorId="69DBAD53" wp14:editId="2B9530B4">
                <wp:simplePos x="0" y="0"/>
                <wp:positionH relativeFrom="column">
                  <wp:posOffset>0</wp:posOffset>
                </wp:positionH>
                <wp:positionV relativeFrom="paragraph">
                  <wp:posOffset>276225</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3969453" w14:textId="4C70DF6C" w:rsidR="005F5554" w:rsidRPr="00E94CF8" w:rsidRDefault="005F5554" w:rsidP="00F51716">
                            <w:r w:rsidRPr="00E94CF8">
                              <w:t xml:space="preserve">Acknowledgment </w:t>
                            </w:r>
                          </w:p>
                          <w:p w14:paraId="6D672076" w14:textId="28893A84" w:rsidR="005F5554" w:rsidRPr="00555A6A" w:rsidRDefault="005F5554" w:rsidP="00F51716">
                            <w:r w:rsidRPr="00E94CF8">
                              <w:t>Sustainability Victoria acknowledges the Traditional Owners and custodians of the land upon which we live and work. We pay our respects to their Elders, past and present. We draw inspiration from their traditional care of the land, water and air and join them in protecting these for all Victorians; now and in the future.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9DBAD53" id="_x0000_t202" coordsize="21600,21600" o:spt="202" path="m,l,21600r21600,l21600,xe">
                <v:stroke joinstyle="miter"/>
                <v:path gradientshapeok="t" o:connecttype="rect"/>
              </v:shapetype>
              <v:shape id="Text Box 2" o:spid="_x0000_s1026" type="#_x0000_t202" style="position:absolute;margin-left:0;margin-top:21.75pt;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WIOgIAAHgEAAAOAAAAZHJzL2Uyb0RvYy54bWysVE1v2zAMvQ/YfxB0X+x4bZcGcYosRYcB&#10;RVsgHXpWZLk2JouCpMbufv2elDgNup2GXWR+PFIiH+nF1dBptlPOt2RKPp3knCkjqWrNc8l/PN58&#10;mnHmgzCV0GRUyV+V51fLjx8WvZ2rghrSlXIMSYyf97bkTQh2nmVeNqoTfkJWGThrcp0IUN1zVjnR&#10;I3unsyLPL7KeXGUdSeU9rNd7J1+m/HWtZLiva68C0yXH20I6XTq38cyWCzF/dsI2rTw8Q/zDKzrR&#10;Glx6THUtgmAvrv0jVddKR57qMJHUZVTXrVSpBlQzzd9Vs2mEVakWNMfbY5v8/0sr73YPjrVVyQvO&#10;jOhA0aMaAvtKAytid3rr5wBtLGBhgBksj3YPYyx6qF0XvyiHwY8+vx57G5PJGDQrZrMcLgnfqCB/&#10;9hZunQ/fFHUsCiV3IC/1VOxufdhDR0i8zdBNq3UiUBvWl/zi83meAjzptorOCIsha+3YTmAEtlrI&#10;n/H5uPYEBU0bGGOx+6KiFIbtAGgUt1S9ogGO9gPkrbxpkfdW+PAgHCYGhWELwj2OWhMeQweJs4bc&#10;r7/ZIx5EwstZjwksucGKcKa/GxB8OT07iwOblLPzLwUUd+rZnnrMS7cm1DfFtlmZxIgPehRrR90T&#10;VmUV74RLGImbSx5GcR32W4FVk2q1SiCMqBXh1mysjKnHbj4OT8LZA0sBBN/ROKli/o6sPTZGert6&#10;CaAsMfnW00PXMd6JlMMqxv051RPq7Yex/A0AAP//AwBQSwMEFAAGAAgAAAAhADFjzkbdAAAABwEA&#10;AA8AAABkcnMvZG93bnJldi54bWxMj71Ow0AQhHsk3uG0SHTknBiDMV5HKIguRUgi6otvsQ33Y/ku&#10;ic3Ts6mg3JnRzLflcrRGnGgInXcI81kCglztdecahP3u7S4HEaJyWhnvCGGiAMvq+qpUhfZn906n&#10;bWwEl7hQKIQ2xr6QMtQtWRVmvifH3qcfrIp8Do3UgzpzuTVykSQP0qrO8UKrelq1VH9vjxZBT9lq&#10;0uZH778+Hp82Xu826/CKeHszvjyDiDTGvzBc8BkdKmY6+KPTQRgEfiQi3KcZCHYXec7CASFN5xnI&#10;qpT/+atfAAAA//8DAFBLAQItABQABgAIAAAAIQC2gziS/gAAAOEBAAATAAAAAAAAAAAAAAAAAAAA&#10;AABbQ29udGVudF9UeXBlc10ueG1sUEsBAi0AFAAGAAgAAAAhADj9If/WAAAAlAEAAAsAAAAAAAAA&#10;AAAAAAAALwEAAF9yZWxzLy5yZWxzUEsBAi0AFAAGAAgAAAAhABEy9Yg6AgAAeAQAAA4AAAAAAAAA&#10;AAAAAAAALgIAAGRycy9lMm9Eb2MueG1sUEsBAi0AFAAGAAgAAAAhADFjzkbdAAAABwEAAA8AAAAA&#10;AAAAAAAAAAAAlAQAAGRycy9kb3ducmV2LnhtbFBLBQYAAAAABAAEAPMAAACeBQAAAAA=&#10;" filled="f" strokeweight=".5pt">
                <v:textbox style="mso-fit-shape-to-text:t">
                  <w:txbxContent>
                    <w:p w14:paraId="33969453" w14:textId="4C70DF6C" w:rsidR="005F5554" w:rsidRPr="00E94CF8" w:rsidRDefault="005F5554" w:rsidP="00F51716">
                      <w:r w:rsidRPr="00E94CF8">
                        <w:t xml:space="preserve">Acknowledgment </w:t>
                      </w:r>
                    </w:p>
                    <w:p w14:paraId="6D672076" w14:textId="28893A84" w:rsidR="005F5554" w:rsidRPr="00555A6A" w:rsidRDefault="005F5554" w:rsidP="00F51716">
                      <w:r w:rsidRPr="00E94CF8">
                        <w:t>Sustainability Victoria acknowledges the Traditional Owners and custodians of the land upon which we live and work. We pay our respects to their Elders, past and present. We draw inspiration from their traditional care of the land, water and air and join them in protecting these for all Victorians; now and in the future.</w:t>
                      </w:r>
                    </w:p>
                  </w:txbxContent>
                </v:textbox>
                <w10:wrap type="square"/>
              </v:shape>
            </w:pict>
          </mc:Fallback>
        </mc:AlternateContent>
      </w:r>
    </w:p>
    <w:p w14:paraId="5C910862" w14:textId="1ADF51CC" w:rsidR="0064627E" w:rsidRDefault="0064627E" w:rsidP="00F51716">
      <w:r>
        <w:br w:type="page"/>
      </w:r>
    </w:p>
    <w:p w14:paraId="2D193B61" w14:textId="6BE1B049" w:rsidR="00337BE2" w:rsidRPr="00810968" w:rsidRDefault="00337BE2" w:rsidP="00F51716">
      <w:pPr>
        <w:pStyle w:val="Heading1"/>
      </w:pPr>
      <w:bookmarkStart w:id="2" w:name="_Toc59624185"/>
      <w:bookmarkStart w:id="3" w:name="_Toc56627319"/>
      <w:r w:rsidRPr="00810968">
        <w:lastRenderedPageBreak/>
        <w:t>About us</w:t>
      </w:r>
      <w:bookmarkEnd w:id="2"/>
      <w:r w:rsidRPr="00810968">
        <w:t xml:space="preserve"> </w:t>
      </w:r>
    </w:p>
    <w:p w14:paraId="39EB5222" w14:textId="7F564EC8" w:rsidR="00BA1111" w:rsidRDefault="00BA1111" w:rsidP="00F51716">
      <w:r>
        <w:t xml:space="preserve">Sustainability Victoria's </w:t>
      </w:r>
      <w:r w:rsidR="00846607">
        <w:t xml:space="preserve">(SV) </w:t>
      </w:r>
      <w:r>
        <w:t xml:space="preserve">statutory objective is to facilitate and promote environmental sustainability in the use of resources. Established under the </w:t>
      </w:r>
      <w:r w:rsidRPr="00AB668E">
        <w:rPr>
          <w:i/>
          <w:iCs/>
        </w:rPr>
        <w:t>Sustainability Victoria Act 2005</w:t>
      </w:r>
      <w:r>
        <w:t xml:space="preserve">, SV is a statutory authority with a </w:t>
      </w:r>
      <w:r w:rsidR="00801DD3">
        <w:t>B</w:t>
      </w:r>
      <w:r>
        <w:t>oard appointed by the Minister for Environment and Climate Change.</w:t>
      </w:r>
    </w:p>
    <w:p w14:paraId="77A9AC66" w14:textId="77777777" w:rsidR="00CA6860" w:rsidRDefault="00CA6860" w:rsidP="00F51716">
      <w:r>
        <w:t>We provide a first port-of-call for all Victorians, to inspire practical ideas and advice, and improve our environment and use resources wisely.</w:t>
      </w:r>
    </w:p>
    <w:p w14:paraId="2468DB50" w14:textId="71A5C287" w:rsidR="00227B38" w:rsidRPr="00810968" w:rsidRDefault="00227B38" w:rsidP="00F51716">
      <w:pPr>
        <w:pStyle w:val="Heading2"/>
      </w:pPr>
      <w:bookmarkStart w:id="4" w:name="_Toc57039846"/>
      <w:bookmarkStart w:id="5" w:name="_Toc59624186"/>
      <w:r w:rsidRPr="00337BE2">
        <w:t>Our vision</w:t>
      </w:r>
      <w:bookmarkEnd w:id="4"/>
      <w:bookmarkEnd w:id="5"/>
    </w:p>
    <w:bookmarkEnd w:id="3"/>
    <w:p w14:paraId="129E661A" w14:textId="6D5668D0" w:rsidR="00227B38" w:rsidRPr="00A55FE5" w:rsidRDefault="00227B38" w:rsidP="00F51716">
      <w:r w:rsidRPr="00A55FE5">
        <w:t>Our vision is a sustainable, thriving Victoria.</w:t>
      </w:r>
    </w:p>
    <w:p w14:paraId="10AC3693" w14:textId="58EB42EB" w:rsidR="00E654DD" w:rsidRDefault="00E654DD" w:rsidP="00F51716">
      <w:pPr>
        <w:pStyle w:val="Heading2"/>
      </w:pPr>
      <w:bookmarkStart w:id="6" w:name="_Toc57039847"/>
      <w:bookmarkStart w:id="7" w:name="_Toc59624187"/>
      <w:r>
        <w:t>Our purpose</w:t>
      </w:r>
      <w:bookmarkEnd w:id="6"/>
      <w:bookmarkEnd w:id="7"/>
    </w:p>
    <w:p w14:paraId="5D443A34" w14:textId="0EF2E66C" w:rsidR="00E654DD" w:rsidRDefault="00E654DD" w:rsidP="00F51716">
      <w:r w:rsidRPr="00A55FE5">
        <w:t>Our purpose is to achieve a circular, climate resilient economy in Victoria and meet government targets in recycling and zero net emissions.</w:t>
      </w:r>
    </w:p>
    <w:p w14:paraId="31C2A9B8" w14:textId="77777777" w:rsidR="004A5B35" w:rsidRDefault="004A5B35" w:rsidP="00F51716">
      <w:r>
        <w:t>We are passionate about creating a future where waste is designed out of the system and products and materials stay in our economy for as long as possible. We are dedicated to working alongside communities to create a local, thriving lifestyle, where there are no net carbon emissions, Victorians are healthy and our economy, strong.</w:t>
      </w:r>
      <w:r w:rsidRPr="00A55FE5">
        <w:t xml:space="preserve"> We want everyone to enjoy a healthy environment and quality of life now, tomorrow and always.</w:t>
      </w:r>
    </w:p>
    <w:p w14:paraId="2D61FA32" w14:textId="6C3A840D" w:rsidR="00806452" w:rsidRDefault="00806452" w:rsidP="00F51716"/>
    <w:p w14:paraId="0364B0C5" w14:textId="48DE1CE7" w:rsidR="00DD2B9C" w:rsidRDefault="00DD2B9C" w:rsidP="00F51716"/>
    <w:p w14:paraId="58EFB158" w14:textId="77777777" w:rsidR="00DD2B9C" w:rsidRPr="003363DD" w:rsidRDefault="00DD2B9C" w:rsidP="00F51716"/>
    <w:p w14:paraId="67E05F7B" w14:textId="77777777" w:rsidR="00806452" w:rsidRPr="00A45012" w:rsidRDefault="00806452" w:rsidP="00A45012">
      <w:pPr>
        <w:pStyle w:val="Quote"/>
      </w:pPr>
      <w:r w:rsidRPr="00A45012">
        <w:rPr>
          <w:rStyle w:val="A1"/>
          <w:rFonts w:cstheme="minorBidi"/>
          <w:color w:val="404040" w:themeColor="text1" w:themeTint="BF"/>
        </w:rPr>
        <w:t>Our goal is to become Australia’s most sustainable state by 2030, and a global leader in sustainability solutions by 2050.</w:t>
      </w:r>
    </w:p>
    <w:p w14:paraId="2E2612C9" w14:textId="00D14142" w:rsidR="00806452" w:rsidRDefault="00806452" w:rsidP="00F51716">
      <w:pPr>
        <w:pStyle w:val="Heading2"/>
      </w:pPr>
      <w:r>
        <w:br w:type="page"/>
      </w:r>
      <w:bookmarkStart w:id="8" w:name="_Toc57039849"/>
      <w:bookmarkStart w:id="9" w:name="_Toc59624188"/>
      <w:r>
        <w:lastRenderedPageBreak/>
        <w:t xml:space="preserve">Our </w:t>
      </w:r>
      <w:r w:rsidR="00C24856">
        <w:t xml:space="preserve">strategic </w:t>
      </w:r>
      <w:r w:rsidR="006E31EC">
        <w:t>focus</w:t>
      </w:r>
      <w:bookmarkEnd w:id="8"/>
      <w:bookmarkEnd w:id="9"/>
    </w:p>
    <w:p w14:paraId="05AB6EC8" w14:textId="5AF88126" w:rsidR="00806452" w:rsidRDefault="006E31EC" w:rsidP="00F51716">
      <w:r>
        <w:t xml:space="preserve">Over the past four years, we’ve been working to deliver </w:t>
      </w:r>
      <w:r w:rsidR="00846607">
        <w:t>our SV2020 strategy under two</w:t>
      </w:r>
      <w:r w:rsidR="00DF1705">
        <w:t xml:space="preserve"> priorities</w:t>
      </w:r>
      <w:r w:rsidR="00806452">
        <w:t>:</w:t>
      </w:r>
    </w:p>
    <w:p w14:paraId="0993B1ED" w14:textId="77777777" w:rsidR="00846607" w:rsidRDefault="00846607" w:rsidP="00F51716">
      <w:pPr>
        <w:pStyle w:val="ListBullet"/>
      </w:pPr>
      <w:r>
        <w:t xml:space="preserve">Priority One: Help </w:t>
      </w:r>
      <w:r w:rsidR="006E31EC">
        <w:t>Victorians to act on climate change</w:t>
      </w:r>
    </w:p>
    <w:p w14:paraId="1FEBF712" w14:textId="583B9A0A" w:rsidR="006E31EC" w:rsidRDefault="00846607" w:rsidP="00F51716">
      <w:pPr>
        <w:pStyle w:val="ListBullet"/>
      </w:pPr>
      <w:r>
        <w:t xml:space="preserve">Priority Two: Help Victorians </w:t>
      </w:r>
      <w:r w:rsidR="006E31EC">
        <w:t>to use resources wisely</w:t>
      </w:r>
    </w:p>
    <w:p w14:paraId="46E8167C" w14:textId="0A7F7217" w:rsidR="00DF1705" w:rsidRDefault="00846607" w:rsidP="00F51716">
      <w:r>
        <w:t xml:space="preserve">From 2020 to 2023, we’ll be delivering our work under SV2023 with five strategic focus areas: </w:t>
      </w:r>
    </w:p>
    <w:p w14:paraId="4DA3EFF8" w14:textId="77777777" w:rsidR="00846607" w:rsidRDefault="00846607" w:rsidP="00F51716">
      <w:pPr>
        <w:sectPr w:rsidR="00846607" w:rsidSect="00C24856">
          <w:footerReference w:type="first" r:id="rId16"/>
          <w:pgSz w:w="11906" w:h="16838" w:code="9"/>
          <w:pgMar w:top="1702" w:right="1440" w:bottom="993" w:left="1440" w:header="851" w:footer="369" w:gutter="0"/>
          <w:pgNumType w:start="1"/>
          <w:cols w:space="708"/>
          <w:titlePg/>
          <w:docGrid w:linePitch="360"/>
        </w:sectPr>
      </w:pPr>
    </w:p>
    <w:p w14:paraId="0C991742" w14:textId="1D37504E" w:rsidR="00846607" w:rsidRPr="00A45012" w:rsidRDefault="00846607" w:rsidP="00F51716">
      <w:pPr>
        <w:pStyle w:val="ListNumber"/>
        <w:rPr>
          <w:rStyle w:val="Strong"/>
        </w:rPr>
      </w:pPr>
      <w:r w:rsidRPr="00A45012">
        <w:rPr>
          <w:rStyle w:val="Strong"/>
        </w:rPr>
        <w:t>We influence producers and regulators to retain highest product value</w:t>
      </w:r>
    </w:p>
    <w:p w14:paraId="6E107E86" w14:textId="2115E2BF" w:rsidR="00846607" w:rsidRDefault="00846607" w:rsidP="00F51716">
      <w:pPr>
        <w:rPr>
          <w:color w:val="61932E" w:themeColor="background1" w:themeShade="BF"/>
        </w:rPr>
      </w:pPr>
      <w:r>
        <w:t>We will work with Victorian businesses to find collaborative opportunities</w:t>
      </w:r>
      <w:r w:rsidRPr="00846607">
        <w:t xml:space="preserve"> </w:t>
      </w:r>
      <w:r>
        <w:t>to reduce waste, increase recycling, and boost revenue by extending the lifespan of materials used in products. We will support innovation within, and across, sectors.</w:t>
      </w:r>
    </w:p>
    <w:p w14:paraId="681DFA3E" w14:textId="41FB7400" w:rsidR="00846607" w:rsidRPr="00A45012" w:rsidRDefault="00846607" w:rsidP="00F51716">
      <w:pPr>
        <w:pStyle w:val="ListNumber"/>
        <w:rPr>
          <w:rStyle w:val="Strong"/>
        </w:rPr>
      </w:pPr>
      <w:r w:rsidRPr="00A45012">
        <w:rPr>
          <w:rStyle w:val="Strong"/>
        </w:rPr>
        <w:t>We enable resource recovery and reuse</w:t>
      </w:r>
    </w:p>
    <w:p w14:paraId="311D19EF" w14:textId="77777777" w:rsidR="00DD2B9C" w:rsidRDefault="00846607" w:rsidP="00F51716">
      <w:r>
        <w:t xml:space="preserve">We continue to provide long-term planning for waste and resource recovery infrastructure at state and regional levels, with the development of the Victorian Recycling Infrastructure Plan. The plan provides certainty for industry investment and identifies where the system can maximise recovery and reuse, while </w:t>
      </w:r>
      <w:r w:rsidR="00DD2B9C">
        <w:t>reducing harm to the environment and to community health and safety.</w:t>
      </w:r>
    </w:p>
    <w:p w14:paraId="6116105C" w14:textId="7E4B82A7" w:rsidR="00846607" w:rsidRPr="00A45012" w:rsidRDefault="00846607" w:rsidP="00F51716">
      <w:pPr>
        <w:pStyle w:val="ListNumber"/>
        <w:rPr>
          <w:rStyle w:val="Strong"/>
        </w:rPr>
      </w:pPr>
      <w:r w:rsidRPr="00A45012">
        <w:rPr>
          <w:rStyle w:val="Strong"/>
        </w:rPr>
        <w:t>We lead community behaviour change to reduce emissions and waste</w:t>
      </w:r>
    </w:p>
    <w:p w14:paraId="31E02F43" w14:textId="1589EAA9" w:rsidR="00DD2B9C" w:rsidRDefault="00DD2B9C" w:rsidP="00F51716">
      <w:r>
        <w:t>SV seeks to understand impacts across the entire supply chain and identify the best interventions at different levels of the system. We provide clear and engaging information to the Victorian community and work with businesses to improve the system in which Victorians make everyday decisions.</w:t>
      </w:r>
    </w:p>
    <w:p w14:paraId="267E9295" w14:textId="520D573E" w:rsidR="00846607" w:rsidRDefault="00DD2B9C" w:rsidP="00F51716">
      <w:pPr>
        <w:pStyle w:val="ListNumber"/>
      </w:pPr>
      <w:r>
        <w:br w:type="column"/>
      </w:r>
      <w:r w:rsidR="00846607" w:rsidRPr="00A45012">
        <w:rPr>
          <w:rStyle w:val="Strong"/>
        </w:rPr>
        <w:t>We proactively identify future opportunities through data insights and system thinking</w:t>
      </w:r>
    </w:p>
    <w:p w14:paraId="4A743828" w14:textId="486A74DF" w:rsidR="00DD2B9C" w:rsidRDefault="00DD2B9C" w:rsidP="00F51716">
      <w:r>
        <w:rPr>
          <w:rFonts w:cs="DIN Next LT Pro Light"/>
          <w:color w:val="000000"/>
        </w:rPr>
        <w:t xml:space="preserve">SV collects and provides reliable data, market and behavioural insights. This information can inform sound </w:t>
      </w:r>
      <w:r w:rsidRPr="00DD2B9C">
        <w:t>investment, improved waste and recycling management, track Victoria’s progress to a circular economy, influence climate change and energy initiatives, and articulate Victoria’s transition to a circular, climate resilience economy.</w:t>
      </w:r>
    </w:p>
    <w:p w14:paraId="60CA2CF4" w14:textId="271997D3" w:rsidR="00846607" w:rsidRPr="00A45012" w:rsidRDefault="00846607" w:rsidP="00F51716">
      <w:pPr>
        <w:pStyle w:val="ListNumber"/>
        <w:rPr>
          <w:rStyle w:val="Strong"/>
        </w:rPr>
      </w:pPr>
      <w:r w:rsidRPr="00A45012">
        <w:rPr>
          <w:rStyle w:val="Strong"/>
        </w:rPr>
        <w:t>We partner with our community to achieve local solutions</w:t>
      </w:r>
    </w:p>
    <w:p w14:paraId="1BE25238" w14:textId="13BE48DA" w:rsidR="00DD2B9C" w:rsidRDefault="00DD2B9C" w:rsidP="00F51716">
      <w:r>
        <w:t>SV works with communities to deliver statewide strategies at a local level. We support communities to transition from high waste and emission livelihoods and lifestyles, to create new, sustainable business and social models. The Recycling Victoria Policy and Climate Change Framework and policies provide Victorians with the confidence to invest, and the ability to network and share resources. SV goes further, connecting them to each other and to low cost capital grants, and helping fast-track small</w:t>
      </w:r>
      <w:r w:rsidR="000729FA">
        <w:t>-</w:t>
      </w:r>
      <w:r>
        <w:t>scale community projects.</w:t>
      </w:r>
    </w:p>
    <w:p w14:paraId="38E5CA41" w14:textId="76D865A5" w:rsidR="00DD2B9C" w:rsidRDefault="00DD2B9C" w:rsidP="00F51716">
      <w:pPr>
        <w:sectPr w:rsidR="00DD2B9C" w:rsidSect="00846607">
          <w:type w:val="continuous"/>
          <w:pgSz w:w="11906" w:h="16838" w:code="9"/>
          <w:pgMar w:top="1702" w:right="1440" w:bottom="993" w:left="1440" w:header="851" w:footer="369" w:gutter="0"/>
          <w:cols w:num="2" w:space="708"/>
          <w:titlePg/>
          <w:docGrid w:linePitch="360"/>
        </w:sectPr>
      </w:pPr>
    </w:p>
    <w:p w14:paraId="0E1F566C" w14:textId="64D8CCED" w:rsidR="00A55FE5" w:rsidRDefault="00A55FE5" w:rsidP="00F51716">
      <w:pPr>
        <w:pStyle w:val="Quote"/>
        <w:rPr>
          <w:rStyle w:val="A1"/>
        </w:rPr>
      </w:pPr>
    </w:p>
    <w:p w14:paraId="389FA1B3" w14:textId="77777777" w:rsidR="00A55FE5" w:rsidRPr="000F2549" w:rsidRDefault="00A55FE5" w:rsidP="00F51716"/>
    <w:p w14:paraId="32792300" w14:textId="77777777" w:rsidR="00A55FE5" w:rsidRDefault="00A55FE5" w:rsidP="00F51716">
      <w:pPr>
        <w:rPr>
          <w:rFonts w:asciiTheme="majorHAnsi" w:eastAsiaTheme="majorEastAsia" w:hAnsiTheme="majorHAnsi" w:cstheme="majorBidi"/>
          <w:color w:val="82C341" w:themeColor="accent1"/>
          <w:sz w:val="32"/>
          <w:szCs w:val="32"/>
        </w:rPr>
      </w:pPr>
      <w:r>
        <w:br w:type="page"/>
      </w:r>
    </w:p>
    <w:p w14:paraId="79A66477" w14:textId="445FAA72" w:rsidR="0064627E" w:rsidRDefault="00E654DD" w:rsidP="00F51716">
      <w:pPr>
        <w:pStyle w:val="Heading1"/>
      </w:pPr>
      <w:bookmarkStart w:id="10" w:name="_Toc56627321"/>
      <w:bookmarkStart w:id="11" w:name="_Toc57039850"/>
      <w:bookmarkStart w:id="12" w:name="_Toc59624189"/>
      <w:r>
        <w:t xml:space="preserve">Message from </w:t>
      </w:r>
      <w:r w:rsidR="00806452">
        <w:t xml:space="preserve">the </w:t>
      </w:r>
      <w:r w:rsidR="0064627E" w:rsidRPr="0064627E">
        <w:t>Chair and CEO</w:t>
      </w:r>
      <w:bookmarkEnd w:id="10"/>
      <w:bookmarkEnd w:id="11"/>
      <w:bookmarkEnd w:id="12"/>
    </w:p>
    <w:p w14:paraId="389F99DA" w14:textId="00F61C4F" w:rsidR="00BB015A" w:rsidRPr="00D51BEA" w:rsidRDefault="00BB015A" w:rsidP="00F51716">
      <w:r w:rsidRPr="00D51BEA">
        <w:t>Sustainability Victoria</w:t>
      </w:r>
      <w:r w:rsidR="00DD2B9C">
        <w:t xml:space="preserve"> (SV)</w:t>
      </w:r>
      <w:r w:rsidRPr="00D51BEA">
        <w:t xml:space="preserve"> empowers Victorians to live sustainably by taking action on climate change and using our precious resources wisely</w:t>
      </w:r>
      <w:r>
        <w:t xml:space="preserve"> </w:t>
      </w:r>
      <w:r w:rsidR="00913BE1">
        <w:t>–</w:t>
      </w:r>
      <w:r>
        <w:t xml:space="preserve"> </w:t>
      </w:r>
      <w:r w:rsidRPr="00D51BEA">
        <w:t>to deliver a sustainable future for us all.</w:t>
      </w:r>
    </w:p>
    <w:p w14:paraId="18E52B4C" w14:textId="7CA8B1AD" w:rsidR="00FF32A8" w:rsidRPr="00FF32A8" w:rsidRDefault="005D5DBE" w:rsidP="00F51716">
      <w:r>
        <w:t>2019–</w:t>
      </w:r>
      <w:r w:rsidR="00BB015A" w:rsidRPr="00D51BEA">
        <w:t xml:space="preserve">20 was a landmark year with the launch of </w:t>
      </w:r>
      <w:r w:rsidR="00BB015A" w:rsidRPr="00D51BEA">
        <w:rPr>
          <w:i/>
          <w:iCs/>
        </w:rPr>
        <w:t>Recycling Victoria – A New Economy</w:t>
      </w:r>
      <w:r w:rsidR="00BB015A" w:rsidRPr="00D51BEA">
        <w:t xml:space="preserve">, the Victorian Government’s circular </w:t>
      </w:r>
      <w:r w:rsidR="00BB015A" w:rsidRPr="00D51BEA">
        <w:rPr>
          <w:color w:val="000000" w:themeColor="text1"/>
        </w:rPr>
        <w:t>economy policy.</w:t>
      </w:r>
      <w:r w:rsidR="00BB015A" w:rsidRPr="00D51BEA">
        <w:t xml:space="preserve"> </w:t>
      </w:r>
      <w:r w:rsidR="00FF32A8" w:rsidRPr="00FF32A8">
        <w:t>Victoria has built a strong foundation for transitioning our waste industry, through funding of over $300 million for Recycling Victoria – a 10-year plan that will overhaul Victoria’s recycling sector, create 3,900 jobs and reduce waste going to landfill. More than that, it will drive fundamental change in our economy to reduce waste and make more productive use of our resources.</w:t>
      </w:r>
    </w:p>
    <w:p w14:paraId="5DDE22F3" w14:textId="0902995E" w:rsidR="00BB015A" w:rsidRDefault="00BB015A" w:rsidP="00F51716">
      <w:r w:rsidRPr="00D51BEA">
        <w:t>As a statutory agency of the Victorian Government, S</w:t>
      </w:r>
      <w:r w:rsidR="00801DD3">
        <w:t>V</w:t>
      </w:r>
      <w:r w:rsidRPr="00D51BEA">
        <w:t xml:space="preserve"> works across all levels of government, industry and communities leading the delivery of 14 Recycling Victoria programs and supporting all Victorians to contribute to achieving the </w:t>
      </w:r>
      <w:r w:rsidRPr="00D51BEA">
        <w:rPr>
          <w:i/>
          <w:iCs/>
        </w:rPr>
        <w:t>Climate Change Act 2017</w:t>
      </w:r>
      <w:r w:rsidRPr="00D51BEA">
        <w:t xml:space="preserve"> target of zero net greenhouse gas emissions by 2050.</w:t>
      </w:r>
    </w:p>
    <w:p w14:paraId="2DEFAD8E" w14:textId="6329730D" w:rsidR="00BB015A" w:rsidRPr="00D51BEA" w:rsidRDefault="00BB015A" w:rsidP="00F51716">
      <w:r w:rsidRPr="00D51BEA">
        <w:t xml:space="preserve">Our achievements in </w:t>
      </w:r>
      <w:r w:rsidR="005D5DBE">
        <w:t>2019–20</w:t>
      </w:r>
      <w:r w:rsidRPr="00D51BEA">
        <w:t xml:space="preserve"> include:</w:t>
      </w:r>
    </w:p>
    <w:p w14:paraId="5EE1DBED" w14:textId="77777777" w:rsidR="00BB015A" w:rsidRPr="00BA1111" w:rsidRDefault="00BB015A" w:rsidP="00F51716">
      <w:pPr>
        <w:rPr>
          <w:rStyle w:val="Strong"/>
        </w:rPr>
      </w:pPr>
      <w:r w:rsidRPr="00BA1111">
        <w:rPr>
          <w:rStyle w:val="Strong"/>
        </w:rPr>
        <w:t>Outcomes informed by research and data</w:t>
      </w:r>
    </w:p>
    <w:p w14:paraId="19BF0DE8" w14:textId="13BCD22B" w:rsidR="00BB015A" w:rsidRPr="00D51BEA" w:rsidRDefault="00BB015A" w:rsidP="00F51716">
      <w:r w:rsidRPr="00D51BEA">
        <w:t>Investment in research and timely access to market data is a core commitment of S</w:t>
      </w:r>
      <w:r w:rsidR="00801DD3">
        <w:t>V</w:t>
      </w:r>
      <w:r w:rsidRPr="00D51BEA">
        <w:t>. This year,</w:t>
      </w:r>
      <w:r>
        <w:t xml:space="preserve"> the</w:t>
      </w:r>
      <w:r w:rsidRPr="00D51BEA">
        <w:t xml:space="preserve"> Research, Development </w:t>
      </w:r>
      <w:r w:rsidR="00801DD3">
        <w:t>and</w:t>
      </w:r>
      <w:r w:rsidRPr="00D51BEA">
        <w:t xml:space="preserve"> Demonstration program invest</w:t>
      </w:r>
      <w:r>
        <w:t>ed</w:t>
      </w:r>
      <w:r w:rsidRPr="00D51BEA">
        <w:t xml:space="preserve"> $1.6 million </w:t>
      </w:r>
      <w:r>
        <w:t xml:space="preserve">and </w:t>
      </w:r>
      <w:r w:rsidRPr="00D51BEA">
        <w:t xml:space="preserve">leveraged further investment of $8 million. </w:t>
      </w:r>
      <w:r w:rsidRPr="00D51BEA">
        <w:rPr>
          <w:rFonts w:eastAsia="Times New Roman"/>
          <w:kern w:val="24"/>
        </w:rPr>
        <w:t xml:space="preserve">Through SVs investment in new markets, </w:t>
      </w:r>
      <w:r w:rsidR="00144C82">
        <w:rPr>
          <w:rFonts w:eastAsia="Times New Roman"/>
          <w:kern w:val="24"/>
        </w:rPr>
        <w:t>r</w:t>
      </w:r>
      <w:r w:rsidRPr="00D51BEA">
        <w:rPr>
          <w:rFonts w:eastAsia="Times New Roman"/>
          <w:kern w:val="24"/>
        </w:rPr>
        <w:t xml:space="preserve">esearch and </w:t>
      </w:r>
      <w:r w:rsidR="00144C82">
        <w:rPr>
          <w:rFonts w:eastAsia="Times New Roman"/>
          <w:kern w:val="24"/>
        </w:rPr>
        <w:t>d</w:t>
      </w:r>
      <w:r w:rsidRPr="00D51BEA">
        <w:rPr>
          <w:rFonts w:eastAsia="Times New Roman"/>
          <w:kern w:val="24"/>
        </w:rPr>
        <w:t>evelopment and upgraded road specifications, Victoria recycled 120,000</w:t>
      </w:r>
      <w:r w:rsidR="00144C82">
        <w:rPr>
          <w:rFonts w:eastAsia="Times New Roman"/>
          <w:kern w:val="24"/>
        </w:rPr>
        <w:t> </w:t>
      </w:r>
      <w:r w:rsidRPr="00D51BEA">
        <w:rPr>
          <w:rFonts w:eastAsia="Times New Roman"/>
          <w:kern w:val="24"/>
        </w:rPr>
        <w:t>tonnes</w:t>
      </w:r>
      <w:r w:rsidR="00144C82">
        <w:rPr>
          <w:rFonts w:eastAsia="Times New Roman"/>
          <w:kern w:val="24"/>
        </w:rPr>
        <w:t xml:space="preserve"> o</w:t>
      </w:r>
      <w:r w:rsidR="00144C82" w:rsidRPr="00D51BEA">
        <w:rPr>
          <w:rFonts w:eastAsia="Times New Roman"/>
          <w:kern w:val="24"/>
        </w:rPr>
        <w:t>f glass</w:t>
      </w:r>
      <w:r w:rsidRPr="00D51BEA">
        <w:rPr>
          <w:rFonts w:eastAsia="Times New Roman"/>
          <w:kern w:val="24"/>
        </w:rPr>
        <w:t xml:space="preserve"> per </w:t>
      </w:r>
      <w:r w:rsidR="00144C82">
        <w:rPr>
          <w:rFonts w:eastAsia="Times New Roman"/>
          <w:kern w:val="24"/>
        </w:rPr>
        <w:t xml:space="preserve">year </w:t>
      </w:r>
      <w:r w:rsidRPr="00D51BEA">
        <w:rPr>
          <w:rFonts w:eastAsia="Times New Roman"/>
          <w:kern w:val="24"/>
        </w:rPr>
        <w:t>into road surfacing, more than any other jurisdiction in Australia.</w:t>
      </w:r>
    </w:p>
    <w:p w14:paraId="51854BF5" w14:textId="57AF934A" w:rsidR="00BB015A" w:rsidRPr="00D51BEA" w:rsidRDefault="00BB015A" w:rsidP="00F51716">
      <w:r w:rsidRPr="00D51BEA">
        <w:t>The Victorian Recovered Resources Market Bulletin published monthly is Australia’s most used reference for recycling commodities and up</w:t>
      </w:r>
      <w:r w:rsidR="00144C82">
        <w:t>-</w:t>
      </w:r>
      <w:r w:rsidRPr="00D51BEA">
        <w:t>to</w:t>
      </w:r>
      <w:r w:rsidR="00144C82">
        <w:t>-</w:t>
      </w:r>
      <w:r w:rsidRPr="00D51BEA">
        <w:t>date market intelligence</w:t>
      </w:r>
      <w:r w:rsidR="00144C82">
        <w:t xml:space="preserve">. About </w:t>
      </w:r>
      <w:r w:rsidRPr="00D51BEA">
        <w:t>4,000</w:t>
      </w:r>
      <w:r w:rsidR="00144C82">
        <w:t> </w:t>
      </w:r>
      <w:r w:rsidRPr="00D51BEA">
        <w:t>industry and government stakeholders rely on the Bulletin and its information for commodity price changes and market trends.</w:t>
      </w:r>
    </w:p>
    <w:p w14:paraId="01BFC535" w14:textId="77777777" w:rsidR="00BB015A" w:rsidRPr="00BA1111" w:rsidRDefault="00BB015A" w:rsidP="00F51716">
      <w:pPr>
        <w:rPr>
          <w:rStyle w:val="Strong"/>
        </w:rPr>
      </w:pPr>
      <w:r w:rsidRPr="00BA1111">
        <w:rPr>
          <w:rStyle w:val="Strong"/>
        </w:rPr>
        <w:t>A partner with industry</w:t>
      </w:r>
    </w:p>
    <w:p w14:paraId="34FD3582" w14:textId="05B25A80" w:rsidR="00BB015A" w:rsidRPr="00D51BEA" w:rsidRDefault="00BB015A" w:rsidP="00F51716">
      <w:r w:rsidRPr="00D51BEA">
        <w:t>Victoria is the home for national investment in new recycling infrastructure, supporting leading-edge facilities such as Australia’s most advanced plastic recycling facility at Advanced Circular Polymers. To date</w:t>
      </w:r>
      <w:r w:rsidR="00144C82">
        <w:t>,</w:t>
      </w:r>
      <w:r w:rsidRPr="00D51BEA">
        <w:t xml:space="preserve"> through direct engagement</w:t>
      </w:r>
      <w:r w:rsidR="00144C82">
        <w:t>,</w:t>
      </w:r>
      <w:r w:rsidRPr="00D51BEA">
        <w:t xml:space="preserve"> $100 million in private sector and local government funding has been leveraged adding 600,000 tonnes per </w:t>
      </w:r>
      <w:r w:rsidR="00144C82">
        <w:t xml:space="preserve">year </w:t>
      </w:r>
      <w:r w:rsidRPr="00D51BEA">
        <w:t>of recycling capacity.</w:t>
      </w:r>
    </w:p>
    <w:p w14:paraId="5400A507" w14:textId="77777777" w:rsidR="00BB015A" w:rsidRPr="00BA1111" w:rsidRDefault="00BB015A" w:rsidP="00F51716">
      <w:pPr>
        <w:rPr>
          <w:rStyle w:val="Strong"/>
        </w:rPr>
      </w:pPr>
      <w:r w:rsidRPr="00BA1111">
        <w:rPr>
          <w:rStyle w:val="Strong"/>
        </w:rPr>
        <w:t>Behavioural insights to act</w:t>
      </w:r>
    </w:p>
    <w:p w14:paraId="37C7E804" w14:textId="0310DDE8" w:rsidR="00BB015A" w:rsidRPr="00D51BEA" w:rsidRDefault="00BB015A" w:rsidP="00F51716">
      <w:r w:rsidRPr="00D51BEA">
        <w:t>With leading knowledge and expertise in behavioural insights, S</w:t>
      </w:r>
      <w:r w:rsidR="00801DD3">
        <w:t>V</w:t>
      </w:r>
      <w:r w:rsidRPr="00D51BEA">
        <w:t xml:space="preserve"> delivered </w:t>
      </w:r>
      <w:r w:rsidR="00691C20">
        <w:t>three</w:t>
      </w:r>
      <w:r w:rsidRPr="00D51BEA">
        <w:t xml:space="preserve"> successful behaviour change programs</w:t>
      </w:r>
      <w:r w:rsidR="00F31E50">
        <w:t>:</w:t>
      </w:r>
    </w:p>
    <w:p w14:paraId="0B1CBF91" w14:textId="5DB69873" w:rsidR="00BB015A" w:rsidRPr="00BB015A" w:rsidRDefault="00BB015A" w:rsidP="00F51716">
      <w:pPr>
        <w:pStyle w:val="ListBullet"/>
      </w:pPr>
      <w:r w:rsidRPr="00144C82">
        <w:t>Know Your Recycling</w:t>
      </w:r>
      <w:r w:rsidRPr="00BB015A">
        <w:t xml:space="preserve"> to reduce contamination in household bins was translated into six languages across TV and radio, with 700,000 Victorians accessed social media and website information. In the first month, </w:t>
      </w:r>
      <w:r w:rsidR="00F31E50">
        <w:t xml:space="preserve">we achieved a </w:t>
      </w:r>
      <w:r w:rsidRPr="00BB015A">
        <w:t>2</w:t>
      </w:r>
      <w:r w:rsidR="00F31E50">
        <w:t xml:space="preserve"> per cent</w:t>
      </w:r>
      <w:r w:rsidRPr="00BB015A">
        <w:t xml:space="preserve"> reduction in recycling contamination for soft plastics and bagged plastic bags.</w:t>
      </w:r>
    </w:p>
    <w:p w14:paraId="7642072A" w14:textId="69B567BB" w:rsidR="00F57783" w:rsidRDefault="00BB015A" w:rsidP="00CE5411">
      <w:pPr>
        <w:pStyle w:val="ListBullet"/>
      </w:pPr>
      <w:r w:rsidRPr="00BB015A">
        <w:t xml:space="preserve">A campaign to increase awareness of the e-waste to landfill ban reached 5 million Victorians, with </w:t>
      </w:r>
      <w:r w:rsidR="00F31E50">
        <w:t>c</w:t>
      </w:r>
      <w:r w:rsidRPr="00BB015A">
        <w:t>ouncil</w:t>
      </w:r>
      <w:r w:rsidR="00F31E50">
        <w:t>-</w:t>
      </w:r>
      <w:r w:rsidRPr="00BB015A">
        <w:t>direct engagement to 45,000 residents, supporting Victorians to identify their personal e-waste and find their local transfer station for drop-off – diverting e-waste from landfill.</w:t>
      </w:r>
      <w:r w:rsidR="00F57783">
        <w:t xml:space="preserve"> </w:t>
      </w:r>
    </w:p>
    <w:p w14:paraId="5E19D808" w14:textId="77777777" w:rsidR="00F57783" w:rsidRPr="00043B1F" w:rsidRDefault="00F57783" w:rsidP="00F57783"/>
    <w:p w14:paraId="3D8B32BD" w14:textId="2FB81D62" w:rsidR="00F57783" w:rsidRPr="00BB015A" w:rsidRDefault="00F57783" w:rsidP="00CE5411">
      <w:pPr>
        <w:pStyle w:val="ListBullet"/>
      </w:pPr>
      <w:r>
        <w:t>From 1 November 2019, the Victorian Government banned lightweight plastic shopping bags. Our</w:t>
      </w:r>
      <w:r w:rsidRPr="00C82AD2">
        <w:t xml:space="preserve"> Better Bag Habits campaign</w:t>
      </w:r>
      <w:r>
        <w:t xml:space="preserve"> achieved a total reach of </w:t>
      </w:r>
      <w:r w:rsidRPr="003F0A6B">
        <w:t>9,696,989</w:t>
      </w:r>
      <w:r>
        <w:t xml:space="preserve"> and increased awareness of the plastic bag ban among Victorians by 47 per cent. The campaign also resulted in a 2.6 per cent increase in </w:t>
      </w:r>
      <w:r w:rsidRPr="00C82AD2">
        <w:t>declared reusable bag usage</w:t>
      </w:r>
      <w:r>
        <w:t>.</w:t>
      </w:r>
      <w:r w:rsidRPr="003F0A6B">
        <w:t xml:space="preserve"> </w:t>
      </w:r>
      <w:r>
        <w:t xml:space="preserve">Visit </w:t>
      </w:r>
      <w:hyperlink r:id="rId17" w:history="1">
        <w:r w:rsidRPr="00CE5411">
          <w:t>sustainability.vic.gov.au/PlasticBags</w:t>
        </w:r>
      </w:hyperlink>
    </w:p>
    <w:p w14:paraId="074C8D88" w14:textId="74868FB9" w:rsidR="00BB015A" w:rsidRPr="00D51BEA" w:rsidRDefault="00BB015A" w:rsidP="00F51716">
      <w:r w:rsidRPr="00D51BEA">
        <w:t>The popular ResourceSmart Schools program which engages with 1,400 Victorian schools and 100</w:t>
      </w:r>
      <w:r w:rsidR="00F31E50">
        <w:t> </w:t>
      </w:r>
      <w:r w:rsidRPr="00D51BEA">
        <w:t>early learning centres supporting our next generation to act, saved $2.8</w:t>
      </w:r>
      <w:r w:rsidR="00F31E50">
        <w:t> </w:t>
      </w:r>
      <w:r w:rsidRPr="00D51BEA">
        <w:t xml:space="preserve">million through energy, waste, water and biodiversity initiatives in </w:t>
      </w:r>
      <w:r w:rsidR="005D5DBE">
        <w:t>2019–20</w:t>
      </w:r>
      <w:r w:rsidRPr="00D51BEA">
        <w:t>.Infrastructure improvements and behaviour change activities in schools saw 10.4 million kWh of renewable energy installed, reducing 12,000</w:t>
      </w:r>
      <w:r w:rsidR="00F31E50">
        <w:t> </w:t>
      </w:r>
      <w:r w:rsidRPr="00D51BEA">
        <w:t>tCO2-e annual greenhouse gas emissions.</w:t>
      </w:r>
    </w:p>
    <w:p w14:paraId="1EDE57A0" w14:textId="10FDFA06" w:rsidR="00BB015A" w:rsidRDefault="00BB015A" w:rsidP="00F51716">
      <w:r w:rsidRPr="00D51BEA">
        <w:t>The TAKE2 climate change initiative continues to grow with 6,000 people and businesses committing to take action.</w:t>
      </w:r>
    </w:p>
    <w:p w14:paraId="5F3AC3CE" w14:textId="167C269C" w:rsidR="008017FF" w:rsidRPr="00043B1F" w:rsidRDefault="004169A0" w:rsidP="00F51716">
      <w:pPr>
        <w:rPr>
          <w:rStyle w:val="Strong"/>
        </w:rPr>
      </w:pPr>
      <w:hyperlink r:id="rId18" w:history="1">
        <w:r w:rsidR="008017FF" w:rsidRPr="00043B1F">
          <w:rPr>
            <w:rStyle w:val="Strong"/>
          </w:rPr>
          <w:t xml:space="preserve">Recycling Victoria Infrastructure Fund </w:t>
        </w:r>
      </w:hyperlink>
      <w:r w:rsidR="008017FF" w:rsidRPr="00043B1F">
        <w:rPr>
          <w:rStyle w:val="Strong"/>
        </w:rPr>
        <w:t xml:space="preserve"> </w:t>
      </w:r>
    </w:p>
    <w:p w14:paraId="7A6D7CD0" w14:textId="1226D282" w:rsidR="008017FF" w:rsidRPr="00D51BEA" w:rsidRDefault="00A45012" w:rsidP="00F51716">
      <w:r>
        <w:t xml:space="preserve">We launched the </w:t>
      </w:r>
      <w:r w:rsidRPr="00A45012">
        <w:t xml:space="preserve">Recycling Victoria Infrastructure Fund </w:t>
      </w:r>
      <w:r>
        <w:t>in 2019–20, and grants will be funded in 2020–21.</w:t>
      </w:r>
      <w:r w:rsidDel="00A45012">
        <w:t xml:space="preserve"> </w:t>
      </w:r>
      <w:r w:rsidR="008017FF" w:rsidRPr="003F5F40">
        <w:t>There is $11.5 million available for infrastructure to improve the recycling of solvents</w:t>
      </w:r>
      <w:r>
        <w:t xml:space="preserve"> and </w:t>
      </w:r>
      <w:r w:rsidR="008017FF">
        <w:rPr>
          <w:shd w:val="clear" w:color="auto" w:fill="FFFFFF"/>
        </w:rPr>
        <w:t>$28 million available across three materials for infrastructure projects to improve the recycling or reprocessing of paper and cardboard, plastics and glass.</w:t>
      </w:r>
    </w:p>
    <w:p w14:paraId="52D457F6" w14:textId="77777777" w:rsidR="00BB015A" w:rsidRPr="00BA1111" w:rsidRDefault="00BB015A" w:rsidP="00F51716">
      <w:pPr>
        <w:rPr>
          <w:rStyle w:val="Strong"/>
        </w:rPr>
      </w:pPr>
      <w:r w:rsidRPr="00BA1111">
        <w:rPr>
          <w:rStyle w:val="Strong"/>
        </w:rPr>
        <w:t>Regional engagement</w:t>
      </w:r>
    </w:p>
    <w:p w14:paraId="373F531B" w14:textId="6F7435C9" w:rsidR="00BB015A" w:rsidRPr="00D51BEA" w:rsidRDefault="00BB015A" w:rsidP="00F51716">
      <w:r w:rsidRPr="00D51BEA">
        <w:t>The Local Government Energy Saver 3-year program concluded in 2020, with 22 councils engaged to install 1,539</w:t>
      </w:r>
      <w:r w:rsidR="00105AEC">
        <w:t> </w:t>
      </w:r>
      <w:r w:rsidRPr="00D51BEA">
        <w:t xml:space="preserve">kW of renewable energy capacity across 205 community facilities – reducing energy use, saving $816,000 </w:t>
      </w:r>
      <w:r w:rsidR="00144C82">
        <w:t>a year in</w:t>
      </w:r>
      <w:r w:rsidRPr="00D51BEA">
        <w:t xml:space="preserve"> operating costs and reducing </w:t>
      </w:r>
      <w:r w:rsidR="00144C82" w:rsidRPr="00D51BEA">
        <w:t xml:space="preserve">greenhouse gas emissions </w:t>
      </w:r>
      <w:r w:rsidR="00144C82">
        <w:t xml:space="preserve">by </w:t>
      </w:r>
      <w:r w:rsidRPr="00D51BEA">
        <w:t>3,660 tCO2-e</w:t>
      </w:r>
      <w:r w:rsidR="00144C82">
        <w:t xml:space="preserve"> </w:t>
      </w:r>
      <w:r w:rsidR="00043B1F">
        <w:t>a</w:t>
      </w:r>
      <w:r w:rsidR="00144C82">
        <w:t xml:space="preserve"> year</w:t>
      </w:r>
      <w:r w:rsidRPr="00D51BEA">
        <w:t>.</w:t>
      </w:r>
    </w:p>
    <w:p w14:paraId="13640B60" w14:textId="63935618" w:rsidR="00BB015A" w:rsidRPr="00D51BEA" w:rsidRDefault="00BB015A" w:rsidP="00F51716">
      <w:r w:rsidRPr="00D51BEA">
        <w:t xml:space="preserve">This year also saw completion of the Latrobe Valley Home Energy Upgrades program. In </w:t>
      </w:r>
      <w:r w:rsidR="005D5DBE">
        <w:t>2019–20</w:t>
      </w:r>
      <w:r w:rsidRPr="00D51BEA">
        <w:t xml:space="preserve">, 520 upgrades were completed, reducing energy use, saving participants $250,000 on their </w:t>
      </w:r>
      <w:r w:rsidR="00F31E50">
        <w:t>yearly</w:t>
      </w:r>
      <w:r w:rsidR="00F31E50" w:rsidRPr="00D51BEA">
        <w:t xml:space="preserve"> </w:t>
      </w:r>
      <w:r w:rsidRPr="00D51BEA">
        <w:t>energy bills and reducing 700 tCO2-e annual greenhouse gas emissions.</w:t>
      </w:r>
    </w:p>
    <w:p w14:paraId="0015302E" w14:textId="794C1A7D" w:rsidR="00BB015A" w:rsidRPr="00BA1111" w:rsidRDefault="00BB015A" w:rsidP="00F51716">
      <w:pPr>
        <w:rPr>
          <w:rStyle w:val="Strong"/>
        </w:rPr>
      </w:pPr>
      <w:r w:rsidRPr="00BA1111">
        <w:rPr>
          <w:rStyle w:val="Strong"/>
        </w:rPr>
        <w:t xml:space="preserve">Organisational </w:t>
      </w:r>
      <w:r w:rsidR="00F31E50">
        <w:rPr>
          <w:rStyle w:val="Strong"/>
        </w:rPr>
        <w:t>p</w:t>
      </w:r>
      <w:r w:rsidRPr="00BA1111">
        <w:rPr>
          <w:rStyle w:val="Strong"/>
        </w:rPr>
        <w:t>erformance</w:t>
      </w:r>
    </w:p>
    <w:p w14:paraId="47E60111" w14:textId="586EEA61" w:rsidR="00BB015A" w:rsidRPr="00D51BEA" w:rsidRDefault="00F31E50" w:rsidP="00F51716">
      <w:r>
        <w:t>SV’s Board endorsed a</w:t>
      </w:r>
      <w:r w:rsidR="00BB015A" w:rsidRPr="00D51BEA">
        <w:t xml:space="preserve"> new Financial Sustainability Strategy this year</w:t>
      </w:r>
      <w:r>
        <w:t xml:space="preserve">. The strategy is </w:t>
      </w:r>
      <w:r w:rsidR="00BB015A" w:rsidRPr="00D51BEA">
        <w:t>focus</w:t>
      </w:r>
      <w:r>
        <w:t>ed</w:t>
      </w:r>
      <w:r w:rsidR="00BB015A" w:rsidRPr="00D51BEA">
        <w:t xml:space="preserve"> on disciplined financial management and growth with new and diversified revenue opportunities.</w:t>
      </w:r>
    </w:p>
    <w:p w14:paraId="5DC3D765" w14:textId="6D9D95A6" w:rsidR="00BB015A" w:rsidRPr="00D51BEA" w:rsidRDefault="00BB015A" w:rsidP="00F51716">
      <w:r w:rsidRPr="00D51BEA">
        <w:t>Leading by example, S</w:t>
      </w:r>
      <w:r w:rsidR="00801DD3">
        <w:t>V</w:t>
      </w:r>
      <w:r w:rsidRPr="00D51BEA">
        <w:t xml:space="preserve"> has developed and implemented a 2021 Social Procurement Strategy to leverage our purchasing power to deliver social, economic and environmental outcomes.</w:t>
      </w:r>
    </w:p>
    <w:p w14:paraId="3D2B2C96" w14:textId="623E373A" w:rsidR="00BB015A" w:rsidRPr="00D51BEA" w:rsidRDefault="00BB015A" w:rsidP="00F51716">
      <w:r w:rsidRPr="00D51BEA">
        <w:t>On 30</w:t>
      </w:r>
      <w:r w:rsidR="007536F1">
        <w:t> </w:t>
      </w:r>
      <w:r w:rsidRPr="00D51BEA">
        <w:t>June</w:t>
      </w:r>
      <w:r w:rsidR="007536F1">
        <w:t> </w:t>
      </w:r>
      <w:r w:rsidRPr="00D51BEA">
        <w:t>2019, we farewelled SV’s Board Chair Heather Campbell. During her leadership S</w:t>
      </w:r>
      <w:r w:rsidR="00801DD3">
        <w:t>V</w:t>
      </w:r>
      <w:r w:rsidRPr="00D51BEA">
        <w:t xml:space="preserve"> has delivered a diverse range of energy and waste programs, including the rapid establishment of Solar Victoria in 2018. Heather’s commitment to delivering the highest impact for all Victorians is an enduring legacy.</w:t>
      </w:r>
    </w:p>
    <w:p w14:paraId="3C5A49BD" w14:textId="5BB64617" w:rsidR="00BB015A" w:rsidRPr="00D51BEA" w:rsidRDefault="00BB015A" w:rsidP="00F51716">
      <w:r w:rsidRPr="00D51BEA">
        <w:t>S</w:t>
      </w:r>
      <w:r w:rsidR="00801DD3">
        <w:t>V</w:t>
      </w:r>
      <w:r w:rsidRPr="00D51BEA">
        <w:t xml:space="preserve"> is looking ahead to 2020</w:t>
      </w:r>
      <w:r w:rsidR="00F31E50">
        <w:t>–</w:t>
      </w:r>
      <w:r w:rsidRPr="00D51BEA">
        <w:t>21 with optimism and momentum to continue our reform agenda with a clear purpose and bold ambition to deliver measurable impact at scale. Partnering with all Victorians to deliver a decade of action, as together we transition to a low-carbon future.</w:t>
      </w:r>
    </w:p>
    <w:p w14:paraId="0AC60F58" w14:textId="6B47497B" w:rsidR="00671EAD" w:rsidRPr="00A1231E" w:rsidRDefault="00671EAD" w:rsidP="00F51716"/>
    <w:p w14:paraId="35C107B1" w14:textId="77777777" w:rsidR="00671EAD" w:rsidRPr="00AF6B06" w:rsidRDefault="00671EAD" w:rsidP="00F51716"/>
    <w:p w14:paraId="63A1B2A1" w14:textId="14A5D959" w:rsidR="0064627E" w:rsidRPr="00AF6B06" w:rsidRDefault="00FD196C" w:rsidP="00F51716">
      <w:r>
        <w:t>Vicky Darling</w:t>
      </w:r>
      <w:r w:rsidR="009377EE" w:rsidRPr="00AF6B06">
        <w:t>                           </w:t>
      </w:r>
      <w:r w:rsidR="00671EAD">
        <w:t>Claire Ferres Miles</w:t>
      </w:r>
    </w:p>
    <w:p w14:paraId="69AB54B5" w14:textId="77777777" w:rsidR="0064627E" w:rsidRPr="00AF6B06" w:rsidRDefault="0064627E" w:rsidP="00F51716"/>
    <w:p w14:paraId="2FD5AC91" w14:textId="77777777" w:rsidR="00806452" w:rsidRDefault="00806452" w:rsidP="00F51716"/>
    <w:p w14:paraId="3349F684" w14:textId="566E5497" w:rsidR="00806452" w:rsidRPr="00A55FE5" w:rsidRDefault="00806452" w:rsidP="00F51716">
      <w:pPr>
        <w:pStyle w:val="Heading1"/>
        <w:rPr>
          <w:highlight w:val="yellow"/>
        </w:rPr>
      </w:pPr>
      <w:bookmarkStart w:id="13" w:name="_Toc59624190"/>
      <w:bookmarkStart w:id="14" w:name="_Toc57039851"/>
      <w:r>
        <w:t xml:space="preserve">Purpose and </w:t>
      </w:r>
      <w:r w:rsidRPr="00A55FE5">
        <w:t>function</w:t>
      </w:r>
      <w:r>
        <w:t>s</w:t>
      </w:r>
      <w:bookmarkEnd w:id="13"/>
      <w:r w:rsidRPr="00A55FE5">
        <w:t xml:space="preserve"> </w:t>
      </w:r>
      <w:bookmarkEnd w:id="14"/>
    </w:p>
    <w:p w14:paraId="1C66DAC4" w14:textId="76667E18" w:rsidR="00BA1111" w:rsidRDefault="00806452" w:rsidP="00F51716">
      <w:r>
        <w:t xml:space="preserve">We are a statutory authority established under the </w:t>
      </w:r>
      <w:r w:rsidRPr="00A55FE5">
        <w:rPr>
          <w:i/>
        </w:rPr>
        <w:t>Sustainability Victoria Act 2005</w:t>
      </w:r>
      <w:r w:rsidR="00BD7F92">
        <w:rPr>
          <w:iCs/>
        </w:rPr>
        <w:t xml:space="preserve"> (SV Act)</w:t>
      </w:r>
      <w:r w:rsidR="00041D65">
        <w:rPr>
          <w:iCs/>
        </w:rPr>
        <w:t>.</w:t>
      </w:r>
      <w:r w:rsidR="00BA1111">
        <w:t xml:space="preserve">Our job is to </w:t>
      </w:r>
      <w:r w:rsidR="00BA1111" w:rsidRPr="003363DD">
        <w:t>deliver programs based on strong research and engagement to turn the Victorian Government’s strategic commitments into practical outcomes.</w:t>
      </w:r>
    </w:p>
    <w:p w14:paraId="36377075" w14:textId="7C02C643" w:rsidR="00806452" w:rsidRDefault="00806452" w:rsidP="00F51716">
      <w:r>
        <w:t xml:space="preserve">We are responsible for delivering the Victorian Recycling Infrastructure Plan (formerly the Statewide Waste and Resource Recovery Infrastructure Plan), as well initiatives to deliver the Recycling Victoria </w:t>
      </w:r>
      <w:r w:rsidR="00801DD3">
        <w:t>p</w:t>
      </w:r>
      <w:r>
        <w:t xml:space="preserve">olicy as directed by the </w:t>
      </w:r>
      <w:r w:rsidR="00801DD3">
        <w:t>m</w:t>
      </w:r>
      <w:r>
        <w:t>inister’s statement of expectations.</w:t>
      </w:r>
    </w:p>
    <w:p w14:paraId="07E1F7D2" w14:textId="4ED3BAA2" w:rsidR="00806452" w:rsidRDefault="00806452" w:rsidP="00F51716">
      <w:r>
        <w:t xml:space="preserve">We also contribute to policy and legislative outcomes under the </w:t>
      </w:r>
      <w:r w:rsidRPr="00A55FE5">
        <w:rPr>
          <w:i/>
          <w:iCs/>
        </w:rPr>
        <w:t>Climate Change Act 2017</w:t>
      </w:r>
      <w:r>
        <w:t>, Victorian Climate Change Framework, Energy Efficiency and Productivity Strategy, Renewable Energy Action Plan, the New Energy Technologies Sector Strategy, and the Recycling Industry Strategic Plan.</w:t>
      </w:r>
    </w:p>
    <w:p w14:paraId="49660BF4" w14:textId="7E9B6F7E" w:rsidR="004A5B35" w:rsidRDefault="00BA1111" w:rsidP="00F51716">
      <w:r>
        <w:t xml:space="preserve">The </w:t>
      </w:r>
      <w:r w:rsidRPr="00BA1111">
        <w:t>S</w:t>
      </w:r>
      <w:r w:rsidR="00801DD3">
        <w:t>V</w:t>
      </w:r>
      <w:r>
        <w:t xml:space="preserve"> Act defines S</w:t>
      </w:r>
      <w:r w:rsidR="00801DD3">
        <w:t>V</w:t>
      </w:r>
      <w:r>
        <w:t xml:space="preserve">’s powers, duties and functions. </w:t>
      </w:r>
      <w:r w:rsidR="004A5B35">
        <w:t xml:space="preserve">One of SV’s functions under this Act is to prepare a statewide infrastructure plan and </w:t>
      </w:r>
      <w:r w:rsidR="004A5B35" w:rsidRPr="00BD7F92">
        <w:t>assist in the preparation of regional waste and resource recovery implementation plans</w:t>
      </w:r>
      <w:r w:rsidR="004A5B35">
        <w:t xml:space="preserve"> (see section 7). The planning responsibilities </w:t>
      </w:r>
      <w:r w:rsidR="004A5B35" w:rsidRPr="003363DD">
        <w:t>relat</w:t>
      </w:r>
      <w:r w:rsidR="004A5B35">
        <w:t xml:space="preserve">ed to this function are </w:t>
      </w:r>
      <w:r w:rsidR="004A5B35" w:rsidRPr="003363DD">
        <w:t>outlined in the</w:t>
      </w:r>
      <w:r w:rsidR="004A5B35" w:rsidRPr="00BD7F92">
        <w:rPr>
          <w:iCs/>
        </w:rPr>
        <w:t xml:space="preserve"> </w:t>
      </w:r>
      <w:r w:rsidR="004A5B35" w:rsidRPr="00043B1F">
        <w:rPr>
          <w:i/>
          <w:iCs/>
        </w:rPr>
        <w:t>Environment Protection Act 1970</w:t>
      </w:r>
      <w:r w:rsidR="004A5B35" w:rsidRPr="003363DD">
        <w:t>, Part IX</w:t>
      </w:r>
      <w:r w:rsidR="004A5B35">
        <w:t>,</w:t>
      </w:r>
      <w:r w:rsidR="004A5B35" w:rsidRPr="003363DD">
        <w:t xml:space="preserve"> Division 2AC</w:t>
      </w:r>
      <w:r w:rsidR="004A5B35">
        <w:t>,</w:t>
      </w:r>
      <w:r w:rsidR="004A5B35" w:rsidRPr="003363DD">
        <w:t xml:space="preserve"> </w:t>
      </w:r>
      <w:r w:rsidR="004A5B35">
        <w:t>s</w:t>
      </w:r>
      <w:r w:rsidR="004A5B35" w:rsidRPr="003363DD">
        <w:t>ections 50AA to 50AH</w:t>
      </w:r>
      <w:r w:rsidR="004A5B35">
        <w:t>.</w:t>
      </w:r>
    </w:p>
    <w:p w14:paraId="78DDB985" w14:textId="22B0674F" w:rsidR="00BA1111" w:rsidRDefault="00BA1111" w:rsidP="00F51716">
      <w:r>
        <w:t>S</w:t>
      </w:r>
      <w:r w:rsidR="00801DD3">
        <w:t>V</w:t>
      </w:r>
      <w:r>
        <w:t xml:space="preserve"> is part of the Environment and Climate Change Portfolio. The responsible </w:t>
      </w:r>
      <w:r w:rsidR="00801DD3">
        <w:t>m</w:t>
      </w:r>
      <w:r>
        <w:t xml:space="preserve">inister for the period </w:t>
      </w:r>
      <w:r w:rsidRPr="00806452">
        <w:t>1</w:t>
      </w:r>
      <w:r w:rsidR="007536F1">
        <w:t> </w:t>
      </w:r>
      <w:r w:rsidRPr="00806452">
        <w:t>July</w:t>
      </w:r>
      <w:r w:rsidR="007536F1">
        <w:t> </w:t>
      </w:r>
      <w:r w:rsidRPr="00806452">
        <w:t>2019 to 30</w:t>
      </w:r>
      <w:r w:rsidR="007536F1">
        <w:t> </w:t>
      </w:r>
      <w:r w:rsidRPr="00806452">
        <w:t>June</w:t>
      </w:r>
      <w:r w:rsidR="007536F1">
        <w:t> </w:t>
      </w:r>
      <w:r w:rsidRPr="00806452">
        <w:t>2020 was the Hon Lily D’Ambrosio MP, Minister for Energy, Environment and Climate Change.</w:t>
      </w:r>
    </w:p>
    <w:p w14:paraId="6D6DDE3D" w14:textId="3A906B4C" w:rsidR="00BA1111" w:rsidRPr="00DF1705" w:rsidRDefault="00BA1111" w:rsidP="00F51716">
      <w:r w:rsidRPr="00BA1111">
        <w:t>S</w:t>
      </w:r>
      <w:r w:rsidR="00801DD3">
        <w:t>V</w:t>
      </w:r>
      <w:r>
        <w:t xml:space="preserve"> works with po</w:t>
      </w:r>
      <w:r w:rsidRPr="00DE11BB">
        <w:t>rtfolio partners – the Department of Environment, Land, Water and Planning (DELWP) and the Environment Protection Authority (EPA)</w:t>
      </w:r>
      <w:r w:rsidR="00043B1F">
        <w:t xml:space="preserve">. </w:t>
      </w:r>
    </w:p>
    <w:p w14:paraId="5C2C869A" w14:textId="34D9684D" w:rsidR="00BA1111" w:rsidRPr="00DF1705" w:rsidRDefault="00DF1705" w:rsidP="00F51716">
      <w:r w:rsidRPr="00DF1705">
        <w:t>S</w:t>
      </w:r>
      <w:r w:rsidR="00801DD3">
        <w:t>V</w:t>
      </w:r>
      <w:r w:rsidRPr="00DF1705">
        <w:t xml:space="preserve"> </w:t>
      </w:r>
      <w:r w:rsidR="00BA1111" w:rsidRPr="00DF1705">
        <w:t>also works closely with</w:t>
      </w:r>
      <w:r w:rsidRPr="00DF1705">
        <w:t xml:space="preserve"> </w:t>
      </w:r>
      <w:r w:rsidR="00801DD3">
        <w:t>w</w:t>
      </w:r>
      <w:r w:rsidRPr="00DF1705">
        <w:t xml:space="preserve">aste and </w:t>
      </w:r>
      <w:r w:rsidR="00801DD3">
        <w:t>r</w:t>
      </w:r>
      <w:r w:rsidRPr="00DF1705">
        <w:t xml:space="preserve">esource </w:t>
      </w:r>
      <w:r w:rsidR="00801DD3">
        <w:t>r</w:t>
      </w:r>
      <w:r w:rsidRPr="00DF1705">
        <w:t xml:space="preserve">ecovery </w:t>
      </w:r>
      <w:r w:rsidR="00801DD3">
        <w:t>g</w:t>
      </w:r>
      <w:r w:rsidRPr="00DF1705">
        <w:t>roups and</w:t>
      </w:r>
      <w:r w:rsidR="00BA1111" w:rsidRPr="00DF1705">
        <w:t xml:space="preserve"> other Victorian Government departments</w:t>
      </w:r>
      <w:r w:rsidRPr="00DF1705">
        <w:t xml:space="preserve">, including the </w:t>
      </w:r>
      <w:r w:rsidR="00BA1111" w:rsidRPr="00DF1705">
        <w:t xml:space="preserve">Department of Treasury and Finance, </w:t>
      </w:r>
      <w:r w:rsidRPr="00DF1705">
        <w:t xml:space="preserve">the </w:t>
      </w:r>
      <w:r w:rsidR="00BA1111" w:rsidRPr="00DF1705">
        <w:t xml:space="preserve">Department of Premier and Cabinet, the Department of Education and Training, the Department of Health and Human Services, the Department of Jobs, Precincts and Regions, and many other Victorian and </w:t>
      </w:r>
      <w:r w:rsidR="00791C84">
        <w:t>s</w:t>
      </w:r>
      <w:r w:rsidR="00BA1111" w:rsidRPr="00DF1705">
        <w:t>tate organisations.</w:t>
      </w:r>
    </w:p>
    <w:p w14:paraId="33349D6F" w14:textId="749C8177" w:rsidR="00BA1111" w:rsidRDefault="00BA1111" w:rsidP="00F51716">
      <w:pPr>
        <w:rPr>
          <w:highlight w:val="yellow"/>
        </w:rPr>
      </w:pPr>
    </w:p>
    <w:p w14:paraId="331FB8CE" w14:textId="63017300" w:rsidR="00567B81" w:rsidRDefault="00567B81" w:rsidP="00F51716">
      <w:pPr>
        <w:rPr>
          <w:highlight w:val="yellow"/>
        </w:rPr>
      </w:pPr>
    </w:p>
    <w:p w14:paraId="04887CDA" w14:textId="371BF150" w:rsidR="00BA1111" w:rsidRDefault="00BA1111" w:rsidP="00F51716">
      <w:pPr>
        <w:pStyle w:val="Quote"/>
        <w:rPr>
          <w:rStyle w:val="A1"/>
        </w:rPr>
      </w:pPr>
      <w:r w:rsidRPr="00BA1111">
        <w:rPr>
          <w:rStyle w:val="A1"/>
        </w:rPr>
        <w:t>Victoria is an amazing place to live. It’s up to all of us to help shape the state of the future.</w:t>
      </w:r>
    </w:p>
    <w:p w14:paraId="46054E9F" w14:textId="54A60B51" w:rsidR="00DF1705" w:rsidRDefault="00DF1705" w:rsidP="00F51716"/>
    <w:p w14:paraId="010D0F4D" w14:textId="77777777" w:rsidR="00DF1705" w:rsidRPr="00DF1705" w:rsidRDefault="00DF1705" w:rsidP="00F51716"/>
    <w:p w14:paraId="6BEB7252" w14:textId="6D232324" w:rsidR="0064627E" w:rsidRPr="00AF6B06" w:rsidRDefault="0064627E" w:rsidP="00F51716">
      <w:r w:rsidRPr="00AF6B06">
        <w:br w:type="page"/>
      </w:r>
    </w:p>
    <w:p w14:paraId="3563BDFB" w14:textId="73AFA902" w:rsidR="00C24856" w:rsidRDefault="00C24856" w:rsidP="00F51716">
      <w:pPr>
        <w:pStyle w:val="Heading1"/>
      </w:pPr>
      <w:bookmarkStart w:id="15" w:name="_Toc59624191"/>
      <w:bookmarkStart w:id="16" w:name="_Toc56627323"/>
      <w:r>
        <w:t xml:space="preserve">Performance </w:t>
      </w:r>
      <w:r w:rsidR="00BD011D">
        <w:t xml:space="preserve">summary </w:t>
      </w:r>
      <w:r w:rsidR="006A49E5">
        <w:t>(non-financial)</w:t>
      </w:r>
      <w:bookmarkEnd w:id="15"/>
      <w:r>
        <w:t xml:space="preserve"> </w:t>
      </w:r>
    </w:p>
    <w:p w14:paraId="4CB1C4CD" w14:textId="03BD8DF6" w:rsidR="00940394" w:rsidRDefault="00D1350B" w:rsidP="00F51716">
      <w:r>
        <w:t xml:space="preserve">SV’s work is guided by our organisational strategy. </w:t>
      </w:r>
      <w:r w:rsidR="00940394">
        <w:t>SV2020 set</w:t>
      </w:r>
      <w:r w:rsidR="006A49E5">
        <w:t xml:space="preserve">s </w:t>
      </w:r>
      <w:r w:rsidR="00940394">
        <w:t xml:space="preserve">out our path </w:t>
      </w:r>
      <w:r w:rsidR="00940394" w:rsidRPr="006E31EC">
        <w:t xml:space="preserve">for </w:t>
      </w:r>
      <w:r w:rsidR="00940394">
        <w:t xml:space="preserve">achieving </w:t>
      </w:r>
      <w:r w:rsidR="00940394" w:rsidRPr="006E31EC">
        <w:t>a sustainable, thriving Victoria</w:t>
      </w:r>
      <w:r w:rsidR="006A49E5">
        <w:t xml:space="preserve"> over four years</w:t>
      </w:r>
      <w:r w:rsidR="00940394">
        <w:t xml:space="preserve"> under two priority areas:</w:t>
      </w:r>
    </w:p>
    <w:p w14:paraId="67895C49" w14:textId="77777777" w:rsidR="00940394" w:rsidRDefault="00940394" w:rsidP="00F51716">
      <w:pPr>
        <w:pStyle w:val="ListBullet"/>
      </w:pPr>
      <w:r>
        <w:t>Priority One: H</w:t>
      </w:r>
      <w:r w:rsidRPr="005404C3">
        <w:t xml:space="preserve">elp Victorians act on </w:t>
      </w:r>
      <w:r w:rsidRPr="00BA1111">
        <w:t>climate change</w:t>
      </w:r>
    </w:p>
    <w:p w14:paraId="1BA639A8" w14:textId="77777777" w:rsidR="00940394" w:rsidRDefault="00940394" w:rsidP="00F51716">
      <w:pPr>
        <w:pStyle w:val="ListBullet"/>
      </w:pPr>
      <w:r>
        <w:t xml:space="preserve">Priority Two: </w:t>
      </w:r>
      <w:r w:rsidRPr="006E31EC">
        <w:t>Help Victorians to use resources wisely</w:t>
      </w:r>
    </w:p>
    <w:p w14:paraId="1DEAADD8" w14:textId="77777777" w:rsidR="006A49E5" w:rsidRDefault="00940394" w:rsidP="00F51716">
      <w:r>
        <w:t>2019–20 was the fourth and final year of implement</w:t>
      </w:r>
      <w:r w:rsidR="006A49E5">
        <w:t>ing SV2020</w:t>
      </w:r>
      <w:r>
        <w:t xml:space="preserve">. </w:t>
      </w:r>
    </w:p>
    <w:p w14:paraId="7BF12372" w14:textId="6DF0A8A2" w:rsidR="00940394" w:rsidRDefault="006A49E5" w:rsidP="00F51716">
      <w:r>
        <w:t xml:space="preserve">Our business plan, the </w:t>
      </w:r>
      <w:r w:rsidR="00940394" w:rsidRPr="00940394">
        <w:rPr>
          <w:i/>
          <w:iCs/>
        </w:rPr>
        <w:t>Sustainability Victoria Annual Plan 2019–2</w:t>
      </w:r>
      <w:r w:rsidR="00940394">
        <w:t>0 set our delivery priorities for the</w:t>
      </w:r>
      <w:r>
        <w:t xml:space="preserve"> last</w:t>
      </w:r>
      <w:r w:rsidR="00940394">
        <w:t xml:space="preserve"> year with a focus on a strong finish to 2020 and a head start on our new strategy SV2023. </w:t>
      </w:r>
    </w:p>
    <w:p w14:paraId="20105950" w14:textId="7A8851E7" w:rsidR="00940394" w:rsidRDefault="00940394" w:rsidP="00F51716">
      <w:r>
        <w:t>Our priorities for 2019–20 were to:</w:t>
      </w:r>
    </w:p>
    <w:p w14:paraId="6E20AB3A" w14:textId="392F573C" w:rsidR="00940394" w:rsidRPr="00940394" w:rsidRDefault="00940394" w:rsidP="00F51716">
      <w:pPr>
        <w:pStyle w:val="ListBullet"/>
      </w:pPr>
      <w:r>
        <w:t>build capacity in the Victorian waste and resource recovery industry</w:t>
      </w:r>
    </w:p>
    <w:p w14:paraId="6FC2A23F" w14:textId="4482411E" w:rsidR="00940394" w:rsidRPr="00940394" w:rsidRDefault="00940394" w:rsidP="00F51716">
      <w:pPr>
        <w:pStyle w:val="ListBullet"/>
      </w:pPr>
      <w:r>
        <w:t>drive progress toward</w:t>
      </w:r>
      <w:r w:rsidR="006A49E5">
        <w:t>s</w:t>
      </w:r>
      <w:r>
        <w:t xml:space="preserve"> net zero emissions by 2050</w:t>
      </w:r>
    </w:p>
    <w:p w14:paraId="324B4A5C" w14:textId="5E28AB6D" w:rsidR="00940394" w:rsidRPr="00940394" w:rsidRDefault="00940394" w:rsidP="00F51716">
      <w:pPr>
        <w:pStyle w:val="ListBullet"/>
      </w:pPr>
      <w:r>
        <w:t>put power back in hands of Victorians</w:t>
      </w:r>
    </w:p>
    <w:p w14:paraId="6F8C5524" w14:textId="67BE4576" w:rsidR="00940394" w:rsidRDefault="00940394" w:rsidP="00F51716">
      <w:pPr>
        <w:pStyle w:val="ListBullet"/>
      </w:pPr>
      <w:r>
        <w:t>support communities to realise their vision of a net zero emissions future</w:t>
      </w:r>
    </w:p>
    <w:p w14:paraId="07F23D1B" w14:textId="5408F5E3" w:rsidR="00940394" w:rsidRDefault="00940394" w:rsidP="00F51716">
      <w:pPr>
        <w:pStyle w:val="ListBullet"/>
      </w:pPr>
      <w:r>
        <w:t>prepare a systems-based strategy for future programs that will deliver the Victorian Government’s circular economy policy</w:t>
      </w:r>
      <w:r w:rsidR="006A49E5">
        <w:t>.</w:t>
      </w:r>
    </w:p>
    <w:p w14:paraId="09C5BC7F" w14:textId="269B919C" w:rsidR="00940394" w:rsidRDefault="00225FF8" w:rsidP="00F51716">
      <w:pPr>
        <w:pStyle w:val="Heading2"/>
      </w:pPr>
      <w:bookmarkStart w:id="17" w:name="_Toc59624192"/>
      <w:r>
        <w:t>Operating under COVID-19</w:t>
      </w:r>
      <w:bookmarkEnd w:id="17"/>
    </w:p>
    <w:p w14:paraId="7F4E65FD" w14:textId="47E391E7" w:rsidR="00F51716" w:rsidRDefault="003213B8" w:rsidP="00F51716">
      <w:r>
        <w:t xml:space="preserve">Restrictions related to the COVID-19 pandemic affected the delivery of </w:t>
      </w:r>
      <w:r w:rsidR="006A49E5">
        <w:t xml:space="preserve">some </w:t>
      </w:r>
      <w:r>
        <w:t>of our programs</w:t>
      </w:r>
      <w:r w:rsidR="006A49E5">
        <w:t xml:space="preserve"> in 2019–20</w:t>
      </w:r>
      <w:r>
        <w:t xml:space="preserve">. </w:t>
      </w:r>
      <w:r w:rsidR="002D4B7F">
        <w:t>For example, w</w:t>
      </w:r>
      <w:r w:rsidR="00940394">
        <w:t>e could no longer complete onsite energy upgrades or visit schools as part of the recruitment for</w:t>
      </w:r>
      <w:r>
        <w:t xml:space="preserve"> ResourceSmart </w:t>
      </w:r>
      <w:r w:rsidR="000615C9">
        <w:t>S</w:t>
      </w:r>
      <w:r>
        <w:t>chools</w:t>
      </w:r>
      <w:r w:rsidR="00940394">
        <w:t xml:space="preserve">. Program promotion was put on hold </w:t>
      </w:r>
      <w:r w:rsidR="00F51716">
        <w:t xml:space="preserve">and </w:t>
      </w:r>
      <w:r w:rsidR="002D4B7F">
        <w:t xml:space="preserve">there was less focus on the </w:t>
      </w:r>
      <w:r w:rsidR="00F51716">
        <w:t xml:space="preserve">environment and climate change. </w:t>
      </w:r>
    </w:p>
    <w:p w14:paraId="45D5C5EA" w14:textId="420032EF" w:rsidR="00F51716" w:rsidRDefault="003213B8" w:rsidP="00F51716">
      <w:r>
        <w:t xml:space="preserve">Despite these challenges, </w:t>
      </w:r>
      <w:r w:rsidR="00F51716">
        <w:t>we continued to run numerous programs and campaigns to inspire individuals, households, schools, communities, businesses and local authorities to embrace sustainable practices.</w:t>
      </w:r>
      <w:r w:rsidR="00F51716" w:rsidRPr="00F51716">
        <w:t xml:space="preserve"> </w:t>
      </w:r>
      <w:r w:rsidR="00F51716">
        <w:t xml:space="preserve">Programs that could not be completed in 2019–20 will be rolled over to 2020–21. </w:t>
      </w:r>
    </w:p>
    <w:p w14:paraId="609AB944" w14:textId="427DFF23" w:rsidR="003213B8" w:rsidRDefault="006515A7" w:rsidP="00F51716">
      <w:r>
        <w:t xml:space="preserve">Our staff </w:t>
      </w:r>
      <w:r w:rsidR="00F51716">
        <w:t xml:space="preserve">also needed to </w:t>
      </w:r>
      <w:r w:rsidR="003213B8">
        <w:t xml:space="preserve">adapt to </w:t>
      </w:r>
      <w:r w:rsidR="00F51716">
        <w:t>remote working</w:t>
      </w:r>
      <w:r w:rsidR="006A49E5">
        <w:t xml:space="preserve"> and </w:t>
      </w:r>
      <w:r w:rsidR="00F51716">
        <w:t xml:space="preserve">find new ways of </w:t>
      </w:r>
      <w:r w:rsidR="003213B8">
        <w:t xml:space="preserve">working </w:t>
      </w:r>
      <w:r w:rsidR="006A49E5">
        <w:t xml:space="preserve">to </w:t>
      </w:r>
      <w:r w:rsidR="003213B8">
        <w:t>continue provid</w:t>
      </w:r>
      <w:r w:rsidR="006A49E5">
        <w:t>ing</w:t>
      </w:r>
      <w:r w:rsidR="003213B8">
        <w:t xml:space="preserve"> expert advice and guidance in energy, materials and waste.</w:t>
      </w:r>
      <w:r>
        <w:t xml:space="preserve"> </w:t>
      </w:r>
    </w:p>
    <w:p w14:paraId="1D16B8BC" w14:textId="15016A00" w:rsidR="006515A7" w:rsidRDefault="006515A7" w:rsidP="00F51716">
      <w:r>
        <w:t>Our work over the years to establish a strong online presence has been particularly beneficial during this time</w:t>
      </w:r>
      <w:r w:rsidR="00AB7A8A">
        <w:t xml:space="preserve"> and we have </w:t>
      </w:r>
      <w:r>
        <w:t>continue</w:t>
      </w:r>
      <w:r w:rsidR="00AB7A8A">
        <w:t>d</w:t>
      </w:r>
      <w:r>
        <w:t xml:space="preserve"> to connect </w:t>
      </w:r>
      <w:r w:rsidR="00DE16D8">
        <w:t xml:space="preserve">and share </w:t>
      </w:r>
      <w:r>
        <w:t xml:space="preserve">with </w:t>
      </w:r>
      <w:r w:rsidR="00AB7A8A">
        <w:t>Victorians online.</w:t>
      </w:r>
      <w:r w:rsidR="00DE16D8">
        <w:t xml:space="preserve"> </w:t>
      </w:r>
    </w:p>
    <w:p w14:paraId="4DE5DC4D" w14:textId="28F105C7" w:rsidR="00BD011D" w:rsidRDefault="00225FF8" w:rsidP="00BD011D">
      <w:pPr>
        <w:pStyle w:val="Heading2"/>
      </w:pPr>
      <w:bookmarkStart w:id="18" w:name="_Toc57039858"/>
      <w:bookmarkStart w:id="19" w:name="_Toc59624193"/>
      <w:bookmarkStart w:id="20" w:name="_Toc57039854"/>
      <w:r>
        <w:t>Changes to p</w:t>
      </w:r>
      <w:r w:rsidR="00BD011D">
        <w:t xml:space="preserve">olicy and planning </w:t>
      </w:r>
      <w:bookmarkEnd w:id="18"/>
      <w:r w:rsidR="00BD011D">
        <w:t>in 201</w:t>
      </w:r>
      <w:r>
        <w:t>9–20</w:t>
      </w:r>
      <w:bookmarkEnd w:id="19"/>
    </w:p>
    <w:p w14:paraId="45BA3EA0" w14:textId="77777777" w:rsidR="006A49E5" w:rsidRDefault="006A49E5" w:rsidP="006A49E5">
      <w:r>
        <w:t xml:space="preserve">We have been developing our new organisational strategy, SV2023, and preparing to deliver requirements under </w:t>
      </w:r>
      <w:hyperlink r:id="rId19" w:history="1">
        <w:r w:rsidRPr="00202218">
          <w:rPr>
            <w:rStyle w:val="Hyperlink"/>
            <w:rFonts w:cstheme="minorBidi"/>
          </w:rPr>
          <w:t>Recycling Victoria: a new economy</w:t>
        </w:r>
      </w:hyperlink>
      <w:r>
        <w:t xml:space="preserve"> – the Victorian Government’s circular economy policy and 10-year action plan to deliver a cleaner, greener Victoria with less waste and pollution, better recycling, more jobs and a stronger economy.   </w:t>
      </w:r>
    </w:p>
    <w:p w14:paraId="0641641F" w14:textId="776CC30D" w:rsidR="00BD011D" w:rsidRDefault="00BD011D" w:rsidP="00BD011D">
      <w:r>
        <w:t xml:space="preserve">SV is responsible for delivering the Statewide Waste and Resource Recovery Infrastructure Plan (SWRRIP) (to be re-released as the Victorian Recycling Infrastructure Plan in 2020–21). </w:t>
      </w:r>
    </w:p>
    <w:p w14:paraId="15AAAD31" w14:textId="77777777" w:rsidR="00BD011D" w:rsidRDefault="00BD011D" w:rsidP="00BD011D">
      <w:r>
        <w:t>The SWRRIP is our 30-year roadmap to improve Victoria’s waste and recycling infrastructure. It provides direction on</w:t>
      </w:r>
      <w:r w:rsidRPr="001C57FA" w:rsidDel="0024179A">
        <w:t xml:space="preserve"> manag</w:t>
      </w:r>
      <w:r>
        <w:t>ing</w:t>
      </w:r>
      <w:r w:rsidRPr="001C57FA" w:rsidDel="0024179A">
        <w:t xml:space="preserve"> Victoria’s waste</w:t>
      </w:r>
      <w:r>
        <w:t xml:space="preserve">, </w:t>
      </w:r>
      <w:r w:rsidRPr="001C57FA" w:rsidDel="0024179A">
        <w:t>reduc</w:t>
      </w:r>
      <w:r>
        <w:t>ing</w:t>
      </w:r>
      <w:r w:rsidRPr="001C57FA" w:rsidDel="0024179A">
        <w:t xml:space="preserve"> the amount of materials going to landfill</w:t>
      </w:r>
      <w:r>
        <w:t xml:space="preserve"> and</w:t>
      </w:r>
      <w:r w:rsidRPr="001C57FA" w:rsidDel="0024179A">
        <w:t xml:space="preserve"> address</w:t>
      </w:r>
      <w:r>
        <w:t>ing</w:t>
      </w:r>
      <w:r w:rsidRPr="001C57FA" w:rsidDel="0024179A">
        <w:t xml:space="preserve"> the changing needs of Victorians</w:t>
      </w:r>
      <w:r>
        <w:t>.</w:t>
      </w:r>
    </w:p>
    <w:p w14:paraId="4FC2DF8E" w14:textId="091CC5AC" w:rsidR="00BD011D" w:rsidRDefault="00BD011D" w:rsidP="00BD011D">
      <w:r>
        <w:t>I</w:t>
      </w:r>
      <w:r w:rsidRPr="001C57FA">
        <w:t xml:space="preserve">n </w:t>
      </w:r>
      <w:r>
        <w:t>2019–20,</w:t>
      </w:r>
      <w:r w:rsidRPr="001C57FA">
        <w:t xml:space="preserve"> </w:t>
      </w:r>
      <w:r>
        <w:t xml:space="preserve">we evaluated </w:t>
      </w:r>
      <w:r w:rsidRPr="001C57FA">
        <w:t>the effectiveness of the</w:t>
      </w:r>
      <w:r>
        <w:t xml:space="preserve"> SWRRIP</w:t>
      </w:r>
      <w:r w:rsidR="006A49E5">
        <w:t xml:space="preserve"> and a</w:t>
      </w:r>
      <w:r w:rsidRPr="001C57FA">
        <w:t xml:space="preserve"> detailed report is due in late 2020.</w:t>
      </w:r>
      <w:r>
        <w:t xml:space="preserve"> </w:t>
      </w:r>
    </w:p>
    <w:p w14:paraId="0207319E" w14:textId="68B06A88" w:rsidR="00BD011D" w:rsidRDefault="00BD011D" w:rsidP="00BD011D">
      <w:r>
        <w:t xml:space="preserve">In June 2019, the </w:t>
      </w:r>
      <w:r w:rsidRPr="00487E73">
        <w:t>Victorian Auditor General’s Office</w:t>
      </w:r>
      <w:r>
        <w:t xml:space="preserve"> </w:t>
      </w:r>
      <w:r w:rsidR="00C65C26">
        <w:t xml:space="preserve">(VAGO) </w:t>
      </w:r>
      <w:r>
        <w:t>published an audit investigating whether responsible agencies are providing strategic direction, support and effective regulation in order to maximise the recovery and reprocessing of resources from Victoria's waste streams. VAGO</w:t>
      </w:r>
      <w:r w:rsidRPr="00487E73">
        <w:t> recommended that S</w:t>
      </w:r>
      <w:r>
        <w:t xml:space="preserve">V </w:t>
      </w:r>
      <w:r w:rsidRPr="00487E73">
        <w:t xml:space="preserve">undertake a comprehensive review of </w:t>
      </w:r>
      <w:r>
        <w:t xml:space="preserve">the SWRRIP’s three </w:t>
      </w:r>
      <w:r w:rsidRPr="00487E73">
        <w:t>complement</w:t>
      </w:r>
      <w:r>
        <w:t>ary strategies:</w:t>
      </w:r>
    </w:p>
    <w:p w14:paraId="69072482" w14:textId="77777777" w:rsidR="00BD011D" w:rsidRDefault="00BD011D" w:rsidP="00BD011D">
      <w:pPr>
        <w:pStyle w:val="ListBullet"/>
      </w:pPr>
      <w:r w:rsidRPr="00487E73">
        <w:t>Victorian Organics Resource Recovery Strategy</w:t>
      </w:r>
    </w:p>
    <w:p w14:paraId="52106C37" w14:textId="77777777" w:rsidR="00BD011D" w:rsidRDefault="00BD011D" w:rsidP="00BD011D">
      <w:pPr>
        <w:pStyle w:val="ListBullet"/>
      </w:pPr>
      <w:r w:rsidRPr="00487E73">
        <w:t>Victorian Market Development Strategy for Recovered Resources</w:t>
      </w:r>
    </w:p>
    <w:p w14:paraId="5B14546B" w14:textId="77777777" w:rsidR="00BD011D" w:rsidRDefault="00BD011D" w:rsidP="00BD011D">
      <w:pPr>
        <w:pStyle w:val="ListBullet"/>
      </w:pPr>
      <w:r w:rsidRPr="00487E73">
        <w:t>Victorian Waste Education Strategy</w:t>
      </w:r>
      <w:r>
        <w:t>.</w:t>
      </w:r>
    </w:p>
    <w:p w14:paraId="35F76FED" w14:textId="1E6A05BF" w:rsidR="00BD011D" w:rsidRDefault="00BD011D" w:rsidP="00BD011D">
      <w:r>
        <w:t>SV</w:t>
      </w:r>
      <w:r w:rsidRPr="00487E73">
        <w:t> subsequently </w:t>
      </w:r>
      <w:r w:rsidR="006069DF">
        <w:t>launched</w:t>
      </w:r>
      <w:r w:rsidR="006069DF" w:rsidRPr="00487E73">
        <w:t> </w:t>
      </w:r>
      <w:r w:rsidRPr="00487E73">
        <w:t xml:space="preserve"> implementation and evaluation plans for all three.</w:t>
      </w:r>
    </w:p>
    <w:p w14:paraId="708DB5E1" w14:textId="77777777" w:rsidR="00BD011D" w:rsidRDefault="00BD011D" w:rsidP="00BD011D">
      <w:r>
        <w:t>VAGO’s report,</w:t>
      </w:r>
      <w:r w:rsidRPr="007951C1">
        <w:rPr>
          <w:i/>
          <w:iCs/>
        </w:rPr>
        <w:t xml:space="preserve"> Recovering and Reprocessing Resources from Waste</w:t>
      </w:r>
      <w:r>
        <w:t xml:space="preserve">, can be viewed online at </w:t>
      </w:r>
      <w:hyperlink r:id="rId20" w:history="1">
        <w:r w:rsidRPr="00FF32A8">
          <w:rPr>
            <w:rStyle w:val="Hyperlink"/>
            <w:rFonts w:cstheme="minorBidi"/>
          </w:rPr>
          <w:t>audit.vic.gov.au/report/recovering-and-reprocessing-resources-waste</w:t>
        </w:r>
      </w:hyperlink>
    </w:p>
    <w:p w14:paraId="07877054" w14:textId="77777777" w:rsidR="00BD011D" w:rsidRPr="00D92714" w:rsidRDefault="00BD011D" w:rsidP="009C0026">
      <w:pPr>
        <w:pStyle w:val="Heading3"/>
      </w:pPr>
      <w:r w:rsidRPr="00D92714">
        <w:t>Recycling Victoria</w:t>
      </w:r>
    </w:p>
    <w:p w14:paraId="71ECF618" w14:textId="39A5ED6B" w:rsidR="00BD011D" w:rsidRDefault="00BD011D" w:rsidP="00BD011D">
      <w:r w:rsidRPr="00487E73">
        <w:t>On 28</w:t>
      </w:r>
      <w:r w:rsidR="007536F1">
        <w:t> </w:t>
      </w:r>
      <w:r w:rsidRPr="00487E73">
        <w:t>February</w:t>
      </w:r>
      <w:r w:rsidR="007536F1">
        <w:t> </w:t>
      </w:r>
      <w:r w:rsidRPr="00487E73">
        <w:t xml:space="preserve">2020, the Victorian Government released its overarching circular economy policy, Recycling Victoria. The policy outlines the government’s direction and priorities for waste and recycling over the next ten years and provides a strategic, coordinated approach in Victoria, including </w:t>
      </w:r>
      <w:r w:rsidRPr="00FF32A8">
        <w:t>in the areas of waste education, organics management and market</w:t>
      </w:r>
      <w:r>
        <w:t xml:space="preserve"> </w:t>
      </w:r>
      <w:r w:rsidRPr="00FF32A8">
        <w:t>development.</w:t>
      </w:r>
    </w:p>
    <w:p w14:paraId="2AA9DDAC" w14:textId="77777777" w:rsidR="00BD011D" w:rsidRDefault="00BD011D" w:rsidP="00BD011D">
      <w:r w:rsidRPr="00263340">
        <w:t>The recommendations from the VAGO audit were assessed and contributed to Victoria’s strategic direction for waste management, as detailed in Recycling Victoria. The decision was made for Recycling Victoria to supersede the SWRRIP’s three complementary strategies. The objectives set out in these strategies will guide work under Recycling Victoria as the policy builds on current programs and develops new initiatives to strengthen the sector. </w:t>
      </w:r>
    </w:p>
    <w:p w14:paraId="51A9D923" w14:textId="77777777" w:rsidR="00BD011D" w:rsidRDefault="00BD011D" w:rsidP="00BD011D">
      <w:r w:rsidRPr="00FF32A8">
        <w:t xml:space="preserve">The recommendations from the VAGO audit were assessed and contributed to Victoria’s strategic direction for waste management, </w:t>
      </w:r>
      <w:r>
        <w:t xml:space="preserve">as </w:t>
      </w:r>
      <w:r w:rsidRPr="00FF32A8">
        <w:t xml:space="preserve">detailed in </w:t>
      </w:r>
      <w:r w:rsidRPr="00487E73">
        <w:t>Recycling Victoria</w:t>
      </w:r>
      <w:r w:rsidRPr="00FF32A8">
        <w:t>.</w:t>
      </w:r>
      <w:r>
        <w:t xml:space="preserve"> The decision was made for </w:t>
      </w:r>
      <w:r w:rsidRPr="00487E73">
        <w:t xml:space="preserve">Recycling Victoria </w:t>
      </w:r>
      <w:r>
        <w:t xml:space="preserve">to </w:t>
      </w:r>
      <w:r w:rsidRPr="00487E73">
        <w:t>supersede the </w:t>
      </w:r>
      <w:r>
        <w:t xml:space="preserve">SWRRIP’s </w:t>
      </w:r>
      <w:r w:rsidRPr="00487E73">
        <w:t>three </w:t>
      </w:r>
      <w:r>
        <w:t>complementary</w:t>
      </w:r>
      <w:r w:rsidRPr="00487E73">
        <w:t xml:space="preserve"> strategies. The objectives set out in these strategies will guide work under Recycling Victoria as the policy builds on current programs and develops new initiatives to</w:t>
      </w:r>
      <w:r>
        <w:t xml:space="preserve"> s</w:t>
      </w:r>
      <w:r w:rsidRPr="00487E73">
        <w:t>trengthen the sector. </w:t>
      </w:r>
    </w:p>
    <w:p w14:paraId="7BFC02C1" w14:textId="77777777" w:rsidR="00BD011D" w:rsidRDefault="00BD011D" w:rsidP="00BD011D">
      <w:r w:rsidRPr="00263340">
        <w:t>The SV website includes guidance documents, evaluation summaries and implementation plans which illustrate future priorities and programs in waste education, market development and organics under Recycling Victoria. These documents will reflect the context of the day, while maintaining a long-term vision that aligns with the earlier strategies.</w:t>
      </w:r>
    </w:p>
    <w:p w14:paraId="7F2D450D" w14:textId="004EC234" w:rsidR="0002656C" w:rsidRDefault="009243B4" w:rsidP="00F51716">
      <w:pPr>
        <w:pStyle w:val="Heading2"/>
      </w:pPr>
      <w:bookmarkStart w:id="21" w:name="_Toc59624194"/>
      <w:r>
        <w:t>Summary of o</w:t>
      </w:r>
      <w:r w:rsidR="0002656C">
        <w:t>perational</w:t>
      </w:r>
      <w:r w:rsidR="0002656C" w:rsidRPr="00BF3160">
        <w:t xml:space="preserve"> performance</w:t>
      </w:r>
      <w:bookmarkEnd w:id="20"/>
      <w:bookmarkEnd w:id="21"/>
    </w:p>
    <w:p w14:paraId="5E6C9B8D" w14:textId="18B795AF" w:rsidR="00DE11BB" w:rsidRPr="00A45012" w:rsidRDefault="0002656C" w:rsidP="00F51716">
      <w:r w:rsidRPr="002A2535">
        <w:t xml:space="preserve">This year marks the completion of </w:t>
      </w:r>
      <w:r>
        <w:t xml:space="preserve">the </w:t>
      </w:r>
      <w:r w:rsidRPr="002A2535">
        <w:t xml:space="preserve">SV2020 </w:t>
      </w:r>
      <w:r>
        <w:t>strategy</w:t>
      </w:r>
      <w:r w:rsidR="00DE11BB">
        <w:t xml:space="preserve"> and the last year that we report against the annual targets set out in this strategy. In next year’s annual report, we will report </w:t>
      </w:r>
      <w:r w:rsidR="00DE11BB" w:rsidRPr="00A45012">
        <w:t xml:space="preserve">against the targets in our new strategy, SV2023. </w:t>
      </w:r>
    </w:p>
    <w:p w14:paraId="36E8C1BC" w14:textId="210E7E3D" w:rsidR="00BD011D" w:rsidRDefault="00BD011D" w:rsidP="00F51716">
      <w:r>
        <w:fldChar w:fldCharType="begin"/>
      </w:r>
      <w:r>
        <w:instrText xml:space="preserve"> REF _Ref57462713 \h </w:instrText>
      </w:r>
      <w:r>
        <w:fldChar w:fldCharType="separate"/>
      </w:r>
      <w:r w:rsidR="00205952">
        <w:t xml:space="preserve">Table </w:t>
      </w:r>
      <w:r w:rsidR="00205952">
        <w:rPr>
          <w:noProof/>
        </w:rPr>
        <w:t>1</w:t>
      </w:r>
      <w:r>
        <w:fldChar w:fldCharType="end"/>
      </w:r>
      <w:r>
        <w:t xml:space="preserve"> lists our performance against the overarching targets set out in SV2020. We have additional </w:t>
      </w:r>
      <w:r w:rsidR="00A45012">
        <w:t xml:space="preserve">yearly </w:t>
      </w:r>
      <w:r>
        <w:t>targets</w:t>
      </w:r>
      <w:r w:rsidR="00A45012">
        <w:t xml:space="preserve"> listed</w:t>
      </w:r>
      <w:r>
        <w:t xml:space="preserve"> in the 2019–20 business plan</w:t>
      </w:r>
      <w:r w:rsidR="00A45012">
        <w:t xml:space="preserve">, which </w:t>
      </w:r>
      <w:r w:rsidR="00225FF8">
        <w:t xml:space="preserve">are </w:t>
      </w:r>
      <w:r>
        <w:t xml:space="preserve">covered in the next section, </w:t>
      </w:r>
      <w:r w:rsidRPr="00BD011D">
        <w:rPr>
          <w:i/>
          <w:iCs/>
        </w:rPr>
        <w:t>Key initiatives and projects in 2019–20</w:t>
      </w:r>
      <w:r>
        <w:t xml:space="preserve">.  </w:t>
      </w:r>
    </w:p>
    <w:p w14:paraId="22C5ADD4" w14:textId="77777777" w:rsidR="0040754F" w:rsidRDefault="0040754F" w:rsidP="00F51716">
      <w:pPr>
        <w:pStyle w:val="Caption"/>
      </w:pPr>
      <w:bookmarkStart w:id="22" w:name="_Ref57462713"/>
    </w:p>
    <w:p w14:paraId="6591FA1B" w14:textId="77777777" w:rsidR="0040754F" w:rsidRDefault="0040754F" w:rsidP="00F51716">
      <w:pPr>
        <w:pStyle w:val="Caption"/>
      </w:pPr>
    </w:p>
    <w:p w14:paraId="61A43B42" w14:textId="14AA552A" w:rsidR="00DE11BB" w:rsidRPr="00BF3160" w:rsidRDefault="00DE11BB" w:rsidP="00F51716">
      <w:pPr>
        <w:pStyle w:val="Caption"/>
      </w:pPr>
      <w:r>
        <w:t xml:space="preserve">Table </w:t>
      </w:r>
      <w:fldSimple w:instr=" SEQ Table \* ARABIC ">
        <w:r w:rsidR="003F15CC">
          <w:rPr>
            <w:noProof/>
          </w:rPr>
          <w:t>1</w:t>
        </w:r>
      </w:fldSimple>
      <w:bookmarkEnd w:id="22"/>
      <w:r>
        <w:t xml:space="preserve">: </w:t>
      </w:r>
      <w:r w:rsidR="00A45012">
        <w:t>O</w:t>
      </w:r>
      <w:r>
        <w:t>rganisational performance in 2019–20</w:t>
      </w:r>
      <w:r w:rsidR="00A45012">
        <w:t xml:space="preserve"> against SV2020 targets</w:t>
      </w:r>
    </w:p>
    <w:tbl>
      <w:tblPr>
        <w:tblStyle w:val="TableGrid0"/>
        <w:tblW w:w="9923" w:type="dxa"/>
        <w:tblInd w:w="0" w:type="dxa"/>
        <w:tblLayout w:type="fixed"/>
        <w:tblCellMar>
          <w:top w:w="109" w:type="dxa"/>
          <w:right w:w="125" w:type="dxa"/>
        </w:tblCellMar>
        <w:tblLook w:val="04A0" w:firstRow="1" w:lastRow="0" w:firstColumn="1" w:lastColumn="0" w:noHBand="0" w:noVBand="1"/>
      </w:tblPr>
      <w:tblGrid>
        <w:gridCol w:w="4673"/>
        <w:gridCol w:w="1139"/>
        <w:gridCol w:w="1275"/>
        <w:gridCol w:w="1418"/>
        <w:gridCol w:w="1418"/>
      </w:tblGrid>
      <w:tr w:rsidR="0002656C" w:rsidRPr="00AF6B06" w14:paraId="034D9AA1" w14:textId="77777777" w:rsidTr="00FE1ED7">
        <w:trPr>
          <w:trHeight w:val="809"/>
        </w:trPr>
        <w:tc>
          <w:tcPr>
            <w:tcW w:w="4673" w:type="dxa"/>
            <w:tcBorders>
              <w:top w:val="nil"/>
              <w:left w:val="nil"/>
              <w:bottom w:val="nil"/>
              <w:right w:val="nil"/>
            </w:tcBorders>
            <w:shd w:val="clear" w:color="auto" w:fill="82C341"/>
            <w:vAlign w:val="center"/>
          </w:tcPr>
          <w:p w14:paraId="66B9276E" w14:textId="4792A285" w:rsidR="0002656C" w:rsidRDefault="006515A7" w:rsidP="00F51716">
            <w:pPr>
              <w:pStyle w:val="TableHeading"/>
            </w:pPr>
            <w:r>
              <w:t>O</w:t>
            </w:r>
            <w:r w:rsidR="0002656C" w:rsidRPr="007B2FFA">
              <w:t>rganisational performance measures</w:t>
            </w:r>
          </w:p>
          <w:p w14:paraId="682A8F1C" w14:textId="16287284" w:rsidR="0002656C" w:rsidRPr="002A2535" w:rsidRDefault="0002656C" w:rsidP="00F51716">
            <w:pPr>
              <w:pStyle w:val="TableHeading"/>
            </w:pPr>
          </w:p>
        </w:tc>
        <w:tc>
          <w:tcPr>
            <w:tcW w:w="1139" w:type="dxa"/>
            <w:tcBorders>
              <w:top w:val="nil"/>
              <w:left w:val="nil"/>
              <w:bottom w:val="nil"/>
              <w:right w:val="nil"/>
            </w:tcBorders>
            <w:shd w:val="clear" w:color="auto" w:fill="82C341"/>
            <w:vAlign w:val="center"/>
          </w:tcPr>
          <w:p w14:paraId="43C11171" w14:textId="77777777" w:rsidR="0002656C" w:rsidRPr="007B2FFA" w:rsidRDefault="0002656C" w:rsidP="00A45012">
            <w:pPr>
              <w:pStyle w:val="tableheadright"/>
            </w:pPr>
            <w:r w:rsidRPr="007B2FFA">
              <w:t>Unit of</w:t>
            </w:r>
          </w:p>
          <w:p w14:paraId="60C707F2" w14:textId="77777777" w:rsidR="0002656C" w:rsidRPr="007B2FFA" w:rsidRDefault="0002656C" w:rsidP="00A45012">
            <w:pPr>
              <w:pStyle w:val="tableheadright"/>
            </w:pPr>
            <w:r w:rsidRPr="007B2FFA">
              <w:t>measure</w:t>
            </w:r>
          </w:p>
        </w:tc>
        <w:tc>
          <w:tcPr>
            <w:tcW w:w="1275" w:type="dxa"/>
            <w:tcBorders>
              <w:top w:val="nil"/>
              <w:left w:val="nil"/>
              <w:bottom w:val="nil"/>
              <w:right w:val="nil"/>
            </w:tcBorders>
            <w:shd w:val="clear" w:color="auto" w:fill="82C341"/>
            <w:vAlign w:val="center"/>
          </w:tcPr>
          <w:p w14:paraId="4E88BE55" w14:textId="1ACF1F57" w:rsidR="0002656C" w:rsidRPr="007B2FFA" w:rsidRDefault="0002656C" w:rsidP="00A45012">
            <w:pPr>
              <w:pStyle w:val="tableheadright"/>
            </w:pPr>
            <w:r w:rsidRPr="007B2FFA">
              <w:t xml:space="preserve">2015–16 </w:t>
            </w:r>
            <w:r>
              <w:t>b</w:t>
            </w:r>
            <w:r w:rsidRPr="007B2FFA">
              <w:t>aseline</w:t>
            </w:r>
          </w:p>
        </w:tc>
        <w:tc>
          <w:tcPr>
            <w:tcW w:w="1418" w:type="dxa"/>
            <w:tcBorders>
              <w:top w:val="nil"/>
              <w:left w:val="nil"/>
              <w:bottom w:val="nil"/>
              <w:right w:val="nil"/>
            </w:tcBorders>
            <w:shd w:val="clear" w:color="auto" w:fill="82C341"/>
            <w:vAlign w:val="center"/>
          </w:tcPr>
          <w:p w14:paraId="1FEDA9EC" w14:textId="09A52F2A" w:rsidR="0002656C" w:rsidRPr="007B2FFA" w:rsidRDefault="0002656C" w:rsidP="00A45012">
            <w:pPr>
              <w:pStyle w:val="tableheadright"/>
            </w:pPr>
            <w:r>
              <w:t>2019–20</w:t>
            </w:r>
            <w:r w:rsidR="006515A7">
              <w:br/>
            </w:r>
            <w:r>
              <w:t>t</w:t>
            </w:r>
            <w:r w:rsidRPr="007B2FFA">
              <w:t>arget</w:t>
            </w:r>
          </w:p>
        </w:tc>
        <w:tc>
          <w:tcPr>
            <w:tcW w:w="1418" w:type="dxa"/>
            <w:tcBorders>
              <w:top w:val="nil"/>
              <w:left w:val="nil"/>
              <w:bottom w:val="nil"/>
              <w:right w:val="nil"/>
            </w:tcBorders>
            <w:shd w:val="clear" w:color="auto" w:fill="82C341"/>
            <w:vAlign w:val="center"/>
          </w:tcPr>
          <w:p w14:paraId="3F60E568" w14:textId="5BA0BA07" w:rsidR="0002656C" w:rsidRPr="007B2FFA" w:rsidRDefault="0002656C" w:rsidP="00A45012">
            <w:pPr>
              <w:pStyle w:val="tableheadright"/>
            </w:pPr>
            <w:r>
              <w:t>2019–20</w:t>
            </w:r>
            <w:r w:rsidR="006515A7">
              <w:br/>
            </w:r>
            <w:r>
              <w:t>a</w:t>
            </w:r>
            <w:r w:rsidRPr="007B2FFA">
              <w:t>ctual</w:t>
            </w:r>
          </w:p>
        </w:tc>
      </w:tr>
      <w:tr w:rsidR="0002656C" w:rsidRPr="00BF3160" w14:paraId="358C09AB" w14:textId="77777777" w:rsidTr="00FE1ED7">
        <w:trPr>
          <w:trHeight w:val="411"/>
        </w:trPr>
        <w:tc>
          <w:tcPr>
            <w:tcW w:w="4673" w:type="dxa"/>
            <w:tcBorders>
              <w:top w:val="single" w:sz="2" w:space="0" w:color="A7A9AB"/>
              <w:left w:val="nil"/>
              <w:bottom w:val="single" w:sz="2" w:space="0" w:color="A7A9AB"/>
              <w:right w:val="nil"/>
            </w:tcBorders>
            <w:shd w:val="clear" w:color="auto" w:fill="BCBEC0" w:themeFill="text2"/>
            <w:vAlign w:val="center"/>
          </w:tcPr>
          <w:p w14:paraId="5331CFC7" w14:textId="77777777" w:rsidR="0002656C" w:rsidRPr="00D15596" w:rsidRDefault="0002656C" w:rsidP="00F51716">
            <w:r w:rsidRPr="00D15596">
              <w:t>Help Victorians to act on climate change</w:t>
            </w:r>
          </w:p>
        </w:tc>
        <w:tc>
          <w:tcPr>
            <w:tcW w:w="1139" w:type="dxa"/>
            <w:tcBorders>
              <w:top w:val="single" w:sz="2" w:space="0" w:color="A7A9AB"/>
              <w:left w:val="nil"/>
              <w:bottom w:val="single" w:sz="2" w:space="0" w:color="A7A9AB"/>
              <w:right w:val="nil"/>
            </w:tcBorders>
            <w:shd w:val="clear" w:color="auto" w:fill="BCBEC0" w:themeFill="text2"/>
            <w:vAlign w:val="center"/>
          </w:tcPr>
          <w:p w14:paraId="38FCF577" w14:textId="77777777" w:rsidR="0002656C" w:rsidRPr="00BF3160" w:rsidRDefault="0002656C" w:rsidP="00F51716">
            <w:pPr>
              <w:rPr>
                <w:highlight w:val="yellow"/>
              </w:rPr>
            </w:pPr>
          </w:p>
        </w:tc>
        <w:tc>
          <w:tcPr>
            <w:tcW w:w="1275" w:type="dxa"/>
            <w:tcBorders>
              <w:top w:val="single" w:sz="2" w:space="0" w:color="A7A9AB"/>
              <w:left w:val="nil"/>
              <w:bottom w:val="single" w:sz="2" w:space="0" w:color="A7A9AB"/>
              <w:right w:val="nil"/>
            </w:tcBorders>
            <w:shd w:val="clear" w:color="auto" w:fill="BCBEC0" w:themeFill="text2"/>
            <w:vAlign w:val="center"/>
          </w:tcPr>
          <w:p w14:paraId="5B619D7C" w14:textId="77777777" w:rsidR="0002656C" w:rsidRPr="00BF3160" w:rsidRDefault="0002656C" w:rsidP="00F51716">
            <w:pPr>
              <w:rPr>
                <w:highlight w:val="yellow"/>
              </w:rPr>
            </w:pPr>
          </w:p>
        </w:tc>
        <w:tc>
          <w:tcPr>
            <w:tcW w:w="1418" w:type="dxa"/>
            <w:tcBorders>
              <w:top w:val="single" w:sz="2" w:space="0" w:color="A7A9AB"/>
              <w:left w:val="nil"/>
              <w:bottom w:val="single" w:sz="2" w:space="0" w:color="A7A9AB"/>
              <w:right w:val="nil"/>
            </w:tcBorders>
            <w:shd w:val="clear" w:color="auto" w:fill="BCBEC0" w:themeFill="text2"/>
            <w:vAlign w:val="center"/>
          </w:tcPr>
          <w:p w14:paraId="4AE39449" w14:textId="77777777" w:rsidR="0002656C" w:rsidRPr="00BF3160" w:rsidRDefault="0002656C" w:rsidP="00F51716">
            <w:pPr>
              <w:rPr>
                <w:highlight w:val="yellow"/>
              </w:rPr>
            </w:pPr>
          </w:p>
        </w:tc>
        <w:tc>
          <w:tcPr>
            <w:tcW w:w="1418" w:type="dxa"/>
            <w:tcBorders>
              <w:top w:val="single" w:sz="2" w:space="0" w:color="A7A9AB"/>
              <w:left w:val="nil"/>
              <w:bottom w:val="single" w:sz="2" w:space="0" w:color="A7A9AB"/>
              <w:right w:val="nil"/>
            </w:tcBorders>
            <w:shd w:val="clear" w:color="auto" w:fill="BCBEC0" w:themeFill="text2"/>
            <w:vAlign w:val="center"/>
          </w:tcPr>
          <w:p w14:paraId="17BC8020" w14:textId="77777777" w:rsidR="0002656C" w:rsidRPr="00BF3160" w:rsidRDefault="0002656C" w:rsidP="00F51716">
            <w:pPr>
              <w:rPr>
                <w:highlight w:val="yellow"/>
              </w:rPr>
            </w:pPr>
          </w:p>
        </w:tc>
      </w:tr>
      <w:tr w:rsidR="0002656C" w:rsidRPr="00BF3160" w14:paraId="00C75EB3" w14:textId="77777777" w:rsidTr="00FE1ED7">
        <w:trPr>
          <w:trHeight w:val="411"/>
        </w:trPr>
        <w:tc>
          <w:tcPr>
            <w:tcW w:w="4673" w:type="dxa"/>
            <w:tcBorders>
              <w:top w:val="single" w:sz="2" w:space="0" w:color="A7A9AB"/>
              <w:left w:val="nil"/>
              <w:bottom w:val="single" w:sz="2" w:space="0" w:color="A7A9AB"/>
              <w:right w:val="nil"/>
            </w:tcBorders>
            <w:vAlign w:val="center"/>
          </w:tcPr>
          <w:p w14:paraId="585BA7E2" w14:textId="77777777" w:rsidR="0002656C" w:rsidRPr="00F47EA8" w:rsidRDefault="0002656C" w:rsidP="00F51716">
            <w:r w:rsidRPr="00F47EA8">
              <w:t>A third of Victorians will recognise that climate change is a significant issue facing Victoria</w:t>
            </w:r>
            <w:r w:rsidRPr="002E0B3B">
              <w:rPr>
                <w:vertAlign w:val="superscript"/>
              </w:rPr>
              <w:t>1</w:t>
            </w:r>
            <w:r w:rsidRPr="00F47EA8">
              <w:t xml:space="preserve"> </w:t>
            </w:r>
          </w:p>
        </w:tc>
        <w:tc>
          <w:tcPr>
            <w:tcW w:w="1139" w:type="dxa"/>
            <w:tcBorders>
              <w:top w:val="single" w:sz="2" w:space="0" w:color="A7A9AB"/>
              <w:left w:val="nil"/>
              <w:bottom w:val="single" w:sz="2" w:space="0" w:color="A7A9AB"/>
              <w:right w:val="nil"/>
            </w:tcBorders>
            <w:vAlign w:val="center"/>
          </w:tcPr>
          <w:p w14:paraId="4F445CDF" w14:textId="2FCC8656" w:rsidR="0002656C" w:rsidRPr="007951C1" w:rsidRDefault="006515A7" w:rsidP="00F51716">
            <w:pPr>
              <w:pStyle w:val="Tabletext0"/>
            </w:pPr>
            <w:r>
              <w:t>p</w:t>
            </w:r>
            <w:r w:rsidR="0002656C" w:rsidRPr="007951C1">
              <w:t>er cent</w:t>
            </w:r>
          </w:p>
        </w:tc>
        <w:tc>
          <w:tcPr>
            <w:tcW w:w="1275" w:type="dxa"/>
            <w:tcBorders>
              <w:top w:val="single" w:sz="2" w:space="0" w:color="A7A9AB"/>
              <w:left w:val="nil"/>
              <w:bottom w:val="single" w:sz="2" w:space="0" w:color="A7A9AB"/>
              <w:right w:val="nil"/>
            </w:tcBorders>
            <w:vAlign w:val="center"/>
          </w:tcPr>
          <w:p w14:paraId="0CABB3B4" w14:textId="77777777" w:rsidR="0002656C" w:rsidRPr="007951C1" w:rsidRDefault="0002656C" w:rsidP="00F51716">
            <w:pPr>
              <w:pStyle w:val="tableright"/>
            </w:pPr>
            <w:r w:rsidRPr="007951C1">
              <w:t>30%</w:t>
            </w:r>
          </w:p>
        </w:tc>
        <w:tc>
          <w:tcPr>
            <w:tcW w:w="1418" w:type="dxa"/>
            <w:tcBorders>
              <w:top w:val="single" w:sz="2" w:space="0" w:color="A7A9AB"/>
              <w:left w:val="nil"/>
              <w:bottom w:val="single" w:sz="2" w:space="0" w:color="A7A9AB"/>
              <w:right w:val="nil"/>
            </w:tcBorders>
            <w:vAlign w:val="center"/>
          </w:tcPr>
          <w:p w14:paraId="3219A7F4" w14:textId="4943B198" w:rsidR="0002656C" w:rsidRPr="007951C1" w:rsidRDefault="0002656C" w:rsidP="00F51716">
            <w:pPr>
              <w:pStyle w:val="tableright"/>
            </w:pPr>
            <w:r w:rsidRPr="007951C1">
              <w:t>33%</w:t>
            </w:r>
          </w:p>
          <w:p w14:paraId="1D4D11E3" w14:textId="46B2CE06" w:rsidR="0002656C" w:rsidRPr="007951C1" w:rsidRDefault="006515A7" w:rsidP="00F51716">
            <w:pPr>
              <w:pStyle w:val="tableright"/>
            </w:pPr>
            <w:r>
              <w:t>(</w:t>
            </w:r>
            <w:r w:rsidR="0002656C" w:rsidRPr="007951C1">
              <w:t>by 2020</w:t>
            </w:r>
            <w:r>
              <w:t>)</w:t>
            </w:r>
          </w:p>
        </w:tc>
        <w:tc>
          <w:tcPr>
            <w:tcW w:w="1418" w:type="dxa"/>
            <w:tcBorders>
              <w:top w:val="single" w:sz="2" w:space="0" w:color="A7A9AB"/>
              <w:left w:val="nil"/>
              <w:bottom w:val="single" w:sz="2" w:space="0" w:color="A7A9AB"/>
              <w:right w:val="nil"/>
            </w:tcBorders>
            <w:vAlign w:val="center"/>
          </w:tcPr>
          <w:p w14:paraId="30B3E790" w14:textId="77777777" w:rsidR="0002656C" w:rsidRPr="007951C1" w:rsidRDefault="0002656C" w:rsidP="00F51716">
            <w:pPr>
              <w:pStyle w:val="tableright"/>
            </w:pPr>
            <w:r w:rsidRPr="007951C1">
              <w:t>34%</w:t>
            </w:r>
          </w:p>
        </w:tc>
      </w:tr>
      <w:tr w:rsidR="0002656C" w:rsidRPr="00BF3160" w14:paraId="303187EA" w14:textId="77777777" w:rsidTr="00FE1ED7">
        <w:trPr>
          <w:trHeight w:val="411"/>
        </w:trPr>
        <w:tc>
          <w:tcPr>
            <w:tcW w:w="4673" w:type="dxa"/>
            <w:tcBorders>
              <w:top w:val="single" w:sz="2" w:space="0" w:color="A7A9AB"/>
              <w:left w:val="nil"/>
              <w:bottom w:val="single" w:sz="2" w:space="0" w:color="A7A9AB"/>
              <w:right w:val="nil"/>
            </w:tcBorders>
            <w:vAlign w:val="center"/>
          </w:tcPr>
          <w:p w14:paraId="7B88B544" w14:textId="0803AD5F" w:rsidR="0002656C" w:rsidRPr="00D15596" w:rsidRDefault="0002656C" w:rsidP="00F51716">
            <w:r w:rsidRPr="00D15596">
              <w:t>Our programs will have helped Victoria’s households, schools and businesses save $10</w:t>
            </w:r>
            <w:r w:rsidR="00BD011D">
              <w:t> </w:t>
            </w:r>
            <w:r w:rsidRPr="00D15596">
              <w:t xml:space="preserve">million on their annual energy bills </w:t>
            </w:r>
          </w:p>
        </w:tc>
        <w:tc>
          <w:tcPr>
            <w:tcW w:w="1139" w:type="dxa"/>
            <w:tcBorders>
              <w:top w:val="single" w:sz="2" w:space="0" w:color="A7A9AB"/>
              <w:left w:val="nil"/>
              <w:bottom w:val="single" w:sz="2" w:space="0" w:color="A7A9AB"/>
              <w:right w:val="nil"/>
            </w:tcBorders>
            <w:vAlign w:val="center"/>
          </w:tcPr>
          <w:p w14:paraId="469EF368" w14:textId="77777777" w:rsidR="0002656C" w:rsidRPr="007951C1" w:rsidRDefault="0002656C" w:rsidP="00F51716">
            <w:pPr>
              <w:pStyle w:val="Tabletext0"/>
            </w:pPr>
            <w:r w:rsidRPr="007951C1">
              <w:t>$</w:t>
            </w:r>
          </w:p>
        </w:tc>
        <w:tc>
          <w:tcPr>
            <w:tcW w:w="1275" w:type="dxa"/>
            <w:tcBorders>
              <w:top w:val="single" w:sz="2" w:space="0" w:color="A7A9AB"/>
              <w:left w:val="nil"/>
              <w:bottom w:val="single" w:sz="2" w:space="0" w:color="A7A9AB"/>
              <w:right w:val="nil"/>
            </w:tcBorders>
            <w:vAlign w:val="center"/>
          </w:tcPr>
          <w:p w14:paraId="5AECABFB" w14:textId="77777777" w:rsidR="0002656C" w:rsidRPr="007951C1" w:rsidRDefault="0002656C" w:rsidP="00F51716">
            <w:pPr>
              <w:pStyle w:val="tableright"/>
            </w:pPr>
            <w:r w:rsidRPr="007951C1">
              <w:t>$0</w:t>
            </w:r>
          </w:p>
        </w:tc>
        <w:tc>
          <w:tcPr>
            <w:tcW w:w="1418" w:type="dxa"/>
            <w:tcBorders>
              <w:top w:val="single" w:sz="2" w:space="0" w:color="A7A9AB"/>
              <w:left w:val="nil"/>
              <w:bottom w:val="single" w:sz="2" w:space="0" w:color="A7A9AB"/>
              <w:right w:val="nil"/>
            </w:tcBorders>
            <w:vAlign w:val="center"/>
          </w:tcPr>
          <w:p w14:paraId="448E95CC" w14:textId="77777777" w:rsidR="0002656C" w:rsidRPr="007951C1" w:rsidRDefault="0002656C" w:rsidP="00F51716">
            <w:pPr>
              <w:pStyle w:val="tableright"/>
            </w:pPr>
            <w:r w:rsidRPr="007951C1">
              <w:t>$25,000,000</w:t>
            </w:r>
          </w:p>
        </w:tc>
        <w:tc>
          <w:tcPr>
            <w:tcW w:w="1418" w:type="dxa"/>
            <w:tcBorders>
              <w:top w:val="single" w:sz="2" w:space="0" w:color="A7A9AB"/>
              <w:left w:val="nil"/>
              <w:bottom w:val="single" w:sz="2" w:space="0" w:color="A7A9AB"/>
              <w:right w:val="nil"/>
            </w:tcBorders>
            <w:vAlign w:val="center"/>
          </w:tcPr>
          <w:p w14:paraId="2D15963E" w14:textId="77777777" w:rsidR="0002656C" w:rsidRPr="007951C1" w:rsidRDefault="0002656C" w:rsidP="00F51716">
            <w:pPr>
              <w:pStyle w:val="tableright"/>
            </w:pPr>
            <w:r w:rsidRPr="007951C1">
              <w:t>$34,188,516</w:t>
            </w:r>
          </w:p>
        </w:tc>
      </w:tr>
      <w:tr w:rsidR="0002656C" w:rsidRPr="00BF3160" w14:paraId="734B7CE0" w14:textId="77777777" w:rsidTr="00FE1ED7">
        <w:trPr>
          <w:trHeight w:val="411"/>
        </w:trPr>
        <w:tc>
          <w:tcPr>
            <w:tcW w:w="4673" w:type="dxa"/>
            <w:tcBorders>
              <w:top w:val="single" w:sz="2" w:space="0" w:color="A7A9AB"/>
              <w:left w:val="nil"/>
              <w:bottom w:val="single" w:sz="2" w:space="0" w:color="A7A9AB"/>
              <w:right w:val="nil"/>
            </w:tcBorders>
            <w:vAlign w:val="center"/>
          </w:tcPr>
          <w:p w14:paraId="7737E91B" w14:textId="4500E1D8" w:rsidR="0002656C" w:rsidRPr="00D15596" w:rsidRDefault="0002656C" w:rsidP="00F51716">
            <w:r w:rsidRPr="00D15596">
              <w:t xml:space="preserve">The greenhouse gas abatements achieved through our programs will have increased to 240,000 </w:t>
            </w:r>
            <w:r>
              <w:t>t</w:t>
            </w:r>
            <w:r w:rsidRPr="00D15596">
              <w:t>onnes CO2 Equivalent per year</w:t>
            </w:r>
          </w:p>
        </w:tc>
        <w:tc>
          <w:tcPr>
            <w:tcW w:w="1139" w:type="dxa"/>
            <w:tcBorders>
              <w:top w:val="single" w:sz="2" w:space="0" w:color="A7A9AB"/>
              <w:left w:val="nil"/>
              <w:bottom w:val="single" w:sz="2" w:space="0" w:color="A7A9AB"/>
              <w:right w:val="nil"/>
            </w:tcBorders>
            <w:vAlign w:val="center"/>
          </w:tcPr>
          <w:p w14:paraId="36F6AD7D" w14:textId="77777777" w:rsidR="0002656C" w:rsidRPr="007951C1" w:rsidRDefault="0002656C" w:rsidP="00F51716">
            <w:pPr>
              <w:pStyle w:val="Tabletext0"/>
            </w:pPr>
            <w:r w:rsidRPr="007951C1">
              <w:t xml:space="preserve">t CO2-e </w:t>
            </w:r>
          </w:p>
        </w:tc>
        <w:tc>
          <w:tcPr>
            <w:tcW w:w="1275" w:type="dxa"/>
            <w:tcBorders>
              <w:top w:val="single" w:sz="2" w:space="0" w:color="A7A9AB"/>
              <w:left w:val="nil"/>
              <w:bottom w:val="single" w:sz="2" w:space="0" w:color="A7A9AB"/>
              <w:right w:val="nil"/>
            </w:tcBorders>
            <w:vAlign w:val="center"/>
          </w:tcPr>
          <w:p w14:paraId="306A77D7" w14:textId="77777777" w:rsidR="0002656C" w:rsidRPr="007951C1" w:rsidRDefault="0002656C" w:rsidP="00F51716">
            <w:pPr>
              <w:pStyle w:val="tableright"/>
            </w:pPr>
            <w:r w:rsidRPr="007951C1">
              <w:t>12,000</w:t>
            </w:r>
          </w:p>
        </w:tc>
        <w:tc>
          <w:tcPr>
            <w:tcW w:w="1418" w:type="dxa"/>
            <w:tcBorders>
              <w:top w:val="single" w:sz="2" w:space="0" w:color="A7A9AB"/>
              <w:left w:val="nil"/>
              <w:bottom w:val="single" w:sz="2" w:space="0" w:color="A7A9AB"/>
              <w:right w:val="nil"/>
            </w:tcBorders>
            <w:vAlign w:val="center"/>
          </w:tcPr>
          <w:p w14:paraId="7F844E5D" w14:textId="77777777" w:rsidR="0002656C" w:rsidRPr="007951C1" w:rsidRDefault="0002656C" w:rsidP="00F51716">
            <w:pPr>
              <w:pStyle w:val="tableright"/>
            </w:pPr>
            <w:r w:rsidRPr="007951C1">
              <w:t>240,000</w:t>
            </w:r>
          </w:p>
        </w:tc>
        <w:tc>
          <w:tcPr>
            <w:tcW w:w="1418" w:type="dxa"/>
            <w:tcBorders>
              <w:top w:val="single" w:sz="2" w:space="0" w:color="A7A9AB"/>
              <w:left w:val="nil"/>
              <w:bottom w:val="single" w:sz="2" w:space="0" w:color="A7A9AB"/>
              <w:right w:val="nil"/>
            </w:tcBorders>
            <w:vAlign w:val="center"/>
          </w:tcPr>
          <w:p w14:paraId="11BF4F22" w14:textId="77777777" w:rsidR="0002656C" w:rsidRPr="007951C1" w:rsidRDefault="0002656C" w:rsidP="00F51716">
            <w:pPr>
              <w:pStyle w:val="tableright"/>
            </w:pPr>
            <w:r w:rsidRPr="007951C1">
              <w:t>358,640</w:t>
            </w:r>
          </w:p>
        </w:tc>
      </w:tr>
      <w:tr w:rsidR="0002656C" w:rsidRPr="00BF3160" w14:paraId="194726EF" w14:textId="77777777" w:rsidTr="00FE1ED7">
        <w:trPr>
          <w:trHeight w:val="411"/>
        </w:trPr>
        <w:tc>
          <w:tcPr>
            <w:tcW w:w="4673" w:type="dxa"/>
            <w:tcBorders>
              <w:top w:val="single" w:sz="2" w:space="0" w:color="A7A9AB"/>
              <w:left w:val="nil"/>
              <w:bottom w:val="single" w:sz="2" w:space="0" w:color="A7A9AB"/>
              <w:right w:val="nil"/>
            </w:tcBorders>
            <w:vAlign w:val="center"/>
          </w:tcPr>
          <w:p w14:paraId="3202A00D" w14:textId="1656D59A" w:rsidR="0002656C" w:rsidRPr="00D15596" w:rsidRDefault="0002656C" w:rsidP="00F51716">
            <w:r w:rsidRPr="00D15596">
              <w:t>We will have helped 2</w:t>
            </w:r>
            <w:r w:rsidR="00443437">
              <w:t>,</w:t>
            </w:r>
            <w:r w:rsidRPr="00D15596">
              <w:t xml:space="preserve">000 of Victoria’s vulnerable households reduce their energy bills through sustainable housing upgrades </w:t>
            </w:r>
          </w:p>
        </w:tc>
        <w:tc>
          <w:tcPr>
            <w:tcW w:w="1139" w:type="dxa"/>
            <w:tcBorders>
              <w:top w:val="single" w:sz="2" w:space="0" w:color="A7A9AB"/>
              <w:left w:val="nil"/>
              <w:bottom w:val="single" w:sz="2" w:space="0" w:color="A7A9AB"/>
              <w:right w:val="nil"/>
            </w:tcBorders>
            <w:vAlign w:val="center"/>
          </w:tcPr>
          <w:p w14:paraId="29C2E42C" w14:textId="77777777" w:rsidR="0002656C" w:rsidRPr="007951C1" w:rsidRDefault="0002656C" w:rsidP="00F51716">
            <w:pPr>
              <w:pStyle w:val="Tabletext0"/>
            </w:pPr>
            <w:r w:rsidRPr="007951C1">
              <w:t>number</w:t>
            </w:r>
          </w:p>
        </w:tc>
        <w:tc>
          <w:tcPr>
            <w:tcW w:w="1275" w:type="dxa"/>
            <w:tcBorders>
              <w:top w:val="single" w:sz="2" w:space="0" w:color="A7A9AB"/>
              <w:left w:val="nil"/>
              <w:bottom w:val="single" w:sz="2" w:space="0" w:color="A7A9AB"/>
              <w:right w:val="nil"/>
            </w:tcBorders>
            <w:vAlign w:val="center"/>
          </w:tcPr>
          <w:p w14:paraId="34B83078" w14:textId="77777777" w:rsidR="0002656C" w:rsidRPr="007951C1" w:rsidRDefault="0002656C" w:rsidP="00F51716">
            <w:pPr>
              <w:pStyle w:val="tableright"/>
            </w:pPr>
            <w:r w:rsidRPr="007951C1">
              <w:t>0</w:t>
            </w:r>
          </w:p>
        </w:tc>
        <w:tc>
          <w:tcPr>
            <w:tcW w:w="1418" w:type="dxa"/>
            <w:tcBorders>
              <w:top w:val="single" w:sz="2" w:space="0" w:color="A7A9AB"/>
              <w:left w:val="nil"/>
              <w:bottom w:val="single" w:sz="2" w:space="0" w:color="A7A9AB"/>
              <w:right w:val="nil"/>
            </w:tcBorders>
            <w:vAlign w:val="center"/>
          </w:tcPr>
          <w:p w14:paraId="1928462F" w14:textId="77777777" w:rsidR="0002656C" w:rsidRPr="007951C1" w:rsidRDefault="0002656C" w:rsidP="00F51716">
            <w:pPr>
              <w:pStyle w:val="tableright"/>
            </w:pPr>
            <w:r w:rsidRPr="007951C1">
              <w:t>775</w:t>
            </w:r>
          </w:p>
        </w:tc>
        <w:tc>
          <w:tcPr>
            <w:tcW w:w="1418" w:type="dxa"/>
            <w:tcBorders>
              <w:top w:val="single" w:sz="2" w:space="0" w:color="A7A9AB"/>
              <w:left w:val="nil"/>
              <w:bottom w:val="single" w:sz="2" w:space="0" w:color="A7A9AB"/>
              <w:right w:val="nil"/>
            </w:tcBorders>
            <w:vAlign w:val="center"/>
          </w:tcPr>
          <w:p w14:paraId="391943B4" w14:textId="77777777" w:rsidR="0002656C" w:rsidRPr="007951C1" w:rsidRDefault="0002656C" w:rsidP="00F51716">
            <w:pPr>
              <w:pStyle w:val="tableright"/>
            </w:pPr>
            <w:r w:rsidRPr="007951C1">
              <w:t>776</w:t>
            </w:r>
          </w:p>
        </w:tc>
      </w:tr>
      <w:tr w:rsidR="0002656C" w:rsidRPr="008017FF" w14:paraId="432EF115" w14:textId="77777777" w:rsidTr="00FE1ED7">
        <w:trPr>
          <w:trHeight w:val="411"/>
        </w:trPr>
        <w:tc>
          <w:tcPr>
            <w:tcW w:w="4673" w:type="dxa"/>
            <w:tcBorders>
              <w:top w:val="single" w:sz="2" w:space="0" w:color="A7A9AB"/>
              <w:left w:val="nil"/>
              <w:bottom w:val="single" w:sz="2" w:space="0" w:color="A7A9AB"/>
              <w:right w:val="nil"/>
            </w:tcBorders>
            <w:shd w:val="clear" w:color="auto" w:fill="BCBEC0" w:themeFill="text2"/>
            <w:vAlign w:val="center"/>
          </w:tcPr>
          <w:p w14:paraId="59AD70CB" w14:textId="5A3E2AA7" w:rsidR="0002656C" w:rsidRPr="00043B1F" w:rsidRDefault="0002656C" w:rsidP="00F51716">
            <w:r w:rsidRPr="00043B1F">
              <w:t>Us</w:t>
            </w:r>
            <w:r w:rsidR="00043B1F">
              <w:t>e</w:t>
            </w:r>
            <w:r w:rsidRPr="00043B1F">
              <w:t xml:space="preserve"> our resources sustainably</w:t>
            </w:r>
          </w:p>
        </w:tc>
        <w:tc>
          <w:tcPr>
            <w:tcW w:w="1139" w:type="dxa"/>
            <w:tcBorders>
              <w:top w:val="single" w:sz="2" w:space="0" w:color="A7A9AB"/>
              <w:left w:val="nil"/>
              <w:bottom w:val="single" w:sz="2" w:space="0" w:color="A7A9AB"/>
              <w:right w:val="nil"/>
            </w:tcBorders>
            <w:shd w:val="clear" w:color="auto" w:fill="BCBEC0" w:themeFill="text2"/>
            <w:vAlign w:val="center"/>
          </w:tcPr>
          <w:p w14:paraId="6DCD1102" w14:textId="77777777" w:rsidR="0002656C" w:rsidRPr="00043B1F" w:rsidRDefault="0002656C" w:rsidP="00810968">
            <w:pPr>
              <w:pStyle w:val="Pa2"/>
              <w:spacing w:after="140"/>
              <w:rPr>
                <w:rFonts w:asciiTheme="minorHAnsi" w:hAnsiTheme="minorHAnsi" w:cstheme="minorHAnsi"/>
                <w:b/>
                <w:color w:val="000000" w:themeColor="text1"/>
              </w:rPr>
            </w:pPr>
          </w:p>
        </w:tc>
        <w:tc>
          <w:tcPr>
            <w:tcW w:w="1275" w:type="dxa"/>
            <w:tcBorders>
              <w:top w:val="single" w:sz="2" w:space="0" w:color="A7A9AB"/>
              <w:left w:val="nil"/>
              <w:bottom w:val="single" w:sz="2" w:space="0" w:color="A7A9AB"/>
              <w:right w:val="nil"/>
            </w:tcBorders>
            <w:shd w:val="clear" w:color="auto" w:fill="BCBEC0" w:themeFill="text2"/>
            <w:vAlign w:val="center"/>
          </w:tcPr>
          <w:p w14:paraId="6F125DD4" w14:textId="77777777" w:rsidR="0002656C" w:rsidRPr="00043B1F" w:rsidRDefault="0002656C" w:rsidP="00CC6981">
            <w:pPr>
              <w:pStyle w:val="Pa2"/>
              <w:spacing w:after="140"/>
              <w:rPr>
                <w:rFonts w:asciiTheme="minorHAnsi" w:hAnsiTheme="minorHAnsi" w:cstheme="minorHAnsi"/>
                <w:b/>
                <w:color w:val="000000" w:themeColor="text1"/>
              </w:rPr>
            </w:pPr>
          </w:p>
        </w:tc>
        <w:tc>
          <w:tcPr>
            <w:tcW w:w="1418" w:type="dxa"/>
            <w:tcBorders>
              <w:top w:val="single" w:sz="2" w:space="0" w:color="A7A9AB"/>
              <w:left w:val="nil"/>
              <w:bottom w:val="single" w:sz="2" w:space="0" w:color="A7A9AB"/>
              <w:right w:val="nil"/>
            </w:tcBorders>
            <w:shd w:val="clear" w:color="auto" w:fill="BCBEC0" w:themeFill="text2"/>
            <w:vAlign w:val="center"/>
          </w:tcPr>
          <w:p w14:paraId="2EA681A2" w14:textId="77777777" w:rsidR="0002656C" w:rsidRPr="00043B1F" w:rsidRDefault="0002656C" w:rsidP="009244B2">
            <w:pPr>
              <w:pStyle w:val="Pa2"/>
              <w:spacing w:after="140"/>
              <w:rPr>
                <w:rFonts w:asciiTheme="minorHAnsi" w:hAnsiTheme="minorHAnsi" w:cstheme="minorHAnsi"/>
                <w:b/>
                <w:color w:val="000000" w:themeColor="text1"/>
              </w:rPr>
            </w:pPr>
          </w:p>
        </w:tc>
        <w:tc>
          <w:tcPr>
            <w:tcW w:w="1418" w:type="dxa"/>
            <w:tcBorders>
              <w:top w:val="single" w:sz="2" w:space="0" w:color="A7A9AB"/>
              <w:left w:val="nil"/>
              <w:bottom w:val="single" w:sz="2" w:space="0" w:color="A7A9AB"/>
              <w:right w:val="nil"/>
            </w:tcBorders>
            <w:shd w:val="clear" w:color="auto" w:fill="BCBEC0" w:themeFill="text2"/>
            <w:vAlign w:val="center"/>
          </w:tcPr>
          <w:p w14:paraId="44C7E1D1" w14:textId="77777777" w:rsidR="0002656C" w:rsidRPr="00043B1F" w:rsidRDefault="0002656C" w:rsidP="009244B2">
            <w:pPr>
              <w:pStyle w:val="Pa2"/>
              <w:spacing w:after="140"/>
              <w:rPr>
                <w:rFonts w:asciiTheme="minorHAnsi" w:hAnsiTheme="minorHAnsi" w:cstheme="minorHAnsi"/>
                <w:b/>
                <w:color w:val="000000" w:themeColor="text1"/>
              </w:rPr>
            </w:pPr>
          </w:p>
        </w:tc>
      </w:tr>
      <w:tr w:rsidR="0002656C" w:rsidRPr="00AD6044" w14:paraId="545A5488" w14:textId="77777777" w:rsidTr="00FE1ED7">
        <w:trPr>
          <w:trHeight w:val="411"/>
        </w:trPr>
        <w:tc>
          <w:tcPr>
            <w:tcW w:w="4673" w:type="dxa"/>
            <w:tcBorders>
              <w:top w:val="single" w:sz="2" w:space="0" w:color="A7A9AB"/>
              <w:left w:val="nil"/>
              <w:bottom w:val="single" w:sz="2" w:space="0" w:color="A7A9AB"/>
              <w:right w:val="nil"/>
            </w:tcBorders>
            <w:vAlign w:val="center"/>
          </w:tcPr>
          <w:p w14:paraId="7AE38A84" w14:textId="77777777" w:rsidR="0002656C" w:rsidRPr="002E0B3B" w:rsidRDefault="0002656C" w:rsidP="00F51716">
            <w:pPr>
              <w:rPr>
                <w:vertAlign w:val="superscript"/>
              </w:rPr>
            </w:pPr>
            <w:r w:rsidRPr="00D15596">
              <w:t>We will have added enough new capacity to Victoria’s waste recycling sector to recycle almost 400,000 tonnes of waste</w:t>
            </w:r>
            <w:r>
              <w:rPr>
                <w:vertAlign w:val="superscript"/>
              </w:rPr>
              <w:t>2</w:t>
            </w:r>
          </w:p>
        </w:tc>
        <w:tc>
          <w:tcPr>
            <w:tcW w:w="1139" w:type="dxa"/>
            <w:tcBorders>
              <w:top w:val="single" w:sz="2" w:space="0" w:color="A7A9AB"/>
              <w:left w:val="nil"/>
              <w:bottom w:val="single" w:sz="2" w:space="0" w:color="A7A9AB"/>
              <w:right w:val="nil"/>
            </w:tcBorders>
            <w:vAlign w:val="center"/>
          </w:tcPr>
          <w:p w14:paraId="0645ECA2" w14:textId="77777777" w:rsidR="0002656C" w:rsidRPr="007951C1" w:rsidRDefault="0002656C" w:rsidP="00F51716">
            <w:pPr>
              <w:pStyle w:val="Tabletext0"/>
            </w:pPr>
            <w:r w:rsidRPr="007951C1">
              <w:t>tonnes</w:t>
            </w:r>
          </w:p>
        </w:tc>
        <w:tc>
          <w:tcPr>
            <w:tcW w:w="1275" w:type="dxa"/>
            <w:tcBorders>
              <w:top w:val="single" w:sz="2" w:space="0" w:color="A7A9AB"/>
              <w:left w:val="nil"/>
              <w:bottom w:val="single" w:sz="2" w:space="0" w:color="A7A9AB"/>
              <w:right w:val="nil"/>
            </w:tcBorders>
            <w:vAlign w:val="center"/>
          </w:tcPr>
          <w:p w14:paraId="4393ADEF" w14:textId="77777777" w:rsidR="0002656C" w:rsidRPr="007951C1" w:rsidRDefault="0002656C" w:rsidP="00F51716">
            <w:pPr>
              <w:pStyle w:val="tableright"/>
            </w:pPr>
            <w:r w:rsidRPr="007951C1">
              <w:t>7,500</w:t>
            </w:r>
          </w:p>
        </w:tc>
        <w:tc>
          <w:tcPr>
            <w:tcW w:w="1418" w:type="dxa"/>
            <w:tcBorders>
              <w:top w:val="single" w:sz="2" w:space="0" w:color="A7A9AB"/>
              <w:left w:val="nil"/>
              <w:bottom w:val="single" w:sz="2" w:space="0" w:color="A7A9AB"/>
              <w:right w:val="nil"/>
            </w:tcBorders>
            <w:vAlign w:val="center"/>
          </w:tcPr>
          <w:p w14:paraId="138494AD" w14:textId="77777777" w:rsidR="0002656C" w:rsidRPr="007951C1" w:rsidRDefault="0002656C" w:rsidP="00F51716">
            <w:pPr>
              <w:pStyle w:val="tableright"/>
            </w:pPr>
            <w:r w:rsidRPr="007951C1">
              <w:t>150,000</w:t>
            </w:r>
          </w:p>
        </w:tc>
        <w:tc>
          <w:tcPr>
            <w:tcW w:w="1418" w:type="dxa"/>
            <w:tcBorders>
              <w:top w:val="single" w:sz="2" w:space="0" w:color="A7A9AB"/>
              <w:left w:val="nil"/>
              <w:bottom w:val="single" w:sz="2" w:space="0" w:color="A7A9AB"/>
              <w:right w:val="nil"/>
            </w:tcBorders>
            <w:vAlign w:val="center"/>
          </w:tcPr>
          <w:p w14:paraId="60486512" w14:textId="77777777" w:rsidR="0002656C" w:rsidRPr="007951C1" w:rsidRDefault="0002656C" w:rsidP="00F51716">
            <w:pPr>
              <w:pStyle w:val="tableright"/>
            </w:pPr>
            <w:r w:rsidRPr="007951C1">
              <w:t>122,382</w:t>
            </w:r>
          </w:p>
        </w:tc>
      </w:tr>
      <w:tr w:rsidR="0002656C" w:rsidRPr="00BF3160" w14:paraId="68393056" w14:textId="77777777" w:rsidTr="00FE1ED7">
        <w:trPr>
          <w:trHeight w:val="411"/>
        </w:trPr>
        <w:tc>
          <w:tcPr>
            <w:tcW w:w="4673" w:type="dxa"/>
            <w:tcBorders>
              <w:top w:val="single" w:sz="2" w:space="0" w:color="A7A9AB"/>
              <w:left w:val="nil"/>
              <w:bottom w:val="single" w:sz="2" w:space="0" w:color="A7A9AB"/>
              <w:right w:val="nil"/>
            </w:tcBorders>
            <w:vAlign w:val="center"/>
          </w:tcPr>
          <w:p w14:paraId="2869BBF3" w14:textId="77777777" w:rsidR="0002656C" w:rsidRPr="00D15596" w:rsidRDefault="0002656C" w:rsidP="00F51716">
            <w:r w:rsidRPr="00D15596">
              <w:t xml:space="preserve">We will have helped local governments redirect almost 100,000 tonnes of organic material from landfill </w:t>
            </w:r>
          </w:p>
        </w:tc>
        <w:tc>
          <w:tcPr>
            <w:tcW w:w="1139" w:type="dxa"/>
            <w:tcBorders>
              <w:top w:val="single" w:sz="2" w:space="0" w:color="A7A9AB"/>
              <w:left w:val="nil"/>
              <w:bottom w:val="single" w:sz="2" w:space="0" w:color="A7A9AB"/>
              <w:right w:val="nil"/>
            </w:tcBorders>
            <w:vAlign w:val="center"/>
          </w:tcPr>
          <w:p w14:paraId="7B5C2B3F" w14:textId="77777777" w:rsidR="0002656C" w:rsidRPr="007951C1" w:rsidRDefault="0002656C" w:rsidP="00F51716">
            <w:pPr>
              <w:pStyle w:val="Tabletext0"/>
            </w:pPr>
            <w:r w:rsidRPr="007951C1">
              <w:t>tonnes</w:t>
            </w:r>
          </w:p>
        </w:tc>
        <w:tc>
          <w:tcPr>
            <w:tcW w:w="1275" w:type="dxa"/>
            <w:tcBorders>
              <w:top w:val="single" w:sz="2" w:space="0" w:color="A7A9AB"/>
              <w:left w:val="nil"/>
              <w:bottom w:val="single" w:sz="2" w:space="0" w:color="A7A9AB"/>
              <w:right w:val="nil"/>
            </w:tcBorders>
            <w:vAlign w:val="center"/>
          </w:tcPr>
          <w:p w14:paraId="19F40527" w14:textId="77777777" w:rsidR="0002656C" w:rsidRPr="007951C1" w:rsidRDefault="0002656C" w:rsidP="00F51716">
            <w:pPr>
              <w:pStyle w:val="tableright"/>
            </w:pPr>
            <w:r w:rsidRPr="007951C1">
              <w:t>20,000</w:t>
            </w:r>
          </w:p>
        </w:tc>
        <w:tc>
          <w:tcPr>
            <w:tcW w:w="1418" w:type="dxa"/>
            <w:tcBorders>
              <w:top w:val="single" w:sz="2" w:space="0" w:color="A7A9AB"/>
              <w:left w:val="nil"/>
              <w:bottom w:val="single" w:sz="2" w:space="0" w:color="A7A9AB"/>
              <w:right w:val="nil"/>
            </w:tcBorders>
            <w:vAlign w:val="center"/>
          </w:tcPr>
          <w:p w14:paraId="417666FC" w14:textId="77777777" w:rsidR="0002656C" w:rsidRPr="007951C1" w:rsidRDefault="0002656C" w:rsidP="00F51716">
            <w:pPr>
              <w:pStyle w:val="tableright"/>
            </w:pPr>
            <w:r w:rsidRPr="007951C1">
              <w:t>20,000</w:t>
            </w:r>
          </w:p>
        </w:tc>
        <w:tc>
          <w:tcPr>
            <w:tcW w:w="1418" w:type="dxa"/>
            <w:tcBorders>
              <w:top w:val="single" w:sz="2" w:space="0" w:color="A7A9AB"/>
              <w:left w:val="nil"/>
              <w:bottom w:val="single" w:sz="2" w:space="0" w:color="A7A9AB"/>
              <w:right w:val="nil"/>
            </w:tcBorders>
            <w:vAlign w:val="center"/>
          </w:tcPr>
          <w:p w14:paraId="7659A5C3" w14:textId="77777777" w:rsidR="0002656C" w:rsidRPr="007951C1" w:rsidRDefault="0002656C" w:rsidP="00F51716">
            <w:pPr>
              <w:pStyle w:val="tableright"/>
            </w:pPr>
            <w:r w:rsidRPr="007951C1">
              <w:t>43,738</w:t>
            </w:r>
          </w:p>
        </w:tc>
      </w:tr>
      <w:tr w:rsidR="0002656C" w:rsidRPr="00BF3160" w14:paraId="02A2171A" w14:textId="77777777" w:rsidTr="00FE1ED7">
        <w:trPr>
          <w:trHeight w:val="411"/>
        </w:trPr>
        <w:tc>
          <w:tcPr>
            <w:tcW w:w="4673" w:type="dxa"/>
            <w:tcBorders>
              <w:top w:val="single" w:sz="2" w:space="0" w:color="A7A9AB"/>
              <w:left w:val="nil"/>
              <w:bottom w:val="single" w:sz="2" w:space="0" w:color="A7A9AB"/>
              <w:right w:val="nil"/>
            </w:tcBorders>
            <w:vAlign w:val="center"/>
          </w:tcPr>
          <w:p w14:paraId="75002EE0" w14:textId="77777777" w:rsidR="0002656C" w:rsidRPr="00D15596" w:rsidRDefault="0002656C" w:rsidP="00F51716">
            <w:pPr>
              <w:rPr>
                <w:color w:val="000000"/>
              </w:rPr>
            </w:pPr>
            <w:r w:rsidRPr="00D15596">
              <w:t>By 2020 we will have directly increased Victoria’s resource recovery rate by at least 2% and will have influenced an additional 2% through our work</w:t>
            </w:r>
            <w:r w:rsidRPr="002E0B3B">
              <w:rPr>
                <w:vertAlign w:val="superscript"/>
              </w:rPr>
              <w:t>3</w:t>
            </w:r>
          </w:p>
        </w:tc>
        <w:tc>
          <w:tcPr>
            <w:tcW w:w="1139" w:type="dxa"/>
            <w:tcBorders>
              <w:top w:val="single" w:sz="2" w:space="0" w:color="A7A9AB"/>
              <w:left w:val="nil"/>
              <w:bottom w:val="single" w:sz="2" w:space="0" w:color="A7A9AB"/>
              <w:right w:val="nil"/>
            </w:tcBorders>
            <w:vAlign w:val="center"/>
          </w:tcPr>
          <w:p w14:paraId="23134D33" w14:textId="0D53B4EC" w:rsidR="0002656C" w:rsidRPr="007951C1" w:rsidRDefault="006515A7" w:rsidP="00F51716">
            <w:pPr>
              <w:pStyle w:val="Tabletext0"/>
            </w:pPr>
            <w:r>
              <w:t>per cent</w:t>
            </w:r>
          </w:p>
        </w:tc>
        <w:tc>
          <w:tcPr>
            <w:tcW w:w="1275" w:type="dxa"/>
            <w:tcBorders>
              <w:top w:val="single" w:sz="2" w:space="0" w:color="A7A9AB"/>
              <w:left w:val="nil"/>
              <w:bottom w:val="single" w:sz="2" w:space="0" w:color="A7A9AB"/>
              <w:right w:val="nil"/>
            </w:tcBorders>
            <w:vAlign w:val="center"/>
          </w:tcPr>
          <w:p w14:paraId="368560E4" w14:textId="77777777" w:rsidR="0002656C" w:rsidRPr="007951C1" w:rsidRDefault="0002656C" w:rsidP="00F51716">
            <w:pPr>
              <w:pStyle w:val="tableright"/>
            </w:pPr>
            <w:r w:rsidRPr="007951C1">
              <w:t>67%</w:t>
            </w:r>
          </w:p>
        </w:tc>
        <w:tc>
          <w:tcPr>
            <w:tcW w:w="1418" w:type="dxa"/>
            <w:tcBorders>
              <w:top w:val="single" w:sz="2" w:space="0" w:color="A7A9AB"/>
              <w:left w:val="nil"/>
              <w:bottom w:val="single" w:sz="2" w:space="0" w:color="A7A9AB"/>
              <w:right w:val="nil"/>
            </w:tcBorders>
            <w:vAlign w:val="center"/>
          </w:tcPr>
          <w:p w14:paraId="35E2C99E" w14:textId="4DE4FC33" w:rsidR="0002656C" w:rsidRPr="007951C1" w:rsidRDefault="0002656C" w:rsidP="00F51716">
            <w:pPr>
              <w:pStyle w:val="tableright"/>
            </w:pPr>
            <w:r w:rsidRPr="007951C1">
              <w:t>71%</w:t>
            </w:r>
          </w:p>
          <w:p w14:paraId="585D947A" w14:textId="30ACC7FD" w:rsidR="0002656C" w:rsidRPr="007951C1" w:rsidRDefault="006515A7" w:rsidP="00F51716">
            <w:pPr>
              <w:pStyle w:val="tableright"/>
            </w:pPr>
            <w:r>
              <w:t>(</w:t>
            </w:r>
            <w:r w:rsidR="0002656C" w:rsidRPr="007951C1">
              <w:t>by 2020</w:t>
            </w:r>
            <w:r>
              <w:t>)</w:t>
            </w:r>
          </w:p>
        </w:tc>
        <w:tc>
          <w:tcPr>
            <w:tcW w:w="1418" w:type="dxa"/>
            <w:tcBorders>
              <w:top w:val="single" w:sz="2" w:space="0" w:color="A7A9AB"/>
              <w:left w:val="nil"/>
              <w:bottom w:val="single" w:sz="2" w:space="0" w:color="A7A9AB"/>
              <w:right w:val="nil"/>
            </w:tcBorders>
            <w:vAlign w:val="center"/>
          </w:tcPr>
          <w:p w14:paraId="1916039C" w14:textId="77777777" w:rsidR="0002656C" w:rsidRPr="007951C1" w:rsidRDefault="0002656C" w:rsidP="00F51716">
            <w:pPr>
              <w:pStyle w:val="tableright"/>
            </w:pPr>
            <w:r w:rsidRPr="007951C1">
              <w:t>70%</w:t>
            </w:r>
          </w:p>
          <w:p w14:paraId="7C9531BD" w14:textId="77777777" w:rsidR="0002656C" w:rsidRPr="007951C1" w:rsidRDefault="0002656C" w:rsidP="00F51716">
            <w:pPr>
              <w:pStyle w:val="tableright"/>
            </w:pPr>
            <w:r w:rsidRPr="007951C1">
              <w:t xml:space="preserve">(in </w:t>
            </w:r>
            <w:r>
              <w:t>2018–19</w:t>
            </w:r>
            <w:r w:rsidRPr="007951C1">
              <w:t>)</w:t>
            </w:r>
          </w:p>
        </w:tc>
      </w:tr>
      <w:tr w:rsidR="0002656C" w:rsidRPr="008017FF" w14:paraId="163196D2" w14:textId="77777777" w:rsidTr="00FE1ED7">
        <w:trPr>
          <w:trHeight w:val="411"/>
        </w:trPr>
        <w:tc>
          <w:tcPr>
            <w:tcW w:w="4673" w:type="dxa"/>
            <w:tcBorders>
              <w:top w:val="single" w:sz="2" w:space="0" w:color="A7A9AB"/>
              <w:left w:val="nil"/>
              <w:bottom w:val="single" w:sz="2" w:space="0" w:color="A7A9AB"/>
              <w:right w:val="nil"/>
            </w:tcBorders>
            <w:shd w:val="clear" w:color="auto" w:fill="BCBEC0" w:themeFill="text2"/>
            <w:vAlign w:val="center"/>
          </w:tcPr>
          <w:p w14:paraId="1F5CE23E" w14:textId="4283728E" w:rsidR="0002656C" w:rsidRPr="00043B1F" w:rsidRDefault="0002656C" w:rsidP="00F51716">
            <w:r w:rsidRPr="00043B1F">
              <w:t>Enabl</w:t>
            </w:r>
            <w:r w:rsidR="00043B1F">
              <w:t>e</w:t>
            </w:r>
            <w:r w:rsidRPr="00043B1F">
              <w:t xml:space="preserve"> delivery</w:t>
            </w:r>
          </w:p>
        </w:tc>
        <w:tc>
          <w:tcPr>
            <w:tcW w:w="1139" w:type="dxa"/>
            <w:tcBorders>
              <w:top w:val="single" w:sz="2" w:space="0" w:color="A7A9AB"/>
              <w:left w:val="nil"/>
              <w:bottom w:val="single" w:sz="2" w:space="0" w:color="A7A9AB"/>
              <w:right w:val="nil"/>
            </w:tcBorders>
            <w:shd w:val="clear" w:color="auto" w:fill="BCBEC0" w:themeFill="text2"/>
            <w:vAlign w:val="center"/>
          </w:tcPr>
          <w:p w14:paraId="496014EE" w14:textId="77777777" w:rsidR="0002656C" w:rsidRPr="00043B1F" w:rsidRDefault="0002656C" w:rsidP="00810968">
            <w:pPr>
              <w:pStyle w:val="Pa2"/>
              <w:spacing w:after="140"/>
              <w:rPr>
                <w:rFonts w:cstheme="minorHAnsi"/>
                <w:b/>
                <w:color w:val="000000" w:themeColor="text1"/>
                <w:sz w:val="19"/>
                <w:szCs w:val="19"/>
              </w:rPr>
            </w:pPr>
          </w:p>
        </w:tc>
        <w:tc>
          <w:tcPr>
            <w:tcW w:w="1275" w:type="dxa"/>
            <w:tcBorders>
              <w:top w:val="single" w:sz="2" w:space="0" w:color="A7A9AB"/>
              <w:left w:val="nil"/>
              <w:bottom w:val="single" w:sz="2" w:space="0" w:color="A7A9AB"/>
              <w:right w:val="nil"/>
            </w:tcBorders>
            <w:shd w:val="clear" w:color="auto" w:fill="BCBEC0" w:themeFill="text2"/>
            <w:vAlign w:val="center"/>
          </w:tcPr>
          <w:p w14:paraId="060FC5FB" w14:textId="77777777" w:rsidR="0002656C" w:rsidRPr="00043B1F" w:rsidRDefault="0002656C" w:rsidP="00CC6981">
            <w:pPr>
              <w:pStyle w:val="Pa2"/>
              <w:spacing w:after="140"/>
              <w:rPr>
                <w:rFonts w:cstheme="minorHAnsi"/>
                <w:b/>
                <w:color w:val="000000" w:themeColor="text1"/>
                <w:sz w:val="19"/>
                <w:szCs w:val="19"/>
              </w:rPr>
            </w:pPr>
          </w:p>
        </w:tc>
        <w:tc>
          <w:tcPr>
            <w:tcW w:w="1418" w:type="dxa"/>
            <w:tcBorders>
              <w:top w:val="single" w:sz="2" w:space="0" w:color="A7A9AB"/>
              <w:left w:val="nil"/>
              <w:bottom w:val="single" w:sz="2" w:space="0" w:color="A7A9AB"/>
              <w:right w:val="nil"/>
            </w:tcBorders>
            <w:shd w:val="clear" w:color="auto" w:fill="BCBEC0" w:themeFill="text2"/>
            <w:vAlign w:val="center"/>
          </w:tcPr>
          <w:p w14:paraId="262AE7A8" w14:textId="77777777" w:rsidR="0002656C" w:rsidRPr="00043B1F" w:rsidRDefault="0002656C" w:rsidP="009244B2">
            <w:pPr>
              <w:pStyle w:val="Pa2"/>
              <w:spacing w:after="140"/>
              <w:rPr>
                <w:rFonts w:cstheme="minorHAnsi"/>
                <w:b/>
                <w:color w:val="000000" w:themeColor="text1"/>
                <w:sz w:val="19"/>
                <w:szCs w:val="19"/>
              </w:rPr>
            </w:pPr>
          </w:p>
        </w:tc>
        <w:tc>
          <w:tcPr>
            <w:tcW w:w="1418" w:type="dxa"/>
            <w:tcBorders>
              <w:top w:val="single" w:sz="2" w:space="0" w:color="A7A9AB"/>
              <w:left w:val="nil"/>
              <w:bottom w:val="single" w:sz="2" w:space="0" w:color="A7A9AB"/>
              <w:right w:val="nil"/>
            </w:tcBorders>
            <w:shd w:val="clear" w:color="auto" w:fill="BCBEC0" w:themeFill="text2"/>
            <w:vAlign w:val="center"/>
          </w:tcPr>
          <w:p w14:paraId="5705D7B8" w14:textId="77777777" w:rsidR="0002656C" w:rsidRPr="00043B1F" w:rsidRDefault="0002656C" w:rsidP="009244B2">
            <w:pPr>
              <w:pStyle w:val="Pa2"/>
              <w:spacing w:after="140"/>
              <w:rPr>
                <w:rFonts w:cstheme="minorHAnsi"/>
                <w:b/>
                <w:color w:val="000000" w:themeColor="text1"/>
                <w:sz w:val="19"/>
                <w:szCs w:val="19"/>
              </w:rPr>
            </w:pPr>
          </w:p>
        </w:tc>
      </w:tr>
      <w:tr w:rsidR="0002656C" w:rsidRPr="00D15596" w14:paraId="01BEEB52" w14:textId="77777777" w:rsidTr="00FE1ED7">
        <w:trPr>
          <w:trHeight w:val="411"/>
        </w:trPr>
        <w:tc>
          <w:tcPr>
            <w:tcW w:w="4673" w:type="dxa"/>
            <w:tcBorders>
              <w:top w:val="single" w:sz="2" w:space="0" w:color="A7A9AB"/>
              <w:left w:val="nil"/>
              <w:bottom w:val="single" w:sz="2" w:space="0" w:color="A7A9AB"/>
              <w:right w:val="nil"/>
            </w:tcBorders>
            <w:vAlign w:val="center"/>
          </w:tcPr>
          <w:p w14:paraId="0773BC20" w14:textId="77777777" w:rsidR="0002656C" w:rsidRPr="00D15596" w:rsidRDefault="0002656C" w:rsidP="00F51716">
            <w:r w:rsidRPr="00D15596">
              <w:t xml:space="preserve">SV will have engaged with 10% of all Victorians through our online platforms </w:t>
            </w:r>
          </w:p>
        </w:tc>
        <w:tc>
          <w:tcPr>
            <w:tcW w:w="1139" w:type="dxa"/>
            <w:tcBorders>
              <w:top w:val="single" w:sz="2" w:space="0" w:color="A7A9AB"/>
              <w:left w:val="nil"/>
              <w:bottom w:val="single" w:sz="2" w:space="0" w:color="A7A9AB"/>
              <w:right w:val="nil"/>
            </w:tcBorders>
            <w:vAlign w:val="center"/>
          </w:tcPr>
          <w:p w14:paraId="7E04D630" w14:textId="77777777" w:rsidR="0002656C" w:rsidRPr="007951C1" w:rsidRDefault="0002656C" w:rsidP="00F51716">
            <w:pPr>
              <w:pStyle w:val="Tabletext0"/>
            </w:pPr>
            <w:r w:rsidRPr="007951C1">
              <w:t>per cent</w:t>
            </w:r>
          </w:p>
        </w:tc>
        <w:tc>
          <w:tcPr>
            <w:tcW w:w="1275" w:type="dxa"/>
            <w:tcBorders>
              <w:top w:val="single" w:sz="2" w:space="0" w:color="A7A9AB"/>
              <w:left w:val="nil"/>
              <w:bottom w:val="single" w:sz="2" w:space="0" w:color="A7A9AB"/>
              <w:right w:val="nil"/>
            </w:tcBorders>
            <w:vAlign w:val="center"/>
          </w:tcPr>
          <w:p w14:paraId="1A99E2FB" w14:textId="77777777" w:rsidR="0002656C" w:rsidRPr="007951C1" w:rsidRDefault="0002656C" w:rsidP="00F51716">
            <w:pPr>
              <w:pStyle w:val="tableright"/>
            </w:pPr>
            <w:r w:rsidRPr="007951C1">
              <w:t>6%</w:t>
            </w:r>
          </w:p>
        </w:tc>
        <w:tc>
          <w:tcPr>
            <w:tcW w:w="1418" w:type="dxa"/>
            <w:tcBorders>
              <w:top w:val="single" w:sz="2" w:space="0" w:color="A7A9AB"/>
              <w:left w:val="nil"/>
              <w:bottom w:val="single" w:sz="2" w:space="0" w:color="A7A9AB"/>
              <w:right w:val="nil"/>
            </w:tcBorders>
            <w:vAlign w:val="center"/>
          </w:tcPr>
          <w:p w14:paraId="1CA56E42" w14:textId="77777777" w:rsidR="0002656C" w:rsidRPr="007951C1" w:rsidRDefault="0002656C" w:rsidP="00F51716">
            <w:pPr>
              <w:pStyle w:val="tableright"/>
            </w:pPr>
            <w:r w:rsidRPr="007951C1">
              <w:t>10%</w:t>
            </w:r>
          </w:p>
        </w:tc>
        <w:tc>
          <w:tcPr>
            <w:tcW w:w="1418" w:type="dxa"/>
            <w:tcBorders>
              <w:top w:val="single" w:sz="2" w:space="0" w:color="A7A9AB"/>
              <w:left w:val="nil"/>
              <w:bottom w:val="single" w:sz="2" w:space="0" w:color="A7A9AB"/>
              <w:right w:val="nil"/>
            </w:tcBorders>
            <w:vAlign w:val="center"/>
          </w:tcPr>
          <w:p w14:paraId="1183A0DD" w14:textId="77777777" w:rsidR="0002656C" w:rsidRPr="007951C1" w:rsidRDefault="0002656C" w:rsidP="00F51716">
            <w:pPr>
              <w:pStyle w:val="tableright"/>
            </w:pPr>
            <w:r w:rsidRPr="007951C1">
              <w:t>22%</w:t>
            </w:r>
          </w:p>
        </w:tc>
      </w:tr>
      <w:tr w:rsidR="0002656C" w:rsidRPr="00D15596" w14:paraId="15C1B542" w14:textId="77777777" w:rsidTr="00FE1ED7">
        <w:trPr>
          <w:trHeight w:val="411"/>
        </w:trPr>
        <w:tc>
          <w:tcPr>
            <w:tcW w:w="4673" w:type="dxa"/>
            <w:tcBorders>
              <w:top w:val="single" w:sz="2" w:space="0" w:color="A7A9AB"/>
              <w:left w:val="nil"/>
              <w:bottom w:val="single" w:sz="2" w:space="0" w:color="A7A9AB"/>
              <w:right w:val="nil"/>
            </w:tcBorders>
            <w:vAlign w:val="center"/>
          </w:tcPr>
          <w:p w14:paraId="145662A3" w14:textId="77777777" w:rsidR="0002656C" w:rsidRPr="00D15596" w:rsidRDefault="0002656C" w:rsidP="00F51716">
            <w:r w:rsidRPr="00D15596">
              <w:t xml:space="preserve">85% of all our stakeholders will have acknowledged that SV is relevant to the work their organisations perform </w:t>
            </w:r>
          </w:p>
        </w:tc>
        <w:tc>
          <w:tcPr>
            <w:tcW w:w="1139" w:type="dxa"/>
            <w:tcBorders>
              <w:top w:val="single" w:sz="2" w:space="0" w:color="A7A9AB"/>
              <w:left w:val="nil"/>
              <w:bottom w:val="single" w:sz="2" w:space="0" w:color="A7A9AB"/>
              <w:right w:val="nil"/>
            </w:tcBorders>
            <w:vAlign w:val="center"/>
          </w:tcPr>
          <w:p w14:paraId="5112C362" w14:textId="77777777" w:rsidR="0002656C" w:rsidRPr="007951C1" w:rsidRDefault="0002656C" w:rsidP="00F51716">
            <w:pPr>
              <w:pStyle w:val="Tabletext0"/>
            </w:pPr>
            <w:r w:rsidRPr="007951C1">
              <w:t>per cent</w:t>
            </w:r>
          </w:p>
        </w:tc>
        <w:tc>
          <w:tcPr>
            <w:tcW w:w="1275" w:type="dxa"/>
            <w:tcBorders>
              <w:top w:val="single" w:sz="2" w:space="0" w:color="A7A9AB"/>
              <w:left w:val="nil"/>
              <w:bottom w:val="single" w:sz="2" w:space="0" w:color="A7A9AB"/>
              <w:right w:val="nil"/>
            </w:tcBorders>
            <w:vAlign w:val="center"/>
          </w:tcPr>
          <w:p w14:paraId="57DE71F9" w14:textId="77777777" w:rsidR="0002656C" w:rsidRPr="007951C1" w:rsidRDefault="0002656C" w:rsidP="00F51716">
            <w:pPr>
              <w:pStyle w:val="tableright"/>
            </w:pPr>
            <w:r w:rsidRPr="007951C1">
              <w:t>82%</w:t>
            </w:r>
          </w:p>
        </w:tc>
        <w:tc>
          <w:tcPr>
            <w:tcW w:w="1418" w:type="dxa"/>
            <w:tcBorders>
              <w:top w:val="single" w:sz="2" w:space="0" w:color="A7A9AB"/>
              <w:left w:val="nil"/>
              <w:bottom w:val="single" w:sz="2" w:space="0" w:color="A7A9AB"/>
              <w:right w:val="nil"/>
            </w:tcBorders>
            <w:vAlign w:val="center"/>
          </w:tcPr>
          <w:p w14:paraId="0BC74277" w14:textId="77777777" w:rsidR="0002656C" w:rsidRPr="007951C1" w:rsidRDefault="0002656C" w:rsidP="00F51716">
            <w:pPr>
              <w:pStyle w:val="tableright"/>
            </w:pPr>
            <w:r w:rsidRPr="007951C1">
              <w:t>85%</w:t>
            </w:r>
          </w:p>
        </w:tc>
        <w:tc>
          <w:tcPr>
            <w:tcW w:w="1418" w:type="dxa"/>
            <w:tcBorders>
              <w:top w:val="single" w:sz="2" w:space="0" w:color="A7A9AB"/>
              <w:left w:val="nil"/>
              <w:bottom w:val="single" w:sz="2" w:space="0" w:color="A7A9AB"/>
              <w:right w:val="nil"/>
            </w:tcBorders>
            <w:vAlign w:val="center"/>
          </w:tcPr>
          <w:p w14:paraId="764D7D02" w14:textId="77777777" w:rsidR="0002656C" w:rsidRPr="007951C1" w:rsidRDefault="0002656C" w:rsidP="00F51716">
            <w:pPr>
              <w:pStyle w:val="tableright"/>
            </w:pPr>
            <w:r w:rsidRPr="007951C1">
              <w:t>89%</w:t>
            </w:r>
          </w:p>
        </w:tc>
      </w:tr>
      <w:tr w:rsidR="0002656C" w:rsidRPr="00D15596" w14:paraId="07903AAD" w14:textId="77777777" w:rsidTr="00FE1ED7">
        <w:trPr>
          <w:trHeight w:val="411"/>
        </w:trPr>
        <w:tc>
          <w:tcPr>
            <w:tcW w:w="4673" w:type="dxa"/>
            <w:tcBorders>
              <w:top w:val="single" w:sz="2" w:space="0" w:color="A7A9AB"/>
              <w:left w:val="nil"/>
              <w:bottom w:val="single" w:sz="2" w:space="0" w:color="A7A9AB"/>
              <w:right w:val="nil"/>
            </w:tcBorders>
            <w:vAlign w:val="center"/>
          </w:tcPr>
          <w:p w14:paraId="43535E72" w14:textId="77777777" w:rsidR="0002656C" w:rsidRPr="00D15596" w:rsidRDefault="0002656C" w:rsidP="00F51716">
            <w:r w:rsidRPr="00D15596">
              <w:t>74% of all SV employees feel engaged with the work SV does</w:t>
            </w:r>
            <w:r>
              <w:rPr>
                <w:vertAlign w:val="superscript"/>
              </w:rPr>
              <w:t>4</w:t>
            </w:r>
            <w:r w:rsidRPr="00D15596">
              <w:t xml:space="preserve"> </w:t>
            </w:r>
          </w:p>
        </w:tc>
        <w:tc>
          <w:tcPr>
            <w:tcW w:w="1139" w:type="dxa"/>
            <w:tcBorders>
              <w:top w:val="single" w:sz="2" w:space="0" w:color="A7A9AB"/>
              <w:left w:val="nil"/>
              <w:bottom w:val="single" w:sz="2" w:space="0" w:color="A7A9AB"/>
              <w:right w:val="nil"/>
            </w:tcBorders>
            <w:vAlign w:val="center"/>
          </w:tcPr>
          <w:p w14:paraId="705B2177" w14:textId="77777777" w:rsidR="0002656C" w:rsidRPr="007951C1" w:rsidRDefault="0002656C" w:rsidP="00F51716">
            <w:pPr>
              <w:pStyle w:val="Tabletext0"/>
            </w:pPr>
            <w:r w:rsidRPr="007951C1">
              <w:t>per cent</w:t>
            </w:r>
          </w:p>
        </w:tc>
        <w:tc>
          <w:tcPr>
            <w:tcW w:w="1275" w:type="dxa"/>
            <w:tcBorders>
              <w:top w:val="single" w:sz="2" w:space="0" w:color="A7A9AB"/>
              <w:left w:val="nil"/>
              <w:bottom w:val="single" w:sz="2" w:space="0" w:color="A7A9AB"/>
              <w:right w:val="nil"/>
            </w:tcBorders>
            <w:vAlign w:val="center"/>
          </w:tcPr>
          <w:p w14:paraId="731FBB34" w14:textId="77777777" w:rsidR="0002656C" w:rsidRPr="007951C1" w:rsidRDefault="0002656C" w:rsidP="00F51716">
            <w:pPr>
              <w:pStyle w:val="tableright"/>
            </w:pPr>
            <w:r w:rsidRPr="007951C1">
              <w:t>62%</w:t>
            </w:r>
          </w:p>
        </w:tc>
        <w:tc>
          <w:tcPr>
            <w:tcW w:w="1418" w:type="dxa"/>
            <w:tcBorders>
              <w:top w:val="single" w:sz="2" w:space="0" w:color="A7A9AB"/>
              <w:left w:val="nil"/>
              <w:bottom w:val="single" w:sz="2" w:space="0" w:color="A7A9AB"/>
              <w:right w:val="nil"/>
            </w:tcBorders>
            <w:vAlign w:val="center"/>
          </w:tcPr>
          <w:p w14:paraId="235DA62A" w14:textId="77777777" w:rsidR="0002656C" w:rsidRPr="007951C1" w:rsidRDefault="0002656C" w:rsidP="00F51716">
            <w:pPr>
              <w:pStyle w:val="tableright"/>
            </w:pPr>
            <w:r w:rsidRPr="007951C1">
              <w:t>74%</w:t>
            </w:r>
          </w:p>
        </w:tc>
        <w:tc>
          <w:tcPr>
            <w:tcW w:w="1418" w:type="dxa"/>
            <w:tcBorders>
              <w:top w:val="single" w:sz="2" w:space="0" w:color="A7A9AB"/>
              <w:left w:val="nil"/>
              <w:bottom w:val="single" w:sz="2" w:space="0" w:color="A7A9AB"/>
              <w:right w:val="nil"/>
            </w:tcBorders>
            <w:vAlign w:val="center"/>
          </w:tcPr>
          <w:p w14:paraId="5ABC5EDD" w14:textId="77777777" w:rsidR="0002656C" w:rsidRPr="007951C1" w:rsidRDefault="0002656C" w:rsidP="00F51716">
            <w:pPr>
              <w:pStyle w:val="tableright"/>
            </w:pPr>
            <w:r w:rsidRPr="007951C1">
              <w:t>73%</w:t>
            </w:r>
          </w:p>
        </w:tc>
      </w:tr>
    </w:tbl>
    <w:p w14:paraId="735D059B" w14:textId="77777777" w:rsidR="006A49E5" w:rsidRDefault="006A49E5" w:rsidP="009C0026">
      <w:pPr>
        <w:pStyle w:val="Heading3"/>
      </w:pPr>
    </w:p>
    <w:p w14:paraId="537A1418" w14:textId="77777777" w:rsidR="006A49E5" w:rsidRDefault="006A49E5">
      <w:pPr>
        <w:spacing w:line="264" w:lineRule="auto"/>
        <w:rPr>
          <w:rFonts w:asciiTheme="majorHAnsi" w:eastAsiaTheme="majorEastAsia" w:hAnsiTheme="majorHAnsi" w:cstheme="majorBidi"/>
          <w:color w:val="595959" w:themeColor="accent2" w:themeTint="A6"/>
          <w:sz w:val="28"/>
          <w:szCs w:val="28"/>
        </w:rPr>
      </w:pPr>
      <w:r>
        <w:br w:type="page"/>
      </w:r>
    </w:p>
    <w:p w14:paraId="4327B206" w14:textId="52AD0A89" w:rsidR="0002656C" w:rsidRPr="00810968" w:rsidRDefault="0002656C" w:rsidP="009C0026">
      <w:pPr>
        <w:pStyle w:val="Heading3"/>
      </w:pPr>
      <w:r w:rsidRPr="00A61FD4">
        <w:t>Notes</w:t>
      </w:r>
      <w:r w:rsidR="0070381F" w:rsidRPr="00810968">
        <w:t xml:space="preserve"> </w:t>
      </w:r>
    </w:p>
    <w:p w14:paraId="64E56C57" w14:textId="6F0E0DCF" w:rsidR="0002656C" w:rsidRPr="006E31EC" w:rsidRDefault="0002656C" w:rsidP="00F51716">
      <w:r>
        <w:t xml:space="preserve">[1] </w:t>
      </w:r>
      <w:r w:rsidRPr="006E31EC">
        <w:t xml:space="preserve">SV </w:t>
      </w:r>
      <w:r w:rsidR="00043B1F">
        <w:t>did</w:t>
      </w:r>
      <w:r w:rsidRPr="006E31EC">
        <w:t xml:space="preserve"> not repeat the </w:t>
      </w:r>
      <w:r w:rsidRPr="006E31EC">
        <w:rPr>
          <w:i/>
          <w:iCs/>
        </w:rPr>
        <w:t>Victorians’ Perception of Climate Change</w:t>
      </w:r>
      <w:r w:rsidRPr="006E31EC">
        <w:t xml:space="preserve"> research in 2019–20. Although the target was met, ‘True Issues’ national tracker (strictly not comparable to the Victorian’s perceptions survey) conducted by JWS Research shows a decreasing priority of the environment and climate change as the C</w:t>
      </w:r>
      <w:r w:rsidR="00043B1F">
        <w:t>OVID</w:t>
      </w:r>
      <w:r w:rsidRPr="006E31EC">
        <w:t>-19 pandemic turns people’s minds to other priorities such as hospitals, health and aged care, employment and the economy.</w:t>
      </w:r>
    </w:p>
    <w:p w14:paraId="507A2F7A" w14:textId="7099EBAC" w:rsidR="0002656C" w:rsidRPr="006E31EC" w:rsidRDefault="0002656C" w:rsidP="00F51716">
      <w:r>
        <w:t xml:space="preserve">[2] </w:t>
      </w:r>
      <w:r w:rsidR="002A23D4">
        <w:t xml:space="preserve">The </w:t>
      </w:r>
      <w:r w:rsidRPr="006E31EC">
        <w:t>SV2020 target exceeded</w:t>
      </w:r>
      <w:r w:rsidR="002A23D4">
        <w:t xml:space="preserve">, but the </w:t>
      </w:r>
      <w:r w:rsidRPr="006E31EC">
        <w:t>2019–20 Business Plan target of 150,000 t</w:t>
      </w:r>
      <w:r>
        <w:t>onnes</w:t>
      </w:r>
      <w:r w:rsidRPr="006E31EC">
        <w:t xml:space="preserve"> additional capacity </w:t>
      </w:r>
      <w:r w:rsidR="002A23D4">
        <w:t xml:space="preserve">was </w:t>
      </w:r>
      <w:r w:rsidRPr="006E31EC">
        <w:t xml:space="preserve">not met. The </w:t>
      </w:r>
      <w:r w:rsidR="002A23D4">
        <w:t>Resource Recovery Infrastructure Fund</w:t>
      </w:r>
      <w:r w:rsidRPr="006E31EC">
        <w:t xml:space="preserve"> program added 122,000 t</w:t>
      </w:r>
      <w:r>
        <w:t>onnes</w:t>
      </w:r>
      <w:r w:rsidRPr="006E31EC">
        <w:t xml:space="preserve"> of capacity to the </w:t>
      </w:r>
      <w:r w:rsidR="002A23D4">
        <w:t>waste and resource recovery</w:t>
      </w:r>
      <w:r w:rsidRPr="006E31EC">
        <w:t xml:space="preserve"> sector year to date. The Alex Fraser project (additional bin at their Clarinda facility) is up and running but SV is yet to receive the commissioning report</w:t>
      </w:r>
      <w:r w:rsidR="002A23D4">
        <w:t>. T</w:t>
      </w:r>
      <w:r w:rsidRPr="006E31EC">
        <w:t>he project should add 30</w:t>
      </w:r>
      <w:r w:rsidR="002A23D4">
        <w:t xml:space="preserve">,000 to </w:t>
      </w:r>
      <w:r w:rsidRPr="006E31EC">
        <w:t>64</w:t>
      </w:r>
      <w:r w:rsidR="002A23D4">
        <w:t>,000 tonnes</w:t>
      </w:r>
      <w:r w:rsidRPr="006E31EC">
        <w:t xml:space="preserve"> of capacity.</w:t>
      </w:r>
    </w:p>
    <w:p w14:paraId="7A7C4E68" w14:textId="7720A58A" w:rsidR="0002656C" w:rsidRPr="006E31EC" w:rsidRDefault="0002656C" w:rsidP="00F51716">
      <w:r>
        <w:t xml:space="preserve">[3] </w:t>
      </w:r>
      <w:r w:rsidRPr="006E31EC">
        <w:t>Although the target of a 71</w:t>
      </w:r>
      <w:r w:rsidR="002A23D4">
        <w:t xml:space="preserve"> per cent</w:t>
      </w:r>
      <w:r w:rsidRPr="006E31EC">
        <w:t xml:space="preserve"> recovery rate will not be met, the rate for 201</w:t>
      </w:r>
      <w:r w:rsidR="00980424">
        <w:t>7</w:t>
      </w:r>
      <w:r w:rsidR="002A23D4">
        <w:t>–1</w:t>
      </w:r>
      <w:r w:rsidR="00980424">
        <w:t>8</w:t>
      </w:r>
      <w:r w:rsidRPr="006E31EC">
        <w:t xml:space="preserve"> increased </w:t>
      </w:r>
      <w:r w:rsidR="002A23D4">
        <w:t xml:space="preserve">by </w:t>
      </w:r>
      <w:r w:rsidRPr="006E31EC">
        <w:t>2</w:t>
      </w:r>
      <w:r w:rsidR="002A23D4">
        <w:t xml:space="preserve"> per cent</w:t>
      </w:r>
      <w:r w:rsidRPr="006E31EC">
        <w:t xml:space="preserve"> to </w:t>
      </w:r>
      <w:r w:rsidR="002A23D4">
        <w:t>70 per cent</w:t>
      </w:r>
      <w:r w:rsidRPr="006E31EC">
        <w:t>. An increase in reprocessing and reuse of aggregates, masonry and soil accounted for a significant proportion of the increase. Victoria</w:t>
      </w:r>
      <w:r w:rsidRPr="006E31EC">
        <w:rPr>
          <w:rFonts w:hint="cs"/>
        </w:rPr>
        <w:t>’</w:t>
      </w:r>
      <w:r w:rsidRPr="006E31EC">
        <w:t>s recovered resources were predominantly reprocessed locally in 2017</w:t>
      </w:r>
      <w:r w:rsidR="002A23D4">
        <w:rPr>
          <w:rFonts w:hint="eastAsia"/>
        </w:rPr>
        <w:t>–</w:t>
      </w:r>
      <w:r w:rsidRPr="006E31EC">
        <w:t>18, with 17</w:t>
      </w:r>
      <w:r w:rsidR="00980424">
        <w:t> </w:t>
      </w:r>
      <w:r w:rsidRPr="006E31EC">
        <w:t>per cent more materials reprocessed in local plants in Victoria than in 2016</w:t>
      </w:r>
      <w:r w:rsidR="002A23D4">
        <w:rPr>
          <w:rFonts w:hint="eastAsia"/>
        </w:rPr>
        <w:t>–</w:t>
      </w:r>
      <w:r w:rsidRPr="006E31EC">
        <w:t xml:space="preserve">17. Current </w:t>
      </w:r>
      <w:r w:rsidR="002A23D4">
        <w:t>g</w:t>
      </w:r>
      <w:r w:rsidR="002A23D4" w:rsidRPr="006E31EC">
        <w:t xml:space="preserve">overnment </w:t>
      </w:r>
      <w:r w:rsidRPr="006E31EC">
        <w:t>interventions</w:t>
      </w:r>
      <w:r w:rsidR="002A23D4">
        <w:t>,</w:t>
      </w:r>
      <w:r w:rsidRPr="006E31EC">
        <w:t xml:space="preserve"> including SV</w:t>
      </w:r>
      <w:r w:rsidRPr="006E31EC">
        <w:rPr>
          <w:rFonts w:hint="cs"/>
        </w:rPr>
        <w:t>’</w:t>
      </w:r>
      <w:r w:rsidRPr="006E31EC">
        <w:t>s infrastructure programs</w:t>
      </w:r>
      <w:r w:rsidR="002A23D4">
        <w:t>,</w:t>
      </w:r>
      <w:r w:rsidRPr="006E31EC">
        <w:t xml:space="preserve"> should impact the rate beyond 2022.</w:t>
      </w:r>
    </w:p>
    <w:p w14:paraId="0DD8EBFD" w14:textId="110DF13B" w:rsidR="0002656C" w:rsidRDefault="0002656C" w:rsidP="00F51716">
      <w:r>
        <w:t xml:space="preserve">[4] </w:t>
      </w:r>
      <w:r w:rsidRPr="006E31EC">
        <w:t xml:space="preserve">Target not achieved. </w:t>
      </w:r>
      <w:r w:rsidR="002A23D4">
        <w:t>The e</w:t>
      </w:r>
      <w:r w:rsidRPr="006E31EC">
        <w:t>ngagement index dropped to 73</w:t>
      </w:r>
      <w:r w:rsidR="002A23D4">
        <w:t xml:space="preserve"> per cent</w:t>
      </w:r>
      <w:r w:rsidRPr="006E31EC">
        <w:t xml:space="preserve"> from 74</w:t>
      </w:r>
      <w:r w:rsidR="002A23D4">
        <w:t xml:space="preserve"> per cent</w:t>
      </w:r>
      <w:r w:rsidRPr="006E31EC">
        <w:t xml:space="preserve"> in April. Although not a big decrease</w:t>
      </w:r>
      <w:r w:rsidR="002A23D4">
        <w:t>,</w:t>
      </w:r>
      <w:r w:rsidRPr="006E31EC">
        <w:t xml:space="preserve"> it is significantly lower than SV’s highest score of 79</w:t>
      </w:r>
      <w:r w:rsidR="002A23D4">
        <w:t xml:space="preserve"> per cent</w:t>
      </w:r>
      <w:r w:rsidRPr="006E31EC">
        <w:t xml:space="preserve"> in February 2019. Some fluctuation of the engagement index is understandable and expected throughout 2020. Within the April 2020 result, two questions had significant increases: staff perception of their job, and the impact of their job on others. At an organisational level, SV is addressing immediate engagement issues through transformation-related and wellbeing</w:t>
      </w:r>
      <w:r w:rsidR="002A23D4">
        <w:t>-</w:t>
      </w:r>
      <w:r w:rsidRPr="006E31EC">
        <w:t xml:space="preserve">support activities, and creating foundations for long-term, positive engagement scores through leadership, workplace co-design and ongoing culture change initiatives. </w:t>
      </w:r>
      <w:r w:rsidR="002A23D4">
        <w:t xml:space="preserve">These </w:t>
      </w:r>
      <w:r w:rsidRPr="006E31EC">
        <w:t>programs should impact the rate beyond 2022.</w:t>
      </w:r>
    </w:p>
    <w:p w14:paraId="7E2A3294" w14:textId="77777777" w:rsidR="00C24856" w:rsidRDefault="00C24856" w:rsidP="00F51716">
      <w:pPr>
        <w:rPr>
          <w:rFonts w:asciiTheme="majorHAnsi" w:eastAsiaTheme="majorEastAsia" w:hAnsiTheme="majorHAnsi" w:cstheme="majorBidi"/>
          <w:color w:val="41631F" w:themeColor="accent1" w:themeShade="80"/>
          <w:sz w:val="30"/>
          <w:szCs w:val="30"/>
        </w:rPr>
      </w:pPr>
      <w:bookmarkStart w:id="23" w:name="_Toc57039855"/>
      <w:r>
        <w:br w:type="page"/>
      </w:r>
    </w:p>
    <w:p w14:paraId="0A52E033" w14:textId="728BF45B" w:rsidR="0002656C" w:rsidRPr="00F51716" w:rsidRDefault="0002656C" w:rsidP="00F51716">
      <w:pPr>
        <w:pStyle w:val="Heading1"/>
      </w:pPr>
      <w:bookmarkStart w:id="24" w:name="_Toc59624195"/>
      <w:r w:rsidRPr="00F51716">
        <w:t>Key initiatives and projects</w:t>
      </w:r>
      <w:bookmarkEnd w:id="23"/>
      <w:r w:rsidRPr="00F51716">
        <w:t xml:space="preserve"> </w:t>
      </w:r>
      <w:r w:rsidR="00CA6860" w:rsidRPr="00F51716">
        <w:t>in 201</w:t>
      </w:r>
      <w:r w:rsidR="002E72DD" w:rsidRPr="00F51716">
        <w:t>9–20</w:t>
      </w:r>
      <w:bookmarkEnd w:id="24"/>
    </w:p>
    <w:p w14:paraId="78EF514D" w14:textId="56A4E5E8" w:rsidR="00DF1705" w:rsidRPr="00F51716" w:rsidRDefault="00DF1705" w:rsidP="00F51716">
      <w:pPr>
        <w:pStyle w:val="Heading2"/>
      </w:pPr>
      <w:bookmarkStart w:id="25" w:name="_Toc57039856"/>
      <w:bookmarkStart w:id="26" w:name="_Toc59624196"/>
      <w:r w:rsidRPr="00F51716">
        <w:t xml:space="preserve">Priority </w:t>
      </w:r>
      <w:r w:rsidR="006E31EC" w:rsidRPr="00F51716">
        <w:t>O</w:t>
      </w:r>
      <w:r w:rsidRPr="00F51716">
        <w:t>ne: Help Victorians act on climate change</w:t>
      </w:r>
      <w:bookmarkEnd w:id="16"/>
      <w:bookmarkEnd w:id="25"/>
      <w:bookmarkEnd w:id="26"/>
    </w:p>
    <w:p w14:paraId="343A7CFE" w14:textId="077F6ED3" w:rsidR="00512A72" w:rsidRPr="00567B81" w:rsidRDefault="00512A72" w:rsidP="00F51716">
      <w:r w:rsidRPr="00567B81">
        <w:t>Victoria has joined leading countries and states across the world by committing to reducing emissions and limiting global warming to under two degrees. Through the Climate Change Act, the Victorian Government is aiming for zero net GHG emissions by 2050 and is calling on all Victorians to help us achieve this goal.</w:t>
      </w:r>
    </w:p>
    <w:p w14:paraId="00E055C3" w14:textId="6F88ED64" w:rsidR="004A2F9F" w:rsidRDefault="00DF1705" w:rsidP="00F51716">
      <w:r w:rsidRPr="00567B81">
        <w:t>The task of reaching net zero emissions by 2050 is complex. In 2019–20, we helped people choose the meaningful actions they can take in their homes, communities and businesses</w:t>
      </w:r>
      <w:r w:rsidR="002A23D4">
        <w:t xml:space="preserve"> through the following initiatives and projects. </w:t>
      </w:r>
    </w:p>
    <w:p w14:paraId="19C3C7C2" w14:textId="3C6D76A9" w:rsidR="00F80A21" w:rsidRPr="00B30771" w:rsidRDefault="00F80A21" w:rsidP="009C0026">
      <w:pPr>
        <w:pStyle w:val="Header3outcome"/>
      </w:pPr>
      <w:r w:rsidRPr="00B30771">
        <w:t>Strategic outcome: Victorians save on energy costs</w:t>
      </w:r>
    </w:p>
    <w:p w14:paraId="009FFB61" w14:textId="1787DAB1" w:rsidR="00294DE7" w:rsidRDefault="00294DE7" w:rsidP="009C0026">
      <w:pPr>
        <w:pStyle w:val="Heading3"/>
      </w:pPr>
      <w:r>
        <w:t>Reduce energy bills for Victorians</w:t>
      </w:r>
    </w:p>
    <w:p w14:paraId="053E398B" w14:textId="226A953B" w:rsidR="004B3074" w:rsidRDefault="004B3074" w:rsidP="00F51716">
      <w:r w:rsidRPr="007A0720">
        <w:t>Through our many programs, we have enabled Victorians to collectively save more than $34</w:t>
      </w:r>
      <w:r w:rsidR="00723892">
        <w:t> </w:t>
      </w:r>
      <w:r w:rsidRPr="007A0720">
        <w:t>million dollars on their energy bills in the past year</w:t>
      </w:r>
      <w:r w:rsidR="00DF0284">
        <w:t xml:space="preserve"> (see </w:t>
      </w:r>
      <w:r w:rsidR="00DF0284">
        <w:fldChar w:fldCharType="begin"/>
      </w:r>
      <w:r w:rsidR="00DF0284">
        <w:instrText xml:space="preserve"> REF _Ref57466146 \h </w:instrText>
      </w:r>
      <w:r w:rsidR="00DF0284">
        <w:fldChar w:fldCharType="separate"/>
      </w:r>
      <w:r w:rsidR="00205952">
        <w:t xml:space="preserve">Table </w:t>
      </w:r>
      <w:r w:rsidR="00205952">
        <w:rPr>
          <w:noProof/>
        </w:rPr>
        <w:t>2</w:t>
      </w:r>
      <w:r w:rsidR="00DF0284">
        <w:fldChar w:fldCharType="end"/>
      </w:r>
      <w:r w:rsidR="00DF0284">
        <w:t>)</w:t>
      </w:r>
      <w:r w:rsidRPr="007A0720">
        <w:t>.</w:t>
      </w:r>
    </w:p>
    <w:p w14:paraId="50597935" w14:textId="662AEC61" w:rsidR="00FE1ED7" w:rsidRDefault="00FE1ED7" w:rsidP="00F51716">
      <w:r>
        <w:t>Programs helping Victorians achieve savings include ResourceSmart Schools, solar PV systems installed last year as part of Solar Victoria, Local Government Energy Saver, Community Power Hubs as well as savings achieved through our housing upgrade and business energy efficiency programs.</w:t>
      </w:r>
    </w:p>
    <w:p w14:paraId="60F12483" w14:textId="14003B11" w:rsidR="00294DE7" w:rsidRDefault="00294DE7" w:rsidP="00F51716">
      <w:pPr>
        <w:pStyle w:val="Caption"/>
      </w:pPr>
      <w:bookmarkStart w:id="27" w:name="_Ref57466146"/>
      <w:r>
        <w:t xml:space="preserve">Table </w:t>
      </w:r>
      <w:fldSimple w:instr=" SEQ Table \* ARABIC ">
        <w:r w:rsidR="003F15CC">
          <w:rPr>
            <w:noProof/>
          </w:rPr>
          <w:t>2</w:t>
        </w:r>
      </w:fldSimple>
      <w:bookmarkEnd w:id="27"/>
      <w:r>
        <w:t xml:space="preserve">: </w:t>
      </w:r>
      <w:r w:rsidR="00225FF8">
        <w:t>R</w:t>
      </w:r>
      <w:r w:rsidR="004B3074">
        <w:t>educing energy bills for</w:t>
      </w:r>
      <w:r>
        <w:t xml:space="preserve"> Victoria</w:t>
      </w:r>
      <w:r w:rsidR="004B3074">
        <w:t>n</w:t>
      </w:r>
      <w:r w:rsidR="009243B4">
        <w:t xml:space="preserve"> in 2019–20</w:t>
      </w:r>
    </w:p>
    <w:tbl>
      <w:tblPr>
        <w:tblStyle w:val="TableGrid0"/>
        <w:tblW w:w="9233" w:type="dxa"/>
        <w:tblInd w:w="0" w:type="dxa"/>
        <w:tblLayout w:type="fixed"/>
        <w:tblCellMar>
          <w:top w:w="109" w:type="dxa"/>
          <w:right w:w="125" w:type="dxa"/>
        </w:tblCellMar>
        <w:tblLook w:val="04A0" w:firstRow="1" w:lastRow="0" w:firstColumn="1" w:lastColumn="0" w:noHBand="0" w:noVBand="1"/>
      </w:tblPr>
      <w:tblGrid>
        <w:gridCol w:w="5529"/>
        <w:gridCol w:w="1011"/>
        <w:gridCol w:w="1275"/>
        <w:gridCol w:w="1418"/>
      </w:tblGrid>
      <w:tr w:rsidR="00294DE7" w:rsidRPr="00FE1ED7" w14:paraId="07AD67F7" w14:textId="77777777" w:rsidTr="00FE1ED7">
        <w:trPr>
          <w:trHeight w:val="373"/>
        </w:trPr>
        <w:tc>
          <w:tcPr>
            <w:tcW w:w="5529" w:type="dxa"/>
            <w:tcBorders>
              <w:top w:val="nil"/>
              <w:left w:val="nil"/>
              <w:bottom w:val="nil"/>
              <w:right w:val="nil"/>
            </w:tcBorders>
            <w:shd w:val="clear" w:color="auto" w:fill="82C341"/>
            <w:vAlign w:val="center"/>
          </w:tcPr>
          <w:p w14:paraId="4C6DDA18" w14:textId="01D3A517" w:rsidR="00294DE7" w:rsidRPr="00FE1ED7" w:rsidRDefault="003F1670" w:rsidP="00F51716">
            <w:pPr>
              <w:pStyle w:val="TableHeading"/>
            </w:pPr>
            <w:r w:rsidRPr="00FE1ED7">
              <w:t>Outcome measure</w:t>
            </w:r>
          </w:p>
        </w:tc>
        <w:tc>
          <w:tcPr>
            <w:tcW w:w="1011" w:type="dxa"/>
            <w:tcBorders>
              <w:top w:val="nil"/>
              <w:left w:val="nil"/>
              <w:bottom w:val="nil"/>
              <w:right w:val="nil"/>
            </w:tcBorders>
            <w:shd w:val="clear" w:color="auto" w:fill="82C341"/>
            <w:vAlign w:val="center"/>
          </w:tcPr>
          <w:p w14:paraId="2D54A3A9" w14:textId="77777777" w:rsidR="00294DE7" w:rsidRPr="00FE1ED7" w:rsidRDefault="00294DE7" w:rsidP="00F51716">
            <w:pPr>
              <w:pStyle w:val="tableheadright"/>
            </w:pPr>
            <w:r w:rsidRPr="00FE1ED7">
              <w:t>2019–20 target</w:t>
            </w:r>
          </w:p>
        </w:tc>
        <w:tc>
          <w:tcPr>
            <w:tcW w:w="1275" w:type="dxa"/>
            <w:tcBorders>
              <w:top w:val="nil"/>
              <w:left w:val="nil"/>
              <w:bottom w:val="nil"/>
              <w:right w:val="nil"/>
            </w:tcBorders>
            <w:shd w:val="clear" w:color="auto" w:fill="82C341"/>
            <w:vAlign w:val="center"/>
          </w:tcPr>
          <w:p w14:paraId="2317552D" w14:textId="77777777" w:rsidR="00294DE7" w:rsidRPr="00FE1ED7" w:rsidRDefault="00294DE7" w:rsidP="00F51716">
            <w:pPr>
              <w:pStyle w:val="tableheadright"/>
            </w:pPr>
            <w:r w:rsidRPr="00FE1ED7">
              <w:t>2019–20 actual</w:t>
            </w:r>
          </w:p>
        </w:tc>
        <w:tc>
          <w:tcPr>
            <w:tcW w:w="1418" w:type="dxa"/>
            <w:tcBorders>
              <w:top w:val="nil"/>
              <w:left w:val="nil"/>
              <w:bottom w:val="nil"/>
              <w:right w:val="nil"/>
            </w:tcBorders>
            <w:shd w:val="clear" w:color="auto" w:fill="82C341"/>
            <w:vAlign w:val="center"/>
          </w:tcPr>
          <w:p w14:paraId="512B5D76" w14:textId="77777777" w:rsidR="00294DE7" w:rsidRPr="00FE1ED7" w:rsidRDefault="00294DE7" w:rsidP="00F51716">
            <w:pPr>
              <w:pStyle w:val="tableheadright"/>
            </w:pPr>
            <w:r w:rsidRPr="00FE1ED7">
              <w:t>Target met</w:t>
            </w:r>
          </w:p>
        </w:tc>
      </w:tr>
      <w:tr w:rsidR="00294DE7" w:rsidRPr="007951C1" w14:paraId="3D7B24C9" w14:textId="77777777" w:rsidTr="00FE1ED7">
        <w:trPr>
          <w:trHeight w:val="411"/>
        </w:trPr>
        <w:tc>
          <w:tcPr>
            <w:tcW w:w="5529" w:type="dxa"/>
            <w:tcBorders>
              <w:top w:val="single" w:sz="2" w:space="0" w:color="A7A9AB"/>
              <w:left w:val="nil"/>
              <w:bottom w:val="single" w:sz="2" w:space="0" w:color="A7A9AB"/>
              <w:right w:val="nil"/>
            </w:tcBorders>
            <w:vAlign w:val="center"/>
          </w:tcPr>
          <w:p w14:paraId="227A1805" w14:textId="2AA23BD2" w:rsidR="00294DE7" w:rsidRPr="00FE1ED7" w:rsidRDefault="00294DE7" w:rsidP="00F51716">
            <w:pPr>
              <w:pStyle w:val="Tabletext0"/>
            </w:pPr>
            <w:r w:rsidRPr="00FE1ED7">
              <w:t>Annual energy bill savings of $25 million for Victorians participating in SV programs</w:t>
            </w:r>
          </w:p>
        </w:tc>
        <w:tc>
          <w:tcPr>
            <w:tcW w:w="1011" w:type="dxa"/>
            <w:tcBorders>
              <w:top w:val="single" w:sz="2" w:space="0" w:color="A7A9AB"/>
              <w:left w:val="nil"/>
              <w:bottom w:val="single" w:sz="2" w:space="0" w:color="A7A9AB"/>
              <w:right w:val="nil"/>
            </w:tcBorders>
            <w:vAlign w:val="center"/>
          </w:tcPr>
          <w:p w14:paraId="40F82E84" w14:textId="3C6D85B5" w:rsidR="00294DE7" w:rsidRPr="007951C1" w:rsidRDefault="00294DE7" w:rsidP="00F51716">
            <w:pPr>
              <w:pStyle w:val="tableright"/>
            </w:pPr>
            <w:r>
              <w:t>$25 M</w:t>
            </w:r>
          </w:p>
        </w:tc>
        <w:tc>
          <w:tcPr>
            <w:tcW w:w="1275" w:type="dxa"/>
            <w:tcBorders>
              <w:top w:val="single" w:sz="2" w:space="0" w:color="A7A9AB"/>
              <w:left w:val="nil"/>
              <w:bottom w:val="single" w:sz="2" w:space="0" w:color="A7A9AB"/>
              <w:right w:val="nil"/>
            </w:tcBorders>
            <w:vAlign w:val="center"/>
          </w:tcPr>
          <w:p w14:paraId="0C1D485C" w14:textId="32401C17" w:rsidR="00294DE7" w:rsidRPr="007951C1" w:rsidRDefault="004B3074" w:rsidP="00F51716">
            <w:pPr>
              <w:pStyle w:val="tableright"/>
            </w:pPr>
            <w:r>
              <w:t>$34 M</w:t>
            </w:r>
          </w:p>
        </w:tc>
        <w:tc>
          <w:tcPr>
            <w:tcW w:w="1418" w:type="dxa"/>
            <w:tcBorders>
              <w:top w:val="single" w:sz="2" w:space="0" w:color="A7A9AB"/>
              <w:left w:val="nil"/>
              <w:bottom w:val="single" w:sz="2" w:space="0" w:color="A7A9AB"/>
              <w:right w:val="nil"/>
            </w:tcBorders>
            <w:vAlign w:val="center"/>
          </w:tcPr>
          <w:p w14:paraId="5A6DB30F" w14:textId="02286793" w:rsidR="00294DE7" w:rsidRPr="007951C1" w:rsidRDefault="00A45012" w:rsidP="00A45012">
            <w:pPr>
              <w:pStyle w:val="tableright"/>
            </w:pPr>
            <w:r>
              <w:rPr>
                <w:rStyle w:val="normaltextrun"/>
                <w:rFonts w:ascii="Segoe UI Emoji" w:hAnsi="Segoe UI Emoji" w:cs="Segoe UI Emoji"/>
              </w:rPr>
              <w:t>✔</w:t>
            </w:r>
          </w:p>
        </w:tc>
      </w:tr>
      <w:tr w:rsidR="00294DE7" w:rsidRPr="007951C1" w14:paraId="2910EFD4" w14:textId="77777777" w:rsidTr="00FE1ED7">
        <w:trPr>
          <w:trHeight w:val="18"/>
        </w:trPr>
        <w:tc>
          <w:tcPr>
            <w:tcW w:w="5529" w:type="dxa"/>
            <w:tcBorders>
              <w:top w:val="single" w:sz="2" w:space="0" w:color="A7A9AB"/>
              <w:left w:val="nil"/>
              <w:bottom w:val="single" w:sz="2" w:space="0" w:color="A7A9AB"/>
              <w:right w:val="nil"/>
            </w:tcBorders>
            <w:shd w:val="clear" w:color="auto" w:fill="auto"/>
            <w:vAlign w:val="center"/>
          </w:tcPr>
          <w:p w14:paraId="1647492F" w14:textId="02BC96D1" w:rsidR="00294DE7" w:rsidRPr="00B64EA3" w:rsidRDefault="00294DE7" w:rsidP="00F51716">
            <w:pPr>
              <w:pStyle w:val="Tabletext0"/>
            </w:pPr>
            <w:r w:rsidRPr="00B64EA3">
              <w:t>SV’s continued participation in the E3 program contributed to Victorians saving $300 million on their annual energy bills</w:t>
            </w:r>
          </w:p>
        </w:tc>
        <w:tc>
          <w:tcPr>
            <w:tcW w:w="1011" w:type="dxa"/>
            <w:tcBorders>
              <w:top w:val="single" w:sz="2" w:space="0" w:color="A7A9AB"/>
              <w:left w:val="nil"/>
              <w:bottom w:val="single" w:sz="2" w:space="0" w:color="A7A9AB"/>
              <w:right w:val="nil"/>
            </w:tcBorders>
            <w:shd w:val="clear" w:color="auto" w:fill="auto"/>
            <w:vAlign w:val="center"/>
          </w:tcPr>
          <w:p w14:paraId="47CF5921" w14:textId="76644592" w:rsidR="00294DE7" w:rsidRPr="00B64EA3" w:rsidRDefault="00294DE7" w:rsidP="00F51716">
            <w:pPr>
              <w:pStyle w:val="tableright"/>
            </w:pPr>
            <w:r w:rsidRPr="00B64EA3">
              <w:t>$300 M</w:t>
            </w:r>
          </w:p>
        </w:tc>
        <w:tc>
          <w:tcPr>
            <w:tcW w:w="1275" w:type="dxa"/>
            <w:tcBorders>
              <w:top w:val="single" w:sz="2" w:space="0" w:color="A7A9AB"/>
              <w:left w:val="nil"/>
              <w:bottom w:val="single" w:sz="2" w:space="0" w:color="A7A9AB"/>
              <w:right w:val="nil"/>
            </w:tcBorders>
            <w:shd w:val="clear" w:color="auto" w:fill="auto"/>
            <w:vAlign w:val="center"/>
          </w:tcPr>
          <w:p w14:paraId="789B24A5" w14:textId="1D539CC8" w:rsidR="00294DE7" w:rsidRPr="00B64EA3" w:rsidRDefault="00B64EA3" w:rsidP="00F51716">
            <w:pPr>
              <w:pStyle w:val="tableright"/>
            </w:pPr>
            <w:r w:rsidRPr="00B64EA3">
              <w:t>$30</w:t>
            </w:r>
            <w:r>
              <w:t>8.5</w:t>
            </w:r>
            <w:r w:rsidRPr="00B64EA3">
              <w:t xml:space="preserve"> M</w:t>
            </w:r>
          </w:p>
        </w:tc>
        <w:tc>
          <w:tcPr>
            <w:tcW w:w="1418" w:type="dxa"/>
            <w:tcBorders>
              <w:top w:val="single" w:sz="2" w:space="0" w:color="A7A9AB"/>
              <w:left w:val="nil"/>
              <w:bottom w:val="single" w:sz="2" w:space="0" w:color="A7A9AB"/>
              <w:right w:val="nil"/>
            </w:tcBorders>
            <w:shd w:val="clear" w:color="auto" w:fill="auto"/>
            <w:vAlign w:val="center"/>
          </w:tcPr>
          <w:p w14:paraId="72D9D017" w14:textId="7D90778A" w:rsidR="00294DE7" w:rsidRPr="009243B4" w:rsidRDefault="00B64EA3" w:rsidP="00A45012">
            <w:pPr>
              <w:pStyle w:val="tableright"/>
              <w:rPr>
                <w:highlight w:val="yellow"/>
              </w:rPr>
            </w:pPr>
            <w:r>
              <w:rPr>
                <w:rStyle w:val="normaltextrun"/>
                <w:rFonts w:ascii="Segoe UI Emoji" w:hAnsi="Segoe UI Emoji" w:cs="Segoe UI Emoji"/>
              </w:rPr>
              <w:t>✔</w:t>
            </w:r>
          </w:p>
        </w:tc>
      </w:tr>
    </w:tbl>
    <w:p w14:paraId="23557E6C" w14:textId="77777777" w:rsidR="00294DE7" w:rsidRDefault="00294DE7" w:rsidP="009C0026">
      <w:pPr>
        <w:pStyle w:val="Heading3"/>
      </w:pPr>
      <w:r w:rsidRPr="00294DE7">
        <w:t xml:space="preserve">Increase schools acting on climate change and using their resources wisely </w:t>
      </w:r>
    </w:p>
    <w:p w14:paraId="4FA19F56" w14:textId="30D97EFF" w:rsidR="00294DE7" w:rsidRDefault="004169A0" w:rsidP="00F51716">
      <w:hyperlink r:id="rId21" w:history="1">
        <w:r w:rsidR="00294DE7" w:rsidRPr="00FE1ED7">
          <w:rPr>
            <w:rStyle w:val="Hyperlink"/>
            <w:rFonts w:cstheme="minorBidi"/>
          </w:rPr>
          <w:t>ResourceSmart Schools</w:t>
        </w:r>
      </w:hyperlink>
      <w:r w:rsidR="00294DE7">
        <w:t xml:space="preserve"> (RSS) is a free program offered by SV that supports Victorian schools to embed sustainability across the school facilities, community and curriculum, while saving resources and money for the school.</w:t>
      </w:r>
    </w:p>
    <w:p w14:paraId="3C075EE9" w14:textId="7A39384B" w:rsidR="00294DE7" w:rsidRDefault="00294DE7" w:rsidP="00F51716">
      <w:r>
        <w:t xml:space="preserve">In 2019–20, </w:t>
      </w:r>
      <w:r w:rsidR="004B3074">
        <w:t>636 schools actively participated in the RSS program, which was below our target of 700 (</w:t>
      </w:r>
      <w:r w:rsidR="004B3074">
        <w:fldChar w:fldCharType="begin"/>
      </w:r>
      <w:r w:rsidR="004B3074">
        <w:instrText xml:space="preserve"> REF _Ref57460482 \h </w:instrText>
      </w:r>
      <w:r w:rsidR="004B3074">
        <w:fldChar w:fldCharType="separate"/>
      </w:r>
      <w:r w:rsidR="00205952">
        <w:t xml:space="preserve">Table </w:t>
      </w:r>
      <w:r w:rsidR="00205952">
        <w:rPr>
          <w:noProof/>
        </w:rPr>
        <w:t>3</w:t>
      </w:r>
      <w:r w:rsidR="004B3074">
        <w:fldChar w:fldCharType="end"/>
      </w:r>
      <w:r w:rsidR="004B3074">
        <w:t xml:space="preserve">). </w:t>
      </w:r>
      <w:r w:rsidR="003F1670">
        <w:t>We met all other RSS program outcomes except for the biodiversity target of plants planted.</w:t>
      </w:r>
    </w:p>
    <w:p w14:paraId="0A9DDEC0" w14:textId="77777777" w:rsidR="008C258D" w:rsidRDefault="008C258D" w:rsidP="008C258D">
      <w:pPr>
        <w:pStyle w:val="Quote"/>
      </w:pPr>
      <w:r>
        <w:t xml:space="preserve">In 2019, ResourceSmart Schools collectively saved more than 10.4 million kWh in energy use, saved $2.8 million on their electricity bills and avoided more than 12,000 tonnes of greenhouse gases. </w:t>
      </w:r>
    </w:p>
    <w:p w14:paraId="7143917E" w14:textId="6F0359A1" w:rsidR="004B3074" w:rsidRDefault="004B3074" w:rsidP="00F51716">
      <w:pPr>
        <w:pStyle w:val="Caption"/>
      </w:pPr>
      <w:bookmarkStart w:id="28" w:name="_Ref57460482"/>
      <w:r>
        <w:t xml:space="preserve">Table </w:t>
      </w:r>
      <w:fldSimple w:instr=" SEQ Table \* ARABIC ">
        <w:r w:rsidR="003F15CC">
          <w:rPr>
            <w:noProof/>
          </w:rPr>
          <w:t>3</w:t>
        </w:r>
      </w:fldSimple>
      <w:bookmarkEnd w:id="28"/>
      <w:r>
        <w:t xml:space="preserve">: </w:t>
      </w:r>
      <w:r w:rsidR="00225FF8">
        <w:t>I</w:t>
      </w:r>
      <w:r>
        <w:t xml:space="preserve">ncreasing schools acting on climate change </w:t>
      </w:r>
      <w:r w:rsidR="009243B4">
        <w:t>in 2019–20</w:t>
      </w:r>
    </w:p>
    <w:tbl>
      <w:tblPr>
        <w:tblStyle w:val="TableGrid0"/>
        <w:tblW w:w="8949" w:type="dxa"/>
        <w:tblInd w:w="0" w:type="dxa"/>
        <w:tblLayout w:type="fixed"/>
        <w:tblCellMar>
          <w:top w:w="109" w:type="dxa"/>
          <w:right w:w="125" w:type="dxa"/>
        </w:tblCellMar>
        <w:tblLook w:val="04A0" w:firstRow="1" w:lastRow="0" w:firstColumn="1" w:lastColumn="0" w:noHBand="0" w:noVBand="1"/>
      </w:tblPr>
      <w:tblGrid>
        <w:gridCol w:w="5245"/>
        <w:gridCol w:w="1011"/>
        <w:gridCol w:w="1275"/>
        <w:gridCol w:w="1418"/>
      </w:tblGrid>
      <w:tr w:rsidR="004B3074" w:rsidRPr="00FE1ED7" w14:paraId="13DFC532" w14:textId="77777777" w:rsidTr="004B3074">
        <w:trPr>
          <w:trHeight w:val="373"/>
        </w:trPr>
        <w:tc>
          <w:tcPr>
            <w:tcW w:w="5245" w:type="dxa"/>
            <w:tcBorders>
              <w:top w:val="nil"/>
              <w:left w:val="nil"/>
              <w:bottom w:val="nil"/>
              <w:right w:val="nil"/>
            </w:tcBorders>
            <w:shd w:val="clear" w:color="auto" w:fill="82C341"/>
            <w:vAlign w:val="center"/>
          </w:tcPr>
          <w:p w14:paraId="2DE859C8" w14:textId="348E52B7" w:rsidR="004B3074" w:rsidRPr="00FE1ED7" w:rsidRDefault="003F1670" w:rsidP="00F51716">
            <w:pPr>
              <w:pStyle w:val="TableHeading"/>
            </w:pPr>
            <w:r w:rsidRPr="00FE1ED7">
              <w:t>Outcome measure</w:t>
            </w:r>
          </w:p>
        </w:tc>
        <w:tc>
          <w:tcPr>
            <w:tcW w:w="1011" w:type="dxa"/>
            <w:tcBorders>
              <w:top w:val="nil"/>
              <w:left w:val="nil"/>
              <w:bottom w:val="nil"/>
              <w:right w:val="nil"/>
            </w:tcBorders>
            <w:shd w:val="clear" w:color="auto" w:fill="82C341"/>
            <w:vAlign w:val="center"/>
          </w:tcPr>
          <w:p w14:paraId="45C91A3C" w14:textId="77777777" w:rsidR="004B3074" w:rsidRPr="00FE1ED7" w:rsidRDefault="004B3074" w:rsidP="00F51716">
            <w:pPr>
              <w:pStyle w:val="TableHeading"/>
            </w:pPr>
            <w:r w:rsidRPr="00FE1ED7">
              <w:t>2019–20 target</w:t>
            </w:r>
          </w:p>
        </w:tc>
        <w:tc>
          <w:tcPr>
            <w:tcW w:w="1275" w:type="dxa"/>
            <w:tcBorders>
              <w:top w:val="nil"/>
              <w:left w:val="nil"/>
              <w:bottom w:val="nil"/>
              <w:right w:val="nil"/>
            </w:tcBorders>
            <w:shd w:val="clear" w:color="auto" w:fill="82C341"/>
            <w:vAlign w:val="center"/>
          </w:tcPr>
          <w:p w14:paraId="4F003BB3" w14:textId="77777777" w:rsidR="004B3074" w:rsidRPr="00FE1ED7" w:rsidRDefault="004B3074" w:rsidP="00F51716">
            <w:pPr>
              <w:pStyle w:val="TableHeading"/>
            </w:pPr>
            <w:r w:rsidRPr="00FE1ED7">
              <w:t>2019–20 actual</w:t>
            </w:r>
          </w:p>
        </w:tc>
        <w:tc>
          <w:tcPr>
            <w:tcW w:w="1418" w:type="dxa"/>
            <w:tcBorders>
              <w:top w:val="nil"/>
              <w:left w:val="nil"/>
              <w:bottom w:val="nil"/>
              <w:right w:val="nil"/>
            </w:tcBorders>
            <w:shd w:val="clear" w:color="auto" w:fill="82C341"/>
            <w:vAlign w:val="center"/>
          </w:tcPr>
          <w:p w14:paraId="56FF1BF1" w14:textId="77777777" w:rsidR="004B3074" w:rsidRPr="00FE1ED7" w:rsidRDefault="004B3074" w:rsidP="00F51716">
            <w:pPr>
              <w:pStyle w:val="TableHeading"/>
            </w:pPr>
            <w:r w:rsidRPr="00FE1ED7">
              <w:t>Target met</w:t>
            </w:r>
          </w:p>
        </w:tc>
      </w:tr>
      <w:tr w:rsidR="004B3074" w:rsidRPr="007951C1" w14:paraId="4ECBE114" w14:textId="77777777" w:rsidTr="004B3074">
        <w:trPr>
          <w:trHeight w:val="411"/>
        </w:trPr>
        <w:tc>
          <w:tcPr>
            <w:tcW w:w="5245" w:type="dxa"/>
            <w:tcBorders>
              <w:top w:val="single" w:sz="2" w:space="0" w:color="A7A9AB"/>
              <w:left w:val="nil"/>
              <w:bottom w:val="single" w:sz="2" w:space="0" w:color="A7A9AB"/>
              <w:right w:val="nil"/>
            </w:tcBorders>
            <w:vAlign w:val="center"/>
          </w:tcPr>
          <w:p w14:paraId="0A9CBE13" w14:textId="77777777" w:rsidR="004B3074" w:rsidRPr="00F47EA8" w:rsidRDefault="004B3074" w:rsidP="00F51716">
            <w:pPr>
              <w:pStyle w:val="Tabletext0"/>
            </w:pPr>
            <w:r w:rsidRPr="00294DE7">
              <w:t>700 schools active in the ResourceSmart Schools program</w:t>
            </w:r>
          </w:p>
        </w:tc>
        <w:tc>
          <w:tcPr>
            <w:tcW w:w="1011" w:type="dxa"/>
            <w:tcBorders>
              <w:top w:val="single" w:sz="2" w:space="0" w:color="A7A9AB"/>
              <w:left w:val="nil"/>
              <w:bottom w:val="single" w:sz="2" w:space="0" w:color="A7A9AB"/>
              <w:right w:val="nil"/>
            </w:tcBorders>
            <w:vAlign w:val="center"/>
          </w:tcPr>
          <w:p w14:paraId="3A348724" w14:textId="77777777" w:rsidR="004B3074" w:rsidRPr="007951C1" w:rsidRDefault="004B3074" w:rsidP="00A45012">
            <w:pPr>
              <w:pStyle w:val="Tabletext0"/>
            </w:pPr>
            <w:r>
              <w:t>700</w:t>
            </w:r>
          </w:p>
        </w:tc>
        <w:tc>
          <w:tcPr>
            <w:tcW w:w="1275" w:type="dxa"/>
            <w:tcBorders>
              <w:top w:val="single" w:sz="2" w:space="0" w:color="A7A9AB"/>
              <w:left w:val="nil"/>
              <w:bottom w:val="single" w:sz="2" w:space="0" w:color="A7A9AB"/>
              <w:right w:val="nil"/>
            </w:tcBorders>
            <w:vAlign w:val="center"/>
          </w:tcPr>
          <w:p w14:paraId="0C313850" w14:textId="77777777" w:rsidR="004B3074" w:rsidRPr="007951C1" w:rsidRDefault="004B3074" w:rsidP="00A45012">
            <w:pPr>
              <w:pStyle w:val="Tabletext0"/>
            </w:pPr>
            <w:r>
              <w:t>636</w:t>
            </w:r>
          </w:p>
        </w:tc>
        <w:tc>
          <w:tcPr>
            <w:tcW w:w="1418" w:type="dxa"/>
            <w:tcBorders>
              <w:top w:val="single" w:sz="2" w:space="0" w:color="A7A9AB"/>
              <w:left w:val="nil"/>
              <w:bottom w:val="single" w:sz="2" w:space="0" w:color="A7A9AB"/>
              <w:right w:val="nil"/>
            </w:tcBorders>
            <w:vAlign w:val="center"/>
          </w:tcPr>
          <w:p w14:paraId="574A0C6F" w14:textId="71343AA2" w:rsidR="004B3074" w:rsidRPr="007951C1" w:rsidRDefault="009C0026" w:rsidP="00A45012">
            <w:pPr>
              <w:pStyle w:val="tableright"/>
            </w:pPr>
            <w:r>
              <w:rPr>
                <w:rStyle w:val="normaltextrun"/>
                <w:rFonts w:ascii="Segoe UI Symbol" w:hAnsi="Segoe UI Symbol" w:cs="Segoe UI Symbol"/>
              </w:rPr>
              <w:t>✘</w:t>
            </w:r>
          </w:p>
        </w:tc>
      </w:tr>
    </w:tbl>
    <w:p w14:paraId="433D940B" w14:textId="77777777" w:rsidR="00DF0284" w:rsidRDefault="00DF0284" w:rsidP="00F51716">
      <w:r>
        <w:t>Recruitment targets were not met for several reason:</w:t>
      </w:r>
    </w:p>
    <w:p w14:paraId="53DC9CBE" w14:textId="77777777" w:rsidR="00DF0284" w:rsidRDefault="00DF0284" w:rsidP="00F51716">
      <w:pPr>
        <w:pStyle w:val="ListBullet"/>
      </w:pPr>
      <w:r>
        <w:t xml:space="preserve">Funding uncertainty also created doubt in the continued services of delivery partners. </w:t>
      </w:r>
    </w:p>
    <w:p w14:paraId="7D558C79" w14:textId="678ABCC0" w:rsidR="00DF0284" w:rsidRDefault="00DF0284" w:rsidP="00F51716">
      <w:pPr>
        <w:pStyle w:val="ListBullet"/>
      </w:pPr>
      <w:r>
        <w:t>Physical distancing and remote learning requirements for schools in Term 2.</w:t>
      </w:r>
    </w:p>
    <w:p w14:paraId="227D8F5E" w14:textId="25ADA6B3" w:rsidR="00DF0284" w:rsidRDefault="00DF0284" w:rsidP="00F51716">
      <w:pPr>
        <w:pStyle w:val="ListBullet"/>
      </w:pPr>
      <w:r>
        <w:t xml:space="preserve">Restrictions on government promotion during the COVID-19 response. </w:t>
      </w:r>
    </w:p>
    <w:p w14:paraId="188B3863" w14:textId="77777777" w:rsidR="00DF0284" w:rsidRDefault="00DF0284" w:rsidP="00F51716">
      <w:pPr>
        <w:pStyle w:val="ListBullet"/>
      </w:pPr>
      <w:r>
        <w:t>Schools stopping most of their sustainability activities at schools.</w:t>
      </w:r>
    </w:p>
    <w:p w14:paraId="2ABA5CFA" w14:textId="69372397" w:rsidR="004B3074" w:rsidRDefault="004B3074" w:rsidP="009C0026">
      <w:pPr>
        <w:pStyle w:val="Heading3"/>
      </w:pPr>
      <w:r>
        <w:t>Reduce energy use by Victorian schools, businesses, local governments and communities participating in SV programs</w:t>
      </w:r>
    </w:p>
    <w:p w14:paraId="60E58A51" w14:textId="6266883B" w:rsidR="003F1670" w:rsidRDefault="004B3074" w:rsidP="00B30771">
      <w:r w:rsidRPr="007A0720">
        <w:t xml:space="preserve">SV programs saved more than 51 million kWh </w:t>
      </w:r>
      <w:r w:rsidRPr="003F1670">
        <w:t>in 2019–20</w:t>
      </w:r>
      <w:r w:rsidR="003F1670">
        <w:t xml:space="preserve">, including 10.4 million kWh saved by </w:t>
      </w:r>
      <w:r w:rsidRPr="003F1670">
        <w:t>RSS schools</w:t>
      </w:r>
      <w:r w:rsidR="00723892">
        <w:t xml:space="preserve"> </w:t>
      </w:r>
      <w:r>
        <w:t>(</w:t>
      </w:r>
      <w:r>
        <w:fldChar w:fldCharType="begin"/>
      </w:r>
      <w:r>
        <w:instrText xml:space="preserve"> REF _Ref57461074 \h </w:instrText>
      </w:r>
      <w:r w:rsidR="003F1670">
        <w:instrText xml:space="preserve"> \* MERGEFORMAT </w:instrText>
      </w:r>
      <w:r>
        <w:fldChar w:fldCharType="separate"/>
      </w:r>
      <w:r w:rsidR="00205952">
        <w:t xml:space="preserve">Table </w:t>
      </w:r>
      <w:r w:rsidR="00205952">
        <w:rPr>
          <w:noProof/>
        </w:rPr>
        <w:t>4</w:t>
      </w:r>
      <w:r>
        <w:fldChar w:fldCharType="end"/>
      </w:r>
      <w:r w:rsidR="008A7E11">
        <w:t>)</w:t>
      </w:r>
      <w:r w:rsidR="00723892">
        <w:t xml:space="preserve">. </w:t>
      </w:r>
    </w:p>
    <w:p w14:paraId="25493C60" w14:textId="50BE434A" w:rsidR="00294DE7" w:rsidRPr="00294DE7" w:rsidRDefault="003F1670" w:rsidP="00B30771">
      <w:pPr>
        <w:rPr>
          <w:rFonts w:ascii="DIN Next LT Pro Light" w:hAnsi="DIN Next LT Pro Light" w:cs="DIN Next LT Pro Light"/>
          <w:color w:val="000000"/>
          <w:sz w:val="24"/>
          <w:szCs w:val="24"/>
        </w:rPr>
      </w:pPr>
      <w:r>
        <w:t xml:space="preserve">School savings result from both infrastructure improvements and behaviour change activities in schools. So far these savings have contributed to Victorian </w:t>
      </w:r>
      <w:r w:rsidR="00791C84">
        <w:t>s</w:t>
      </w:r>
      <w:r>
        <w:t xml:space="preserve">chools saving $2.8 million off their electricity bills and avoiding over 12,000 tonnes of GHG for the 2019 calendar year. </w:t>
      </w:r>
    </w:p>
    <w:p w14:paraId="742B508E" w14:textId="36351650" w:rsidR="004B3074" w:rsidRDefault="004B3074" w:rsidP="00B30771">
      <w:pPr>
        <w:pStyle w:val="Caption"/>
      </w:pPr>
      <w:bookmarkStart w:id="29" w:name="_Ref57461074"/>
      <w:r>
        <w:t xml:space="preserve">Table </w:t>
      </w:r>
      <w:fldSimple w:instr=" SEQ Table \* ARABIC ">
        <w:r w:rsidR="003F15CC">
          <w:rPr>
            <w:noProof/>
          </w:rPr>
          <w:t>4</w:t>
        </w:r>
      </w:fldSimple>
      <w:bookmarkEnd w:id="29"/>
      <w:r>
        <w:t xml:space="preserve">: </w:t>
      </w:r>
      <w:r w:rsidR="00225FF8">
        <w:t>R</w:t>
      </w:r>
      <w:r w:rsidR="008A7E11">
        <w:t>educing energy use through SV’s programs</w:t>
      </w:r>
      <w:r w:rsidR="009243B4">
        <w:t xml:space="preserve"> in 2019–20</w:t>
      </w:r>
    </w:p>
    <w:tbl>
      <w:tblPr>
        <w:tblStyle w:val="TableGrid0"/>
        <w:tblW w:w="9072" w:type="dxa"/>
        <w:tblInd w:w="0" w:type="dxa"/>
        <w:tblLayout w:type="fixed"/>
        <w:tblCellMar>
          <w:top w:w="109" w:type="dxa"/>
          <w:right w:w="125" w:type="dxa"/>
        </w:tblCellMar>
        <w:tblLook w:val="04A0" w:firstRow="1" w:lastRow="0" w:firstColumn="1" w:lastColumn="0" w:noHBand="0" w:noVBand="1"/>
      </w:tblPr>
      <w:tblGrid>
        <w:gridCol w:w="5245"/>
        <w:gridCol w:w="1134"/>
        <w:gridCol w:w="1275"/>
        <w:gridCol w:w="1418"/>
      </w:tblGrid>
      <w:tr w:rsidR="004B3074" w:rsidRPr="007D4704" w14:paraId="75A3EA57" w14:textId="77777777" w:rsidTr="009C0026">
        <w:trPr>
          <w:trHeight w:val="373"/>
        </w:trPr>
        <w:tc>
          <w:tcPr>
            <w:tcW w:w="5245" w:type="dxa"/>
            <w:tcBorders>
              <w:top w:val="nil"/>
              <w:left w:val="nil"/>
              <w:bottom w:val="nil"/>
              <w:right w:val="nil"/>
            </w:tcBorders>
            <w:shd w:val="clear" w:color="auto" w:fill="82C341"/>
            <w:vAlign w:val="center"/>
          </w:tcPr>
          <w:p w14:paraId="6B54E80F" w14:textId="02952213" w:rsidR="004B3074" w:rsidRPr="007D4704" w:rsidRDefault="00FE1ED7" w:rsidP="00B30771">
            <w:pPr>
              <w:pStyle w:val="TableHeading"/>
            </w:pPr>
            <w:r w:rsidRPr="00FE1ED7">
              <w:t>Outcome measure</w:t>
            </w:r>
          </w:p>
        </w:tc>
        <w:tc>
          <w:tcPr>
            <w:tcW w:w="1134" w:type="dxa"/>
            <w:tcBorders>
              <w:top w:val="nil"/>
              <w:left w:val="nil"/>
              <w:bottom w:val="nil"/>
              <w:right w:val="nil"/>
            </w:tcBorders>
            <w:shd w:val="clear" w:color="auto" w:fill="82C341"/>
            <w:vAlign w:val="center"/>
          </w:tcPr>
          <w:p w14:paraId="335774B2" w14:textId="77777777" w:rsidR="004B3074" w:rsidRPr="007D4704" w:rsidRDefault="004B3074" w:rsidP="00B30771">
            <w:pPr>
              <w:pStyle w:val="TableHeading"/>
            </w:pPr>
            <w:r w:rsidRPr="007D4704">
              <w:t>2019–20 target</w:t>
            </w:r>
          </w:p>
        </w:tc>
        <w:tc>
          <w:tcPr>
            <w:tcW w:w="1275" w:type="dxa"/>
            <w:tcBorders>
              <w:top w:val="nil"/>
              <w:left w:val="nil"/>
              <w:bottom w:val="nil"/>
              <w:right w:val="nil"/>
            </w:tcBorders>
            <w:shd w:val="clear" w:color="auto" w:fill="82C341"/>
            <w:vAlign w:val="center"/>
          </w:tcPr>
          <w:p w14:paraId="3D24A436" w14:textId="77777777" w:rsidR="004B3074" w:rsidRPr="007D4704" w:rsidRDefault="004B3074" w:rsidP="00B30771">
            <w:pPr>
              <w:pStyle w:val="TableHeading"/>
            </w:pPr>
            <w:r w:rsidRPr="007D4704">
              <w:t>2019–20 actual</w:t>
            </w:r>
          </w:p>
        </w:tc>
        <w:tc>
          <w:tcPr>
            <w:tcW w:w="1418" w:type="dxa"/>
            <w:tcBorders>
              <w:top w:val="nil"/>
              <w:left w:val="nil"/>
              <w:bottom w:val="nil"/>
              <w:right w:val="nil"/>
            </w:tcBorders>
            <w:shd w:val="clear" w:color="auto" w:fill="82C341"/>
            <w:vAlign w:val="center"/>
          </w:tcPr>
          <w:p w14:paraId="41BC7366" w14:textId="77777777" w:rsidR="004B3074" w:rsidRPr="007D4704" w:rsidRDefault="004B3074" w:rsidP="00B30771">
            <w:pPr>
              <w:pStyle w:val="TableHeading"/>
            </w:pPr>
            <w:r w:rsidRPr="007D4704">
              <w:t xml:space="preserve">Target </w:t>
            </w:r>
            <w:r>
              <w:t>met</w:t>
            </w:r>
          </w:p>
        </w:tc>
      </w:tr>
      <w:tr w:rsidR="004B3074" w:rsidRPr="007951C1" w14:paraId="76EB3B72" w14:textId="77777777" w:rsidTr="009C0026">
        <w:trPr>
          <w:trHeight w:val="411"/>
        </w:trPr>
        <w:tc>
          <w:tcPr>
            <w:tcW w:w="5245" w:type="dxa"/>
            <w:tcBorders>
              <w:top w:val="single" w:sz="2" w:space="0" w:color="A7A9AB"/>
              <w:left w:val="nil"/>
              <w:bottom w:val="single" w:sz="2" w:space="0" w:color="A7A9AB"/>
              <w:right w:val="nil"/>
            </w:tcBorders>
            <w:vAlign w:val="center"/>
          </w:tcPr>
          <w:p w14:paraId="2C620717" w14:textId="5F2E7398" w:rsidR="004B3074" w:rsidRPr="00F47EA8" w:rsidRDefault="004B3074" w:rsidP="00B30771">
            <w:pPr>
              <w:pStyle w:val="Tabletext0"/>
            </w:pPr>
            <w:r w:rsidRPr="004B3074">
              <w:t>ResourceSmart Schools save 6 million kWh annually</w:t>
            </w:r>
          </w:p>
        </w:tc>
        <w:tc>
          <w:tcPr>
            <w:tcW w:w="1134" w:type="dxa"/>
            <w:tcBorders>
              <w:top w:val="single" w:sz="2" w:space="0" w:color="A7A9AB"/>
              <w:left w:val="nil"/>
              <w:bottom w:val="single" w:sz="2" w:space="0" w:color="A7A9AB"/>
              <w:right w:val="nil"/>
            </w:tcBorders>
            <w:vAlign w:val="center"/>
          </w:tcPr>
          <w:p w14:paraId="47B6BE05" w14:textId="53F866B4" w:rsidR="004B3074" w:rsidRPr="007951C1" w:rsidRDefault="004B3074" w:rsidP="00B30771">
            <w:pPr>
              <w:pStyle w:val="Tabletext0"/>
            </w:pPr>
            <w:r>
              <w:t>6</w:t>
            </w:r>
            <w:r w:rsidR="007536F1">
              <w:t> </w:t>
            </w:r>
            <w:r>
              <w:t>M kWh</w:t>
            </w:r>
          </w:p>
        </w:tc>
        <w:tc>
          <w:tcPr>
            <w:tcW w:w="1275" w:type="dxa"/>
            <w:tcBorders>
              <w:top w:val="single" w:sz="2" w:space="0" w:color="A7A9AB"/>
              <w:left w:val="nil"/>
              <w:bottom w:val="single" w:sz="2" w:space="0" w:color="A7A9AB"/>
              <w:right w:val="nil"/>
            </w:tcBorders>
            <w:vAlign w:val="center"/>
          </w:tcPr>
          <w:p w14:paraId="48A4964A" w14:textId="767597B9" w:rsidR="004B3074" w:rsidRPr="007951C1" w:rsidRDefault="00723892" w:rsidP="00B30771">
            <w:pPr>
              <w:pStyle w:val="tableright"/>
            </w:pPr>
            <w:r>
              <w:t>10.4</w:t>
            </w:r>
            <w:r w:rsidR="007536F1">
              <w:t> </w:t>
            </w:r>
            <w:r>
              <w:t>M kWh</w:t>
            </w:r>
          </w:p>
        </w:tc>
        <w:tc>
          <w:tcPr>
            <w:tcW w:w="1418" w:type="dxa"/>
            <w:tcBorders>
              <w:top w:val="single" w:sz="2" w:space="0" w:color="A7A9AB"/>
              <w:left w:val="nil"/>
              <w:bottom w:val="single" w:sz="2" w:space="0" w:color="A7A9AB"/>
              <w:right w:val="nil"/>
            </w:tcBorders>
            <w:vAlign w:val="center"/>
          </w:tcPr>
          <w:p w14:paraId="6D2671DE" w14:textId="7AF58D9A" w:rsidR="004B3074" w:rsidRPr="007951C1" w:rsidRDefault="00A45012" w:rsidP="00B30771">
            <w:pPr>
              <w:pStyle w:val="tableright"/>
            </w:pPr>
            <w:r>
              <w:rPr>
                <w:rStyle w:val="normaltextrun"/>
                <w:rFonts w:ascii="Segoe UI Emoji" w:hAnsi="Segoe UI Emoji" w:cs="Segoe UI Emoji"/>
              </w:rPr>
              <w:t>✔</w:t>
            </w:r>
          </w:p>
        </w:tc>
      </w:tr>
      <w:tr w:rsidR="004B3074" w:rsidRPr="007951C1" w14:paraId="686067B6" w14:textId="77777777" w:rsidTr="009C0026">
        <w:trPr>
          <w:trHeight w:val="411"/>
        </w:trPr>
        <w:tc>
          <w:tcPr>
            <w:tcW w:w="5245" w:type="dxa"/>
            <w:tcBorders>
              <w:top w:val="single" w:sz="2" w:space="0" w:color="A7A9AB"/>
              <w:left w:val="nil"/>
              <w:bottom w:val="single" w:sz="2" w:space="0" w:color="A7A9AB"/>
              <w:right w:val="nil"/>
            </w:tcBorders>
            <w:vAlign w:val="center"/>
          </w:tcPr>
          <w:p w14:paraId="5CB53018" w14:textId="68A13722" w:rsidR="004B3074" w:rsidRPr="004B3074" w:rsidRDefault="004B3074" w:rsidP="00B30771">
            <w:pPr>
              <w:pStyle w:val="Tabletext0"/>
            </w:pPr>
            <w:r w:rsidRPr="004B3074">
              <w:t>44 million kWh saved annually by businesses, local governments and communities</w:t>
            </w:r>
            <w:r>
              <w:t xml:space="preserve"> </w:t>
            </w:r>
            <w:r w:rsidRPr="004B3074">
              <w:t>participating in SV programs</w:t>
            </w:r>
          </w:p>
        </w:tc>
        <w:tc>
          <w:tcPr>
            <w:tcW w:w="1134" w:type="dxa"/>
            <w:tcBorders>
              <w:top w:val="single" w:sz="2" w:space="0" w:color="A7A9AB"/>
              <w:left w:val="nil"/>
              <w:bottom w:val="single" w:sz="2" w:space="0" w:color="A7A9AB"/>
              <w:right w:val="nil"/>
            </w:tcBorders>
            <w:vAlign w:val="center"/>
          </w:tcPr>
          <w:p w14:paraId="2E02EB2D" w14:textId="49D584E8" w:rsidR="004B3074" w:rsidRDefault="004B3074" w:rsidP="00B30771">
            <w:pPr>
              <w:pStyle w:val="Tabletext0"/>
            </w:pPr>
            <w:r>
              <w:t>44</w:t>
            </w:r>
            <w:r w:rsidR="007536F1">
              <w:t> </w:t>
            </w:r>
            <w:r>
              <w:t>M kWh</w:t>
            </w:r>
          </w:p>
        </w:tc>
        <w:tc>
          <w:tcPr>
            <w:tcW w:w="1275" w:type="dxa"/>
            <w:tcBorders>
              <w:top w:val="single" w:sz="2" w:space="0" w:color="A7A9AB"/>
              <w:left w:val="nil"/>
              <w:bottom w:val="single" w:sz="2" w:space="0" w:color="A7A9AB"/>
              <w:right w:val="nil"/>
            </w:tcBorders>
            <w:vAlign w:val="center"/>
          </w:tcPr>
          <w:p w14:paraId="4104EAC0" w14:textId="6C5A24DC" w:rsidR="004B3074" w:rsidRDefault="004B3074" w:rsidP="00B30771">
            <w:pPr>
              <w:pStyle w:val="tableright"/>
            </w:pPr>
            <w:r>
              <w:t>51</w:t>
            </w:r>
            <w:r w:rsidR="007536F1">
              <w:t> </w:t>
            </w:r>
            <w:r>
              <w:t>M kWh</w:t>
            </w:r>
          </w:p>
        </w:tc>
        <w:tc>
          <w:tcPr>
            <w:tcW w:w="1418" w:type="dxa"/>
            <w:tcBorders>
              <w:top w:val="single" w:sz="2" w:space="0" w:color="A7A9AB"/>
              <w:left w:val="nil"/>
              <w:bottom w:val="single" w:sz="2" w:space="0" w:color="A7A9AB"/>
              <w:right w:val="nil"/>
            </w:tcBorders>
            <w:vAlign w:val="center"/>
          </w:tcPr>
          <w:p w14:paraId="74AE9393" w14:textId="5D16D99C" w:rsidR="004B3074" w:rsidRPr="007951C1" w:rsidRDefault="009C0026" w:rsidP="00B30771">
            <w:pPr>
              <w:pStyle w:val="tableright"/>
            </w:pPr>
            <w:r>
              <w:rPr>
                <w:rStyle w:val="normaltextrun"/>
                <w:rFonts w:ascii="Segoe UI Emoji" w:hAnsi="Segoe UI Emoji" w:cs="Segoe UI Emoji"/>
              </w:rPr>
              <w:t>✔</w:t>
            </w:r>
          </w:p>
        </w:tc>
      </w:tr>
    </w:tbl>
    <w:p w14:paraId="2650AB63" w14:textId="77777777" w:rsidR="00080513" w:rsidRPr="004A2F9F" w:rsidRDefault="00080513" w:rsidP="009C0026">
      <w:pPr>
        <w:pStyle w:val="Heading4"/>
      </w:pPr>
      <w:r>
        <w:t>T</w:t>
      </w:r>
      <w:r w:rsidRPr="004A2F9F">
        <w:t>est barriers to sustainable finance uptake by businesses</w:t>
      </w:r>
    </w:p>
    <w:p w14:paraId="7FCBBD0B" w14:textId="77777777" w:rsidR="00080513" w:rsidRDefault="00080513" w:rsidP="00F51716">
      <w:r>
        <w:t>In early March 2020, we launched a</w:t>
      </w:r>
      <w:r w:rsidRPr="004A2F9F">
        <w:t>n energy upgrade tool to gather information and test barriers to accessing finance for energy efficiency and renewable energy investment</w:t>
      </w:r>
      <w:r>
        <w:t xml:space="preserve">. The tool is </w:t>
      </w:r>
      <w:r w:rsidRPr="004A2F9F">
        <w:t xml:space="preserve">particularly </w:t>
      </w:r>
      <w:r>
        <w:t xml:space="preserve">targeted to </w:t>
      </w:r>
      <w:r w:rsidRPr="004A2F9F">
        <w:t>small-scale organisations, including small and medium enterprises (SMEs) and not-for-profit organisations (NFPs).</w:t>
      </w:r>
    </w:p>
    <w:p w14:paraId="46204528" w14:textId="77777777" w:rsidR="00080513" w:rsidRDefault="00080513" w:rsidP="00F51716">
      <w:r w:rsidRPr="004A2F9F">
        <w:t>NorthLink, Commerce Ballarat,</w:t>
      </w:r>
      <w:r>
        <w:t xml:space="preserve"> the</w:t>
      </w:r>
      <w:r w:rsidRPr="004A2F9F">
        <w:t xml:space="preserve"> Industry Capability Network Victoria, AusVeg, </w:t>
      </w:r>
      <w:r>
        <w:t xml:space="preserve">the </w:t>
      </w:r>
      <w:r w:rsidRPr="004A2F9F">
        <w:t xml:space="preserve">Energy Efficiency Council and the Energy Savings Industry Association all promoted the tool. </w:t>
      </w:r>
      <w:r>
        <w:t xml:space="preserve">One hundred </w:t>
      </w:r>
      <w:r w:rsidRPr="007A0720">
        <w:t>SMEs have since been engaged through a number of networking activities. Thirty-seven business stakeholders who have not previously worked with us took up the offer for support and advice on energy efficiency funding. Seventeen SMEs followed up on initial discussions, collectively leading to $1 million in new projects, $200,000 in energy savings and $220,000 in incentives (mostly Victorian energy efficiency certificates).</w:t>
      </w:r>
    </w:p>
    <w:p w14:paraId="530CD096" w14:textId="77777777" w:rsidR="008C258D" w:rsidRDefault="008C258D">
      <w:pPr>
        <w:spacing w:line="264" w:lineRule="auto"/>
        <w:rPr>
          <w:rFonts w:asciiTheme="majorHAnsi" w:eastAsiaTheme="majorEastAsia" w:hAnsiTheme="majorHAnsi" w:cstheme="majorBidi"/>
          <w:color w:val="595959" w:themeColor="accent2" w:themeTint="A6"/>
          <w:sz w:val="28"/>
          <w:szCs w:val="28"/>
        </w:rPr>
      </w:pPr>
      <w:r>
        <w:br w:type="page"/>
      </w:r>
    </w:p>
    <w:p w14:paraId="605E835A" w14:textId="5270F8FD" w:rsidR="00294DE7" w:rsidRDefault="008A7E11" w:rsidP="009C0026">
      <w:pPr>
        <w:pStyle w:val="Heading3"/>
      </w:pPr>
      <w:r>
        <w:t>Increase renewable energy capacity in Victoria</w:t>
      </w:r>
    </w:p>
    <w:p w14:paraId="0FA04012" w14:textId="20242C67" w:rsidR="003F1670" w:rsidRDefault="003F1670" w:rsidP="00B30771">
      <w:r>
        <w:t xml:space="preserve">In 2019–20, we met both of our targets to increase renewable energy capacity in Victoria through the two programs listed below (see </w:t>
      </w:r>
      <w:r>
        <w:fldChar w:fldCharType="begin"/>
      </w:r>
      <w:r>
        <w:instrText xml:space="preserve"> REF _Ref57465337 \h </w:instrText>
      </w:r>
      <w:r>
        <w:fldChar w:fldCharType="separate"/>
      </w:r>
      <w:r w:rsidR="00205952">
        <w:t xml:space="preserve">Table </w:t>
      </w:r>
      <w:r w:rsidR="00205952">
        <w:rPr>
          <w:noProof/>
        </w:rPr>
        <w:t>5</w:t>
      </w:r>
      <w:r>
        <w:fldChar w:fldCharType="end"/>
      </w:r>
      <w:r>
        <w:t xml:space="preserve">). </w:t>
      </w:r>
    </w:p>
    <w:p w14:paraId="48C07844" w14:textId="7EF87389" w:rsidR="003F1670" w:rsidRDefault="003F1670" w:rsidP="00B30771">
      <w:pPr>
        <w:pStyle w:val="Caption"/>
      </w:pPr>
      <w:bookmarkStart w:id="30" w:name="_Ref57465337"/>
      <w:r>
        <w:t xml:space="preserve">Table </w:t>
      </w:r>
      <w:fldSimple w:instr=" SEQ Table \* ARABIC ">
        <w:r w:rsidR="003F15CC">
          <w:rPr>
            <w:noProof/>
          </w:rPr>
          <w:t>5</w:t>
        </w:r>
      </w:fldSimple>
      <w:bookmarkEnd w:id="30"/>
      <w:r>
        <w:t xml:space="preserve">: </w:t>
      </w:r>
      <w:r w:rsidR="00225FF8">
        <w:t>I</w:t>
      </w:r>
      <w:r>
        <w:t>ncreasing renewable energy capacity in Victoria in 2019–20</w:t>
      </w:r>
    </w:p>
    <w:tbl>
      <w:tblPr>
        <w:tblStyle w:val="TableGrid0"/>
        <w:tblW w:w="8949" w:type="dxa"/>
        <w:tblInd w:w="0" w:type="dxa"/>
        <w:tblLayout w:type="fixed"/>
        <w:tblCellMar>
          <w:top w:w="109" w:type="dxa"/>
          <w:right w:w="125" w:type="dxa"/>
        </w:tblCellMar>
        <w:tblLook w:val="04A0" w:firstRow="1" w:lastRow="0" w:firstColumn="1" w:lastColumn="0" w:noHBand="0" w:noVBand="1"/>
      </w:tblPr>
      <w:tblGrid>
        <w:gridCol w:w="5245"/>
        <w:gridCol w:w="1011"/>
        <w:gridCol w:w="1257"/>
        <w:gridCol w:w="1436"/>
      </w:tblGrid>
      <w:tr w:rsidR="003F1670" w:rsidRPr="007D4704" w14:paraId="713EE9B4" w14:textId="77777777" w:rsidTr="003F1670">
        <w:trPr>
          <w:trHeight w:val="373"/>
        </w:trPr>
        <w:tc>
          <w:tcPr>
            <w:tcW w:w="5245" w:type="dxa"/>
            <w:tcBorders>
              <w:top w:val="nil"/>
              <w:left w:val="nil"/>
              <w:bottom w:val="nil"/>
              <w:right w:val="nil"/>
            </w:tcBorders>
            <w:shd w:val="clear" w:color="auto" w:fill="82C341"/>
            <w:vAlign w:val="center"/>
          </w:tcPr>
          <w:p w14:paraId="1CDAE9DF" w14:textId="75CA4BA2" w:rsidR="003F1670" w:rsidRPr="007D4704" w:rsidRDefault="00FE1ED7" w:rsidP="00B30771">
            <w:pPr>
              <w:pStyle w:val="TableHeading"/>
            </w:pPr>
            <w:r w:rsidRPr="00FE1ED7">
              <w:t>Outcome measure</w:t>
            </w:r>
          </w:p>
        </w:tc>
        <w:tc>
          <w:tcPr>
            <w:tcW w:w="1011" w:type="dxa"/>
            <w:tcBorders>
              <w:top w:val="nil"/>
              <w:left w:val="nil"/>
              <w:bottom w:val="nil"/>
              <w:right w:val="nil"/>
            </w:tcBorders>
            <w:shd w:val="clear" w:color="auto" w:fill="82C341"/>
            <w:vAlign w:val="center"/>
          </w:tcPr>
          <w:p w14:paraId="154AC537" w14:textId="77777777" w:rsidR="003F1670" w:rsidRPr="007D4704" w:rsidRDefault="003F1670" w:rsidP="00B30771">
            <w:pPr>
              <w:pStyle w:val="TableHeading"/>
            </w:pPr>
            <w:r w:rsidRPr="007D4704">
              <w:t>2019–20 target</w:t>
            </w:r>
          </w:p>
        </w:tc>
        <w:tc>
          <w:tcPr>
            <w:tcW w:w="1257" w:type="dxa"/>
            <w:tcBorders>
              <w:top w:val="nil"/>
              <w:left w:val="nil"/>
              <w:bottom w:val="nil"/>
              <w:right w:val="nil"/>
            </w:tcBorders>
            <w:shd w:val="clear" w:color="auto" w:fill="82C341"/>
            <w:vAlign w:val="center"/>
          </w:tcPr>
          <w:p w14:paraId="707C811B" w14:textId="77777777" w:rsidR="003F1670" w:rsidRPr="007D4704" w:rsidRDefault="003F1670" w:rsidP="00B30771">
            <w:pPr>
              <w:pStyle w:val="TableHeading"/>
            </w:pPr>
            <w:r w:rsidRPr="007D4704">
              <w:t>2019–20 actual</w:t>
            </w:r>
          </w:p>
        </w:tc>
        <w:tc>
          <w:tcPr>
            <w:tcW w:w="1436" w:type="dxa"/>
            <w:tcBorders>
              <w:top w:val="nil"/>
              <w:left w:val="nil"/>
              <w:bottom w:val="nil"/>
              <w:right w:val="nil"/>
            </w:tcBorders>
            <w:shd w:val="clear" w:color="auto" w:fill="82C341"/>
            <w:vAlign w:val="center"/>
          </w:tcPr>
          <w:p w14:paraId="7371D680" w14:textId="77777777" w:rsidR="003F1670" w:rsidRPr="007D4704" w:rsidRDefault="003F1670" w:rsidP="00B30771">
            <w:pPr>
              <w:pStyle w:val="TableHeading"/>
            </w:pPr>
            <w:r w:rsidRPr="007D4704">
              <w:t xml:space="preserve">Target </w:t>
            </w:r>
            <w:r>
              <w:t>met</w:t>
            </w:r>
          </w:p>
        </w:tc>
      </w:tr>
      <w:tr w:rsidR="003F1670" w:rsidRPr="007951C1" w14:paraId="3ABBFAF6" w14:textId="77777777" w:rsidTr="003F1670">
        <w:trPr>
          <w:trHeight w:val="411"/>
        </w:trPr>
        <w:tc>
          <w:tcPr>
            <w:tcW w:w="5245" w:type="dxa"/>
            <w:tcBorders>
              <w:top w:val="single" w:sz="2" w:space="0" w:color="A7A9AB"/>
              <w:left w:val="nil"/>
              <w:bottom w:val="single" w:sz="2" w:space="0" w:color="A7A9AB"/>
              <w:right w:val="nil"/>
            </w:tcBorders>
            <w:vAlign w:val="center"/>
          </w:tcPr>
          <w:p w14:paraId="15988C50" w14:textId="7DB11F57" w:rsidR="003F1670" w:rsidRPr="00F47EA8" w:rsidRDefault="003F1670" w:rsidP="00B30771">
            <w:pPr>
              <w:pStyle w:val="Tabletext0"/>
            </w:pPr>
            <w:r w:rsidRPr="008A7E11">
              <w:t>400</w:t>
            </w:r>
            <w:r w:rsidR="007536F1">
              <w:t> </w:t>
            </w:r>
            <w:r w:rsidRPr="008A7E11">
              <w:t>kW of renewable energy capacity added by Community Power Hub projects</w:t>
            </w:r>
          </w:p>
        </w:tc>
        <w:tc>
          <w:tcPr>
            <w:tcW w:w="1011" w:type="dxa"/>
            <w:tcBorders>
              <w:top w:val="single" w:sz="2" w:space="0" w:color="A7A9AB"/>
              <w:left w:val="nil"/>
              <w:bottom w:val="single" w:sz="2" w:space="0" w:color="A7A9AB"/>
              <w:right w:val="nil"/>
            </w:tcBorders>
            <w:vAlign w:val="center"/>
          </w:tcPr>
          <w:p w14:paraId="184B9E86" w14:textId="77777777" w:rsidR="003F1670" w:rsidRPr="007951C1" w:rsidRDefault="003F1670" w:rsidP="00B30771">
            <w:pPr>
              <w:pStyle w:val="Tabletext0"/>
            </w:pPr>
            <w:r>
              <w:t>400 kWh</w:t>
            </w:r>
          </w:p>
        </w:tc>
        <w:tc>
          <w:tcPr>
            <w:tcW w:w="1257" w:type="dxa"/>
            <w:tcBorders>
              <w:top w:val="single" w:sz="2" w:space="0" w:color="A7A9AB"/>
              <w:left w:val="nil"/>
              <w:bottom w:val="single" w:sz="2" w:space="0" w:color="A7A9AB"/>
              <w:right w:val="nil"/>
            </w:tcBorders>
            <w:vAlign w:val="center"/>
          </w:tcPr>
          <w:p w14:paraId="280D3CC5" w14:textId="77777777" w:rsidR="003F1670" w:rsidRPr="007951C1" w:rsidRDefault="003F1670" w:rsidP="00B30771">
            <w:pPr>
              <w:pStyle w:val="tableright"/>
            </w:pPr>
            <w:r>
              <w:t>850 kWh</w:t>
            </w:r>
          </w:p>
        </w:tc>
        <w:tc>
          <w:tcPr>
            <w:tcW w:w="1436" w:type="dxa"/>
            <w:tcBorders>
              <w:top w:val="single" w:sz="2" w:space="0" w:color="A7A9AB"/>
              <w:left w:val="nil"/>
              <w:bottom w:val="single" w:sz="2" w:space="0" w:color="A7A9AB"/>
              <w:right w:val="nil"/>
            </w:tcBorders>
            <w:vAlign w:val="center"/>
          </w:tcPr>
          <w:p w14:paraId="1EE10CFD" w14:textId="24369D5B" w:rsidR="003F1670" w:rsidRPr="007951C1" w:rsidRDefault="009C0026" w:rsidP="00B30771">
            <w:pPr>
              <w:pStyle w:val="tableright"/>
            </w:pPr>
            <w:r>
              <w:rPr>
                <w:rStyle w:val="normaltextrun"/>
                <w:rFonts w:ascii="Segoe UI Emoji" w:hAnsi="Segoe UI Emoji" w:cs="Segoe UI Emoji"/>
              </w:rPr>
              <w:t>✔</w:t>
            </w:r>
          </w:p>
        </w:tc>
      </w:tr>
      <w:tr w:rsidR="003F1670" w:rsidRPr="007951C1" w14:paraId="5D3406B1" w14:textId="77777777" w:rsidTr="003F1670">
        <w:trPr>
          <w:trHeight w:val="411"/>
        </w:trPr>
        <w:tc>
          <w:tcPr>
            <w:tcW w:w="5245" w:type="dxa"/>
            <w:tcBorders>
              <w:top w:val="single" w:sz="2" w:space="0" w:color="A7A9AB"/>
              <w:left w:val="nil"/>
              <w:bottom w:val="single" w:sz="2" w:space="0" w:color="A7A9AB"/>
              <w:right w:val="nil"/>
            </w:tcBorders>
            <w:vAlign w:val="center"/>
          </w:tcPr>
          <w:p w14:paraId="589779EB" w14:textId="2285DA7C" w:rsidR="003F1670" w:rsidRPr="004B3074" w:rsidRDefault="003F1670" w:rsidP="00B30771">
            <w:pPr>
              <w:pStyle w:val="Tabletext0"/>
            </w:pPr>
            <w:r w:rsidRPr="008A7E11">
              <w:t>600</w:t>
            </w:r>
            <w:r w:rsidR="007536F1">
              <w:t> </w:t>
            </w:r>
            <w:r w:rsidRPr="008A7E11">
              <w:t>kW of renewable energy capacity installed for resource constrained councils</w:t>
            </w:r>
          </w:p>
        </w:tc>
        <w:tc>
          <w:tcPr>
            <w:tcW w:w="1011" w:type="dxa"/>
            <w:tcBorders>
              <w:top w:val="single" w:sz="2" w:space="0" w:color="A7A9AB"/>
              <w:left w:val="nil"/>
              <w:bottom w:val="single" w:sz="2" w:space="0" w:color="A7A9AB"/>
              <w:right w:val="nil"/>
            </w:tcBorders>
            <w:vAlign w:val="center"/>
          </w:tcPr>
          <w:p w14:paraId="462D224F" w14:textId="77777777" w:rsidR="003F1670" w:rsidRDefault="003F1670" w:rsidP="00B30771">
            <w:pPr>
              <w:pStyle w:val="Tabletext0"/>
            </w:pPr>
            <w:r>
              <w:t>600 kWh</w:t>
            </w:r>
          </w:p>
        </w:tc>
        <w:tc>
          <w:tcPr>
            <w:tcW w:w="1257" w:type="dxa"/>
            <w:tcBorders>
              <w:top w:val="single" w:sz="2" w:space="0" w:color="A7A9AB"/>
              <w:left w:val="nil"/>
              <w:bottom w:val="single" w:sz="2" w:space="0" w:color="A7A9AB"/>
              <w:right w:val="nil"/>
            </w:tcBorders>
            <w:vAlign w:val="center"/>
          </w:tcPr>
          <w:p w14:paraId="4C8A06CB" w14:textId="77777777" w:rsidR="003F1670" w:rsidRDefault="003F1670" w:rsidP="00B30771">
            <w:pPr>
              <w:pStyle w:val="tableright"/>
            </w:pPr>
            <w:r>
              <w:t>1,539 kWh</w:t>
            </w:r>
          </w:p>
        </w:tc>
        <w:tc>
          <w:tcPr>
            <w:tcW w:w="1436" w:type="dxa"/>
            <w:tcBorders>
              <w:top w:val="single" w:sz="2" w:space="0" w:color="A7A9AB"/>
              <w:left w:val="nil"/>
              <w:bottom w:val="single" w:sz="2" w:space="0" w:color="A7A9AB"/>
              <w:right w:val="nil"/>
            </w:tcBorders>
            <w:vAlign w:val="center"/>
          </w:tcPr>
          <w:p w14:paraId="66336845" w14:textId="14F6B32A" w:rsidR="003F1670" w:rsidRPr="007951C1" w:rsidRDefault="009C0026" w:rsidP="00B30771">
            <w:pPr>
              <w:pStyle w:val="tableright"/>
            </w:pPr>
            <w:r>
              <w:rPr>
                <w:rStyle w:val="normaltextrun"/>
                <w:rFonts w:ascii="Segoe UI Emoji" w:hAnsi="Segoe UI Emoji" w:cs="Segoe UI Emoji"/>
              </w:rPr>
              <w:t>✔</w:t>
            </w:r>
          </w:p>
        </w:tc>
      </w:tr>
    </w:tbl>
    <w:p w14:paraId="0D09B70F" w14:textId="26058CF2" w:rsidR="003F1670" w:rsidRPr="003F1670" w:rsidRDefault="003F1670" w:rsidP="009C0026">
      <w:pPr>
        <w:pStyle w:val="Heading3"/>
      </w:pPr>
      <w:r>
        <w:t>Community Power Hubs</w:t>
      </w:r>
    </w:p>
    <w:p w14:paraId="67ED785F" w14:textId="264A707E" w:rsidR="008A7E11" w:rsidRDefault="008A7E11" w:rsidP="00B30771">
      <w:pPr>
        <w:rPr>
          <w:lang w:eastAsia="en-AU"/>
        </w:rPr>
      </w:pPr>
      <w:r>
        <w:t xml:space="preserve">In 2019–20, we continued to give </w:t>
      </w:r>
      <w:r w:rsidRPr="00ED0FC0">
        <w:t xml:space="preserve">funding and expertise </w:t>
      </w:r>
      <w:r>
        <w:t xml:space="preserve">to </w:t>
      </w:r>
      <w:r w:rsidRPr="00ED0FC0">
        <w:t>local communities to realise their renewable energy projects</w:t>
      </w:r>
      <w:r>
        <w:t xml:space="preserve"> through our </w:t>
      </w:r>
      <w:hyperlink r:id="rId22" w:history="1">
        <w:r w:rsidRPr="008A7E11">
          <w:rPr>
            <w:rStyle w:val="Hyperlink"/>
            <w:rFonts w:cstheme="minorBidi"/>
            <w:lang w:eastAsia="en-AU"/>
          </w:rPr>
          <w:t>Community Power Hubs program</w:t>
        </w:r>
      </w:hyperlink>
      <w:r>
        <w:rPr>
          <w:lang w:eastAsia="en-AU"/>
        </w:rPr>
        <w:t xml:space="preserve">. </w:t>
      </w:r>
    </w:p>
    <w:p w14:paraId="1C2FB6BF" w14:textId="13053005" w:rsidR="008A7E11" w:rsidRDefault="008A7E11" w:rsidP="00B30771">
      <w:r>
        <w:rPr>
          <w:lang w:eastAsia="en-AU"/>
        </w:rPr>
        <w:t xml:space="preserve">In 2017, we set up </w:t>
      </w:r>
      <w:r w:rsidRPr="008E0D68">
        <w:rPr>
          <w:lang w:eastAsia="en-AU"/>
        </w:rPr>
        <w:t xml:space="preserve">three </w:t>
      </w:r>
      <w:r>
        <w:t>Community Power Hubs</w:t>
      </w:r>
      <w:r w:rsidRPr="008874AE">
        <w:rPr>
          <w:lang w:eastAsia="en-AU"/>
        </w:rPr>
        <w:t xml:space="preserve"> </w:t>
      </w:r>
      <w:r w:rsidRPr="008E0D68">
        <w:rPr>
          <w:lang w:eastAsia="en-AU"/>
        </w:rPr>
        <w:t>in the major regional centres o</w:t>
      </w:r>
      <w:r>
        <w:rPr>
          <w:lang w:eastAsia="en-AU"/>
        </w:rPr>
        <w:t xml:space="preserve">f </w:t>
      </w:r>
      <w:r w:rsidRPr="008E0D68">
        <w:rPr>
          <w:lang w:eastAsia="en-AU"/>
        </w:rPr>
        <w:t>Ballarat</w:t>
      </w:r>
      <w:r>
        <w:rPr>
          <w:lang w:eastAsia="en-AU"/>
        </w:rPr>
        <w:t xml:space="preserve">, </w:t>
      </w:r>
      <w:r w:rsidRPr="008E0D68">
        <w:rPr>
          <w:lang w:eastAsia="en-AU"/>
        </w:rPr>
        <w:t>Bendigo</w:t>
      </w:r>
      <w:r>
        <w:rPr>
          <w:lang w:eastAsia="en-AU"/>
        </w:rPr>
        <w:t xml:space="preserve"> and the </w:t>
      </w:r>
      <w:r w:rsidRPr="008E0D68">
        <w:rPr>
          <w:lang w:eastAsia="en-AU"/>
        </w:rPr>
        <w:t>Latrobe Valley</w:t>
      </w:r>
      <w:r>
        <w:rPr>
          <w:lang w:eastAsia="en-AU"/>
        </w:rPr>
        <w:t xml:space="preserve"> under a two-year p</w:t>
      </w:r>
      <w:r w:rsidR="008C258D">
        <w:rPr>
          <w:lang w:eastAsia="en-AU"/>
        </w:rPr>
        <w:t>ilot</w:t>
      </w:r>
      <w:r>
        <w:rPr>
          <w:lang w:eastAsia="en-AU"/>
        </w:rPr>
        <w:t xml:space="preserve"> program to </w:t>
      </w:r>
      <w:r w:rsidRPr="008E0D68">
        <w:rPr>
          <w:lang w:eastAsia="en-AU"/>
        </w:rPr>
        <w:t>bring communities together to develop locally</w:t>
      </w:r>
      <w:r>
        <w:rPr>
          <w:lang w:eastAsia="en-AU"/>
        </w:rPr>
        <w:t xml:space="preserve"> </w:t>
      </w:r>
      <w:r w:rsidRPr="008E0D68">
        <w:rPr>
          <w:lang w:eastAsia="en-AU"/>
        </w:rPr>
        <w:t>owned and cost-effective renewable energy projects.</w:t>
      </w:r>
      <w:r>
        <w:rPr>
          <w:lang w:eastAsia="en-AU"/>
        </w:rPr>
        <w:t xml:space="preserve"> Fifteen </w:t>
      </w:r>
      <w:r w:rsidRPr="008E0D68">
        <w:rPr>
          <w:lang w:eastAsia="en-AU"/>
        </w:rPr>
        <w:t>community energy projects were completed across the three hubs.</w:t>
      </w:r>
      <w:r>
        <w:rPr>
          <w:lang w:eastAsia="en-AU"/>
        </w:rPr>
        <w:t xml:space="preserve"> The pilot was </w:t>
      </w:r>
      <w:r>
        <w:t xml:space="preserve">formally evaluated in 2019. </w:t>
      </w:r>
    </w:p>
    <w:p w14:paraId="56DCFBBB" w14:textId="638CEEDC" w:rsidR="008A7E11" w:rsidRPr="008E0D68" w:rsidRDefault="008A7E11" w:rsidP="00B30771">
      <w:pPr>
        <w:rPr>
          <w:lang w:eastAsia="en-AU"/>
        </w:rPr>
      </w:pPr>
      <w:r>
        <w:t xml:space="preserve">The evaluation found that </w:t>
      </w:r>
      <w:r w:rsidRPr="00CA78D1">
        <w:t xml:space="preserve">all objectives and outcomes </w:t>
      </w:r>
      <w:r>
        <w:t>were</w:t>
      </w:r>
      <w:r w:rsidRPr="00CA78D1">
        <w:t xml:space="preserve"> achieved with significant economic, environment and social value delivered</w:t>
      </w:r>
      <w:r>
        <w:t xml:space="preserve">. </w:t>
      </w:r>
      <w:r w:rsidRPr="008E0D68">
        <w:rPr>
          <w:lang w:eastAsia="en-AU"/>
        </w:rPr>
        <w:t xml:space="preserve">In total, the program generated more than $14.5 million </w:t>
      </w:r>
      <w:r>
        <w:rPr>
          <w:lang w:eastAsia="en-AU"/>
        </w:rPr>
        <w:t xml:space="preserve">in </w:t>
      </w:r>
      <w:r w:rsidRPr="008E0D68">
        <w:rPr>
          <w:lang w:eastAsia="en-AU"/>
        </w:rPr>
        <w:t>value in the two-year pilot period. This is the equivalent to generating $13 in value for every dollar of government investment.</w:t>
      </w:r>
    </w:p>
    <w:p w14:paraId="76B21570" w14:textId="25217183" w:rsidR="008A7E11" w:rsidRDefault="008A7E11" w:rsidP="00B30771">
      <w:r>
        <w:rPr>
          <w:lang w:eastAsia="en-AU"/>
        </w:rPr>
        <w:t xml:space="preserve">In 2019–20, another 15 projects were completed, </w:t>
      </w:r>
      <w:r>
        <w:t xml:space="preserve">adding 850 kW of renewable energy capacity across the three hubs and leveraging additional funding of $1.15 million. </w:t>
      </w:r>
    </w:p>
    <w:p w14:paraId="0F0C7D6B" w14:textId="603824B4" w:rsidR="003F1670" w:rsidRDefault="003F1670" w:rsidP="009C0026">
      <w:pPr>
        <w:pStyle w:val="Heading3"/>
      </w:pPr>
      <w:r>
        <w:t>Local Government Energy Saver Program</w:t>
      </w:r>
    </w:p>
    <w:p w14:paraId="2962A8E4" w14:textId="1A5DCAE3" w:rsidR="008A7E11" w:rsidRDefault="008A7E11" w:rsidP="00F51716">
      <w:r>
        <w:t xml:space="preserve">We continued to </w:t>
      </w:r>
      <w:r w:rsidRPr="00ED0FC0">
        <w:t xml:space="preserve">provide funding and expertise to resource constrained local governments </w:t>
      </w:r>
      <w:r w:rsidRPr="00BC4502">
        <w:t xml:space="preserve">across regional Victoria </w:t>
      </w:r>
      <w:r w:rsidRPr="00ED0FC0">
        <w:t>to reduce their energy use, operational costs and GHG emissions</w:t>
      </w:r>
      <w:r>
        <w:t xml:space="preserve"> through our</w:t>
      </w:r>
      <w:hyperlink r:id="rId23" w:history="1">
        <w:r w:rsidRPr="008A7E11">
          <w:rPr>
            <w:rStyle w:val="Hyperlink"/>
            <w:rFonts w:cstheme="minorBidi"/>
          </w:rPr>
          <w:t xml:space="preserve"> Local Government Energy Saver program</w:t>
        </w:r>
      </w:hyperlink>
      <w:r>
        <w:t xml:space="preserve">. </w:t>
      </w:r>
    </w:p>
    <w:p w14:paraId="48F5F9A3" w14:textId="77777777" w:rsidR="008A7E11" w:rsidRPr="00BC4502" w:rsidRDefault="008A7E11" w:rsidP="00F51716">
      <w:r w:rsidRPr="00BC4502">
        <w:t>The program helps councils to understand, prioritise and implement energy efficiency and renewable energy upgrades on existing buildings and facilities.</w:t>
      </w:r>
      <w:r>
        <w:t xml:space="preserve"> Eligible councils could apply for </w:t>
      </w:r>
      <w:r w:rsidRPr="00BC4502">
        <w:t xml:space="preserve">grant </w:t>
      </w:r>
      <w:r>
        <w:t xml:space="preserve">funding </w:t>
      </w:r>
      <w:r w:rsidRPr="00BC4502">
        <w:t xml:space="preserve">for energy audits and upgrades, </w:t>
      </w:r>
      <w:r>
        <w:t xml:space="preserve">and </w:t>
      </w:r>
      <w:r w:rsidRPr="00BC4502">
        <w:t>all Victorian councils</w:t>
      </w:r>
      <w:r>
        <w:t xml:space="preserve"> can access our </w:t>
      </w:r>
      <w:r w:rsidRPr="00BC4502">
        <w:t>capacity building resources</w:t>
      </w:r>
      <w:r>
        <w:t xml:space="preserve">. </w:t>
      </w:r>
    </w:p>
    <w:p w14:paraId="1F76AEA5" w14:textId="77777777" w:rsidR="008A7E11" w:rsidRPr="00BC4502" w:rsidRDefault="008A7E11" w:rsidP="00F51716">
      <w:r w:rsidRPr="00BC4502">
        <w:t>Energy efficiency upgrades to council-owned community facilities such as kindergartens, leisure centres and community halls are an effective way to reduce carbon emissions and save resources.</w:t>
      </w:r>
    </w:p>
    <w:p w14:paraId="2716ADE9" w14:textId="4A362FE1" w:rsidR="008A7E11" w:rsidRDefault="008A7E11" w:rsidP="00F51716">
      <w:pPr>
        <w:pStyle w:val="Quote"/>
      </w:pPr>
      <w:r>
        <w:t>In 2019–20, 22 councils p</w:t>
      </w:r>
      <w:r w:rsidRPr="0047585B">
        <w:t>articipat</w:t>
      </w:r>
      <w:r>
        <w:t xml:space="preserve">ed in this program, </w:t>
      </w:r>
      <w:r w:rsidRPr="0047585B">
        <w:t>install</w:t>
      </w:r>
      <w:r>
        <w:t>ing</w:t>
      </w:r>
      <w:r w:rsidRPr="0047585B">
        <w:t xml:space="preserve"> 1</w:t>
      </w:r>
      <w:r>
        <w:t>,</w:t>
      </w:r>
      <w:r w:rsidRPr="0047585B">
        <w:t>539</w:t>
      </w:r>
      <w:r>
        <w:t> </w:t>
      </w:r>
      <w:r w:rsidRPr="0047585B">
        <w:t xml:space="preserve">kW of renewable energy </w:t>
      </w:r>
      <w:r>
        <w:t>capacity across 205 community facilities</w:t>
      </w:r>
      <w:r w:rsidRPr="0047585B">
        <w:t xml:space="preserve">. </w:t>
      </w:r>
    </w:p>
    <w:p w14:paraId="2C1A7F70" w14:textId="502AFD0B" w:rsidR="008A7E11" w:rsidRDefault="008A7E11" w:rsidP="00F51716">
      <w:r>
        <w:t>These solar arrays enable resource</w:t>
      </w:r>
      <w:r w:rsidR="000729FA">
        <w:t xml:space="preserve"> </w:t>
      </w:r>
      <w:r>
        <w:t>constrained communities to act on climate change, in councils the with highest per capita operating costs and highest indices of social and economic disadvantage.</w:t>
      </w:r>
    </w:p>
    <w:p w14:paraId="0F97C395" w14:textId="77777777" w:rsidR="008A7E11" w:rsidRDefault="008A7E11" w:rsidP="00F51716">
      <w:r>
        <w:t>They will provide cost savings of over $800,000 a year and equitable access to the energy transition for communities that need it most.</w:t>
      </w:r>
      <w:r w:rsidRPr="0047585B">
        <w:t xml:space="preserve"> </w:t>
      </w:r>
      <w:r>
        <w:t xml:space="preserve">The projects will provide over 3,600 </w:t>
      </w:r>
      <w:r w:rsidRPr="000245F7">
        <w:rPr>
          <w:color w:val="000000"/>
        </w:rPr>
        <w:t xml:space="preserve">tCO2-e </w:t>
      </w:r>
      <w:r>
        <w:rPr>
          <w:color w:val="000000"/>
        </w:rPr>
        <w:t xml:space="preserve">in yearly </w:t>
      </w:r>
      <w:r>
        <w:t>greenhouse gas emission reductions for the communities.</w:t>
      </w:r>
    </w:p>
    <w:p w14:paraId="7C431449" w14:textId="1D7D78B0" w:rsidR="008A7E11" w:rsidRPr="008A7E11" w:rsidRDefault="008A7E11" w:rsidP="00F51716">
      <w:r>
        <w:t xml:space="preserve">To build further capability in climate change concepts, we </w:t>
      </w:r>
      <w:r w:rsidRPr="000245F7">
        <w:t>also delivered a number of training workshops</w:t>
      </w:r>
      <w:r>
        <w:t xml:space="preserve"> and webinars to </w:t>
      </w:r>
      <w:r w:rsidRPr="000245F7">
        <w:t>1,344 participants.</w:t>
      </w:r>
    </w:p>
    <w:p w14:paraId="5823165B" w14:textId="2322AD45" w:rsidR="008A7E11" w:rsidRDefault="008A7E11" w:rsidP="009C0026">
      <w:pPr>
        <w:pStyle w:val="Heading3"/>
      </w:pPr>
      <w:r>
        <w:t xml:space="preserve">Improve energy efficiency performance of commercial buildings </w:t>
      </w:r>
    </w:p>
    <w:p w14:paraId="2C279964" w14:textId="77777777" w:rsidR="00E94CF8" w:rsidRDefault="00E94CF8" w:rsidP="00E94CF8">
      <w:r>
        <w:t xml:space="preserve">Under our </w:t>
      </w:r>
      <w:hyperlink r:id="rId24" w:history="1">
        <w:r>
          <w:rPr>
            <w:rStyle w:val="Hyperlink"/>
          </w:rPr>
          <w:t>Better Commercial Buildings program</w:t>
        </w:r>
      </w:hyperlink>
      <w:r>
        <w:t>, we further supported Victorian businesses by funding 50 commercial buildings to audit their energy and retrofit buildings to improve their National Australian Built Environment Rating System (NABERS) rating by an average of 1 star. More than two-thirds of these buildings (37) to date have successfully completed their retrofits. The delivery of the outcomes was delayed approximately three months due to covid-19. Grant recipient resources were stretched during this period dealing with changing response measures that considerably delayed completed reports. Program targets are expected to be met in September 2020. Informal program learnings are currently informing climate change state budget bids and Commonwealth policies.</w:t>
      </w:r>
    </w:p>
    <w:p w14:paraId="4EA33DB9" w14:textId="335353E9" w:rsidR="008A7E11" w:rsidRPr="009243B4" w:rsidRDefault="008A7E11" w:rsidP="00F51716">
      <w:pPr>
        <w:pStyle w:val="Caption"/>
      </w:pPr>
      <w:r>
        <w:t xml:space="preserve">Table </w:t>
      </w:r>
      <w:fldSimple w:instr=" SEQ Table \* ARABIC ">
        <w:r w:rsidR="003F15CC">
          <w:rPr>
            <w:noProof/>
          </w:rPr>
          <w:t>6</w:t>
        </w:r>
      </w:fldSimple>
      <w:r>
        <w:t xml:space="preserve">: </w:t>
      </w:r>
      <w:r w:rsidR="00225FF8">
        <w:t>I</w:t>
      </w:r>
      <w:r>
        <w:t xml:space="preserve">mproving energy efficiency in </w:t>
      </w:r>
      <w:r w:rsidR="00AE6C3C">
        <w:t>commercial</w:t>
      </w:r>
      <w:r>
        <w:t xml:space="preserve"> buildings </w:t>
      </w:r>
      <w:r w:rsidR="009243B4">
        <w:t>in 2019–20</w:t>
      </w:r>
    </w:p>
    <w:tbl>
      <w:tblPr>
        <w:tblStyle w:val="TableGrid0"/>
        <w:tblW w:w="8949" w:type="dxa"/>
        <w:tblInd w:w="0" w:type="dxa"/>
        <w:tblLayout w:type="fixed"/>
        <w:tblCellMar>
          <w:top w:w="109" w:type="dxa"/>
          <w:right w:w="125" w:type="dxa"/>
        </w:tblCellMar>
        <w:tblLook w:val="04A0" w:firstRow="1" w:lastRow="0" w:firstColumn="1" w:lastColumn="0" w:noHBand="0" w:noVBand="1"/>
      </w:tblPr>
      <w:tblGrid>
        <w:gridCol w:w="5245"/>
        <w:gridCol w:w="1011"/>
        <w:gridCol w:w="1257"/>
        <w:gridCol w:w="1436"/>
      </w:tblGrid>
      <w:tr w:rsidR="008A7E11" w:rsidRPr="003F1670" w14:paraId="214C5BC4" w14:textId="77777777" w:rsidTr="003F1670">
        <w:trPr>
          <w:trHeight w:val="373"/>
        </w:trPr>
        <w:tc>
          <w:tcPr>
            <w:tcW w:w="5245" w:type="dxa"/>
            <w:tcBorders>
              <w:top w:val="nil"/>
              <w:left w:val="nil"/>
              <w:bottom w:val="nil"/>
              <w:right w:val="nil"/>
            </w:tcBorders>
            <w:shd w:val="clear" w:color="auto" w:fill="82C341"/>
            <w:vAlign w:val="center"/>
          </w:tcPr>
          <w:p w14:paraId="454D58F6" w14:textId="587EFFF5" w:rsidR="008A7E11" w:rsidRPr="003F1670" w:rsidRDefault="00DF0284" w:rsidP="00F51716">
            <w:pPr>
              <w:pStyle w:val="TableHeading"/>
              <w:rPr>
                <w:rFonts w:asciiTheme="minorHAnsi" w:hAnsiTheme="minorHAnsi" w:cstheme="minorHAnsi"/>
                <w:color w:val="000000" w:themeColor="text1"/>
                <w:sz w:val="19"/>
                <w:szCs w:val="19"/>
              </w:rPr>
            </w:pPr>
            <w:r w:rsidRPr="00FE1ED7">
              <w:t>Outcome measure</w:t>
            </w:r>
          </w:p>
        </w:tc>
        <w:tc>
          <w:tcPr>
            <w:tcW w:w="1011" w:type="dxa"/>
            <w:tcBorders>
              <w:top w:val="nil"/>
              <w:left w:val="nil"/>
              <w:bottom w:val="nil"/>
              <w:right w:val="nil"/>
            </w:tcBorders>
            <w:shd w:val="clear" w:color="auto" w:fill="82C341"/>
            <w:vAlign w:val="center"/>
          </w:tcPr>
          <w:p w14:paraId="435AA7DD" w14:textId="77777777" w:rsidR="008A7E11" w:rsidRPr="003F1670" w:rsidRDefault="008A7E11" w:rsidP="00F51716">
            <w:r w:rsidRPr="003F1670">
              <w:t>2019–20 target</w:t>
            </w:r>
          </w:p>
        </w:tc>
        <w:tc>
          <w:tcPr>
            <w:tcW w:w="1257" w:type="dxa"/>
            <w:tcBorders>
              <w:top w:val="nil"/>
              <w:left w:val="nil"/>
              <w:bottom w:val="nil"/>
              <w:right w:val="nil"/>
            </w:tcBorders>
            <w:shd w:val="clear" w:color="auto" w:fill="82C341"/>
            <w:vAlign w:val="center"/>
          </w:tcPr>
          <w:p w14:paraId="07E6A29A" w14:textId="77777777" w:rsidR="008A7E11" w:rsidRPr="003F1670" w:rsidRDefault="008A7E11" w:rsidP="00F51716">
            <w:r w:rsidRPr="003F1670">
              <w:t>2019–20 actual</w:t>
            </w:r>
          </w:p>
        </w:tc>
        <w:tc>
          <w:tcPr>
            <w:tcW w:w="1436" w:type="dxa"/>
            <w:tcBorders>
              <w:top w:val="nil"/>
              <w:left w:val="nil"/>
              <w:bottom w:val="nil"/>
              <w:right w:val="nil"/>
            </w:tcBorders>
            <w:shd w:val="clear" w:color="auto" w:fill="82C341"/>
            <w:vAlign w:val="center"/>
          </w:tcPr>
          <w:p w14:paraId="35F8B534" w14:textId="77777777" w:rsidR="008A7E11" w:rsidRPr="003F1670" w:rsidRDefault="008A7E11" w:rsidP="00F51716">
            <w:r w:rsidRPr="003F1670">
              <w:t>Target met</w:t>
            </w:r>
          </w:p>
        </w:tc>
      </w:tr>
      <w:tr w:rsidR="008A7E11" w:rsidRPr="007951C1" w14:paraId="4EC4B492" w14:textId="77777777" w:rsidTr="003F1670">
        <w:trPr>
          <w:trHeight w:val="411"/>
        </w:trPr>
        <w:tc>
          <w:tcPr>
            <w:tcW w:w="5245" w:type="dxa"/>
            <w:tcBorders>
              <w:top w:val="single" w:sz="2" w:space="0" w:color="A7A9AB"/>
              <w:left w:val="nil"/>
              <w:bottom w:val="single" w:sz="2" w:space="0" w:color="A7A9AB"/>
              <w:right w:val="nil"/>
            </w:tcBorders>
            <w:vAlign w:val="center"/>
          </w:tcPr>
          <w:p w14:paraId="096939CF" w14:textId="6A235E52" w:rsidR="008A7E11" w:rsidRPr="00F47EA8" w:rsidRDefault="008A7E11" w:rsidP="00F51716">
            <w:r w:rsidRPr="008A7E11">
              <w:t>50 commercial buildings improved their average NABERS rating by 1 star</w:t>
            </w:r>
          </w:p>
        </w:tc>
        <w:tc>
          <w:tcPr>
            <w:tcW w:w="1011" w:type="dxa"/>
            <w:tcBorders>
              <w:top w:val="single" w:sz="2" w:space="0" w:color="A7A9AB"/>
              <w:left w:val="nil"/>
              <w:bottom w:val="single" w:sz="2" w:space="0" w:color="A7A9AB"/>
              <w:right w:val="nil"/>
            </w:tcBorders>
            <w:vAlign w:val="center"/>
          </w:tcPr>
          <w:p w14:paraId="24DB783E" w14:textId="3FEEB06B" w:rsidR="008A7E11" w:rsidRPr="007951C1" w:rsidRDefault="008A7E11" w:rsidP="00F51716">
            <w:pPr>
              <w:pStyle w:val="Tabletext0"/>
            </w:pPr>
            <w:r>
              <w:t>50</w:t>
            </w:r>
          </w:p>
        </w:tc>
        <w:tc>
          <w:tcPr>
            <w:tcW w:w="1257" w:type="dxa"/>
            <w:tcBorders>
              <w:top w:val="single" w:sz="2" w:space="0" w:color="A7A9AB"/>
              <w:left w:val="nil"/>
              <w:bottom w:val="single" w:sz="2" w:space="0" w:color="A7A9AB"/>
              <w:right w:val="nil"/>
            </w:tcBorders>
            <w:vAlign w:val="center"/>
          </w:tcPr>
          <w:p w14:paraId="12A0A54A" w14:textId="39370C70" w:rsidR="008A7E11" w:rsidRPr="007951C1" w:rsidRDefault="008A7E11" w:rsidP="00F51716">
            <w:pPr>
              <w:pStyle w:val="tableright"/>
            </w:pPr>
            <w:r>
              <w:t>37</w:t>
            </w:r>
          </w:p>
        </w:tc>
        <w:tc>
          <w:tcPr>
            <w:tcW w:w="1436" w:type="dxa"/>
            <w:tcBorders>
              <w:top w:val="single" w:sz="2" w:space="0" w:color="A7A9AB"/>
              <w:left w:val="nil"/>
              <w:bottom w:val="single" w:sz="2" w:space="0" w:color="A7A9AB"/>
              <w:right w:val="nil"/>
            </w:tcBorders>
            <w:vAlign w:val="center"/>
          </w:tcPr>
          <w:p w14:paraId="37F1B54A" w14:textId="444D86AF" w:rsidR="008A7E11" w:rsidRPr="007951C1" w:rsidRDefault="009C0026" w:rsidP="00F51716">
            <w:pPr>
              <w:pStyle w:val="tableright"/>
            </w:pPr>
            <w:r>
              <w:rPr>
                <w:rStyle w:val="normaltextrun"/>
                <w:rFonts w:ascii="Segoe UI Symbol" w:hAnsi="Segoe UI Symbol" w:cs="Segoe UI Symbol"/>
              </w:rPr>
              <w:t>✘</w:t>
            </w:r>
          </w:p>
        </w:tc>
      </w:tr>
    </w:tbl>
    <w:p w14:paraId="31B60BC1" w14:textId="77777777" w:rsidR="00FE1ED7" w:rsidRDefault="00FE1ED7" w:rsidP="00F51716"/>
    <w:p w14:paraId="5A28F20F" w14:textId="135EAA40" w:rsidR="008A7E11" w:rsidRDefault="008A7E11" w:rsidP="00F51716">
      <w:r>
        <w:t xml:space="preserve">Also in the building space, we began </w:t>
      </w:r>
      <w:r w:rsidRPr="003C2596">
        <w:t>research and analysis for DELWP to inform Victorian input into develop</w:t>
      </w:r>
      <w:r>
        <w:t xml:space="preserve">ing </w:t>
      </w:r>
      <w:r w:rsidRPr="003C2596">
        <w:t>strengthened energy efficiency standards for the 2022 edition of the National Construction Code (Australia’s performance-based building and plumbing code)</w:t>
      </w:r>
      <w:r>
        <w:t>.</w:t>
      </w:r>
    </w:p>
    <w:p w14:paraId="4522096B" w14:textId="18990DF6" w:rsidR="008A7E11" w:rsidRDefault="008A7E11" w:rsidP="009C0026">
      <w:pPr>
        <w:pStyle w:val="Heading3"/>
      </w:pPr>
      <w:r>
        <w:t xml:space="preserve">Increase supply of Zero Net Carbon homes by </w:t>
      </w:r>
      <w:r w:rsidR="00FA2E98">
        <w:t>volume home builders</w:t>
      </w:r>
    </w:p>
    <w:p w14:paraId="0C382853" w14:textId="294ED06A" w:rsidR="008A7E11" w:rsidRDefault="008A7E11" w:rsidP="00F51716">
      <w:r>
        <w:t xml:space="preserve">SV is running the </w:t>
      </w:r>
      <w:hyperlink r:id="rId25" w:history="1">
        <w:r w:rsidRPr="008A7E11">
          <w:rPr>
            <w:rStyle w:val="Hyperlink"/>
          </w:rPr>
          <w:t>Zero Net Carbon (ZNC) Homes pilot program</w:t>
        </w:r>
      </w:hyperlink>
      <w:r>
        <w:t xml:space="preserve"> to develop sustainably designed residential homes in Victoria and provide technical and marketing expertise to builders to facilitate the development, marketing and sales of such homes.</w:t>
      </w:r>
    </w:p>
    <w:p w14:paraId="616FA87B" w14:textId="77777777" w:rsidR="008A7E11" w:rsidRDefault="008A7E11" w:rsidP="00F51716">
      <w:r>
        <w:t xml:space="preserve">In 2019–20, </w:t>
      </w:r>
      <w:r w:rsidRPr="0047585B">
        <w:t xml:space="preserve">13 </w:t>
      </w:r>
      <w:r>
        <w:t>(ZNC) h</w:t>
      </w:r>
      <w:r w:rsidRPr="0047585B">
        <w:t xml:space="preserve">omes </w:t>
      </w:r>
      <w:r>
        <w:t>were</w:t>
      </w:r>
      <w:r w:rsidRPr="0047585B">
        <w:t xml:space="preserve"> completed</w:t>
      </w:r>
      <w:r>
        <w:t xml:space="preserve"> and </w:t>
      </w:r>
      <w:r w:rsidRPr="0047585B">
        <w:t>10 passed</w:t>
      </w:r>
      <w:r>
        <w:t xml:space="preserve"> as-built verification – an independent quality assurance test that evaluates the energy efficiency of a home after it is built and checks that it meets ZNC standards. A</w:t>
      </w:r>
      <w:r w:rsidRPr="0047585B">
        <w:t>nother 15</w:t>
      </w:r>
      <w:r>
        <w:t> </w:t>
      </w:r>
      <w:r w:rsidRPr="0047585B">
        <w:t xml:space="preserve">homes </w:t>
      </w:r>
      <w:r>
        <w:t xml:space="preserve">are </w:t>
      </w:r>
      <w:r w:rsidRPr="00A50B0E">
        <w:t>under construction.</w:t>
      </w:r>
    </w:p>
    <w:p w14:paraId="139F5698" w14:textId="23B707A5" w:rsidR="008A7E11" w:rsidRDefault="008A7E11" w:rsidP="00F51716">
      <w:r>
        <w:t xml:space="preserve">In addition, </w:t>
      </w:r>
      <w:r w:rsidRPr="00A50B0E">
        <w:t xml:space="preserve">Metricon sold 13 </w:t>
      </w:r>
      <w:r>
        <w:t xml:space="preserve">ZNC </w:t>
      </w:r>
      <w:r w:rsidRPr="00A50B0E">
        <w:t xml:space="preserve">homes and SJD 29 ZNC homes. Stockland has agreed with SJD to </w:t>
      </w:r>
      <w:r>
        <w:t>build</w:t>
      </w:r>
      <w:r w:rsidRPr="00A50B0E">
        <w:t xml:space="preserve"> a </w:t>
      </w:r>
      <w:r>
        <w:t xml:space="preserve">ZNC </w:t>
      </w:r>
      <w:r w:rsidRPr="00A50B0E">
        <w:t>home in the Minta estate and is investigating the possible inclusion of 10 new town</w:t>
      </w:r>
      <w:r>
        <w:t>houses</w:t>
      </w:r>
      <w:r w:rsidRPr="00A50B0E">
        <w:t xml:space="preserve"> in the third stage of the</w:t>
      </w:r>
      <w:r>
        <w:t>ir</w:t>
      </w:r>
      <w:r w:rsidRPr="00A50B0E">
        <w:t xml:space="preserve"> Orion estate </w:t>
      </w:r>
      <w:r>
        <w:t>development in Melbourne’s west.</w:t>
      </w:r>
    </w:p>
    <w:p w14:paraId="3FACFEA3" w14:textId="4DC6F051" w:rsidR="00AE4C08" w:rsidRDefault="00AE4C08" w:rsidP="00F51716">
      <w:r>
        <w:t>5 of the homes built were display homes.</w:t>
      </w:r>
    </w:p>
    <w:p w14:paraId="231D3CDD" w14:textId="6718CE17" w:rsidR="008A7E11" w:rsidRDefault="008A7E11" w:rsidP="00F51716">
      <w:pPr>
        <w:pStyle w:val="Caption"/>
      </w:pPr>
      <w:r>
        <w:t xml:space="preserve">Table </w:t>
      </w:r>
      <w:fldSimple w:instr=" SEQ Table \* ARABIC ">
        <w:r w:rsidR="003F15CC">
          <w:rPr>
            <w:noProof/>
          </w:rPr>
          <w:t>7</w:t>
        </w:r>
      </w:fldSimple>
      <w:r>
        <w:t xml:space="preserve">: </w:t>
      </w:r>
      <w:r w:rsidR="00225FF8">
        <w:t>In</w:t>
      </w:r>
      <w:r>
        <w:t xml:space="preserve">creasing supply of ZNC homes </w:t>
      </w:r>
      <w:r w:rsidR="009243B4">
        <w:t>in 2019–20</w:t>
      </w:r>
    </w:p>
    <w:tbl>
      <w:tblPr>
        <w:tblStyle w:val="TableGrid0"/>
        <w:tblW w:w="8949" w:type="dxa"/>
        <w:tblInd w:w="0" w:type="dxa"/>
        <w:tblLayout w:type="fixed"/>
        <w:tblCellMar>
          <w:top w:w="109" w:type="dxa"/>
          <w:right w:w="125" w:type="dxa"/>
        </w:tblCellMar>
        <w:tblLook w:val="04A0" w:firstRow="1" w:lastRow="0" w:firstColumn="1" w:lastColumn="0" w:noHBand="0" w:noVBand="1"/>
      </w:tblPr>
      <w:tblGrid>
        <w:gridCol w:w="5245"/>
        <w:gridCol w:w="1011"/>
        <w:gridCol w:w="1257"/>
        <w:gridCol w:w="1436"/>
      </w:tblGrid>
      <w:tr w:rsidR="008A7E11" w:rsidRPr="003F1670" w14:paraId="02F25C43" w14:textId="77777777" w:rsidTr="003F1670">
        <w:trPr>
          <w:trHeight w:val="373"/>
        </w:trPr>
        <w:tc>
          <w:tcPr>
            <w:tcW w:w="5245" w:type="dxa"/>
            <w:tcBorders>
              <w:top w:val="nil"/>
              <w:left w:val="nil"/>
              <w:bottom w:val="nil"/>
              <w:right w:val="nil"/>
            </w:tcBorders>
            <w:shd w:val="clear" w:color="auto" w:fill="82C341"/>
            <w:vAlign w:val="center"/>
          </w:tcPr>
          <w:p w14:paraId="3379AEFD" w14:textId="710474DE" w:rsidR="008A7E11" w:rsidRPr="003F1670" w:rsidRDefault="00DF0284" w:rsidP="00F51716">
            <w:pPr>
              <w:pStyle w:val="TableHeading"/>
              <w:rPr>
                <w:rFonts w:asciiTheme="minorHAnsi" w:hAnsiTheme="minorHAnsi" w:cstheme="minorHAnsi"/>
                <w:color w:val="000000" w:themeColor="text1"/>
                <w:sz w:val="19"/>
                <w:szCs w:val="19"/>
              </w:rPr>
            </w:pPr>
            <w:r w:rsidRPr="00FE1ED7">
              <w:t>Outcome measure</w:t>
            </w:r>
            <w:r w:rsidRPr="003F1670">
              <w:rPr>
                <w:rFonts w:asciiTheme="minorHAnsi" w:hAnsiTheme="minorHAnsi" w:cstheme="minorHAnsi"/>
                <w:color w:val="000000" w:themeColor="text1"/>
                <w:sz w:val="19"/>
                <w:szCs w:val="19"/>
              </w:rPr>
              <w:t xml:space="preserve"> </w:t>
            </w:r>
          </w:p>
        </w:tc>
        <w:tc>
          <w:tcPr>
            <w:tcW w:w="1011" w:type="dxa"/>
            <w:tcBorders>
              <w:top w:val="nil"/>
              <w:left w:val="nil"/>
              <w:bottom w:val="nil"/>
              <w:right w:val="nil"/>
            </w:tcBorders>
            <w:shd w:val="clear" w:color="auto" w:fill="82C341"/>
            <w:vAlign w:val="center"/>
          </w:tcPr>
          <w:p w14:paraId="5E3ADC27" w14:textId="77777777" w:rsidR="008A7E11" w:rsidRPr="003F1670" w:rsidRDefault="008A7E11" w:rsidP="00F51716">
            <w:pPr>
              <w:pStyle w:val="tableheadright"/>
            </w:pPr>
            <w:r w:rsidRPr="003F1670">
              <w:t>2019–20 target</w:t>
            </w:r>
          </w:p>
        </w:tc>
        <w:tc>
          <w:tcPr>
            <w:tcW w:w="1257" w:type="dxa"/>
            <w:tcBorders>
              <w:top w:val="nil"/>
              <w:left w:val="nil"/>
              <w:bottom w:val="nil"/>
              <w:right w:val="nil"/>
            </w:tcBorders>
            <w:shd w:val="clear" w:color="auto" w:fill="82C341"/>
            <w:vAlign w:val="center"/>
          </w:tcPr>
          <w:p w14:paraId="131C9F82" w14:textId="77777777" w:rsidR="008A7E11" w:rsidRPr="003F1670" w:rsidRDefault="008A7E11" w:rsidP="00F51716">
            <w:pPr>
              <w:pStyle w:val="tableheadright"/>
            </w:pPr>
            <w:r w:rsidRPr="003F1670">
              <w:t>2019–20 actual</w:t>
            </w:r>
          </w:p>
        </w:tc>
        <w:tc>
          <w:tcPr>
            <w:tcW w:w="1436" w:type="dxa"/>
            <w:tcBorders>
              <w:top w:val="nil"/>
              <w:left w:val="nil"/>
              <w:bottom w:val="nil"/>
              <w:right w:val="nil"/>
            </w:tcBorders>
            <w:shd w:val="clear" w:color="auto" w:fill="82C341"/>
            <w:vAlign w:val="center"/>
          </w:tcPr>
          <w:p w14:paraId="4C2001D0" w14:textId="77777777" w:rsidR="008A7E11" w:rsidRPr="003F1670" w:rsidRDefault="008A7E11" w:rsidP="00F51716">
            <w:pPr>
              <w:pStyle w:val="tableheadright"/>
            </w:pPr>
            <w:r w:rsidRPr="003F1670">
              <w:t>Target met</w:t>
            </w:r>
          </w:p>
        </w:tc>
      </w:tr>
      <w:tr w:rsidR="008A7E11" w:rsidRPr="007951C1" w14:paraId="2EB64078" w14:textId="77777777" w:rsidTr="003F1670">
        <w:trPr>
          <w:trHeight w:val="411"/>
        </w:trPr>
        <w:tc>
          <w:tcPr>
            <w:tcW w:w="5245" w:type="dxa"/>
            <w:tcBorders>
              <w:top w:val="single" w:sz="2" w:space="0" w:color="A7A9AB"/>
              <w:left w:val="nil"/>
              <w:bottom w:val="single" w:sz="2" w:space="0" w:color="A7A9AB"/>
              <w:right w:val="nil"/>
            </w:tcBorders>
            <w:vAlign w:val="center"/>
          </w:tcPr>
          <w:p w14:paraId="26CA25B2" w14:textId="02E8BCC4" w:rsidR="008A7E11" w:rsidRPr="00F47EA8" w:rsidRDefault="00F80A21" w:rsidP="00F51716">
            <w:r>
              <w:t>Two</w:t>
            </w:r>
            <w:r w:rsidR="008A7E11" w:rsidRPr="008A7E11">
              <w:t xml:space="preserve"> </w:t>
            </w:r>
            <w:r w:rsidR="00791C84">
              <w:t>Z</w:t>
            </w:r>
            <w:r w:rsidR="008A7E11" w:rsidRPr="008A7E11">
              <w:t xml:space="preserve">ero </w:t>
            </w:r>
            <w:r w:rsidR="00791C84">
              <w:t>N</w:t>
            </w:r>
            <w:r w:rsidR="008A7E11" w:rsidRPr="008A7E11">
              <w:t xml:space="preserve">et </w:t>
            </w:r>
            <w:r w:rsidR="00791C84">
              <w:t>C</w:t>
            </w:r>
            <w:r w:rsidR="008A7E11" w:rsidRPr="008A7E11">
              <w:t>arbon display homes completed</w:t>
            </w:r>
          </w:p>
        </w:tc>
        <w:tc>
          <w:tcPr>
            <w:tcW w:w="1011" w:type="dxa"/>
            <w:tcBorders>
              <w:top w:val="single" w:sz="2" w:space="0" w:color="A7A9AB"/>
              <w:left w:val="nil"/>
              <w:bottom w:val="single" w:sz="2" w:space="0" w:color="A7A9AB"/>
              <w:right w:val="nil"/>
            </w:tcBorders>
            <w:vAlign w:val="center"/>
          </w:tcPr>
          <w:p w14:paraId="3414EFB7" w14:textId="3688A77C" w:rsidR="008A7E11" w:rsidRPr="007951C1" w:rsidRDefault="008A7E11" w:rsidP="00F80A21">
            <w:pPr>
              <w:pStyle w:val="tableright"/>
            </w:pPr>
            <w:r>
              <w:t>2</w:t>
            </w:r>
          </w:p>
        </w:tc>
        <w:tc>
          <w:tcPr>
            <w:tcW w:w="1257" w:type="dxa"/>
            <w:tcBorders>
              <w:top w:val="single" w:sz="2" w:space="0" w:color="A7A9AB"/>
              <w:left w:val="nil"/>
              <w:bottom w:val="single" w:sz="2" w:space="0" w:color="A7A9AB"/>
              <w:right w:val="nil"/>
            </w:tcBorders>
            <w:vAlign w:val="center"/>
          </w:tcPr>
          <w:p w14:paraId="223D05FD" w14:textId="1EA2D60D" w:rsidR="008A7E11" w:rsidRPr="007951C1" w:rsidRDefault="00DF0284" w:rsidP="00F80A21">
            <w:pPr>
              <w:pStyle w:val="tableright"/>
            </w:pPr>
            <w:r>
              <w:t>5</w:t>
            </w:r>
          </w:p>
        </w:tc>
        <w:tc>
          <w:tcPr>
            <w:tcW w:w="1436" w:type="dxa"/>
            <w:tcBorders>
              <w:top w:val="single" w:sz="2" w:space="0" w:color="A7A9AB"/>
              <w:left w:val="nil"/>
              <w:bottom w:val="single" w:sz="2" w:space="0" w:color="A7A9AB"/>
              <w:right w:val="nil"/>
            </w:tcBorders>
            <w:vAlign w:val="center"/>
          </w:tcPr>
          <w:p w14:paraId="1A1B91D4" w14:textId="2DD31F93" w:rsidR="008A7E11" w:rsidRPr="007951C1" w:rsidRDefault="009C0026" w:rsidP="00F80A21">
            <w:pPr>
              <w:pStyle w:val="tableright"/>
            </w:pPr>
            <w:r>
              <w:rPr>
                <w:rStyle w:val="normaltextrun"/>
                <w:rFonts w:ascii="Segoe UI Emoji" w:hAnsi="Segoe UI Emoji" w:cs="Segoe UI Emoji"/>
              </w:rPr>
              <w:t>✔</w:t>
            </w:r>
          </w:p>
        </w:tc>
      </w:tr>
    </w:tbl>
    <w:p w14:paraId="2B270A5D" w14:textId="73A835C8" w:rsidR="008A7E11" w:rsidRDefault="00E1579D" w:rsidP="009C0026">
      <w:pPr>
        <w:pStyle w:val="Heading3"/>
      </w:pPr>
      <w:r>
        <w:t xml:space="preserve">Strategic outcome: </w:t>
      </w:r>
      <w:r w:rsidR="00FA2E98">
        <w:t>Net zero emissions</w:t>
      </w:r>
    </w:p>
    <w:p w14:paraId="197B8ACA" w14:textId="245A1050" w:rsidR="00FA2E98" w:rsidRPr="00FA2E98" w:rsidRDefault="00FA2E98" w:rsidP="00F51716">
      <w:r>
        <w:t xml:space="preserve">SV supports communities (including local governments, business and community organisations) to realise their vision of net zero emissions which contribute to </w:t>
      </w:r>
      <w:r w:rsidR="00791C84">
        <w:t>the s</w:t>
      </w:r>
      <w:r>
        <w:t>tate’s emission reduction targets.</w:t>
      </w:r>
    </w:p>
    <w:p w14:paraId="121B3C28" w14:textId="72A313AA" w:rsidR="00F80A21" w:rsidRDefault="00FA2E98" w:rsidP="00F51716">
      <w:r>
        <w:t xml:space="preserve">In 2019–20, </w:t>
      </w:r>
      <w:r w:rsidRPr="0047585B">
        <w:t xml:space="preserve">125,901 TAKE2 actions </w:t>
      </w:r>
      <w:r>
        <w:t xml:space="preserve">were </w:t>
      </w:r>
      <w:r w:rsidRPr="0047585B">
        <w:t>committed to by individuals, community and business</w:t>
      </w:r>
      <w:r>
        <w:t>. The actions committed to by Victorians could reduce greenhouse emissions by over 2 million tCO2-e if implemented.</w:t>
      </w:r>
    </w:p>
    <w:p w14:paraId="3297B4AA" w14:textId="3C145FE8" w:rsidR="00FA2E98" w:rsidRDefault="00FA2E98" w:rsidP="00F51716">
      <w:pPr>
        <w:pStyle w:val="Caption"/>
      </w:pPr>
      <w:r>
        <w:t xml:space="preserve">Table </w:t>
      </w:r>
      <w:fldSimple w:instr=" SEQ Table \* ARABIC ">
        <w:r w:rsidR="003F15CC">
          <w:rPr>
            <w:noProof/>
          </w:rPr>
          <w:t>8</w:t>
        </w:r>
      </w:fldSimple>
      <w:r>
        <w:t xml:space="preserve">: </w:t>
      </w:r>
      <w:r w:rsidR="00225FF8">
        <w:t>Re</w:t>
      </w:r>
      <w:r>
        <w:t xml:space="preserve">ducing Victorian greenhouse gas emissions </w:t>
      </w:r>
      <w:r w:rsidR="009243B4">
        <w:t>in 2019–20</w:t>
      </w:r>
    </w:p>
    <w:tbl>
      <w:tblPr>
        <w:tblStyle w:val="TableGrid0"/>
        <w:tblW w:w="8949" w:type="dxa"/>
        <w:tblInd w:w="0" w:type="dxa"/>
        <w:tblLayout w:type="fixed"/>
        <w:tblCellMar>
          <w:top w:w="109" w:type="dxa"/>
          <w:right w:w="125" w:type="dxa"/>
        </w:tblCellMar>
        <w:tblLook w:val="04A0" w:firstRow="1" w:lastRow="0" w:firstColumn="1" w:lastColumn="0" w:noHBand="0" w:noVBand="1"/>
      </w:tblPr>
      <w:tblGrid>
        <w:gridCol w:w="5245"/>
        <w:gridCol w:w="1011"/>
        <w:gridCol w:w="1257"/>
        <w:gridCol w:w="1436"/>
      </w:tblGrid>
      <w:tr w:rsidR="00FA2E98" w:rsidRPr="00DF0284" w14:paraId="563466D5" w14:textId="77777777" w:rsidTr="003F1670">
        <w:trPr>
          <w:trHeight w:val="373"/>
        </w:trPr>
        <w:tc>
          <w:tcPr>
            <w:tcW w:w="5245" w:type="dxa"/>
            <w:tcBorders>
              <w:top w:val="nil"/>
              <w:left w:val="nil"/>
              <w:bottom w:val="nil"/>
              <w:right w:val="nil"/>
            </w:tcBorders>
            <w:shd w:val="clear" w:color="auto" w:fill="82C341"/>
            <w:vAlign w:val="center"/>
          </w:tcPr>
          <w:p w14:paraId="2D4B524B" w14:textId="38F87693" w:rsidR="00FA2E98" w:rsidRPr="007D4704" w:rsidRDefault="00DF0284" w:rsidP="00F51716">
            <w:pPr>
              <w:pStyle w:val="TableHeading"/>
              <w:rPr>
                <w:rFonts w:asciiTheme="minorHAnsi" w:hAnsiTheme="minorHAnsi" w:cstheme="minorHAnsi"/>
                <w:color w:val="000000" w:themeColor="text1"/>
                <w:sz w:val="19"/>
                <w:szCs w:val="19"/>
              </w:rPr>
            </w:pPr>
            <w:r w:rsidRPr="00FE1ED7">
              <w:t>Outcome measure</w:t>
            </w:r>
          </w:p>
        </w:tc>
        <w:tc>
          <w:tcPr>
            <w:tcW w:w="1011" w:type="dxa"/>
            <w:tcBorders>
              <w:top w:val="nil"/>
              <w:left w:val="nil"/>
              <w:bottom w:val="nil"/>
              <w:right w:val="nil"/>
            </w:tcBorders>
            <w:shd w:val="clear" w:color="auto" w:fill="82C341"/>
            <w:vAlign w:val="center"/>
          </w:tcPr>
          <w:p w14:paraId="7B140433" w14:textId="77777777" w:rsidR="00FA2E98" w:rsidRPr="00DF0284" w:rsidRDefault="00FA2E98" w:rsidP="00F51716">
            <w:pPr>
              <w:pStyle w:val="tableheadright"/>
            </w:pPr>
            <w:r w:rsidRPr="00DF0284">
              <w:t>2019–20 target</w:t>
            </w:r>
          </w:p>
          <w:p w14:paraId="3DA0D22D" w14:textId="127BF1E6" w:rsidR="00FA2E98" w:rsidRPr="00DF0284" w:rsidRDefault="00FA2E98" w:rsidP="00F51716">
            <w:pPr>
              <w:pStyle w:val="tableheadright"/>
            </w:pPr>
            <w:r w:rsidRPr="00DF0284">
              <w:t>(tCO2-e)</w:t>
            </w:r>
          </w:p>
        </w:tc>
        <w:tc>
          <w:tcPr>
            <w:tcW w:w="1257" w:type="dxa"/>
            <w:tcBorders>
              <w:top w:val="nil"/>
              <w:left w:val="nil"/>
              <w:bottom w:val="nil"/>
              <w:right w:val="nil"/>
            </w:tcBorders>
            <w:shd w:val="clear" w:color="auto" w:fill="82C341"/>
            <w:vAlign w:val="center"/>
          </w:tcPr>
          <w:p w14:paraId="32EBAD0D" w14:textId="77777777" w:rsidR="00FA2E98" w:rsidRPr="00DF0284" w:rsidRDefault="00FA2E98" w:rsidP="00F51716">
            <w:pPr>
              <w:pStyle w:val="tableheadright"/>
            </w:pPr>
            <w:r w:rsidRPr="00DF0284">
              <w:t>2019–20 actual</w:t>
            </w:r>
          </w:p>
          <w:p w14:paraId="5DABDFE6" w14:textId="5F803124" w:rsidR="00FA2E98" w:rsidRPr="00DF0284" w:rsidRDefault="00FA2E98" w:rsidP="00F51716">
            <w:pPr>
              <w:pStyle w:val="tableheadright"/>
            </w:pPr>
            <w:r w:rsidRPr="00DF0284">
              <w:t>(tCO2-e)</w:t>
            </w:r>
          </w:p>
        </w:tc>
        <w:tc>
          <w:tcPr>
            <w:tcW w:w="1436" w:type="dxa"/>
            <w:tcBorders>
              <w:top w:val="nil"/>
              <w:left w:val="nil"/>
              <w:bottom w:val="nil"/>
              <w:right w:val="nil"/>
            </w:tcBorders>
            <w:shd w:val="clear" w:color="auto" w:fill="82C341"/>
            <w:vAlign w:val="center"/>
          </w:tcPr>
          <w:p w14:paraId="25B97118" w14:textId="77777777" w:rsidR="00FA2E98" w:rsidRPr="00DF0284" w:rsidRDefault="00FA2E98" w:rsidP="00F51716">
            <w:pPr>
              <w:pStyle w:val="tableheadright"/>
            </w:pPr>
            <w:r w:rsidRPr="00DF0284">
              <w:t>Target met</w:t>
            </w:r>
          </w:p>
        </w:tc>
      </w:tr>
      <w:tr w:rsidR="00FA2E98" w:rsidRPr="007951C1" w14:paraId="6802D144" w14:textId="77777777" w:rsidTr="003F1670">
        <w:trPr>
          <w:trHeight w:val="411"/>
        </w:trPr>
        <w:tc>
          <w:tcPr>
            <w:tcW w:w="5245" w:type="dxa"/>
            <w:tcBorders>
              <w:top w:val="single" w:sz="2" w:space="0" w:color="A7A9AB"/>
              <w:left w:val="nil"/>
              <w:bottom w:val="single" w:sz="2" w:space="0" w:color="A7A9AB"/>
              <w:right w:val="nil"/>
            </w:tcBorders>
            <w:vAlign w:val="center"/>
          </w:tcPr>
          <w:p w14:paraId="3359CD4D" w14:textId="2AD60959" w:rsidR="00FA2E98" w:rsidRPr="00F47EA8" w:rsidRDefault="00FA2E98" w:rsidP="00F51716">
            <w:pPr>
              <w:pStyle w:val="Tabletext0"/>
            </w:pPr>
            <w:r w:rsidRPr="00A45012">
              <w:t>SV programs reduced greenhouse gas emissions by 240,000 tCO2-e</w:t>
            </w:r>
          </w:p>
        </w:tc>
        <w:tc>
          <w:tcPr>
            <w:tcW w:w="1011" w:type="dxa"/>
            <w:tcBorders>
              <w:top w:val="single" w:sz="2" w:space="0" w:color="A7A9AB"/>
              <w:left w:val="nil"/>
              <w:bottom w:val="single" w:sz="2" w:space="0" w:color="A7A9AB"/>
              <w:right w:val="nil"/>
            </w:tcBorders>
            <w:vAlign w:val="center"/>
          </w:tcPr>
          <w:p w14:paraId="1725C73C" w14:textId="52D475E6" w:rsidR="00FA2E98" w:rsidRPr="007951C1" w:rsidRDefault="00FA2E98" w:rsidP="00F51716">
            <w:pPr>
              <w:pStyle w:val="tableright"/>
            </w:pPr>
            <w:r>
              <w:t xml:space="preserve">240,000 </w:t>
            </w:r>
          </w:p>
        </w:tc>
        <w:tc>
          <w:tcPr>
            <w:tcW w:w="1257" w:type="dxa"/>
            <w:tcBorders>
              <w:top w:val="single" w:sz="2" w:space="0" w:color="A7A9AB"/>
              <w:left w:val="nil"/>
              <w:bottom w:val="single" w:sz="2" w:space="0" w:color="A7A9AB"/>
              <w:right w:val="nil"/>
            </w:tcBorders>
            <w:vAlign w:val="center"/>
          </w:tcPr>
          <w:p w14:paraId="1F590E7C" w14:textId="490974BE" w:rsidR="00FA2E98" w:rsidRPr="007951C1" w:rsidRDefault="00723892" w:rsidP="00F51716">
            <w:pPr>
              <w:pStyle w:val="tableright"/>
            </w:pPr>
            <w:r>
              <w:t>358,640</w:t>
            </w:r>
          </w:p>
        </w:tc>
        <w:tc>
          <w:tcPr>
            <w:tcW w:w="1436" w:type="dxa"/>
            <w:tcBorders>
              <w:top w:val="single" w:sz="2" w:space="0" w:color="A7A9AB"/>
              <w:left w:val="nil"/>
              <w:bottom w:val="single" w:sz="2" w:space="0" w:color="A7A9AB"/>
              <w:right w:val="nil"/>
            </w:tcBorders>
            <w:vAlign w:val="center"/>
          </w:tcPr>
          <w:p w14:paraId="368D5BAD" w14:textId="331B9087" w:rsidR="00FA2E98" w:rsidRPr="007951C1" w:rsidRDefault="009C0026" w:rsidP="00F51716">
            <w:pPr>
              <w:pStyle w:val="tableright"/>
            </w:pPr>
            <w:r>
              <w:rPr>
                <w:rStyle w:val="normaltextrun"/>
                <w:rFonts w:ascii="Segoe UI Emoji" w:hAnsi="Segoe UI Emoji" w:cs="Segoe UI Emoji"/>
              </w:rPr>
              <w:t>✔</w:t>
            </w:r>
          </w:p>
        </w:tc>
      </w:tr>
      <w:tr w:rsidR="00FA2E98" w:rsidRPr="007951C1" w14:paraId="71B01C7C" w14:textId="77777777" w:rsidTr="003F1670">
        <w:trPr>
          <w:trHeight w:val="411"/>
        </w:trPr>
        <w:tc>
          <w:tcPr>
            <w:tcW w:w="5245" w:type="dxa"/>
            <w:tcBorders>
              <w:top w:val="single" w:sz="2" w:space="0" w:color="A7A9AB"/>
              <w:left w:val="nil"/>
              <w:bottom w:val="single" w:sz="2" w:space="0" w:color="A7A9AB"/>
              <w:right w:val="nil"/>
            </w:tcBorders>
            <w:vAlign w:val="center"/>
          </w:tcPr>
          <w:p w14:paraId="4E1C5BCD" w14:textId="43FFA0F6" w:rsidR="00FA2E98" w:rsidRPr="00F2177D" w:rsidRDefault="00FA2E98" w:rsidP="00F51716">
            <w:pPr>
              <w:pStyle w:val="Tabletext0"/>
            </w:pPr>
            <w:r w:rsidRPr="00FA2E98">
              <w:t>Actions facilitated by SV through the TAKE2 network since 2018 contributes to</w:t>
            </w:r>
            <w:r w:rsidRPr="005B01E9">
              <w:t xml:space="preserve"> reducing greenhouse gas emissions by a cumulative 2 million tCO2-e annually, once</w:t>
            </w:r>
            <w:r w:rsidRPr="007A16F1">
              <w:t xml:space="preserve"> </w:t>
            </w:r>
            <w:r w:rsidRPr="00BC18DE">
              <w:t xml:space="preserve">fully </w:t>
            </w:r>
            <w:r w:rsidRPr="00FC3C61">
              <w:t>implemented</w:t>
            </w:r>
          </w:p>
        </w:tc>
        <w:tc>
          <w:tcPr>
            <w:tcW w:w="1011" w:type="dxa"/>
            <w:tcBorders>
              <w:top w:val="single" w:sz="2" w:space="0" w:color="A7A9AB"/>
              <w:left w:val="nil"/>
              <w:bottom w:val="single" w:sz="2" w:space="0" w:color="A7A9AB"/>
              <w:right w:val="nil"/>
            </w:tcBorders>
            <w:vAlign w:val="center"/>
          </w:tcPr>
          <w:p w14:paraId="30FA9F37" w14:textId="6AB83BFE" w:rsidR="00FA2E98" w:rsidRPr="007F7B25" w:rsidRDefault="00FA2E98" w:rsidP="00F51716">
            <w:pPr>
              <w:pStyle w:val="tableright"/>
            </w:pPr>
            <w:r w:rsidRPr="007F7B25">
              <w:t>2</w:t>
            </w:r>
            <w:r w:rsidR="007536F1" w:rsidRPr="007F7B25">
              <w:t> </w:t>
            </w:r>
            <w:r w:rsidRPr="007F7B25">
              <w:t>M</w:t>
            </w:r>
          </w:p>
        </w:tc>
        <w:tc>
          <w:tcPr>
            <w:tcW w:w="1257" w:type="dxa"/>
            <w:tcBorders>
              <w:top w:val="single" w:sz="2" w:space="0" w:color="A7A9AB"/>
              <w:left w:val="nil"/>
              <w:bottom w:val="single" w:sz="2" w:space="0" w:color="A7A9AB"/>
              <w:right w:val="nil"/>
            </w:tcBorders>
            <w:vAlign w:val="center"/>
          </w:tcPr>
          <w:p w14:paraId="5240CC12" w14:textId="77777777" w:rsidR="00696EB4" w:rsidRPr="007F7B25" w:rsidRDefault="00696EB4" w:rsidP="00F51716">
            <w:pPr>
              <w:pStyle w:val="tableright"/>
            </w:pPr>
          </w:p>
          <w:p w14:paraId="69052CC1" w14:textId="31A1DF2F" w:rsidR="00FA2E98" w:rsidRPr="007F7B25" w:rsidRDefault="00FA2E98" w:rsidP="00F51716">
            <w:pPr>
              <w:pStyle w:val="tableright"/>
            </w:pPr>
            <w:r w:rsidRPr="007F7B25">
              <w:t>2</w:t>
            </w:r>
            <w:r w:rsidR="007536F1" w:rsidRPr="007F7B25">
              <w:t> </w:t>
            </w:r>
            <w:r w:rsidRPr="007F7B25">
              <w:t>M</w:t>
            </w:r>
          </w:p>
          <w:p w14:paraId="19BACF5C" w14:textId="59172C23" w:rsidR="00FA2E98" w:rsidRPr="007F7B25" w:rsidRDefault="00FA2E98" w:rsidP="00F51716">
            <w:pPr>
              <w:pStyle w:val="tableright"/>
            </w:pPr>
          </w:p>
        </w:tc>
        <w:tc>
          <w:tcPr>
            <w:tcW w:w="1436" w:type="dxa"/>
            <w:tcBorders>
              <w:top w:val="single" w:sz="2" w:space="0" w:color="A7A9AB"/>
              <w:left w:val="nil"/>
              <w:bottom w:val="single" w:sz="2" w:space="0" w:color="A7A9AB"/>
              <w:right w:val="nil"/>
            </w:tcBorders>
            <w:vAlign w:val="center"/>
          </w:tcPr>
          <w:p w14:paraId="2EB1AFC0" w14:textId="68023D43" w:rsidR="00FA2E98" w:rsidRPr="007F7B25" w:rsidRDefault="009C0026" w:rsidP="00F51716">
            <w:pPr>
              <w:pStyle w:val="tableright"/>
            </w:pPr>
            <w:r w:rsidRPr="007F7B25">
              <w:rPr>
                <w:rStyle w:val="normaltextrun"/>
                <w:rFonts w:ascii="Segoe UI Emoji" w:hAnsi="Segoe UI Emoji" w:cs="Segoe UI Emoji"/>
              </w:rPr>
              <w:t>✔</w:t>
            </w:r>
          </w:p>
        </w:tc>
      </w:tr>
      <w:tr w:rsidR="00FA2E98" w:rsidRPr="007951C1" w14:paraId="75ABD167" w14:textId="77777777" w:rsidTr="003F1670">
        <w:trPr>
          <w:trHeight w:val="411"/>
        </w:trPr>
        <w:tc>
          <w:tcPr>
            <w:tcW w:w="5245" w:type="dxa"/>
            <w:tcBorders>
              <w:top w:val="single" w:sz="2" w:space="0" w:color="A7A9AB"/>
              <w:left w:val="nil"/>
              <w:bottom w:val="single" w:sz="2" w:space="0" w:color="A7A9AB"/>
              <w:right w:val="nil"/>
            </w:tcBorders>
            <w:vAlign w:val="center"/>
          </w:tcPr>
          <w:p w14:paraId="62D90B32" w14:textId="6FCB52D7" w:rsidR="00FA2E98" w:rsidRPr="007F7B25" w:rsidRDefault="00FA2E98" w:rsidP="00F51716">
            <w:pPr>
              <w:pStyle w:val="Tabletext0"/>
            </w:pPr>
            <w:r w:rsidRPr="007F7B25">
              <w:t>SV’s continued participation in the</w:t>
            </w:r>
            <w:r w:rsidR="00723892" w:rsidRPr="007F7B25">
              <w:t xml:space="preserve"> </w:t>
            </w:r>
            <w:r w:rsidRPr="007F7B25">
              <w:t xml:space="preserve">E3 program </w:t>
            </w:r>
            <w:r w:rsidR="00696EB4" w:rsidRPr="007F7B25">
              <w:t xml:space="preserve">helps Victorians </w:t>
            </w:r>
            <w:r w:rsidRPr="007F7B25">
              <w:t>reduc</w:t>
            </w:r>
            <w:r w:rsidR="00696EB4" w:rsidRPr="007F7B25">
              <w:t>e yearly</w:t>
            </w:r>
            <w:r w:rsidRPr="007F7B25">
              <w:t xml:space="preserve"> greenhouse gas emissions by 1.5</w:t>
            </w:r>
            <w:r w:rsidR="007536F1" w:rsidRPr="007F7B25">
              <w:t> </w:t>
            </w:r>
            <w:r w:rsidRPr="007F7B25">
              <w:t>million tCO2-e</w:t>
            </w:r>
          </w:p>
        </w:tc>
        <w:tc>
          <w:tcPr>
            <w:tcW w:w="1011" w:type="dxa"/>
            <w:tcBorders>
              <w:top w:val="single" w:sz="2" w:space="0" w:color="A7A9AB"/>
              <w:left w:val="nil"/>
              <w:bottom w:val="single" w:sz="2" w:space="0" w:color="A7A9AB"/>
              <w:right w:val="nil"/>
            </w:tcBorders>
            <w:vAlign w:val="center"/>
          </w:tcPr>
          <w:p w14:paraId="3B8F66D0" w14:textId="345D1356" w:rsidR="00FA2E98" w:rsidRPr="007F7B25" w:rsidRDefault="00FA2E98" w:rsidP="00F51716">
            <w:pPr>
              <w:pStyle w:val="tableright"/>
            </w:pPr>
            <w:r w:rsidRPr="007F7B25">
              <w:t>1.5 M</w:t>
            </w:r>
          </w:p>
        </w:tc>
        <w:tc>
          <w:tcPr>
            <w:tcW w:w="1257" w:type="dxa"/>
            <w:tcBorders>
              <w:top w:val="single" w:sz="2" w:space="0" w:color="A7A9AB"/>
              <w:left w:val="nil"/>
              <w:bottom w:val="single" w:sz="2" w:space="0" w:color="A7A9AB"/>
              <w:right w:val="nil"/>
            </w:tcBorders>
            <w:vAlign w:val="center"/>
          </w:tcPr>
          <w:p w14:paraId="076817C0" w14:textId="1BE36FC8" w:rsidR="00FA2E98" w:rsidRPr="007F7B25" w:rsidRDefault="001B719C" w:rsidP="00F51716">
            <w:pPr>
              <w:pStyle w:val="tableright"/>
            </w:pPr>
            <w:r w:rsidRPr="007F7B25">
              <w:t>1.63 M</w:t>
            </w:r>
          </w:p>
        </w:tc>
        <w:tc>
          <w:tcPr>
            <w:tcW w:w="1436" w:type="dxa"/>
            <w:tcBorders>
              <w:top w:val="single" w:sz="2" w:space="0" w:color="A7A9AB"/>
              <w:left w:val="nil"/>
              <w:bottom w:val="single" w:sz="2" w:space="0" w:color="A7A9AB"/>
              <w:right w:val="nil"/>
            </w:tcBorders>
            <w:vAlign w:val="center"/>
          </w:tcPr>
          <w:p w14:paraId="3F63E097" w14:textId="7FA5F495" w:rsidR="00FA2E98" w:rsidRPr="00696EB4" w:rsidRDefault="00FB40F1" w:rsidP="00F51716">
            <w:pPr>
              <w:pStyle w:val="tableright"/>
            </w:pPr>
            <w:r>
              <w:rPr>
                <w:rStyle w:val="normaltextrun"/>
                <w:rFonts w:ascii="Segoe UI Emoji" w:hAnsi="Segoe UI Emoji" w:cs="Segoe UI Emoji"/>
              </w:rPr>
              <w:t>✔</w:t>
            </w:r>
          </w:p>
        </w:tc>
      </w:tr>
    </w:tbl>
    <w:p w14:paraId="541C8A75" w14:textId="77777777" w:rsidR="008C258D" w:rsidRDefault="008C258D">
      <w:pPr>
        <w:spacing w:line="264" w:lineRule="auto"/>
        <w:rPr>
          <w:rFonts w:asciiTheme="majorHAnsi" w:eastAsiaTheme="majorEastAsia" w:hAnsiTheme="majorHAnsi" w:cstheme="majorBidi"/>
          <w:color w:val="595959" w:themeColor="accent2" w:themeTint="A6"/>
          <w:sz w:val="36"/>
          <w:szCs w:val="36"/>
        </w:rPr>
      </w:pPr>
      <w:bookmarkStart w:id="31" w:name="_Toc56627324"/>
      <w:bookmarkStart w:id="32" w:name="_Toc57039857"/>
      <w:bookmarkStart w:id="33" w:name="_Hlk56598932"/>
      <w:r>
        <w:br w:type="page"/>
      </w:r>
    </w:p>
    <w:p w14:paraId="40142F4A" w14:textId="1239F299" w:rsidR="00E1579D" w:rsidRDefault="00E1579D" w:rsidP="009C0026">
      <w:pPr>
        <w:pStyle w:val="Header3outcome"/>
      </w:pPr>
      <w:r>
        <w:t>Strategic outcome: Sustainable housing upgrades reduce energy bills for Victorian low-income and health-affected households</w:t>
      </w:r>
    </w:p>
    <w:p w14:paraId="3D28D52C" w14:textId="76FCA178" w:rsidR="00E1579D" w:rsidRDefault="00E1579D" w:rsidP="00E1579D">
      <w:r>
        <w:t xml:space="preserve">In 2019–20, we completed upgrades at 776 homes, meeting our target of 755 (see </w:t>
      </w:r>
      <w:r>
        <w:fldChar w:fldCharType="begin"/>
      </w:r>
      <w:r>
        <w:instrText xml:space="preserve"> REF _Ref57471289 \h </w:instrText>
      </w:r>
      <w:r>
        <w:fldChar w:fldCharType="separate"/>
      </w:r>
      <w:r w:rsidR="00205952">
        <w:t xml:space="preserve">Table </w:t>
      </w:r>
      <w:r w:rsidR="00205952">
        <w:rPr>
          <w:noProof/>
        </w:rPr>
        <w:t>9</w:t>
      </w:r>
      <w:r>
        <w:fldChar w:fldCharType="end"/>
      </w:r>
      <w:r>
        <w:t xml:space="preserve">), but we fell short of our SV2020 target of 2,000 homes – 513 upgrades under the Healthy Homes program will completed in 2020–21 (see below).  </w:t>
      </w:r>
    </w:p>
    <w:p w14:paraId="299EFC5F" w14:textId="1AA2DC1F" w:rsidR="00E1579D" w:rsidRDefault="00E1579D" w:rsidP="00E1579D">
      <w:pPr>
        <w:pStyle w:val="Caption"/>
      </w:pPr>
      <w:bookmarkStart w:id="34" w:name="_Ref57471289"/>
      <w:r>
        <w:t xml:space="preserve">Table </w:t>
      </w:r>
      <w:fldSimple w:instr=" SEQ Table \* ARABIC ">
        <w:r w:rsidR="003F15CC">
          <w:rPr>
            <w:noProof/>
          </w:rPr>
          <w:t>9</w:t>
        </w:r>
      </w:fldSimple>
      <w:bookmarkEnd w:id="34"/>
      <w:r>
        <w:t xml:space="preserve">: </w:t>
      </w:r>
      <w:r w:rsidR="00225FF8">
        <w:t>H</w:t>
      </w:r>
      <w:r>
        <w:t>ousing energy upgrade</w:t>
      </w:r>
      <w:r w:rsidR="00225FF8">
        <w:t>s</w:t>
      </w:r>
      <w:r>
        <w:t xml:space="preserve"> in 2019–20</w:t>
      </w:r>
    </w:p>
    <w:tbl>
      <w:tblPr>
        <w:tblStyle w:val="TableGrid0"/>
        <w:tblW w:w="8949" w:type="dxa"/>
        <w:tblInd w:w="0" w:type="dxa"/>
        <w:tblLayout w:type="fixed"/>
        <w:tblCellMar>
          <w:top w:w="109" w:type="dxa"/>
          <w:right w:w="125" w:type="dxa"/>
        </w:tblCellMar>
        <w:tblLook w:val="04A0" w:firstRow="1" w:lastRow="0" w:firstColumn="1" w:lastColumn="0" w:noHBand="0" w:noVBand="1"/>
      </w:tblPr>
      <w:tblGrid>
        <w:gridCol w:w="5245"/>
        <w:gridCol w:w="1011"/>
        <w:gridCol w:w="1257"/>
        <w:gridCol w:w="1436"/>
      </w:tblGrid>
      <w:tr w:rsidR="00E1579D" w:rsidRPr="003F1670" w14:paraId="41EF5000" w14:textId="77777777" w:rsidTr="00B30771">
        <w:trPr>
          <w:trHeight w:val="373"/>
        </w:trPr>
        <w:tc>
          <w:tcPr>
            <w:tcW w:w="5245" w:type="dxa"/>
            <w:tcBorders>
              <w:top w:val="nil"/>
              <w:left w:val="nil"/>
              <w:bottom w:val="nil"/>
              <w:right w:val="nil"/>
            </w:tcBorders>
            <w:shd w:val="clear" w:color="auto" w:fill="82C341"/>
            <w:vAlign w:val="center"/>
          </w:tcPr>
          <w:p w14:paraId="53448B92" w14:textId="77777777" w:rsidR="00E1579D" w:rsidRPr="003F1670" w:rsidRDefault="00E1579D" w:rsidP="00B30771">
            <w:pPr>
              <w:pStyle w:val="TableHeading"/>
              <w:rPr>
                <w:rFonts w:asciiTheme="minorHAnsi" w:hAnsiTheme="minorHAnsi" w:cstheme="minorHAnsi"/>
                <w:color w:val="000000" w:themeColor="text1"/>
                <w:sz w:val="19"/>
                <w:szCs w:val="19"/>
              </w:rPr>
            </w:pPr>
            <w:r w:rsidRPr="00FE1ED7">
              <w:t>Outcome measure</w:t>
            </w:r>
            <w:r w:rsidRPr="003F1670">
              <w:rPr>
                <w:rFonts w:asciiTheme="minorHAnsi" w:hAnsiTheme="minorHAnsi" w:cstheme="minorHAnsi"/>
                <w:color w:val="000000" w:themeColor="text1"/>
                <w:sz w:val="19"/>
                <w:szCs w:val="19"/>
              </w:rPr>
              <w:t xml:space="preserve"> </w:t>
            </w:r>
          </w:p>
        </w:tc>
        <w:tc>
          <w:tcPr>
            <w:tcW w:w="1011" w:type="dxa"/>
            <w:tcBorders>
              <w:top w:val="nil"/>
              <w:left w:val="nil"/>
              <w:bottom w:val="nil"/>
              <w:right w:val="nil"/>
            </w:tcBorders>
            <w:shd w:val="clear" w:color="auto" w:fill="82C341"/>
            <w:vAlign w:val="center"/>
          </w:tcPr>
          <w:p w14:paraId="07AB4FB0" w14:textId="77777777" w:rsidR="00E1579D" w:rsidRPr="003F1670" w:rsidRDefault="00E1579D" w:rsidP="00B30771">
            <w:pPr>
              <w:pStyle w:val="tableheadright"/>
            </w:pPr>
            <w:r w:rsidRPr="003F1670">
              <w:t>2019–20 target</w:t>
            </w:r>
          </w:p>
        </w:tc>
        <w:tc>
          <w:tcPr>
            <w:tcW w:w="1257" w:type="dxa"/>
            <w:tcBorders>
              <w:top w:val="nil"/>
              <w:left w:val="nil"/>
              <w:bottom w:val="nil"/>
              <w:right w:val="nil"/>
            </w:tcBorders>
            <w:shd w:val="clear" w:color="auto" w:fill="82C341"/>
            <w:vAlign w:val="center"/>
          </w:tcPr>
          <w:p w14:paraId="521CB8C7" w14:textId="77777777" w:rsidR="00E1579D" w:rsidRPr="003F1670" w:rsidRDefault="00E1579D" w:rsidP="00B30771">
            <w:pPr>
              <w:pStyle w:val="tableheadright"/>
            </w:pPr>
            <w:r w:rsidRPr="003F1670">
              <w:t>2019–20 actual</w:t>
            </w:r>
          </w:p>
        </w:tc>
        <w:tc>
          <w:tcPr>
            <w:tcW w:w="1436" w:type="dxa"/>
            <w:tcBorders>
              <w:top w:val="nil"/>
              <w:left w:val="nil"/>
              <w:bottom w:val="nil"/>
              <w:right w:val="nil"/>
            </w:tcBorders>
            <w:shd w:val="clear" w:color="auto" w:fill="82C341"/>
            <w:vAlign w:val="center"/>
          </w:tcPr>
          <w:p w14:paraId="32E979B8" w14:textId="77777777" w:rsidR="00E1579D" w:rsidRPr="003F1670" w:rsidRDefault="00E1579D" w:rsidP="00B30771">
            <w:pPr>
              <w:pStyle w:val="tableheadright"/>
            </w:pPr>
            <w:r w:rsidRPr="003F1670">
              <w:t>Target met</w:t>
            </w:r>
          </w:p>
        </w:tc>
      </w:tr>
      <w:tr w:rsidR="00E1579D" w:rsidRPr="007951C1" w14:paraId="49623A19" w14:textId="77777777" w:rsidTr="00B30771">
        <w:trPr>
          <w:trHeight w:val="411"/>
        </w:trPr>
        <w:tc>
          <w:tcPr>
            <w:tcW w:w="5245" w:type="dxa"/>
            <w:tcBorders>
              <w:top w:val="single" w:sz="2" w:space="0" w:color="A7A9AB"/>
              <w:left w:val="nil"/>
              <w:bottom w:val="single" w:sz="2" w:space="0" w:color="A7A9AB"/>
              <w:right w:val="nil"/>
            </w:tcBorders>
            <w:vAlign w:val="center"/>
          </w:tcPr>
          <w:p w14:paraId="14DCE6C5" w14:textId="67FE5185" w:rsidR="00E1579D" w:rsidRPr="00F47EA8" w:rsidRDefault="00E1579D" w:rsidP="00B30771">
            <w:r w:rsidRPr="00E1579D">
              <w:t>775 low-income and health</w:t>
            </w:r>
            <w:r w:rsidR="000729FA">
              <w:t>-</w:t>
            </w:r>
            <w:r w:rsidRPr="00E1579D">
              <w:t>affected households received home energy upgrades</w:t>
            </w:r>
          </w:p>
        </w:tc>
        <w:tc>
          <w:tcPr>
            <w:tcW w:w="1011" w:type="dxa"/>
            <w:tcBorders>
              <w:top w:val="single" w:sz="2" w:space="0" w:color="A7A9AB"/>
              <w:left w:val="nil"/>
              <w:bottom w:val="single" w:sz="2" w:space="0" w:color="A7A9AB"/>
              <w:right w:val="nil"/>
            </w:tcBorders>
            <w:vAlign w:val="center"/>
          </w:tcPr>
          <w:p w14:paraId="798DD414" w14:textId="77777777" w:rsidR="00E1579D" w:rsidRPr="007951C1" w:rsidRDefault="00E1579D" w:rsidP="00B30771">
            <w:pPr>
              <w:pStyle w:val="tableright"/>
            </w:pPr>
            <w:r>
              <w:t>775</w:t>
            </w:r>
          </w:p>
        </w:tc>
        <w:tc>
          <w:tcPr>
            <w:tcW w:w="1257" w:type="dxa"/>
            <w:tcBorders>
              <w:top w:val="single" w:sz="2" w:space="0" w:color="A7A9AB"/>
              <w:left w:val="nil"/>
              <w:bottom w:val="single" w:sz="2" w:space="0" w:color="A7A9AB"/>
              <w:right w:val="nil"/>
            </w:tcBorders>
            <w:vAlign w:val="center"/>
          </w:tcPr>
          <w:p w14:paraId="510DEC2A" w14:textId="77777777" w:rsidR="00E1579D" w:rsidRPr="007951C1" w:rsidRDefault="00E1579D" w:rsidP="00B30771">
            <w:pPr>
              <w:pStyle w:val="tableright"/>
            </w:pPr>
            <w:r>
              <w:t>776</w:t>
            </w:r>
          </w:p>
        </w:tc>
        <w:tc>
          <w:tcPr>
            <w:tcW w:w="1436" w:type="dxa"/>
            <w:tcBorders>
              <w:top w:val="single" w:sz="2" w:space="0" w:color="A7A9AB"/>
              <w:left w:val="nil"/>
              <w:bottom w:val="single" w:sz="2" w:space="0" w:color="A7A9AB"/>
              <w:right w:val="nil"/>
            </w:tcBorders>
            <w:vAlign w:val="center"/>
          </w:tcPr>
          <w:p w14:paraId="1E29EC7D" w14:textId="5D33A81F" w:rsidR="00E1579D" w:rsidRPr="007951C1" w:rsidRDefault="009C0026" w:rsidP="00B30771">
            <w:pPr>
              <w:pStyle w:val="tableright"/>
            </w:pPr>
            <w:r>
              <w:rPr>
                <w:rStyle w:val="normaltextrun"/>
                <w:rFonts w:ascii="Segoe UI Emoji" w:hAnsi="Segoe UI Emoji" w:cs="Segoe UI Emoji"/>
              </w:rPr>
              <w:t>✔</w:t>
            </w:r>
          </w:p>
        </w:tc>
      </w:tr>
    </w:tbl>
    <w:p w14:paraId="66EF5B85" w14:textId="77777777" w:rsidR="00E1579D" w:rsidRPr="00F51716" w:rsidRDefault="00E1579D" w:rsidP="009C0026">
      <w:pPr>
        <w:pStyle w:val="Heading4"/>
      </w:pPr>
      <w:r w:rsidRPr="00F51716">
        <w:t xml:space="preserve">Latrobe Valley Home Energy Upgrades </w:t>
      </w:r>
    </w:p>
    <w:p w14:paraId="0796E446" w14:textId="77777777" w:rsidR="00E1579D" w:rsidRDefault="00E1579D" w:rsidP="00E1579D">
      <w:r w:rsidRPr="0047585B">
        <w:t>Th</w:t>
      </w:r>
      <w:r>
        <w:t xml:space="preserve">e </w:t>
      </w:r>
      <w:r w:rsidRPr="0047585B">
        <w:t>Latrobe Valley Home Energy Upgrades</w:t>
      </w:r>
      <w:r>
        <w:t xml:space="preserve"> program</w:t>
      </w:r>
      <w:r w:rsidRPr="002C5B4A">
        <w:t xml:space="preserve"> </w:t>
      </w:r>
      <w:r>
        <w:t>successfully delivered energy efficiency upgrades to 1,000 householders in the Latrobe City, Wellington and Baw Baw council areas. Upgrades included replacing older fixed appliances, improving insulation and installing solar PV systems or heat pump water heaters.</w:t>
      </w:r>
    </w:p>
    <w:p w14:paraId="42BFF492" w14:textId="77777777" w:rsidR="00E1579D" w:rsidRDefault="00E1579D" w:rsidP="00E1579D">
      <w:r>
        <w:t>In 2019–20</w:t>
      </w:r>
      <w:r w:rsidRPr="0047585B">
        <w:t xml:space="preserve">, </w:t>
      </w:r>
      <w:r>
        <w:t xml:space="preserve">we completed the last </w:t>
      </w:r>
      <w:r w:rsidRPr="0047585B">
        <w:t>520 upgrades</w:t>
      </w:r>
      <w:r>
        <w:t xml:space="preserve"> saving participants $250,000 on their yearly energy bills and reducing greenhouse emissions by almost 700 </w:t>
      </w:r>
      <w:r w:rsidRPr="0047585B">
        <w:t>tCO2-e</w:t>
      </w:r>
      <w:r>
        <w:t xml:space="preserve"> every year.</w:t>
      </w:r>
    </w:p>
    <w:p w14:paraId="68EAE497" w14:textId="77777777" w:rsidR="00E1579D" w:rsidRDefault="00E1579D" w:rsidP="009C0026">
      <w:pPr>
        <w:pStyle w:val="Heading4"/>
      </w:pPr>
      <w:r>
        <w:t>Healthy Homes</w:t>
      </w:r>
    </w:p>
    <w:p w14:paraId="16506C5E" w14:textId="77777777" w:rsidR="00E1579D" w:rsidRPr="00F51716" w:rsidRDefault="00E1579D" w:rsidP="00E1579D">
      <w:r w:rsidRPr="00F51716">
        <w:t xml:space="preserve">The </w:t>
      </w:r>
      <w:hyperlink r:id="rId26" w:history="1">
        <w:r w:rsidRPr="00F51716">
          <w:rPr>
            <w:rStyle w:val="Hyperlink"/>
            <w:rFonts w:cstheme="minorBidi"/>
            <w:color w:val="auto"/>
            <w:u w:val="none"/>
          </w:rPr>
          <w:t>Victorian Healthy Homes Program</w:t>
        </w:r>
      </w:hyperlink>
      <w:r w:rsidRPr="00F51716">
        <w:t xml:space="preserve"> provides free home energy upgrades to up to 1,000 Victorians who live with complex healthcare needs and have low incomes in Melbourne's western suburbs and the Goulburn Valley.</w:t>
      </w:r>
    </w:p>
    <w:p w14:paraId="265A2120" w14:textId="02CE614E" w:rsidR="00E1579D" w:rsidRPr="00F51716" w:rsidRDefault="00E1579D" w:rsidP="00E1579D">
      <w:r w:rsidRPr="00F51716">
        <w:t>Recruitment of eligible households began in January 2018 and was completed in March 2020. In 2019–20, we upgraded 256 homes, taking the total number of home upgrades to 487 over the life of the program and saving participants more than $60,000 on their energy bills.</w:t>
      </w:r>
    </w:p>
    <w:p w14:paraId="6AB58D55" w14:textId="77777777" w:rsidR="00E1579D" w:rsidRPr="00F51716" w:rsidRDefault="00E1579D" w:rsidP="00E1579D">
      <w:r w:rsidRPr="00F51716">
        <w:t xml:space="preserve">The final 513 upgrades will be done in 2020–21, due to early complexities in project delivery and the impact of government-wide suspensions of home energy upgrade programs under COVID-19 restrictions. We will continue to deliver this program when permitted under government restrictions. </w:t>
      </w:r>
    </w:p>
    <w:p w14:paraId="51FBE55F" w14:textId="77777777" w:rsidR="00E1579D" w:rsidRPr="00F51716" w:rsidRDefault="00E1579D" w:rsidP="00E1579D">
      <w:r w:rsidRPr="00F51716">
        <w:t xml:space="preserve">We completed 564 energy efficiency audits and surveyed 621 households on the health benefits of energy efficiency. Data and results from the study conducted as part of this program was shared with other agencies and stakeholders to inform policy development and program delivery on energy efficiency, thermal comfort and health-related impacts. </w:t>
      </w:r>
    </w:p>
    <w:p w14:paraId="2484C823" w14:textId="2D1ECA2A" w:rsidR="00E1579D" w:rsidRPr="00B30771" w:rsidRDefault="00E1579D" w:rsidP="009C0026">
      <w:pPr>
        <w:pStyle w:val="Header3outcome"/>
      </w:pPr>
      <w:r w:rsidRPr="00B30771">
        <w:t>Strategic outcome: Victorians recognise that climate change is a significant issue facing Victoria</w:t>
      </w:r>
    </w:p>
    <w:p w14:paraId="3D678BED" w14:textId="77777777" w:rsidR="00E1579D" w:rsidRDefault="00E1579D" w:rsidP="00E1579D">
      <w:r>
        <w:rPr>
          <w:noProof/>
        </w:rPr>
        <mc:AlternateContent>
          <mc:Choice Requires="wps">
            <w:drawing>
              <wp:anchor distT="0" distB="0" distL="114300" distR="114300" simplePos="0" relativeHeight="251658241" behindDoc="0" locked="0" layoutInCell="1" allowOverlap="1" wp14:anchorId="486FE2B5" wp14:editId="6D7F3279">
                <wp:simplePos x="0" y="0"/>
                <wp:positionH relativeFrom="column">
                  <wp:posOffset>2944495</wp:posOffset>
                </wp:positionH>
                <wp:positionV relativeFrom="paragraph">
                  <wp:posOffset>48425</wp:posOffset>
                </wp:positionV>
                <wp:extent cx="3101340" cy="1816735"/>
                <wp:effectExtent l="0" t="0" r="22860" b="12065"/>
                <wp:wrapSquare wrapText="bothSides"/>
                <wp:docPr id="4" name="Text Box 4"/>
                <wp:cNvGraphicFramePr/>
                <a:graphic xmlns:a="http://schemas.openxmlformats.org/drawingml/2006/main">
                  <a:graphicData uri="http://schemas.microsoft.com/office/word/2010/wordprocessingShape">
                    <wps:wsp>
                      <wps:cNvSpPr txBox="1"/>
                      <wps:spPr>
                        <a:xfrm>
                          <a:off x="0" y="0"/>
                          <a:ext cx="3101340" cy="1816735"/>
                        </a:xfrm>
                        <a:prstGeom prst="rect">
                          <a:avLst/>
                        </a:prstGeom>
                        <a:noFill/>
                        <a:ln w="6350">
                          <a:solidFill>
                            <a:prstClr val="black"/>
                          </a:solidFill>
                        </a:ln>
                      </wps:spPr>
                      <wps:txbx>
                        <w:txbxContent>
                          <w:p w14:paraId="60587AB0" w14:textId="77777777" w:rsidR="005F5554" w:rsidRPr="00246543" w:rsidRDefault="005F5554" w:rsidP="00E1579D">
                            <w:pPr>
                              <w:pStyle w:val="Quote"/>
                            </w:pPr>
                            <w:r w:rsidRPr="00E325C1">
                              <w:t xml:space="preserve">'Working together, we pledge to play our part and take action on climate change for Victoria, our country and our planet.' </w:t>
                            </w:r>
                            <w:r w:rsidRPr="00983306">
                              <w:rPr>
                                <w:sz w:val="20"/>
                                <w:szCs w:val="20"/>
                              </w:rPr>
                              <w:t>The TAKE2 pledge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FE2B5" id="Text Box 4" o:spid="_x0000_s1027" type="#_x0000_t202" style="position:absolute;margin-left:231.85pt;margin-top:3.8pt;width:244.2pt;height:14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UF7QwIAAIEEAAAOAAAAZHJzL2Uyb0RvYy54bWysVE1v2zAMvQ/YfxB0X2znq50Rp8hSZBgQ&#10;tAWSoWdFlmNjsqhJSuzs14+S7TTodhp2USjymeJ7JLN4aGtJzsLYClRGk1FMiVAc8kodM/p9v/l0&#10;T4l1TOVMghIZvQhLH5YfPywanYoxlCBzYQgmUTZtdEZL53QaRZaXomZ2BFooDBZgaubwao5RbliD&#10;2WsZjeN4HjVgcm2AC2vR+9gF6TLkLwrB3XNRWOGIzCjW5sJpwnnwZ7RcsPRomC4r3pfB/qGKmlUK&#10;H72memSOkZOp/khVV9yAhcKNONQRFEXFReCAbJL4HZtdybQIXFAcq68y2f+Xlj+dXwyp8oxOKVGs&#10;xhbtRevIF2jJ1KvTaJsiaKcR5lp0Y5cHv0WnJ90Wpva/SIdgHHW+XLX1yTg6J0mcTKYY4hhL7pP5&#10;3WTm80Rvn2tj3VcBNfFGRg02L2jKzlvrOugA8a8p2FRShgZKRZqMziezOHxgQVa5D3qY/2QtDTkz&#10;HIGDZPxH/+wNCouQCmvxZDtS3nLtoQ3SXAkfIL+gDga6ObKabypMv2XWvTCDg4P8cBncMx6FBKwJ&#10;eouSEsyvv/k9HvuJUUoaHMSM2p8nZgQl8pvCTn9Opl42Fy7T2d0YL+Y2criNqFO9BiSa4NppHkyP&#10;d3IwCwP1K+7Myr+KIaY4vp1RN5hr160H7hwXq1UA4axq5rZqp7lPPci6b1+Z0X27HHb6CYaRZem7&#10;rnXYrm+rk4OiCi31Oneq9vLjnIeh6HfSL9LtPaDe/jmWvwEAAP//AwBQSwMEFAAGAAgAAAAhAGrL&#10;U63hAAAACQEAAA8AAABkcnMvZG93bnJldi54bWxMj8tOwzAQRfdI/IM1SOyo00ATGuJUCNEFEqpE&#10;W1GWTjzEEX6E2E0DX8+wguXoXN17plxN1rARh9B5J2A+S4Cha7zqXCtgv1tf3QILUToljXco4AsD&#10;rKrzs1IWyp/cC47b2DIqcaGQAnSMfcF5aDRaGWa+R0fs3Q9WRjqHlqtBnqjcGp4mScat7BwtaNnj&#10;g8bmY3u0Ap5fD5+P681bcsDadIvR5Prpuxbi8mK6vwMWcYp/YfjVJ3WoyKn2R6cCMwJusuucogLy&#10;DBjx5SKdA6sFpEsCvCr5/w+qHwAAAP//AwBQSwECLQAUAAYACAAAACEAtoM4kv4AAADhAQAAEwAA&#10;AAAAAAAAAAAAAAAAAAAAW0NvbnRlbnRfVHlwZXNdLnhtbFBLAQItABQABgAIAAAAIQA4/SH/1gAA&#10;AJQBAAALAAAAAAAAAAAAAAAAAC8BAABfcmVscy8ucmVsc1BLAQItABQABgAIAAAAIQD5aUF7QwIA&#10;AIEEAAAOAAAAAAAAAAAAAAAAAC4CAABkcnMvZTJvRG9jLnhtbFBLAQItABQABgAIAAAAIQBqy1Ot&#10;4QAAAAkBAAAPAAAAAAAAAAAAAAAAAJ0EAABkcnMvZG93bnJldi54bWxQSwUGAAAAAAQABADzAAAA&#10;qwUAAAAA&#10;" filled="f" strokeweight=".5pt">
                <v:textbox>
                  <w:txbxContent>
                    <w:p w14:paraId="60587AB0" w14:textId="77777777" w:rsidR="005F5554" w:rsidRPr="00246543" w:rsidRDefault="005F5554" w:rsidP="00E1579D">
                      <w:pPr>
                        <w:pStyle w:val="Quote"/>
                      </w:pPr>
                      <w:r w:rsidRPr="00E325C1">
                        <w:t xml:space="preserve">'Working together, we pledge to play our part and take action on climate change for Victoria, our country and our planet.' </w:t>
                      </w:r>
                      <w:r w:rsidRPr="00983306">
                        <w:rPr>
                          <w:sz w:val="20"/>
                          <w:szCs w:val="20"/>
                        </w:rPr>
                        <w:t>The TAKE2 pledge</w:t>
                      </w:r>
                    </w:p>
                  </w:txbxContent>
                </v:textbox>
                <w10:wrap type="square"/>
              </v:shape>
            </w:pict>
          </mc:Fallback>
        </mc:AlternateContent>
      </w:r>
      <w:hyperlink r:id="rId27" w:history="1">
        <w:r w:rsidRPr="00696EB4">
          <w:rPr>
            <w:rStyle w:val="Hyperlink"/>
            <w:rFonts w:cstheme="minorBidi"/>
          </w:rPr>
          <w:t>TAKE2</w:t>
        </w:r>
      </w:hyperlink>
      <w:r w:rsidRPr="0047585B">
        <w:t xml:space="preserve"> is Victoria’s collective climate change action to </w:t>
      </w:r>
      <w:r>
        <w:t>support</w:t>
      </w:r>
      <w:r w:rsidRPr="0047585B">
        <w:t xml:space="preserve"> Victoria</w:t>
      </w:r>
      <w:r>
        <w:t xml:space="preserve"> to</w:t>
      </w:r>
      <w:r w:rsidRPr="0047585B">
        <w:t xml:space="preserve"> reach net zero greenhouse gas emissions by 2050.</w:t>
      </w:r>
      <w:r>
        <w:t xml:space="preserve"> We have</w:t>
      </w:r>
      <w:r w:rsidRPr="0047585B">
        <w:t xml:space="preserve"> hosted the Victorian </w:t>
      </w:r>
      <w:r>
        <w:t>G</w:t>
      </w:r>
      <w:r w:rsidRPr="0047585B">
        <w:t>overnment’s TAKE2 voluntary pledge program since June 2016.</w:t>
      </w:r>
    </w:p>
    <w:p w14:paraId="15AEFCC4" w14:textId="77777777" w:rsidR="00BD011D" w:rsidRPr="00080513" w:rsidRDefault="00BD011D" w:rsidP="00BD011D">
      <w:r w:rsidRPr="00080513">
        <w:t>In 2019–20, 125,901 TAKE2 actions were committed to by individuals, community and business. The actions committed to by Victorians could reduce greenhouse emissions by over 2 million tCO2-e if implemented.</w:t>
      </w:r>
    </w:p>
    <w:p w14:paraId="0FDA7062" w14:textId="77777777" w:rsidR="00BD011D" w:rsidRDefault="00BD011D" w:rsidP="00BD011D">
      <w:r w:rsidRPr="0047585B">
        <w:t xml:space="preserve">To retain the network of nearly 1,200 TAKE2 organisations, </w:t>
      </w:r>
      <w:r>
        <w:t>SV</w:t>
      </w:r>
      <w:r w:rsidRPr="0047585B">
        <w:t xml:space="preserve"> is seeking a pathway that will engage the network in deliver</w:t>
      </w:r>
      <w:r>
        <w:t>ing</w:t>
      </w:r>
      <w:r w:rsidRPr="0047585B">
        <w:t xml:space="preserve"> Recycling Victoria programs, and the integrated place-based delivery of the transition to net zero emissions across Victoria.</w:t>
      </w:r>
      <w:r>
        <w:t xml:space="preserve"> </w:t>
      </w:r>
    </w:p>
    <w:p w14:paraId="0E694FB1" w14:textId="678956D4" w:rsidR="00E1579D" w:rsidRDefault="00E1579D" w:rsidP="00E1579D">
      <w:pPr>
        <w:pStyle w:val="Caption"/>
      </w:pPr>
      <w:r>
        <w:t xml:space="preserve">Table </w:t>
      </w:r>
      <w:fldSimple w:instr=" SEQ Table \* ARABIC ">
        <w:r w:rsidR="003F15CC">
          <w:rPr>
            <w:noProof/>
          </w:rPr>
          <w:t>10</w:t>
        </w:r>
      </w:fldSimple>
      <w:r>
        <w:t xml:space="preserve">: </w:t>
      </w:r>
      <w:r w:rsidR="00BD011D">
        <w:t>R</w:t>
      </w:r>
      <w:r>
        <w:t>ecognising climate change as a significant issue in 2019–20</w:t>
      </w:r>
    </w:p>
    <w:tbl>
      <w:tblPr>
        <w:tblStyle w:val="TableGrid0"/>
        <w:tblW w:w="8949" w:type="dxa"/>
        <w:tblInd w:w="0" w:type="dxa"/>
        <w:tblLayout w:type="fixed"/>
        <w:tblCellMar>
          <w:top w:w="109" w:type="dxa"/>
          <w:right w:w="125" w:type="dxa"/>
        </w:tblCellMar>
        <w:tblLook w:val="04A0" w:firstRow="1" w:lastRow="0" w:firstColumn="1" w:lastColumn="0" w:noHBand="0" w:noVBand="1"/>
      </w:tblPr>
      <w:tblGrid>
        <w:gridCol w:w="5245"/>
        <w:gridCol w:w="1011"/>
        <w:gridCol w:w="1257"/>
        <w:gridCol w:w="1436"/>
      </w:tblGrid>
      <w:tr w:rsidR="00E1579D" w:rsidRPr="003F1670" w14:paraId="0469F8D7" w14:textId="77777777" w:rsidTr="00B30771">
        <w:trPr>
          <w:trHeight w:val="373"/>
        </w:trPr>
        <w:tc>
          <w:tcPr>
            <w:tcW w:w="5245" w:type="dxa"/>
            <w:tcBorders>
              <w:top w:val="nil"/>
              <w:left w:val="nil"/>
              <w:bottom w:val="nil"/>
              <w:right w:val="nil"/>
            </w:tcBorders>
            <w:shd w:val="clear" w:color="auto" w:fill="82C341"/>
            <w:vAlign w:val="center"/>
          </w:tcPr>
          <w:p w14:paraId="792300DB" w14:textId="77777777" w:rsidR="00E1579D" w:rsidRPr="003F1670" w:rsidRDefault="00E1579D" w:rsidP="00B30771">
            <w:pPr>
              <w:pStyle w:val="TableHeading"/>
              <w:rPr>
                <w:rFonts w:asciiTheme="minorHAnsi" w:hAnsiTheme="minorHAnsi" w:cstheme="minorHAnsi"/>
                <w:color w:val="000000" w:themeColor="text1"/>
                <w:sz w:val="19"/>
                <w:szCs w:val="19"/>
              </w:rPr>
            </w:pPr>
            <w:r w:rsidRPr="00FE1ED7">
              <w:t>Outcome measure</w:t>
            </w:r>
            <w:r w:rsidRPr="003F1670">
              <w:rPr>
                <w:rFonts w:asciiTheme="minorHAnsi" w:hAnsiTheme="minorHAnsi" w:cstheme="minorHAnsi"/>
                <w:color w:val="000000" w:themeColor="text1"/>
                <w:sz w:val="19"/>
                <w:szCs w:val="19"/>
              </w:rPr>
              <w:t xml:space="preserve"> </w:t>
            </w:r>
          </w:p>
        </w:tc>
        <w:tc>
          <w:tcPr>
            <w:tcW w:w="1011" w:type="dxa"/>
            <w:tcBorders>
              <w:top w:val="nil"/>
              <w:left w:val="nil"/>
              <w:bottom w:val="nil"/>
              <w:right w:val="nil"/>
            </w:tcBorders>
            <w:shd w:val="clear" w:color="auto" w:fill="82C341"/>
            <w:vAlign w:val="center"/>
          </w:tcPr>
          <w:p w14:paraId="4EE4BD4E" w14:textId="77777777" w:rsidR="00E1579D" w:rsidRPr="003F1670" w:rsidRDefault="00E1579D" w:rsidP="00B30771">
            <w:pPr>
              <w:pStyle w:val="tableheadright"/>
            </w:pPr>
            <w:r w:rsidRPr="003F1670">
              <w:t>2019–20 target</w:t>
            </w:r>
          </w:p>
        </w:tc>
        <w:tc>
          <w:tcPr>
            <w:tcW w:w="1257" w:type="dxa"/>
            <w:tcBorders>
              <w:top w:val="nil"/>
              <w:left w:val="nil"/>
              <w:bottom w:val="nil"/>
              <w:right w:val="nil"/>
            </w:tcBorders>
            <w:shd w:val="clear" w:color="auto" w:fill="82C341"/>
            <w:vAlign w:val="center"/>
          </w:tcPr>
          <w:p w14:paraId="383F3AF8" w14:textId="77777777" w:rsidR="00E1579D" w:rsidRPr="003F1670" w:rsidRDefault="00E1579D" w:rsidP="00B30771">
            <w:pPr>
              <w:pStyle w:val="tableheadright"/>
            </w:pPr>
            <w:r w:rsidRPr="003F1670">
              <w:t>2019–20 actual</w:t>
            </w:r>
          </w:p>
        </w:tc>
        <w:tc>
          <w:tcPr>
            <w:tcW w:w="1436" w:type="dxa"/>
            <w:tcBorders>
              <w:top w:val="nil"/>
              <w:left w:val="nil"/>
              <w:bottom w:val="nil"/>
              <w:right w:val="nil"/>
            </w:tcBorders>
            <w:shd w:val="clear" w:color="auto" w:fill="82C341"/>
            <w:vAlign w:val="center"/>
          </w:tcPr>
          <w:p w14:paraId="6CC60991" w14:textId="77777777" w:rsidR="00E1579D" w:rsidRPr="003F1670" w:rsidRDefault="00E1579D" w:rsidP="00B30771">
            <w:pPr>
              <w:pStyle w:val="tableheadright"/>
            </w:pPr>
            <w:r w:rsidRPr="003F1670">
              <w:t>Target met</w:t>
            </w:r>
          </w:p>
        </w:tc>
      </w:tr>
      <w:tr w:rsidR="00E1579D" w:rsidRPr="007951C1" w14:paraId="48695A78" w14:textId="77777777" w:rsidTr="00B30771">
        <w:trPr>
          <w:trHeight w:val="411"/>
        </w:trPr>
        <w:tc>
          <w:tcPr>
            <w:tcW w:w="5245" w:type="dxa"/>
            <w:tcBorders>
              <w:top w:val="single" w:sz="2" w:space="0" w:color="A7A9AB"/>
              <w:left w:val="nil"/>
              <w:bottom w:val="single" w:sz="2" w:space="0" w:color="A7A9AB"/>
              <w:right w:val="nil"/>
            </w:tcBorders>
            <w:vAlign w:val="center"/>
          </w:tcPr>
          <w:p w14:paraId="707BF8A4" w14:textId="746FDA1D" w:rsidR="00E1579D" w:rsidRPr="00F47EA8" w:rsidRDefault="00E1579D" w:rsidP="00E1579D">
            <w:r>
              <w:t>33% of the Victorian population ranked climate change in the top 3 issues of importance</w:t>
            </w:r>
          </w:p>
        </w:tc>
        <w:tc>
          <w:tcPr>
            <w:tcW w:w="1011" w:type="dxa"/>
            <w:tcBorders>
              <w:top w:val="single" w:sz="2" w:space="0" w:color="A7A9AB"/>
              <w:left w:val="nil"/>
              <w:bottom w:val="single" w:sz="2" w:space="0" w:color="A7A9AB"/>
              <w:right w:val="nil"/>
            </w:tcBorders>
            <w:vAlign w:val="center"/>
          </w:tcPr>
          <w:p w14:paraId="5EFE8FAE" w14:textId="3A7F0AAE" w:rsidR="00E1579D" w:rsidRPr="007951C1" w:rsidRDefault="00E1579D" w:rsidP="00B30771">
            <w:pPr>
              <w:pStyle w:val="tableright"/>
            </w:pPr>
            <w:r>
              <w:t>33%</w:t>
            </w:r>
          </w:p>
        </w:tc>
        <w:tc>
          <w:tcPr>
            <w:tcW w:w="1257" w:type="dxa"/>
            <w:tcBorders>
              <w:top w:val="single" w:sz="2" w:space="0" w:color="A7A9AB"/>
              <w:left w:val="nil"/>
              <w:bottom w:val="single" w:sz="2" w:space="0" w:color="A7A9AB"/>
              <w:right w:val="nil"/>
            </w:tcBorders>
            <w:vAlign w:val="center"/>
          </w:tcPr>
          <w:p w14:paraId="66DAF9D3" w14:textId="28ACBF2B" w:rsidR="00E1579D" w:rsidRPr="007951C1" w:rsidRDefault="009C0026" w:rsidP="00B30771">
            <w:pPr>
              <w:pStyle w:val="tableright"/>
            </w:pPr>
            <w:r>
              <w:t>34%</w:t>
            </w:r>
          </w:p>
        </w:tc>
        <w:tc>
          <w:tcPr>
            <w:tcW w:w="1436" w:type="dxa"/>
            <w:tcBorders>
              <w:top w:val="single" w:sz="2" w:space="0" w:color="A7A9AB"/>
              <w:left w:val="nil"/>
              <w:bottom w:val="single" w:sz="2" w:space="0" w:color="A7A9AB"/>
              <w:right w:val="nil"/>
            </w:tcBorders>
            <w:vAlign w:val="center"/>
          </w:tcPr>
          <w:p w14:paraId="79AEF7E7" w14:textId="1F41DB7F" w:rsidR="00E1579D" w:rsidRPr="007951C1" w:rsidRDefault="009C0026" w:rsidP="00B30771">
            <w:pPr>
              <w:pStyle w:val="tableright"/>
            </w:pPr>
            <w:r>
              <w:rPr>
                <w:rStyle w:val="normaltextrun"/>
                <w:rFonts w:ascii="Segoe UI Emoji" w:hAnsi="Segoe UI Emoji" w:cs="Segoe UI Emoji"/>
              </w:rPr>
              <w:t>✔</w:t>
            </w:r>
          </w:p>
        </w:tc>
      </w:tr>
      <w:tr w:rsidR="00E1579D" w:rsidRPr="007951C1" w14:paraId="30F0FCD9" w14:textId="77777777" w:rsidTr="00B30771">
        <w:trPr>
          <w:trHeight w:val="411"/>
        </w:trPr>
        <w:tc>
          <w:tcPr>
            <w:tcW w:w="5245" w:type="dxa"/>
            <w:tcBorders>
              <w:top w:val="single" w:sz="2" w:space="0" w:color="A7A9AB"/>
              <w:left w:val="nil"/>
              <w:bottom w:val="single" w:sz="2" w:space="0" w:color="A7A9AB"/>
              <w:right w:val="nil"/>
            </w:tcBorders>
            <w:vAlign w:val="center"/>
          </w:tcPr>
          <w:p w14:paraId="305FD345" w14:textId="76A5C737" w:rsidR="00E1579D" w:rsidRPr="00F47EA8" w:rsidRDefault="00E1579D" w:rsidP="00B30771">
            <w:r w:rsidRPr="00E1579D">
              <w:t>1,200 organisations in the TAKE2 network</w:t>
            </w:r>
          </w:p>
        </w:tc>
        <w:tc>
          <w:tcPr>
            <w:tcW w:w="1011" w:type="dxa"/>
            <w:tcBorders>
              <w:top w:val="single" w:sz="2" w:space="0" w:color="A7A9AB"/>
              <w:left w:val="nil"/>
              <w:bottom w:val="single" w:sz="2" w:space="0" w:color="A7A9AB"/>
              <w:right w:val="nil"/>
            </w:tcBorders>
            <w:vAlign w:val="center"/>
          </w:tcPr>
          <w:p w14:paraId="6738D595" w14:textId="58FE5992" w:rsidR="00E1579D" w:rsidRPr="007951C1" w:rsidRDefault="00E1579D" w:rsidP="00B30771">
            <w:pPr>
              <w:pStyle w:val="tableright"/>
            </w:pPr>
            <w:r>
              <w:t>1,200</w:t>
            </w:r>
          </w:p>
        </w:tc>
        <w:tc>
          <w:tcPr>
            <w:tcW w:w="1257" w:type="dxa"/>
            <w:tcBorders>
              <w:top w:val="single" w:sz="2" w:space="0" w:color="A7A9AB"/>
              <w:left w:val="nil"/>
              <w:bottom w:val="single" w:sz="2" w:space="0" w:color="A7A9AB"/>
              <w:right w:val="nil"/>
            </w:tcBorders>
            <w:vAlign w:val="center"/>
          </w:tcPr>
          <w:p w14:paraId="0A6694F7" w14:textId="0637C8D4" w:rsidR="00E1579D" w:rsidRPr="007951C1" w:rsidRDefault="00BD011D" w:rsidP="00B30771">
            <w:pPr>
              <w:pStyle w:val="tableright"/>
            </w:pPr>
            <w:r>
              <w:t>1,196</w:t>
            </w:r>
          </w:p>
        </w:tc>
        <w:tc>
          <w:tcPr>
            <w:tcW w:w="1436" w:type="dxa"/>
            <w:tcBorders>
              <w:top w:val="single" w:sz="2" w:space="0" w:color="A7A9AB"/>
              <w:left w:val="nil"/>
              <w:bottom w:val="single" w:sz="2" w:space="0" w:color="A7A9AB"/>
              <w:right w:val="nil"/>
            </w:tcBorders>
            <w:vAlign w:val="center"/>
          </w:tcPr>
          <w:p w14:paraId="1C6D876C" w14:textId="527F5A09" w:rsidR="00E1579D" w:rsidRPr="007951C1" w:rsidRDefault="009C0026" w:rsidP="00B30771">
            <w:pPr>
              <w:pStyle w:val="tableright"/>
            </w:pPr>
            <w:r>
              <w:rPr>
                <w:rStyle w:val="normaltextrun"/>
                <w:rFonts w:ascii="Segoe UI Symbol" w:hAnsi="Segoe UI Symbol" w:cs="Segoe UI Symbol"/>
              </w:rPr>
              <w:t>✘</w:t>
            </w:r>
          </w:p>
        </w:tc>
      </w:tr>
      <w:tr w:rsidR="00E1579D" w:rsidRPr="007951C1" w14:paraId="2E3794F8" w14:textId="77777777" w:rsidTr="00B30771">
        <w:trPr>
          <w:trHeight w:val="411"/>
        </w:trPr>
        <w:tc>
          <w:tcPr>
            <w:tcW w:w="5245" w:type="dxa"/>
            <w:tcBorders>
              <w:top w:val="single" w:sz="2" w:space="0" w:color="A7A9AB"/>
              <w:left w:val="nil"/>
              <w:bottom w:val="single" w:sz="2" w:space="0" w:color="A7A9AB"/>
              <w:right w:val="nil"/>
            </w:tcBorders>
            <w:vAlign w:val="center"/>
          </w:tcPr>
          <w:p w14:paraId="0087513D" w14:textId="0D099B40" w:rsidR="00E1579D" w:rsidRPr="00F47EA8" w:rsidRDefault="00E1579D" w:rsidP="00B30771">
            <w:r w:rsidRPr="00E1579D">
              <w:t>Individuals, communities and businesses committed to 115,000 TAKE2 actions</w:t>
            </w:r>
          </w:p>
        </w:tc>
        <w:tc>
          <w:tcPr>
            <w:tcW w:w="1011" w:type="dxa"/>
            <w:tcBorders>
              <w:top w:val="single" w:sz="2" w:space="0" w:color="A7A9AB"/>
              <w:left w:val="nil"/>
              <w:bottom w:val="single" w:sz="2" w:space="0" w:color="A7A9AB"/>
              <w:right w:val="nil"/>
            </w:tcBorders>
            <w:vAlign w:val="center"/>
          </w:tcPr>
          <w:p w14:paraId="624443E3" w14:textId="7EAA72C4" w:rsidR="00E1579D" w:rsidRPr="007951C1" w:rsidRDefault="00E1579D" w:rsidP="00B30771">
            <w:pPr>
              <w:pStyle w:val="tableright"/>
            </w:pPr>
            <w:r>
              <w:t>11</w:t>
            </w:r>
            <w:r w:rsidR="00BD011D">
              <w:t>5</w:t>
            </w:r>
            <w:r>
              <w:t>,000</w:t>
            </w:r>
          </w:p>
        </w:tc>
        <w:tc>
          <w:tcPr>
            <w:tcW w:w="1257" w:type="dxa"/>
            <w:tcBorders>
              <w:top w:val="single" w:sz="2" w:space="0" w:color="A7A9AB"/>
              <w:left w:val="nil"/>
              <w:bottom w:val="single" w:sz="2" w:space="0" w:color="A7A9AB"/>
              <w:right w:val="nil"/>
            </w:tcBorders>
            <w:vAlign w:val="center"/>
          </w:tcPr>
          <w:p w14:paraId="6FED342E" w14:textId="7E023A7C" w:rsidR="00E1579D" w:rsidRPr="007951C1" w:rsidRDefault="00BD011D" w:rsidP="00B30771">
            <w:pPr>
              <w:pStyle w:val="tableright"/>
            </w:pPr>
            <w:r>
              <w:t>125,091</w:t>
            </w:r>
          </w:p>
        </w:tc>
        <w:tc>
          <w:tcPr>
            <w:tcW w:w="1436" w:type="dxa"/>
            <w:tcBorders>
              <w:top w:val="single" w:sz="2" w:space="0" w:color="A7A9AB"/>
              <w:left w:val="nil"/>
              <w:bottom w:val="single" w:sz="2" w:space="0" w:color="A7A9AB"/>
              <w:right w:val="nil"/>
            </w:tcBorders>
            <w:vAlign w:val="center"/>
          </w:tcPr>
          <w:p w14:paraId="79F7B069" w14:textId="7BD49234" w:rsidR="00E1579D" w:rsidRPr="007951C1" w:rsidRDefault="009C0026" w:rsidP="00B30771">
            <w:pPr>
              <w:pStyle w:val="tableright"/>
            </w:pPr>
            <w:r>
              <w:rPr>
                <w:rStyle w:val="normaltextrun"/>
                <w:rFonts w:ascii="Segoe UI Emoji" w:hAnsi="Segoe UI Emoji" w:cs="Segoe UI Emoji"/>
              </w:rPr>
              <w:t>✔</w:t>
            </w:r>
          </w:p>
        </w:tc>
      </w:tr>
    </w:tbl>
    <w:p w14:paraId="621B8D8D" w14:textId="77777777" w:rsidR="00E1579D" w:rsidRPr="00E1579D" w:rsidRDefault="00E1579D" w:rsidP="00E1579D"/>
    <w:p w14:paraId="2C2F54A7" w14:textId="77777777" w:rsidR="00BD011D" w:rsidRDefault="00BD011D">
      <w:pPr>
        <w:spacing w:line="264" w:lineRule="auto"/>
        <w:rPr>
          <w:rFonts w:asciiTheme="majorHAnsi" w:eastAsiaTheme="majorEastAsia" w:hAnsiTheme="majorHAnsi" w:cstheme="majorBidi"/>
          <w:color w:val="4F7928" w:themeColor="accent4" w:themeShade="BF"/>
          <w:sz w:val="32"/>
          <w:szCs w:val="32"/>
        </w:rPr>
      </w:pPr>
      <w:r>
        <w:br w:type="page"/>
      </w:r>
    </w:p>
    <w:p w14:paraId="02052BD0" w14:textId="6638CD78" w:rsidR="00FB2384" w:rsidRDefault="004C023A" w:rsidP="00F51716">
      <w:pPr>
        <w:pStyle w:val="Heading2"/>
      </w:pPr>
      <w:bookmarkStart w:id="35" w:name="_Toc59624197"/>
      <w:r w:rsidRPr="004C023A">
        <w:t xml:space="preserve">Priority </w:t>
      </w:r>
      <w:r w:rsidR="00C24856">
        <w:t>T</w:t>
      </w:r>
      <w:r w:rsidRPr="004C023A">
        <w:t>wo: Help Victorians to use resources wisely</w:t>
      </w:r>
      <w:bookmarkEnd w:id="31"/>
      <w:bookmarkEnd w:id="32"/>
      <w:bookmarkEnd w:id="35"/>
    </w:p>
    <w:p w14:paraId="14F48A2F" w14:textId="00566F5C" w:rsidR="00512A72" w:rsidRDefault="00512A72" w:rsidP="00F51716">
      <w:r w:rsidRPr="00512A72">
        <w:t>A growing Victoria has to minimise waste and actively recover its finite resources. Doing this will create more sustainable communities and maintain our reputation as one of the best places in the world to live.</w:t>
      </w:r>
    </w:p>
    <w:p w14:paraId="40769054" w14:textId="4C1B5489" w:rsidR="00FD4AB7" w:rsidRDefault="00DF716C" w:rsidP="00F51716">
      <w:r w:rsidRPr="00DF716C">
        <w:t>Our state's waste generation rate per person has remained relatively stable for the past</w:t>
      </w:r>
      <w:r>
        <w:t xml:space="preserve"> </w:t>
      </w:r>
      <w:r w:rsidRPr="00DF716C">
        <w:t>10</w:t>
      </w:r>
      <w:r w:rsidR="00696EB4">
        <w:t> </w:t>
      </w:r>
      <w:r w:rsidRPr="00DF716C">
        <w:t>years, but our population is growing fast and our systems must be ready to face these</w:t>
      </w:r>
      <w:r>
        <w:t xml:space="preserve"> </w:t>
      </w:r>
      <w:r w:rsidRPr="00DF716C">
        <w:t>challenges. The Victorian Government’s circular economy policy will guide the next steps across</w:t>
      </w:r>
      <w:r>
        <w:t xml:space="preserve"> </w:t>
      </w:r>
      <w:r w:rsidRPr="00DF716C">
        <w:t>Victoria to encourage people towards conscious consumption and manufacturers toward</w:t>
      </w:r>
      <w:r w:rsidR="00653AB9">
        <w:t>s</w:t>
      </w:r>
      <w:r>
        <w:t xml:space="preserve"> </w:t>
      </w:r>
      <w:r w:rsidRPr="00DF716C">
        <w:t>product stewardship.</w:t>
      </w:r>
    </w:p>
    <w:p w14:paraId="4BED7220" w14:textId="7C9F4F87" w:rsidR="002938B6" w:rsidRDefault="00BD011D" w:rsidP="009C0026">
      <w:pPr>
        <w:pStyle w:val="Header3outcome"/>
      </w:pPr>
      <w:r>
        <w:t xml:space="preserve">Strategic outcome: </w:t>
      </w:r>
      <w:r w:rsidR="002938B6" w:rsidRPr="00690F0B">
        <w:t>Improve</w:t>
      </w:r>
      <w:r w:rsidR="00F66272">
        <w:t>d</w:t>
      </w:r>
      <w:r w:rsidR="002938B6" w:rsidRPr="00690F0B">
        <w:t xml:space="preserve"> resource recovery rate</w:t>
      </w:r>
      <w:r w:rsidR="00AD42A5">
        <w:t xml:space="preserve"> in Victoria</w:t>
      </w:r>
    </w:p>
    <w:p w14:paraId="77AEED1A" w14:textId="108F3F63" w:rsidR="00D85614" w:rsidRDefault="00D85614" w:rsidP="00F51716">
      <w:r>
        <w:t xml:space="preserve">We support Victoria’s industries towards greater capacity for recycling and building market confidence in recycled products. We support </w:t>
      </w:r>
      <w:r w:rsidRPr="004C6E21">
        <w:t xml:space="preserve">research, development and demonstration projects </w:t>
      </w:r>
      <w:r>
        <w:t xml:space="preserve">to </w:t>
      </w:r>
      <w:r w:rsidRPr="004C6E21">
        <w:t>increase the quantity of recycled products being sold in Victoria</w:t>
      </w:r>
      <w:r>
        <w:t xml:space="preserve">. </w:t>
      </w:r>
    </w:p>
    <w:p w14:paraId="3D419A38" w14:textId="17A94DE0" w:rsidR="009940E4" w:rsidRPr="009C0026" w:rsidRDefault="009940E4" w:rsidP="009C0026">
      <w:pPr>
        <w:pStyle w:val="Heading3"/>
      </w:pPr>
      <w:r w:rsidRPr="009C0026">
        <w:t xml:space="preserve">Increase Victorian </w:t>
      </w:r>
      <w:r w:rsidR="00B30771" w:rsidRPr="009C0026">
        <w:t>resource recovery rate</w:t>
      </w:r>
    </w:p>
    <w:p w14:paraId="52430FD5" w14:textId="21FB3589" w:rsidR="007B776E" w:rsidRDefault="009940E4" w:rsidP="00F51716">
      <w:r>
        <w:t>The</w:t>
      </w:r>
      <w:r w:rsidR="00263340" w:rsidRPr="00263340">
        <w:t xml:space="preserve"> </w:t>
      </w:r>
      <w:r w:rsidR="00263340" w:rsidRPr="00D93DD8">
        <w:t>recovery rate</w:t>
      </w:r>
      <w:r w:rsidR="00263340">
        <w:t xml:space="preserve"> target of 71 per cent will not be met this year, but we did see a 2 per cent increase </w:t>
      </w:r>
      <w:r>
        <w:t xml:space="preserve">in 2017–18 from 67 to 69 per cent. </w:t>
      </w:r>
      <w:r w:rsidR="007B776E" w:rsidRPr="00D93DD8">
        <w:t xml:space="preserve">Current interventions by </w:t>
      </w:r>
      <w:r w:rsidR="007B776E">
        <w:t>g</w:t>
      </w:r>
      <w:r w:rsidR="007B776E" w:rsidRPr="00D93DD8">
        <w:t xml:space="preserve">overnment (including </w:t>
      </w:r>
      <w:r w:rsidR="007B776E">
        <w:t>our</w:t>
      </w:r>
      <w:r w:rsidR="007B776E" w:rsidRPr="00D93DD8">
        <w:t xml:space="preserve"> infrastructure programs) should </w:t>
      </w:r>
      <w:r w:rsidR="007B776E">
        <w:t>increase</w:t>
      </w:r>
      <w:r w:rsidR="007B776E" w:rsidRPr="00D93DD8">
        <w:t xml:space="preserve"> the rate beyond 2022.</w:t>
      </w:r>
    </w:p>
    <w:p w14:paraId="48328C84" w14:textId="1B898A94" w:rsidR="007B776E" w:rsidRDefault="007B776E" w:rsidP="00F51716">
      <w:pPr>
        <w:pStyle w:val="Caption"/>
      </w:pPr>
      <w:r>
        <w:t xml:space="preserve">Table </w:t>
      </w:r>
      <w:fldSimple w:instr=" SEQ Table \* ARABIC ">
        <w:r w:rsidR="003F15CC">
          <w:rPr>
            <w:noProof/>
          </w:rPr>
          <w:t>11</w:t>
        </w:r>
      </w:fldSimple>
      <w:r>
        <w:t xml:space="preserve">: </w:t>
      </w:r>
      <w:r w:rsidR="00225FF8">
        <w:t>I</w:t>
      </w:r>
      <w:r w:rsidRPr="007B776E">
        <w:t>ncreas</w:t>
      </w:r>
      <w:r w:rsidR="000E2BD0">
        <w:t>ing the</w:t>
      </w:r>
      <w:r w:rsidRPr="007B776E">
        <w:t xml:space="preserve"> Victorian </w:t>
      </w:r>
      <w:r w:rsidR="00AE6C3C">
        <w:t>r</w:t>
      </w:r>
      <w:r w:rsidRPr="007B776E">
        <w:t xml:space="preserve">esource </w:t>
      </w:r>
      <w:r w:rsidR="00AE6C3C">
        <w:t>r</w:t>
      </w:r>
      <w:r w:rsidRPr="007B776E">
        <w:t xml:space="preserve">ecovery </w:t>
      </w:r>
      <w:r>
        <w:t>r</w:t>
      </w:r>
      <w:r w:rsidRPr="007B776E">
        <w:t>ate</w:t>
      </w:r>
      <w:r w:rsidR="00263340">
        <w:t xml:space="preserve"> in 2019–20</w:t>
      </w:r>
    </w:p>
    <w:tbl>
      <w:tblPr>
        <w:tblStyle w:val="TableGrid0"/>
        <w:tblW w:w="8949" w:type="dxa"/>
        <w:tblInd w:w="0" w:type="dxa"/>
        <w:tblLayout w:type="fixed"/>
        <w:tblCellMar>
          <w:top w:w="109" w:type="dxa"/>
          <w:right w:w="125" w:type="dxa"/>
        </w:tblCellMar>
        <w:tblLook w:val="04A0" w:firstRow="1" w:lastRow="0" w:firstColumn="1" w:lastColumn="0" w:noHBand="0" w:noVBand="1"/>
      </w:tblPr>
      <w:tblGrid>
        <w:gridCol w:w="5245"/>
        <w:gridCol w:w="1011"/>
        <w:gridCol w:w="1275"/>
        <w:gridCol w:w="1418"/>
      </w:tblGrid>
      <w:tr w:rsidR="007B776E" w:rsidRPr="007D4704" w14:paraId="59FDE403" w14:textId="77777777" w:rsidTr="00B30771">
        <w:trPr>
          <w:trHeight w:val="497"/>
        </w:trPr>
        <w:tc>
          <w:tcPr>
            <w:tcW w:w="5245" w:type="dxa"/>
            <w:tcBorders>
              <w:top w:val="nil"/>
              <w:left w:val="nil"/>
              <w:bottom w:val="nil"/>
              <w:right w:val="nil"/>
            </w:tcBorders>
            <w:shd w:val="clear" w:color="auto" w:fill="82C341"/>
            <w:vAlign w:val="center"/>
          </w:tcPr>
          <w:p w14:paraId="42A73581" w14:textId="13D73C34" w:rsidR="007B776E" w:rsidRPr="007D4704" w:rsidRDefault="009940E4" w:rsidP="00F51716">
            <w:pPr>
              <w:pStyle w:val="TableHeading"/>
              <w:rPr>
                <w:rFonts w:cstheme="minorHAnsi"/>
                <w:color w:val="000000" w:themeColor="text1"/>
                <w:sz w:val="19"/>
                <w:szCs w:val="19"/>
              </w:rPr>
            </w:pPr>
            <w:r>
              <w:rPr>
                <w:rFonts w:cstheme="minorHAnsi"/>
                <w:color w:val="000000" w:themeColor="text1"/>
                <w:sz w:val="19"/>
                <w:szCs w:val="19"/>
              </w:rPr>
              <w:t xml:space="preserve"> </w:t>
            </w:r>
            <w:r w:rsidR="00263340" w:rsidRPr="00FE1ED7">
              <w:t>Outcome measure</w:t>
            </w:r>
          </w:p>
        </w:tc>
        <w:tc>
          <w:tcPr>
            <w:tcW w:w="1011" w:type="dxa"/>
            <w:tcBorders>
              <w:top w:val="nil"/>
              <w:left w:val="nil"/>
              <w:bottom w:val="nil"/>
              <w:right w:val="nil"/>
            </w:tcBorders>
            <w:shd w:val="clear" w:color="auto" w:fill="82C341"/>
            <w:vAlign w:val="center"/>
          </w:tcPr>
          <w:p w14:paraId="23BC678A" w14:textId="77777777" w:rsidR="007B776E" w:rsidRPr="007D4704" w:rsidRDefault="007B776E" w:rsidP="00F51716">
            <w:pPr>
              <w:pStyle w:val="tableheadright"/>
            </w:pPr>
            <w:r w:rsidRPr="007D4704">
              <w:t>2019–20 target</w:t>
            </w:r>
          </w:p>
        </w:tc>
        <w:tc>
          <w:tcPr>
            <w:tcW w:w="1275" w:type="dxa"/>
            <w:tcBorders>
              <w:top w:val="nil"/>
              <w:left w:val="nil"/>
              <w:bottom w:val="nil"/>
              <w:right w:val="nil"/>
            </w:tcBorders>
            <w:shd w:val="clear" w:color="auto" w:fill="82C341"/>
            <w:vAlign w:val="center"/>
          </w:tcPr>
          <w:p w14:paraId="0DDCCC2A" w14:textId="77777777" w:rsidR="007B776E" w:rsidRPr="007D4704" w:rsidRDefault="007B776E" w:rsidP="00F51716">
            <w:pPr>
              <w:pStyle w:val="tableheadright"/>
            </w:pPr>
            <w:r w:rsidRPr="007D4704">
              <w:t>2019–20 actual</w:t>
            </w:r>
          </w:p>
        </w:tc>
        <w:tc>
          <w:tcPr>
            <w:tcW w:w="1418" w:type="dxa"/>
            <w:tcBorders>
              <w:top w:val="nil"/>
              <w:left w:val="nil"/>
              <w:bottom w:val="nil"/>
              <w:right w:val="nil"/>
            </w:tcBorders>
            <w:shd w:val="clear" w:color="auto" w:fill="82C341"/>
            <w:vAlign w:val="center"/>
          </w:tcPr>
          <w:p w14:paraId="6A910F1E" w14:textId="77777777" w:rsidR="007B776E" w:rsidRPr="007D4704" w:rsidRDefault="007B776E" w:rsidP="00F51716">
            <w:pPr>
              <w:pStyle w:val="tableheadright"/>
            </w:pPr>
            <w:r w:rsidRPr="007D4704">
              <w:t xml:space="preserve">Target </w:t>
            </w:r>
            <w:r>
              <w:t>met</w:t>
            </w:r>
          </w:p>
        </w:tc>
      </w:tr>
      <w:tr w:rsidR="007B776E" w:rsidRPr="007951C1" w14:paraId="1619768F" w14:textId="77777777" w:rsidTr="00263340">
        <w:trPr>
          <w:trHeight w:val="411"/>
        </w:trPr>
        <w:tc>
          <w:tcPr>
            <w:tcW w:w="5245" w:type="dxa"/>
            <w:tcBorders>
              <w:top w:val="single" w:sz="2" w:space="0" w:color="A7A9AB"/>
              <w:left w:val="nil"/>
              <w:bottom w:val="single" w:sz="2" w:space="0" w:color="A7A9AB"/>
              <w:right w:val="nil"/>
            </w:tcBorders>
            <w:vAlign w:val="center"/>
          </w:tcPr>
          <w:p w14:paraId="7C21396D" w14:textId="5646DBE8" w:rsidR="007B776E" w:rsidRPr="00F47EA8" w:rsidRDefault="007B776E" w:rsidP="00F51716">
            <w:pPr>
              <w:pStyle w:val="Tabletext0"/>
            </w:pPr>
            <w:r w:rsidRPr="007B776E">
              <w:t xml:space="preserve">SV’s programs increased Victoria’s resource recovery rate by 2% </w:t>
            </w:r>
          </w:p>
        </w:tc>
        <w:tc>
          <w:tcPr>
            <w:tcW w:w="1011" w:type="dxa"/>
            <w:tcBorders>
              <w:top w:val="single" w:sz="2" w:space="0" w:color="A7A9AB"/>
              <w:left w:val="nil"/>
              <w:bottom w:val="single" w:sz="2" w:space="0" w:color="A7A9AB"/>
              <w:right w:val="nil"/>
            </w:tcBorders>
            <w:vAlign w:val="center"/>
          </w:tcPr>
          <w:p w14:paraId="21A511D8" w14:textId="1F197CF7" w:rsidR="007B776E" w:rsidRPr="007951C1" w:rsidRDefault="00263340" w:rsidP="00F51716">
            <w:pPr>
              <w:pStyle w:val="tableright"/>
            </w:pPr>
            <w:r>
              <w:t>71%</w:t>
            </w:r>
          </w:p>
        </w:tc>
        <w:tc>
          <w:tcPr>
            <w:tcW w:w="1275" w:type="dxa"/>
            <w:tcBorders>
              <w:top w:val="single" w:sz="2" w:space="0" w:color="A7A9AB"/>
              <w:left w:val="nil"/>
              <w:bottom w:val="single" w:sz="2" w:space="0" w:color="A7A9AB"/>
              <w:right w:val="nil"/>
            </w:tcBorders>
            <w:vAlign w:val="center"/>
          </w:tcPr>
          <w:p w14:paraId="54AA6010" w14:textId="7A654122" w:rsidR="007B776E" w:rsidRPr="007951C1" w:rsidRDefault="00263340" w:rsidP="00F51716">
            <w:pPr>
              <w:pStyle w:val="tableright"/>
            </w:pPr>
            <w:r>
              <w:t>69%</w:t>
            </w:r>
          </w:p>
        </w:tc>
        <w:tc>
          <w:tcPr>
            <w:tcW w:w="1418" w:type="dxa"/>
            <w:tcBorders>
              <w:top w:val="single" w:sz="2" w:space="0" w:color="A7A9AB"/>
              <w:left w:val="nil"/>
              <w:bottom w:val="single" w:sz="2" w:space="0" w:color="A7A9AB"/>
              <w:right w:val="nil"/>
            </w:tcBorders>
            <w:vAlign w:val="center"/>
          </w:tcPr>
          <w:p w14:paraId="2734226D" w14:textId="58784EB6" w:rsidR="007B776E" w:rsidRPr="007951C1" w:rsidRDefault="009940E4" w:rsidP="00F51716">
            <w:pPr>
              <w:pStyle w:val="tableright"/>
            </w:pPr>
            <w:r>
              <w:rPr>
                <w:rStyle w:val="normaltextrun"/>
                <w:rFonts w:ascii="Segoe UI Symbol" w:hAnsi="Segoe UI Symbol" w:cs="Segoe UI Symbol"/>
              </w:rPr>
              <w:t>✘</w:t>
            </w:r>
          </w:p>
        </w:tc>
      </w:tr>
    </w:tbl>
    <w:p w14:paraId="520B192C" w14:textId="2DBE6F9A" w:rsidR="00AD42A5" w:rsidRDefault="00AD42A5" w:rsidP="009C0026">
      <w:pPr>
        <w:pStyle w:val="Heading3"/>
      </w:pPr>
      <w:r>
        <w:t xml:space="preserve">Improve access to e-waste collection facilities </w:t>
      </w:r>
    </w:p>
    <w:p w14:paraId="4F5EE3A1" w14:textId="44E0C67C" w:rsidR="006630D0" w:rsidRDefault="006630D0" w:rsidP="00F51716">
      <w:r>
        <w:t>The Victorian Government’s e-waste ban from landfill which came into force on 1</w:t>
      </w:r>
      <w:r w:rsidR="007536F1">
        <w:t> </w:t>
      </w:r>
      <w:r>
        <w:t>July</w:t>
      </w:r>
      <w:r w:rsidR="007536F1">
        <w:t> </w:t>
      </w:r>
      <w:r>
        <w:t xml:space="preserve">2019. We funded 70 </w:t>
      </w:r>
      <w:r w:rsidRPr="00E232AE">
        <w:t xml:space="preserve">e-waste infrastructure upgrades </w:t>
      </w:r>
      <w:r>
        <w:t xml:space="preserve">at </w:t>
      </w:r>
      <w:r w:rsidRPr="00E232AE">
        <w:t>transfer station</w:t>
      </w:r>
      <w:r>
        <w:t xml:space="preserve">s in 2019–20 and 57 </w:t>
      </w:r>
      <w:r w:rsidRPr="00E232AE">
        <w:t>e-waste hubs</w:t>
      </w:r>
      <w:r w:rsidRPr="0002656C">
        <w:t xml:space="preserve"> </w:t>
      </w:r>
      <w:r>
        <w:t>were also installed</w:t>
      </w:r>
      <w:r w:rsidRPr="00E232AE">
        <w:t>.</w:t>
      </w:r>
      <w:r>
        <w:t xml:space="preserve"> </w:t>
      </w:r>
    </w:p>
    <w:p w14:paraId="2053E5C0" w14:textId="30EB92F7" w:rsidR="006630D0" w:rsidRDefault="006630D0" w:rsidP="00F51716">
      <w:r>
        <w:t>The r</w:t>
      </w:r>
      <w:r w:rsidRPr="00E232AE">
        <w:t>emaining sites are scheduled for completion progressively to June 2022</w:t>
      </w:r>
      <w:r w:rsidR="007B776E">
        <w:t>. Once complete, t</w:t>
      </w:r>
      <w:r w:rsidR="007B776E" w:rsidRPr="00E232AE">
        <w:t>hese sheds and hubs will improve recovery of valuable resources from e-waste</w:t>
      </w:r>
      <w:r w:rsidR="007B776E">
        <w:t xml:space="preserve"> and </w:t>
      </w:r>
      <w:r w:rsidRPr="00E232AE">
        <w:t>provid</w:t>
      </w:r>
      <w:r w:rsidR="007B776E">
        <w:t>e</w:t>
      </w:r>
      <w:r w:rsidRPr="00E232AE">
        <w:t xml:space="preserve"> 98</w:t>
      </w:r>
      <w:r>
        <w:t> per cent</w:t>
      </w:r>
      <w:r w:rsidRPr="00E232AE">
        <w:t xml:space="preserve"> reasonable access </w:t>
      </w:r>
      <w:r>
        <w:t xml:space="preserve">to e-waste disposal facilities </w:t>
      </w:r>
      <w:r w:rsidRPr="00E232AE">
        <w:t>across metropolitan and regional Victoria</w:t>
      </w:r>
      <w:r w:rsidR="007B776E">
        <w:t xml:space="preserve"> when complete</w:t>
      </w:r>
      <w:r>
        <w:t>.</w:t>
      </w:r>
      <w:r w:rsidRPr="00E232AE">
        <w:t xml:space="preserve"> </w:t>
      </w:r>
    </w:p>
    <w:p w14:paraId="23357014" w14:textId="77777777" w:rsidR="009940E4" w:rsidRDefault="009940E4" w:rsidP="00F51716">
      <w:r w:rsidRPr="000E2BD0">
        <w:t xml:space="preserve">We </w:t>
      </w:r>
      <w:r>
        <w:t>a</w:t>
      </w:r>
      <w:r w:rsidRPr="000E2BD0">
        <w:t>lso launched an e-</w:t>
      </w:r>
      <w:r>
        <w:t xml:space="preserve">waste </w:t>
      </w:r>
      <w:r w:rsidRPr="009D1D3C">
        <w:t>awareness</w:t>
      </w:r>
      <w:r>
        <w:t xml:space="preserve"> campaign. </w:t>
      </w:r>
      <w:r w:rsidRPr="009D1D3C">
        <w:t>We found that Victorians who beca</w:t>
      </w:r>
      <w:r>
        <w:t xml:space="preserve">me aware of our </w:t>
      </w:r>
      <w:r w:rsidRPr="009D1D3C">
        <w:t>campaign were more likely to stop putting e-w</w:t>
      </w:r>
      <w:r>
        <w:t xml:space="preserve">aste in the landfill bin. </w:t>
      </w:r>
    </w:p>
    <w:p w14:paraId="69E74D68" w14:textId="14A86A50" w:rsidR="00AD42A5" w:rsidRDefault="00AD42A5" w:rsidP="00F51716">
      <w:pPr>
        <w:pStyle w:val="Caption"/>
      </w:pPr>
      <w:r>
        <w:t xml:space="preserve">Table </w:t>
      </w:r>
      <w:fldSimple w:instr=" SEQ Table \* ARABIC ">
        <w:r w:rsidR="003F15CC">
          <w:rPr>
            <w:noProof/>
          </w:rPr>
          <w:t>12</w:t>
        </w:r>
      </w:fldSimple>
      <w:r>
        <w:t xml:space="preserve">: </w:t>
      </w:r>
      <w:r w:rsidR="00225FF8">
        <w:t>I</w:t>
      </w:r>
      <w:r w:rsidRPr="00AD42A5">
        <w:t>mprove</w:t>
      </w:r>
      <w:r w:rsidR="00690F0B">
        <w:t>d</w:t>
      </w:r>
      <w:r w:rsidRPr="00AD42A5">
        <w:t xml:space="preserve"> access to e-waste collection facilities</w:t>
      </w:r>
      <w:r>
        <w:t xml:space="preserve"> </w:t>
      </w:r>
      <w:r w:rsidR="009940E4">
        <w:t>in 2019–20</w:t>
      </w:r>
    </w:p>
    <w:tbl>
      <w:tblPr>
        <w:tblStyle w:val="TableGrid0"/>
        <w:tblW w:w="8949" w:type="dxa"/>
        <w:tblInd w:w="0" w:type="dxa"/>
        <w:tblLayout w:type="fixed"/>
        <w:tblCellMar>
          <w:top w:w="109" w:type="dxa"/>
          <w:right w:w="125" w:type="dxa"/>
        </w:tblCellMar>
        <w:tblLook w:val="04A0" w:firstRow="1" w:lastRow="0" w:firstColumn="1" w:lastColumn="0" w:noHBand="0" w:noVBand="1"/>
      </w:tblPr>
      <w:tblGrid>
        <w:gridCol w:w="5245"/>
        <w:gridCol w:w="1011"/>
        <w:gridCol w:w="1275"/>
        <w:gridCol w:w="1418"/>
      </w:tblGrid>
      <w:tr w:rsidR="000E2BD0" w:rsidRPr="007D4704" w14:paraId="61A462B2" w14:textId="77777777" w:rsidTr="009940E4">
        <w:trPr>
          <w:trHeight w:val="373"/>
        </w:trPr>
        <w:tc>
          <w:tcPr>
            <w:tcW w:w="5245" w:type="dxa"/>
            <w:tcBorders>
              <w:top w:val="nil"/>
              <w:left w:val="nil"/>
              <w:bottom w:val="nil"/>
              <w:right w:val="nil"/>
            </w:tcBorders>
            <w:shd w:val="clear" w:color="auto" w:fill="82C341"/>
            <w:vAlign w:val="center"/>
          </w:tcPr>
          <w:p w14:paraId="4F5457FE" w14:textId="02508E92" w:rsidR="002938B6" w:rsidRPr="007D4704" w:rsidRDefault="009940E4" w:rsidP="00F51716">
            <w:pPr>
              <w:pStyle w:val="TableHeading"/>
              <w:rPr>
                <w:rFonts w:cstheme="minorHAnsi"/>
                <w:color w:val="000000" w:themeColor="text1"/>
                <w:sz w:val="19"/>
                <w:szCs w:val="19"/>
              </w:rPr>
            </w:pPr>
            <w:r w:rsidRPr="00FE1ED7">
              <w:t>Outcome measure</w:t>
            </w:r>
            <w:r w:rsidRPr="007D4704">
              <w:rPr>
                <w:rFonts w:cstheme="minorHAnsi"/>
                <w:color w:val="000000" w:themeColor="text1"/>
                <w:sz w:val="19"/>
                <w:szCs w:val="19"/>
              </w:rPr>
              <w:t xml:space="preserve"> </w:t>
            </w:r>
          </w:p>
        </w:tc>
        <w:tc>
          <w:tcPr>
            <w:tcW w:w="1011" w:type="dxa"/>
            <w:tcBorders>
              <w:top w:val="nil"/>
              <w:left w:val="nil"/>
              <w:bottom w:val="nil"/>
              <w:right w:val="nil"/>
            </w:tcBorders>
            <w:shd w:val="clear" w:color="auto" w:fill="82C341"/>
            <w:vAlign w:val="center"/>
          </w:tcPr>
          <w:p w14:paraId="71C0814A" w14:textId="77777777" w:rsidR="002938B6" w:rsidRPr="007D4704" w:rsidRDefault="002938B6" w:rsidP="00F51716">
            <w:pPr>
              <w:pStyle w:val="tableheadright"/>
            </w:pPr>
            <w:r w:rsidRPr="007D4704">
              <w:t>2019–20 target</w:t>
            </w:r>
          </w:p>
        </w:tc>
        <w:tc>
          <w:tcPr>
            <w:tcW w:w="1275" w:type="dxa"/>
            <w:tcBorders>
              <w:top w:val="nil"/>
              <w:left w:val="nil"/>
              <w:bottom w:val="nil"/>
              <w:right w:val="nil"/>
            </w:tcBorders>
            <w:shd w:val="clear" w:color="auto" w:fill="82C341"/>
            <w:vAlign w:val="center"/>
          </w:tcPr>
          <w:p w14:paraId="012CE1CF" w14:textId="77777777" w:rsidR="002938B6" w:rsidRPr="007D4704" w:rsidRDefault="002938B6" w:rsidP="00F51716">
            <w:pPr>
              <w:pStyle w:val="tableheadright"/>
            </w:pPr>
            <w:r w:rsidRPr="007D4704">
              <w:t>2019–20 actual</w:t>
            </w:r>
          </w:p>
        </w:tc>
        <w:tc>
          <w:tcPr>
            <w:tcW w:w="1418" w:type="dxa"/>
            <w:tcBorders>
              <w:top w:val="nil"/>
              <w:left w:val="nil"/>
              <w:bottom w:val="nil"/>
              <w:right w:val="nil"/>
            </w:tcBorders>
            <w:shd w:val="clear" w:color="auto" w:fill="82C341"/>
            <w:vAlign w:val="center"/>
          </w:tcPr>
          <w:p w14:paraId="31DF614C" w14:textId="77777777" w:rsidR="002938B6" w:rsidRPr="007D4704" w:rsidRDefault="002938B6" w:rsidP="00F51716">
            <w:pPr>
              <w:pStyle w:val="tableheadright"/>
            </w:pPr>
            <w:r w:rsidRPr="007D4704">
              <w:t xml:space="preserve">Target </w:t>
            </w:r>
            <w:r>
              <w:t>met</w:t>
            </w:r>
          </w:p>
        </w:tc>
      </w:tr>
      <w:tr w:rsidR="002938B6" w:rsidRPr="007951C1" w14:paraId="0E31173E" w14:textId="77777777" w:rsidTr="009940E4">
        <w:trPr>
          <w:trHeight w:val="411"/>
        </w:trPr>
        <w:tc>
          <w:tcPr>
            <w:tcW w:w="5245" w:type="dxa"/>
            <w:tcBorders>
              <w:top w:val="single" w:sz="2" w:space="0" w:color="A7A9AB"/>
              <w:left w:val="nil"/>
              <w:bottom w:val="single" w:sz="2" w:space="0" w:color="A7A9AB"/>
              <w:right w:val="nil"/>
            </w:tcBorders>
            <w:vAlign w:val="center"/>
          </w:tcPr>
          <w:p w14:paraId="7A6B33F2" w14:textId="77777777" w:rsidR="002938B6" w:rsidRPr="00F47EA8" w:rsidRDefault="002938B6" w:rsidP="00F51716">
            <w:pPr>
              <w:pStyle w:val="Tabletext0"/>
            </w:pPr>
            <w:r>
              <w:t>No. of new or upgraded e-waste facilities</w:t>
            </w:r>
          </w:p>
        </w:tc>
        <w:tc>
          <w:tcPr>
            <w:tcW w:w="1011" w:type="dxa"/>
            <w:tcBorders>
              <w:top w:val="single" w:sz="2" w:space="0" w:color="A7A9AB"/>
              <w:left w:val="nil"/>
              <w:bottom w:val="single" w:sz="2" w:space="0" w:color="A7A9AB"/>
              <w:right w:val="nil"/>
            </w:tcBorders>
            <w:vAlign w:val="center"/>
          </w:tcPr>
          <w:p w14:paraId="7DB4B502" w14:textId="60C24E68" w:rsidR="002938B6" w:rsidRPr="007951C1" w:rsidRDefault="00AD42A5" w:rsidP="00F51716">
            <w:pPr>
              <w:pStyle w:val="tableright"/>
            </w:pPr>
            <w:r>
              <w:t>50</w:t>
            </w:r>
          </w:p>
        </w:tc>
        <w:tc>
          <w:tcPr>
            <w:tcW w:w="1275" w:type="dxa"/>
            <w:tcBorders>
              <w:top w:val="single" w:sz="2" w:space="0" w:color="A7A9AB"/>
              <w:left w:val="nil"/>
              <w:bottom w:val="single" w:sz="2" w:space="0" w:color="A7A9AB"/>
              <w:right w:val="nil"/>
            </w:tcBorders>
            <w:vAlign w:val="center"/>
          </w:tcPr>
          <w:p w14:paraId="189115B9" w14:textId="77777777" w:rsidR="002938B6" w:rsidRPr="007951C1" w:rsidRDefault="002938B6" w:rsidP="00F51716">
            <w:pPr>
              <w:pStyle w:val="tableright"/>
            </w:pPr>
            <w:r>
              <w:t>70</w:t>
            </w:r>
          </w:p>
        </w:tc>
        <w:tc>
          <w:tcPr>
            <w:tcW w:w="1418" w:type="dxa"/>
            <w:tcBorders>
              <w:top w:val="single" w:sz="2" w:space="0" w:color="A7A9AB"/>
              <w:left w:val="nil"/>
              <w:bottom w:val="single" w:sz="2" w:space="0" w:color="A7A9AB"/>
              <w:right w:val="nil"/>
            </w:tcBorders>
            <w:vAlign w:val="center"/>
          </w:tcPr>
          <w:p w14:paraId="10FB27C3" w14:textId="77777777" w:rsidR="002938B6" w:rsidRPr="007951C1" w:rsidRDefault="002938B6" w:rsidP="00F51716">
            <w:pPr>
              <w:pStyle w:val="tableright"/>
            </w:pPr>
            <w:r>
              <w:rPr>
                <w:rStyle w:val="normaltextrun"/>
                <w:rFonts w:ascii="Segoe UI Emoji" w:hAnsi="Segoe UI Emoji" w:cs="Segoe UI Emoji"/>
              </w:rPr>
              <w:t>✔</w:t>
            </w:r>
          </w:p>
        </w:tc>
      </w:tr>
      <w:tr w:rsidR="00AD42A5" w:rsidRPr="007951C1" w14:paraId="228230E6" w14:textId="77777777" w:rsidTr="009940E4">
        <w:trPr>
          <w:trHeight w:val="411"/>
        </w:trPr>
        <w:tc>
          <w:tcPr>
            <w:tcW w:w="5245" w:type="dxa"/>
            <w:tcBorders>
              <w:top w:val="single" w:sz="2" w:space="0" w:color="A7A9AB"/>
              <w:left w:val="nil"/>
              <w:bottom w:val="single" w:sz="2" w:space="0" w:color="A7A9AB"/>
              <w:right w:val="nil"/>
            </w:tcBorders>
            <w:vAlign w:val="center"/>
          </w:tcPr>
          <w:p w14:paraId="02308ED8" w14:textId="065238A5" w:rsidR="00AD42A5" w:rsidRDefault="00AD42A5" w:rsidP="00F51716">
            <w:pPr>
              <w:pStyle w:val="Tabletext0"/>
            </w:pPr>
            <w:r>
              <w:t xml:space="preserve">Increase in awareness of e-waste and how to dispose of it </w:t>
            </w:r>
            <w:r w:rsidR="007B776E">
              <w:t xml:space="preserve">by 25% </w:t>
            </w:r>
            <w:r>
              <w:t>(</w:t>
            </w:r>
            <w:r w:rsidR="00E261E9">
              <w:t xml:space="preserve">percentage </w:t>
            </w:r>
            <w:r>
              <w:t>campaign recall)</w:t>
            </w:r>
          </w:p>
        </w:tc>
        <w:tc>
          <w:tcPr>
            <w:tcW w:w="1011" w:type="dxa"/>
            <w:tcBorders>
              <w:top w:val="single" w:sz="2" w:space="0" w:color="A7A9AB"/>
              <w:left w:val="nil"/>
              <w:bottom w:val="single" w:sz="2" w:space="0" w:color="A7A9AB"/>
              <w:right w:val="nil"/>
            </w:tcBorders>
            <w:vAlign w:val="center"/>
          </w:tcPr>
          <w:p w14:paraId="1BE4A9E5" w14:textId="2ABF722F" w:rsidR="00AD42A5" w:rsidRDefault="00AD42A5" w:rsidP="00F51716">
            <w:pPr>
              <w:pStyle w:val="tableright"/>
            </w:pPr>
            <w:r>
              <w:t>8%</w:t>
            </w:r>
          </w:p>
        </w:tc>
        <w:tc>
          <w:tcPr>
            <w:tcW w:w="1275" w:type="dxa"/>
            <w:tcBorders>
              <w:top w:val="single" w:sz="2" w:space="0" w:color="A7A9AB"/>
              <w:left w:val="nil"/>
              <w:bottom w:val="single" w:sz="2" w:space="0" w:color="A7A9AB"/>
              <w:right w:val="nil"/>
            </w:tcBorders>
            <w:vAlign w:val="center"/>
          </w:tcPr>
          <w:p w14:paraId="2E567D3A" w14:textId="51BF2CCB" w:rsidR="00AD42A5" w:rsidRDefault="00AD42A5" w:rsidP="00F51716">
            <w:pPr>
              <w:pStyle w:val="tableright"/>
            </w:pPr>
            <w:r>
              <w:t>13%</w:t>
            </w:r>
          </w:p>
        </w:tc>
        <w:tc>
          <w:tcPr>
            <w:tcW w:w="1418" w:type="dxa"/>
            <w:tcBorders>
              <w:top w:val="single" w:sz="2" w:space="0" w:color="A7A9AB"/>
              <w:left w:val="nil"/>
              <w:bottom w:val="single" w:sz="2" w:space="0" w:color="A7A9AB"/>
              <w:right w:val="nil"/>
            </w:tcBorders>
            <w:vAlign w:val="center"/>
          </w:tcPr>
          <w:p w14:paraId="470EEC0B" w14:textId="29B6A96A" w:rsidR="00AD42A5" w:rsidRDefault="00AD42A5" w:rsidP="00F51716">
            <w:pPr>
              <w:pStyle w:val="tableright"/>
              <w:rPr>
                <w:rStyle w:val="normaltextrun"/>
                <w:rFonts w:ascii="Segoe UI Emoji" w:hAnsi="Segoe UI Emoji" w:cs="Segoe UI Emoji"/>
              </w:rPr>
            </w:pPr>
            <w:r>
              <w:rPr>
                <w:rStyle w:val="normaltextrun"/>
                <w:rFonts w:ascii="Segoe UI Emoji" w:hAnsi="Segoe UI Emoji" w:cs="Segoe UI Emoji"/>
              </w:rPr>
              <w:t>✔</w:t>
            </w:r>
          </w:p>
        </w:tc>
      </w:tr>
    </w:tbl>
    <w:p w14:paraId="0C7B2753" w14:textId="086643E4" w:rsidR="009940E4" w:rsidRDefault="009940E4" w:rsidP="009C0026">
      <w:pPr>
        <w:pStyle w:val="Heading3"/>
      </w:pPr>
      <w:r w:rsidRPr="007B776E">
        <w:t>Improve Victorians’ awareness of correct recycling and plastic bag behaviours</w:t>
      </w:r>
    </w:p>
    <w:p w14:paraId="00941574" w14:textId="3DC4DB7C" w:rsidR="00690F0B" w:rsidRDefault="002938B6" w:rsidP="00F51716">
      <w:r>
        <w:t>From 1</w:t>
      </w:r>
      <w:r w:rsidR="007536F1">
        <w:t> </w:t>
      </w:r>
      <w:r>
        <w:t>November</w:t>
      </w:r>
      <w:r w:rsidR="007536F1">
        <w:t> </w:t>
      </w:r>
      <w:r>
        <w:t>2019, the Victorian Government banned lightweight plastic shopping bags.</w:t>
      </w:r>
      <w:r w:rsidR="00690F0B" w:rsidRPr="00690F0B">
        <w:t xml:space="preserve"> </w:t>
      </w:r>
      <w:r w:rsidR="00690F0B">
        <w:t>Our</w:t>
      </w:r>
      <w:r w:rsidR="00690F0B" w:rsidRPr="00C82AD2">
        <w:t xml:space="preserve"> </w:t>
      </w:r>
      <w:hyperlink r:id="rId28" w:history="1">
        <w:r w:rsidR="00690F0B" w:rsidRPr="00690F0B">
          <w:rPr>
            <w:rStyle w:val="Hyperlink"/>
            <w:rFonts w:cstheme="minorBidi"/>
          </w:rPr>
          <w:t>Better Bag Habits</w:t>
        </w:r>
      </w:hyperlink>
      <w:r w:rsidR="00690F0B" w:rsidRPr="00C82AD2">
        <w:t xml:space="preserve"> campaign</w:t>
      </w:r>
      <w:r w:rsidR="00690F0B">
        <w:t xml:space="preserve"> achieved a total reach of almost 10 million</w:t>
      </w:r>
      <w:r w:rsidR="00690F0B" w:rsidRPr="003F0A6B" w:rsidDel="00F00C9E">
        <w:t xml:space="preserve"> </w:t>
      </w:r>
      <w:r w:rsidR="00690F0B">
        <w:t xml:space="preserve">, far above our target of 1 million. We managed to increase awareness of the plastic bag ban among Victorians by 47 per cent. The campaign also resulted in a 2.6 per cent increase in </w:t>
      </w:r>
      <w:r w:rsidR="00690F0B" w:rsidRPr="00C82AD2">
        <w:t>declared reusable bag usage</w:t>
      </w:r>
      <w:r w:rsidR="00690F0B">
        <w:t>.</w:t>
      </w:r>
      <w:r w:rsidR="00690F0B" w:rsidRPr="003F0A6B">
        <w:t xml:space="preserve"> </w:t>
      </w:r>
    </w:p>
    <w:p w14:paraId="2E8274C7" w14:textId="3D9B7AB1" w:rsidR="00690F0B" w:rsidRPr="000E2BD0" w:rsidRDefault="00690F0B" w:rsidP="00F51716">
      <w:pPr>
        <w:pStyle w:val="Caption"/>
      </w:pPr>
      <w:r w:rsidRPr="000E2BD0">
        <w:t xml:space="preserve">Table </w:t>
      </w:r>
      <w:r w:rsidRPr="00AB7A8A">
        <w:fldChar w:fldCharType="begin"/>
      </w:r>
      <w:r w:rsidRPr="000E2BD0">
        <w:instrText xml:space="preserve"> SEQ Table \* ARABIC </w:instrText>
      </w:r>
      <w:r w:rsidRPr="00AB7A8A">
        <w:fldChar w:fldCharType="separate"/>
      </w:r>
      <w:r w:rsidR="003F15CC">
        <w:rPr>
          <w:noProof/>
        </w:rPr>
        <w:t>13</w:t>
      </w:r>
      <w:r w:rsidRPr="00AB7A8A">
        <w:fldChar w:fldCharType="end"/>
      </w:r>
      <w:r w:rsidRPr="000E2BD0">
        <w:t xml:space="preserve">: </w:t>
      </w:r>
      <w:r w:rsidR="00225FF8">
        <w:t>Reach of r</w:t>
      </w:r>
      <w:r w:rsidRPr="000E2BD0">
        <w:t>ecycling and plastic bag focused behaviour programs</w:t>
      </w:r>
      <w:r w:rsidR="00225FF8">
        <w:t xml:space="preserve"> in 2019–20</w:t>
      </w:r>
    </w:p>
    <w:tbl>
      <w:tblPr>
        <w:tblStyle w:val="TableGrid0"/>
        <w:tblW w:w="8949" w:type="dxa"/>
        <w:tblInd w:w="0" w:type="dxa"/>
        <w:tblLayout w:type="fixed"/>
        <w:tblCellMar>
          <w:top w:w="109" w:type="dxa"/>
          <w:right w:w="125" w:type="dxa"/>
        </w:tblCellMar>
        <w:tblLook w:val="04A0" w:firstRow="1" w:lastRow="0" w:firstColumn="1" w:lastColumn="0" w:noHBand="0" w:noVBand="1"/>
      </w:tblPr>
      <w:tblGrid>
        <w:gridCol w:w="5245"/>
        <w:gridCol w:w="1011"/>
        <w:gridCol w:w="1275"/>
        <w:gridCol w:w="1418"/>
      </w:tblGrid>
      <w:tr w:rsidR="00690F0B" w:rsidRPr="007D4704" w14:paraId="74193D17" w14:textId="77777777" w:rsidTr="00AB7A8A">
        <w:trPr>
          <w:trHeight w:val="373"/>
        </w:trPr>
        <w:tc>
          <w:tcPr>
            <w:tcW w:w="5245" w:type="dxa"/>
            <w:tcBorders>
              <w:top w:val="nil"/>
              <w:left w:val="nil"/>
              <w:bottom w:val="nil"/>
              <w:right w:val="nil"/>
            </w:tcBorders>
            <w:shd w:val="clear" w:color="auto" w:fill="82C341"/>
            <w:vAlign w:val="center"/>
          </w:tcPr>
          <w:p w14:paraId="2C9377E6" w14:textId="700A8AE8" w:rsidR="00690F0B" w:rsidRPr="007D4704" w:rsidRDefault="009940E4" w:rsidP="00F51716">
            <w:pPr>
              <w:pStyle w:val="TableHeading"/>
              <w:rPr>
                <w:rFonts w:asciiTheme="minorHAnsi" w:hAnsiTheme="minorHAnsi" w:cstheme="minorHAnsi"/>
                <w:color w:val="000000" w:themeColor="text1"/>
                <w:sz w:val="19"/>
                <w:szCs w:val="19"/>
              </w:rPr>
            </w:pPr>
            <w:r w:rsidRPr="00FE1ED7">
              <w:t>Outcome measure</w:t>
            </w:r>
            <w:r w:rsidRPr="007D4704">
              <w:rPr>
                <w:rFonts w:cstheme="minorHAnsi"/>
                <w:color w:val="000000" w:themeColor="text1"/>
                <w:sz w:val="19"/>
                <w:szCs w:val="19"/>
              </w:rPr>
              <w:t xml:space="preserve"> </w:t>
            </w:r>
          </w:p>
        </w:tc>
        <w:tc>
          <w:tcPr>
            <w:tcW w:w="1011" w:type="dxa"/>
            <w:tcBorders>
              <w:top w:val="nil"/>
              <w:left w:val="nil"/>
              <w:bottom w:val="nil"/>
              <w:right w:val="nil"/>
            </w:tcBorders>
            <w:shd w:val="clear" w:color="auto" w:fill="82C341"/>
            <w:vAlign w:val="center"/>
          </w:tcPr>
          <w:p w14:paraId="306B84D4" w14:textId="77777777" w:rsidR="00690F0B" w:rsidRPr="007D4704" w:rsidRDefault="00690F0B" w:rsidP="00F51716">
            <w:pPr>
              <w:pStyle w:val="tableheadright"/>
            </w:pPr>
            <w:r w:rsidRPr="007D4704">
              <w:t>2019–20 target</w:t>
            </w:r>
          </w:p>
        </w:tc>
        <w:tc>
          <w:tcPr>
            <w:tcW w:w="1275" w:type="dxa"/>
            <w:tcBorders>
              <w:top w:val="nil"/>
              <w:left w:val="nil"/>
              <w:bottom w:val="nil"/>
              <w:right w:val="nil"/>
            </w:tcBorders>
            <w:shd w:val="clear" w:color="auto" w:fill="82C341"/>
            <w:vAlign w:val="center"/>
          </w:tcPr>
          <w:p w14:paraId="27D37D6D" w14:textId="77777777" w:rsidR="00690F0B" w:rsidRPr="007D4704" w:rsidRDefault="00690F0B" w:rsidP="00F51716">
            <w:pPr>
              <w:pStyle w:val="tableheadright"/>
            </w:pPr>
            <w:r w:rsidRPr="007D4704">
              <w:t>2019–20 actual</w:t>
            </w:r>
          </w:p>
        </w:tc>
        <w:tc>
          <w:tcPr>
            <w:tcW w:w="1418" w:type="dxa"/>
            <w:tcBorders>
              <w:top w:val="nil"/>
              <w:left w:val="nil"/>
              <w:bottom w:val="nil"/>
              <w:right w:val="nil"/>
            </w:tcBorders>
            <w:shd w:val="clear" w:color="auto" w:fill="82C341"/>
            <w:vAlign w:val="center"/>
          </w:tcPr>
          <w:p w14:paraId="777F9237" w14:textId="77777777" w:rsidR="00690F0B" w:rsidRPr="007D4704" w:rsidRDefault="00690F0B" w:rsidP="00F51716">
            <w:pPr>
              <w:pStyle w:val="tableheadright"/>
            </w:pPr>
            <w:r w:rsidRPr="007D4704">
              <w:t xml:space="preserve">Target </w:t>
            </w:r>
            <w:r>
              <w:t>met</w:t>
            </w:r>
          </w:p>
        </w:tc>
      </w:tr>
      <w:tr w:rsidR="00690F0B" w:rsidRPr="007951C1" w14:paraId="1786C5F0" w14:textId="77777777" w:rsidTr="00AB7A8A">
        <w:trPr>
          <w:trHeight w:val="411"/>
        </w:trPr>
        <w:tc>
          <w:tcPr>
            <w:tcW w:w="5245" w:type="dxa"/>
            <w:tcBorders>
              <w:top w:val="single" w:sz="2" w:space="0" w:color="A7A9AB"/>
              <w:left w:val="nil"/>
              <w:bottom w:val="single" w:sz="2" w:space="0" w:color="A7A9AB"/>
              <w:right w:val="nil"/>
            </w:tcBorders>
            <w:vAlign w:val="center"/>
          </w:tcPr>
          <w:p w14:paraId="074997F7" w14:textId="30C151C6" w:rsidR="00690F0B" w:rsidRPr="00F47EA8" w:rsidRDefault="00690F0B" w:rsidP="00F51716">
            <w:pPr>
              <w:pStyle w:val="Tabletext0"/>
              <w:rPr>
                <w:rFonts w:asciiTheme="minorHAnsi" w:hAnsiTheme="minorHAnsi" w:cstheme="minorHAnsi"/>
                <w:color w:val="000000" w:themeColor="text1"/>
                <w:sz w:val="19"/>
                <w:szCs w:val="19"/>
              </w:rPr>
            </w:pPr>
            <w:r w:rsidRPr="009940E4">
              <w:t>Recycling and plastic bag focused behaviour programs collectively reached 1 million Victorians</w:t>
            </w:r>
          </w:p>
        </w:tc>
        <w:tc>
          <w:tcPr>
            <w:tcW w:w="1011" w:type="dxa"/>
            <w:tcBorders>
              <w:top w:val="single" w:sz="2" w:space="0" w:color="A7A9AB"/>
              <w:left w:val="nil"/>
              <w:bottom w:val="single" w:sz="2" w:space="0" w:color="A7A9AB"/>
              <w:right w:val="nil"/>
            </w:tcBorders>
            <w:vAlign w:val="center"/>
          </w:tcPr>
          <w:p w14:paraId="2D5794E8" w14:textId="6E79CA37" w:rsidR="00690F0B" w:rsidRPr="007951C1" w:rsidRDefault="00690F0B" w:rsidP="00F51716">
            <w:pPr>
              <w:pStyle w:val="tableright"/>
            </w:pPr>
            <w:r>
              <w:t>1.0</w:t>
            </w:r>
            <w:r w:rsidR="007536F1">
              <w:t> </w:t>
            </w:r>
            <w:r>
              <w:t>M</w:t>
            </w:r>
          </w:p>
        </w:tc>
        <w:tc>
          <w:tcPr>
            <w:tcW w:w="1275" w:type="dxa"/>
            <w:tcBorders>
              <w:top w:val="single" w:sz="2" w:space="0" w:color="A7A9AB"/>
              <w:left w:val="nil"/>
              <w:bottom w:val="single" w:sz="2" w:space="0" w:color="A7A9AB"/>
              <w:right w:val="nil"/>
            </w:tcBorders>
            <w:vAlign w:val="center"/>
          </w:tcPr>
          <w:p w14:paraId="13F84846" w14:textId="649821EA" w:rsidR="00690F0B" w:rsidRPr="007951C1" w:rsidRDefault="003E2121" w:rsidP="00F51716">
            <w:pPr>
              <w:pStyle w:val="tableright"/>
            </w:pPr>
            <w:r>
              <w:t>10.4</w:t>
            </w:r>
            <w:r w:rsidR="007536F1">
              <w:t> M</w:t>
            </w:r>
            <w:r w:rsidR="00566F71">
              <w:t>*</w:t>
            </w:r>
          </w:p>
        </w:tc>
        <w:tc>
          <w:tcPr>
            <w:tcW w:w="1418" w:type="dxa"/>
            <w:tcBorders>
              <w:top w:val="single" w:sz="2" w:space="0" w:color="A7A9AB"/>
              <w:left w:val="nil"/>
              <w:bottom w:val="single" w:sz="2" w:space="0" w:color="A7A9AB"/>
              <w:right w:val="nil"/>
            </w:tcBorders>
            <w:vAlign w:val="center"/>
          </w:tcPr>
          <w:p w14:paraId="36F95D8D" w14:textId="77777777" w:rsidR="00690F0B" w:rsidRPr="007951C1" w:rsidRDefault="00690F0B" w:rsidP="00F51716">
            <w:pPr>
              <w:pStyle w:val="tableright"/>
            </w:pPr>
            <w:r>
              <w:rPr>
                <w:rStyle w:val="normaltextrun"/>
                <w:rFonts w:ascii="Segoe UI Emoji" w:hAnsi="Segoe UI Emoji" w:cs="Segoe UI Emoji"/>
              </w:rPr>
              <w:t>✔</w:t>
            </w:r>
          </w:p>
        </w:tc>
      </w:tr>
    </w:tbl>
    <w:p w14:paraId="710C364B" w14:textId="7399848B" w:rsidR="00B30771" w:rsidRPr="00295B01" w:rsidRDefault="00566F71" w:rsidP="00F51716">
      <w:pPr>
        <w:rPr>
          <w:sz w:val="18"/>
          <w:szCs w:val="18"/>
        </w:rPr>
      </w:pPr>
      <w:r w:rsidRPr="00295B01">
        <w:rPr>
          <w:sz w:val="18"/>
          <w:szCs w:val="18"/>
        </w:rPr>
        <w:t>*Result reported is total reach for SV campaigns</w:t>
      </w:r>
      <w:r w:rsidR="00DE5B84" w:rsidRPr="00295B01">
        <w:rPr>
          <w:sz w:val="18"/>
          <w:szCs w:val="18"/>
        </w:rPr>
        <w:t xml:space="preserve"> in 2019-20, not </w:t>
      </w:r>
      <w:r w:rsidR="00643E99">
        <w:rPr>
          <w:sz w:val="18"/>
          <w:szCs w:val="18"/>
        </w:rPr>
        <w:t>unique reach.</w:t>
      </w:r>
    </w:p>
    <w:p w14:paraId="7E5A2944" w14:textId="4CC1E04D" w:rsidR="008C258D" w:rsidRDefault="00B921F5" w:rsidP="008C258D">
      <w:r>
        <w:t xml:space="preserve">The </w:t>
      </w:r>
      <w:r w:rsidRPr="00144C82">
        <w:t>Know Your Recycling</w:t>
      </w:r>
      <w:r>
        <w:t xml:space="preserve"> campaign</w:t>
      </w:r>
      <w:r w:rsidRPr="00144C82">
        <w:t xml:space="preserve"> to reduce contamination in household bins was translated into six languages across TV and radio</w:t>
      </w:r>
      <w:r>
        <w:t xml:space="preserve">. Around </w:t>
      </w:r>
      <w:r w:rsidRPr="00144C82">
        <w:t xml:space="preserve">700,000 Victorians accessed social media and </w:t>
      </w:r>
      <w:r>
        <w:t xml:space="preserve">information on the </w:t>
      </w:r>
      <w:hyperlink r:id="rId29" w:history="1">
        <w:r>
          <w:rPr>
            <w:rStyle w:val="Hyperlink"/>
            <w:rFonts w:cstheme="minorBidi"/>
          </w:rPr>
          <w:t>recycling.vic.gov.au</w:t>
        </w:r>
      </w:hyperlink>
      <w:r>
        <w:t xml:space="preserve"> campaign </w:t>
      </w:r>
      <w:r w:rsidRPr="00144C82">
        <w:t>website. In the first month, we achieved a 2 per cent reduction in recycling contamination for soft plastics and bagged plastic bags.</w:t>
      </w:r>
    </w:p>
    <w:p w14:paraId="6141A5CC" w14:textId="0BE57F88" w:rsidR="00690F0B" w:rsidRPr="008C258D" w:rsidRDefault="00690F0B" w:rsidP="008C258D">
      <w:pPr>
        <w:rPr>
          <w:rFonts w:asciiTheme="majorHAnsi" w:eastAsiaTheme="majorEastAsia" w:hAnsiTheme="majorHAnsi" w:cstheme="majorBidi"/>
          <w:color w:val="595959" w:themeColor="accent2" w:themeTint="A6"/>
          <w:sz w:val="28"/>
          <w:szCs w:val="28"/>
        </w:rPr>
      </w:pPr>
      <w:r w:rsidRPr="008C258D">
        <w:rPr>
          <w:rFonts w:asciiTheme="majorHAnsi" w:eastAsiaTheme="majorEastAsia" w:hAnsiTheme="majorHAnsi" w:cstheme="majorBidi"/>
          <w:color w:val="595959" w:themeColor="accent2" w:themeTint="A6"/>
          <w:sz w:val="28"/>
          <w:szCs w:val="28"/>
        </w:rPr>
        <w:t>Increase uptake of recycled materials</w:t>
      </w:r>
    </w:p>
    <w:p w14:paraId="3903B798" w14:textId="46C8B710" w:rsidR="00690F0B" w:rsidRPr="00AB7A8A" w:rsidRDefault="00690F0B" w:rsidP="00F51716">
      <w:r>
        <w:t>We achieved two out of three targets under this outcome</w:t>
      </w:r>
      <w:r w:rsidR="000E2BD0">
        <w:t xml:space="preserve"> as shown in </w:t>
      </w:r>
      <w:r w:rsidR="000E2BD0">
        <w:fldChar w:fldCharType="begin"/>
      </w:r>
      <w:r w:rsidR="000E2BD0">
        <w:instrText xml:space="preserve"> REF _Ref57379475 \h </w:instrText>
      </w:r>
      <w:r w:rsidR="000E2BD0">
        <w:fldChar w:fldCharType="separate"/>
      </w:r>
      <w:r w:rsidR="00205952" w:rsidRPr="00AB7A8A">
        <w:t xml:space="preserve">Table </w:t>
      </w:r>
      <w:r w:rsidR="00205952">
        <w:rPr>
          <w:noProof/>
        </w:rPr>
        <w:t>14</w:t>
      </w:r>
      <w:r w:rsidR="000E2BD0">
        <w:fldChar w:fldCharType="end"/>
      </w:r>
      <w:r w:rsidR="000E2BD0">
        <w:t xml:space="preserve">. </w:t>
      </w:r>
    </w:p>
    <w:p w14:paraId="1F25F749" w14:textId="77E65B3E" w:rsidR="00690F0B" w:rsidRPr="00AB7A8A" w:rsidRDefault="00690F0B" w:rsidP="00F51716">
      <w:pPr>
        <w:pStyle w:val="Caption"/>
      </w:pPr>
      <w:bookmarkStart w:id="36" w:name="_Ref57379475"/>
      <w:r w:rsidRPr="00AB7A8A">
        <w:t xml:space="preserve">Table </w:t>
      </w:r>
      <w:fldSimple w:instr=" SEQ Table \* ARABIC ">
        <w:r w:rsidR="003F15CC">
          <w:rPr>
            <w:noProof/>
          </w:rPr>
          <w:t>14</w:t>
        </w:r>
      </w:fldSimple>
      <w:bookmarkEnd w:id="36"/>
      <w:r w:rsidRPr="00AB7A8A">
        <w:t xml:space="preserve">: </w:t>
      </w:r>
      <w:r w:rsidR="00225FF8">
        <w:t>I</w:t>
      </w:r>
      <w:r w:rsidR="000E2BD0" w:rsidRPr="00AB7A8A">
        <w:t>ncreas</w:t>
      </w:r>
      <w:r w:rsidR="00225FF8">
        <w:t>ing</w:t>
      </w:r>
      <w:r w:rsidR="000E2BD0" w:rsidRPr="00AB7A8A">
        <w:t xml:space="preserve"> uptake of recycled materials</w:t>
      </w:r>
      <w:r w:rsidR="00225FF8">
        <w:t xml:space="preserve"> in 2019–20</w:t>
      </w:r>
    </w:p>
    <w:tbl>
      <w:tblPr>
        <w:tblStyle w:val="TableGrid0"/>
        <w:tblW w:w="9091" w:type="dxa"/>
        <w:tblInd w:w="0" w:type="dxa"/>
        <w:tblLayout w:type="fixed"/>
        <w:tblCellMar>
          <w:top w:w="109" w:type="dxa"/>
          <w:right w:w="125" w:type="dxa"/>
        </w:tblCellMar>
        <w:tblLook w:val="04A0" w:firstRow="1" w:lastRow="0" w:firstColumn="1" w:lastColumn="0" w:noHBand="0" w:noVBand="1"/>
      </w:tblPr>
      <w:tblGrid>
        <w:gridCol w:w="5387"/>
        <w:gridCol w:w="1011"/>
        <w:gridCol w:w="1275"/>
        <w:gridCol w:w="1418"/>
      </w:tblGrid>
      <w:tr w:rsidR="00690F0B" w:rsidRPr="007D4704" w14:paraId="2396D86F" w14:textId="77777777" w:rsidTr="00AB7A8A">
        <w:trPr>
          <w:trHeight w:val="373"/>
        </w:trPr>
        <w:tc>
          <w:tcPr>
            <w:tcW w:w="5387" w:type="dxa"/>
            <w:tcBorders>
              <w:top w:val="nil"/>
              <w:left w:val="nil"/>
              <w:bottom w:val="nil"/>
              <w:right w:val="nil"/>
            </w:tcBorders>
            <w:shd w:val="clear" w:color="auto" w:fill="82C341"/>
            <w:vAlign w:val="center"/>
          </w:tcPr>
          <w:p w14:paraId="3EA5DA73" w14:textId="382711CE" w:rsidR="00690F0B" w:rsidRPr="007D4704" w:rsidRDefault="009940E4" w:rsidP="00F51716">
            <w:pPr>
              <w:pStyle w:val="TableHeading"/>
              <w:rPr>
                <w:rFonts w:asciiTheme="minorHAnsi" w:hAnsiTheme="minorHAnsi" w:cstheme="minorHAnsi"/>
                <w:color w:val="000000" w:themeColor="text1"/>
                <w:sz w:val="19"/>
                <w:szCs w:val="19"/>
              </w:rPr>
            </w:pPr>
            <w:r w:rsidRPr="00FE1ED7">
              <w:t>Outcome measure</w:t>
            </w:r>
            <w:r w:rsidRPr="007D4704">
              <w:rPr>
                <w:rFonts w:cstheme="minorHAnsi"/>
                <w:color w:val="000000" w:themeColor="text1"/>
                <w:sz w:val="19"/>
                <w:szCs w:val="19"/>
              </w:rPr>
              <w:t xml:space="preserve"> </w:t>
            </w:r>
          </w:p>
        </w:tc>
        <w:tc>
          <w:tcPr>
            <w:tcW w:w="1011" w:type="dxa"/>
            <w:tcBorders>
              <w:top w:val="nil"/>
              <w:left w:val="nil"/>
              <w:bottom w:val="nil"/>
              <w:right w:val="nil"/>
            </w:tcBorders>
            <w:shd w:val="clear" w:color="auto" w:fill="82C341"/>
            <w:vAlign w:val="center"/>
          </w:tcPr>
          <w:p w14:paraId="7BBA443E" w14:textId="77777777" w:rsidR="00690F0B" w:rsidRPr="007D4704" w:rsidRDefault="00690F0B" w:rsidP="00F51716">
            <w:pPr>
              <w:pStyle w:val="tableheadright"/>
            </w:pPr>
            <w:r w:rsidRPr="007D4704">
              <w:t>2019–20 target</w:t>
            </w:r>
          </w:p>
        </w:tc>
        <w:tc>
          <w:tcPr>
            <w:tcW w:w="1275" w:type="dxa"/>
            <w:tcBorders>
              <w:top w:val="nil"/>
              <w:left w:val="nil"/>
              <w:bottom w:val="nil"/>
              <w:right w:val="nil"/>
            </w:tcBorders>
            <w:shd w:val="clear" w:color="auto" w:fill="82C341"/>
            <w:vAlign w:val="center"/>
          </w:tcPr>
          <w:p w14:paraId="33D8EFE4" w14:textId="77777777" w:rsidR="00690F0B" w:rsidRPr="007D4704" w:rsidRDefault="00690F0B" w:rsidP="00F51716">
            <w:pPr>
              <w:pStyle w:val="tableheadright"/>
            </w:pPr>
            <w:r w:rsidRPr="007D4704">
              <w:t>2019–20 actual</w:t>
            </w:r>
          </w:p>
        </w:tc>
        <w:tc>
          <w:tcPr>
            <w:tcW w:w="1418" w:type="dxa"/>
            <w:tcBorders>
              <w:top w:val="nil"/>
              <w:left w:val="nil"/>
              <w:bottom w:val="nil"/>
              <w:right w:val="nil"/>
            </w:tcBorders>
            <w:shd w:val="clear" w:color="auto" w:fill="82C341"/>
            <w:vAlign w:val="center"/>
          </w:tcPr>
          <w:p w14:paraId="2477D0ED" w14:textId="77777777" w:rsidR="00690F0B" w:rsidRPr="007D4704" w:rsidRDefault="00690F0B" w:rsidP="00F51716">
            <w:pPr>
              <w:pStyle w:val="tableheadright"/>
            </w:pPr>
            <w:r w:rsidRPr="007D4704">
              <w:t xml:space="preserve">Target </w:t>
            </w:r>
            <w:r>
              <w:t>met</w:t>
            </w:r>
          </w:p>
        </w:tc>
      </w:tr>
      <w:tr w:rsidR="00690F0B" w:rsidRPr="007951C1" w14:paraId="01DA4DD4" w14:textId="77777777" w:rsidTr="00AB7A8A">
        <w:trPr>
          <w:trHeight w:val="411"/>
        </w:trPr>
        <w:tc>
          <w:tcPr>
            <w:tcW w:w="5387" w:type="dxa"/>
            <w:tcBorders>
              <w:top w:val="single" w:sz="2" w:space="0" w:color="A7A9AB"/>
              <w:left w:val="nil"/>
              <w:bottom w:val="single" w:sz="2" w:space="0" w:color="A7A9AB"/>
              <w:right w:val="nil"/>
            </w:tcBorders>
            <w:vAlign w:val="center"/>
          </w:tcPr>
          <w:p w14:paraId="6CF9E6F9" w14:textId="69DEA40D" w:rsidR="00690F0B" w:rsidRPr="00F47EA8" w:rsidRDefault="00690F0B" w:rsidP="00F51716">
            <w:pPr>
              <w:pStyle w:val="Tabletext0"/>
            </w:pPr>
            <w:r w:rsidRPr="00690F0B">
              <w:t>SV invested $1.2 million into innovative research development and demonstration projects that address barriers to the increased uptake of recycled materials</w:t>
            </w:r>
          </w:p>
        </w:tc>
        <w:tc>
          <w:tcPr>
            <w:tcW w:w="1011" w:type="dxa"/>
            <w:tcBorders>
              <w:top w:val="single" w:sz="2" w:space="0" w:color="A7A9AB"/>
              <w:left w:val="nil"/>
              <w:bottom w:val="single" w:sz="2" w:space="0" w:color="A7A9AB"/>
              <w:right w:val="nil"/>
            </w:tcBorders>
            <w:vAlign w:val="center"/>
          </w:tcPr>
          <w:p w14:paraId="4A1ED7B1" w14:textId="68D0EC68" w:rsidR="00690F0B" w:rsidRPr="007951C1" w:rsidRDefault="00690F0B" w:rsidP="00F51716">
            <w:pPr>
              <w:pStyle w:val="tableright"/>
            </w:pPr>
            <w:r>
              <w:t>1.2 M</w:t>
            </w:r>
          </w:p>
        </w:tc>
        <w:tc>
          <w:tcPr>
            <w:tcW w:w="1275" w:type="dxa"/>
            <w:tcBorders>
              <w:top w:val="single" w:sz="2" w:space="0" w:color="A7A9AB"/>
              <w:left w:val="nil"/>
              <w:bottom w:val="single" w:sz="2" w:space="0" w:color="A7A9AB"/>
              <w:right w:val="nil"/>
            </w:tcBorders>
            <w:vAlign w:val="center"/>
          </w:tcPr>
          <w:p w14:paraId="1C45773F" w14:textId="2523CF18" w:rsidR="00690F0B" w:rsidRPr="007951C1" w:rsidRDefault="00690F0B" w:rsidP="00F51716">
            <w:pPr>
              <w:pStyle w:val="tableright"/>
            </w:pPr>
            <w:r>
              <w:t>1.6</w:t>
            </w:r>
            <w:r w:rsidR="007536F1">
              <w:t> </w:t>
            </w:r>
            <w:r>
              <w:t>M</w:t>
            </w:r>
          </w:p>
        </w:tc>
        <w:tc>
          <w:tcPr>
            <w:tcW w:w="1418" w:type="dxa"/>
            <w:tcBorders>
              <w:top w:val="single" w:sz="2" w:space="0" w:color="A7A9AB"/>
              <w:left w:val="nil"/>
              <w:bottom w:val="single" w:sz="2" w:space="0" w:color="A7A9AB"/>
              <w:right w:val="nil"/>
            </w:tcBorders>
            <w:vAlign w:val="center"/>
          </w:tcPr>
          <w:p w14:paraId="2FFC6C7A" w14:textId="77777777" w:rsidR="00690F0B" w:rsidRPr="007951C1" w:rsidRDefault="00690F0B" w:rsidP="00F51716">
            <w:pPr>
              <w:pStyle w:val="tableright"/>
            </w:pPr>
            <w:r>
              <w:rPr>
                <w:rStyle w:val="normaltextrun"/>
                <w:rFonts w:ascii="Segoe UI Emoji" w:hAnsi="Segoe UI Emoji" w:cs="Segoe UI Emoji"/>
              </w:rPr>
              <w:t>✔</w:t>
            </w:r>
          </w:p>
        </w:tc>
      </w:tr>
      <w:tr w:rsidR="00690F0B" w:rsidRPr="007951C1" w14:paraId="71E53FCA" w14:textId="77777777" w:rsidTr="00AB7A8A">
        <w:trPr>
          <w:trHeight w:val="411"/>
        </w:trPr>
        <w:tc>
          <w:tcPr>
            <w:tcW w:w="5387" w:type="dxa"/>
            <w:tcBorders>
              <w:top w:val="single" w:sz="2" w:space="0" w:color="A7A9AB"/>
              <w:left w:val="nil"/>
              <w:bottom w:val="single" w:sz="2" w:space="0" w:color="A7A9AB"/>
              <w:right w:val="nil"/>
            </w:tcBorders>
            <w:vAlign w:val="center"/>
          </w:tcPr>
          <w:p w14:paraId="2EE878C3" w14:textId="1DFC9B77" w:rsidR="00690F0B" w:rsidRDefault="00690F0B" w:rsidP="00F51716">
            <w:pPr>
              <w:pStyle w:val="Tabletext0"/>
            </w:pPr>
            <w:r w:rsidRPr="00690F0B">
              <w:t>SV supported the commercialisation or demonstration of 2 Research Development and Demonstration projects on products with recycled content</w:t>
            </w:r>
          </w:p>
        </w:tc>
        <w:tc>
          <w:tcPr>
            <w:tcW w:w="1011" w:type="dxa"/>
            <w:tcBorders>
              <w:top w:val="single" w:sz="2" w:space="0" w:color="A7A9AB"/>
              <w:left w:val="nil"/>
              <w:bottom w:val="single" w:sz="2" w:space="0" w:color="A7A9AB"/>
              <w:right w:val="nil"/>
            </w:tcBorders>
            <w:vAlign w:val="center"/>
          </w:tcPr>
          <w:p w14:paraId="276D93E8" w14:textId="4F868E1C" w:rsidR="00690F0B" w:rsidRDefault="00690F0B" w:rsidP="00F51716">
            <w:pPr>
              <w:pStyle w:val="tableright"/>
            </w:pPr>
            <w:r>
              <w:t>2</w:t>
            </w:r>
          </w:p>
        </w:tc>
        <w:tc>
          <w:tcPr>
            <w:tcW w:w="1275" w:type="dxa"/>
            <w:tcBorders>
              <w:top w:val="single" w:sz="2" w:space="0" w:color="A7A9AB"/>
              <w:left w:val="nil"/>
              <w:bottom w:val="single" w:sz="2" w:space="0" w:color="A7A9AB"/>
              <w:right w:val="nil"/>
            </w:tcBorders>
            <w:vAlign w:val="center"/>
          </w:tcPr>
          <w:p w14:paraId="31CFE534" w14:textId="1CF09D74" w:rsidR="00690F0B" w:rsidRDefault="00690F0B" w:rsidP="00F51716">
            <w:pPr>
              <w:pStyle w:val="tableright"/>
            </w:pPr>
            <w:r>
              <w:t>2</w:t>
            </w:r>
          </w:p>
        </w:tc>
        <w:tc>
          <w:tcPr>
            <w:tcW w:w="1418" w:type="dxa"/>
            <w:tcBorders>
              <w:top w:val="single" w:sz="2" w:space="0" w:color="A7A9AB"/>
              <w:left w:val="nil"/>
              <w:bottom w:val="single" w:sz="2" w:space="0" w:color="A7A9AB"/>
              <w:right w:val="nil"/>
            </w:tcBorders>
            <w:vAlign w:val="center"/>
          </w:tcPr>
          <w:p w14:paraId="0F98BF08" w14:textId="77777777" w:rsidR="00690F0B" w:rsidRDefault="00690F0B" w:rsidP="00F51716">
            <w:pPr>
              <w:pStyle w:val="tableright"/>
              <w:rPr>
                <w:rStyle w:val="normaltextrun"/>
                <w:rFonts w:ascii="Segoe UI Emoji" w:hAnsi="Segoe UI Emoji" w:cs="Segoe UI Emoji"/>
              </w:rPr>
            </w:pPr>
            <w:r>
              <w:rPr>
                <w:rStyle w:val="normaltextrun"/>
                <w:rFonts w:ascii="Segoe UI Emoji" w:hAnsi="Segoe UI Emoji" w:cs="Segoe UI Emoji"/>
              </w:rPr>
              <w:t>✔</w:t>
            </w:r>
          </w:p>
        </w:tc>
      </w:tr>
      <w:tr w:rsidR="00690F0B" w:rsidRPr="007951C1" w14:paraId="1016FBA2" w14:textId="77777777" w:rsidTr="00AB7A8A">
        <w:trPr>
          <w:trHeight w:val="411"/>
        </w:trPr>
        <w:tc>
          <w:tcPr>
            <w:tcW w:w="5387" w:type="dxa"/>
            <w:tcBorders>
              <w:top w:val="single" w:sz="2" w:space="0" w:color="A7A9AB"/>
              <w:left w:val="nil"/>
              <w:bottom w:val="single" w:sz="2" w:space="0" w:color="A7A9AB"/>
              <w:right w:val="nil"/>
            </w:tcBorders>
            <w:vAlign w:val="center"/>
          </w:tcPr>
          <w:p w14:paraId="10136A4C" w14:textId="34DC0F27" w:rsidR="00690F0B" w:rsidRDefault="00690F0B" w:rsidP="00F51716">
            <w:pPr>
              <w:pStyle w:val="Tabletext0"/>
            </w:pPr>
            <w:r w:rsidRPr="00690F0B">
              <w:t>Technical expertise and data provided to at least 2 government projects leading to the purchase of recycled products or materials</w:t>
            </w:r>
          </w:p>
        </w:tc>
        <w:tc>
          <w:tcPr>
            <w:tcW w:w="1011" w:type="dxa"/>
            <w:tcBorders>
              <w:top w:val="single" w:sz="2" w:space="0" w:color="A7A9AB"/>
              <w:left w:val="nil"/>
              <w:bottom w:val="single" w:sz="2" w:space="0" w:color="A7A9AB"/>
              <w:right w:val="nil"/>
            </w:tcBorders>
            <w:vAlign w:val="center"/>
          </w:tcPr>
          <w:p w14:paraId="53E18E38" w14:textId="7806A6A7" w:rsidR="00690F0B" w:rsidRDefault="00690F0B" w:rsidP="00F51716">
            <w:pPr>
              <w:pStyle w:val="tableright"/>
            </w:pPr>
            <w:r>
              <w:t>2</w:t>
            </w:r>
          </w:p>
        </w:tc>
        <w:tc>
          <w:tcPr>
            <w:tcW w:w="1275" w:type="dxa"/>
            <w:tcBorders>
              <w:top w:val="single" w:sz="2" w:space="0" w:color="A7A9AB"/>
              <w:left w:val="nil"/>
              <w:bottom w:val="single" w:sz="2" w:space="0" w:color="A7A9AB"/>
              <w:right w:val="nil"/>
            </w:tcBorders>
            <w:vAlign w:val="center"/>
          </w:tcPr>
          <w:p w14:paraId="0F19E56B" w14:textId="55D52A3B" w:rsidR="00690F0B" w:rsidRDefault="00690F0B" w:rsidP="00F51716">
            <w:pPr>
              <w:pStyle w:val="tableright"/>
            </w:pPr>
            <w:r>
              <w:t>0</w:t>
            </w:r>
          </w:p>
        </w:tc>
        <w:tc>
          <w:tcPr>
            <w:tcW w:w="1418" w:type="dxa"/>
            <w:tcBorders>
              <w:top w:val="single" w:sz="2" w:space="0" w:color="A7A9AB"/>
              <w:left w:val="nil"/>
              <w:bottom w:val="single" w:sz="2" w:space="0" w:color="A7A9AB"/>
              <w:right w:val="nil"/>
            </w:tcBorders>
            <w:vAlign w:val="center"/>
          </w:tcPr>
          <w:p w14:paraId="6F830300" w14:textId="0C29BD9F" w:rsidR="00690F0B" w:rsidRDefault="00690F0B" w:rsidP="00F51716">
            <w:pPr>
              <w:pStyle w:val="tableright"/>
              <w:rPr>
                <w:rStyle w:val="normaltextrun"/>
                <w:rFonts w:ascii="Segoe UI Emoji" w:hAnsi="Segoe UI Emoji" w:cs="Segoe UI Emoji"/>
              </w:rPr>
            </w:pPr>
            <w:r>
              <w:rPr>
                <w:rStyle w:val="normaltextrun"/>
                <w:rFonts w:ascii="Segoe UI Symbol" w:hAnsi="Segoe UI Symbol" w:cs="Segoe UI Symbol"/>
              </w:rPr>
              <w:t>✘</w:t>
            </w:r>
          </w:p>
        </w:tc>
      </w:tr>
    </w:tbl>
    <w:p w14:paraId="61CC4010" w14:textId="3C738F71" w:rsidR="00690F0B" w:rsidRDefault="00690F0B" w:rsidP="00F51716"/>
    <w:p w14:paraId="35154510" w14:textId="77777777" w:rsidR="002938B6" w:rsidRDefault="002938B6" w:rsidP="00F51716">
      <w:r>
        <w:t xml:space="preserve">In 2019–20, almost </w:t>
      </w:r>
      <w:r w:rsidRPr="003E0B22">
        <w:t>$1.</w:t>
      </w:r>
      <w:r>
        <w:t>6</w:t>
      </w:r>
      <w:r w:rsidRPr="003E0B22">
        <w:t xml:space="preserve"> million was invested</w:t>
      </w:r>
      <w:r>
        <w:t xml:space="preserve"> and almost $8 million leveraged </w:t>
      </w:r>
      <w:r w:rsidRPr="003E0B22">
        <w:t>in</w:t>
      </w:r>
      <w:r>
        <w:t xml:space="preserve"> i</w:t>
      </w:r>
      <w:r w:rsidRPr="003E0B22">
        <w:t xml:space="preserve">nnovative </w:t>
      </w:r>
      <w:r>
        <w:t>research design and development (</w:t>
      </w:r>
      <w:r w:rsidRPr="003E0B22">
        <w:t>RD&amp;D</w:t>
      </w:r>
      <w:r>
        <w:t>)</w:t>
      </w:r>
      <w:r w:rsidRPr="003E0B22">
        <w:t xml:space="preserve"> projects targeting different priority materials across various sectors</w:t>
      </w:r>
      <w:r>
        <w:t>. Projects included:</w:t>
      </w:r>
    </w:p>
    <w:p w14:paraId="0C07547A" w14:textId="77777777" w:rsidR="002938B6" w:rsidRDefault="002938B6" w:rsidP="00F51716">
      <w:pPr>
        <w:pStyle w:val="ListBullet"/>
      </w:pPr>
      <w:r w:rsidRPr="003E0B22">
        <w:t>researching new methods of chemical recycling (Deakin)</w:t>
      </w:r>
    </w:p>
    <w:p w14:paraId="104081BF" w14:textId="77777777" w:rsidR="002938B6" w:rsidRDefault="002938B6" w:rsidP="00F51716">
      <w:pPr>
        <w:pStyle w:val="ListBullet"/>
      </w:pPr>
      <w:r w:rsidRPr="003E0B22">
        <w:t>increas</w:t>
      </w:r>
      <w:r>
        <w:t>ing the</w:t>
      </w:r>
      <w:r w:rsidRPr="003E0B22">
        <w:t xml:space="preserve"> volume of recycled content in road construction (ARRB)</w:t>
      </w:r>
    </w:p>
    <w:p w14:paraId="15BE436C" w14:textId="77777777" w:rsidR="002938B6" w:rsidRDefault="002938B6" w:rsidP="00F51716">
      <w:pPr>
        <w:pStyle w:val="ListBullet"/>
      </w:pPr>
      <w:r w:rsidRPr="003E0B22">
        <w:t>new backfill material to support installation of water infrastructure (Victoria University).</w:t>
      </w:r>
    </w:p>
    <w:p w14:paraId="3F2D4134" w14:textId="075B7F0F" w:rsidR="002938B6" w:rsidRDefault="002938B6" w:rsidP="00F51716">
      <w:r>
        <w:t>Two s</w:t>
      </w:r>
      <w:r w:rsidRPr="003F0A6B">
        <w:t>uccessful Round 1 projects include</w:t>
      </w:r>
      <w:r>
        <w:t>d</w:t>
      </w:r>
      <w:r w:rsidRPr="003F0A6B">
        <w:t xml:space="preserve"> 200 Duratrack railway sleepers installed at Richmond </w:t>
      </w:r>
      <w:r>
        <w:t>t</w:t>
      </w:r>
      <w:r w:rsidRPr="003F0A6B">
        <w:t>rain station (with further trail sites being selected) and a footpath made from a recycled glass and plastic mix. Both demonstrations are currently being monitored and evaluated.</w:t>
      </w:r>
    </w:p>
    <w:p w14:paraId="462B3FDB" w14:textId="77777777" w:rsidR="002938B6" w:rsidRDefault="002938B6" w:rsidP="00F51716">
      <w:r w:rsidRPr="003F0A6B">
        <w:t>An asphalt containing recycled content is now commercially available from Downer</w:t>
      </w:r>
      <w:r>
        <w:t xml:space="preserve"> after an </w:t>
      </w:r>
      <w:r w:rsidRPr="003F0A6B">
        <w:t xml:space="preserve">RD&amp;D project </w:t>
      </w:r>
      <w:r>
        <w:t xml:space="preserve">that started </w:t>
      </w:r>
      <w:r w:rsidRPr="003F0A6B">
        <w:t>in 2018</w:t>
      </w:r>
      <w:r>
        <w:t xml:space="preserve">. The asphalt </w:t>
      </w:r>
      <w:r w:rsidRPr="003F0A6B">
        <w:t>is made from toner cartridges (Planet Ark) and plastic bags (Red Group). RMIT and Boral are set to install a rubber and plastic in concrete mix in late July 2020.</w:t>
      </w:r>
    </w:p>
    <w:p w14:paraId="1BE966FD" w14:textId="34BD8C88" w:rsidR="00D85614" w:rsidRPr="004C6E21" w:rsidRDefault="00D85614" w:rsidP="00F51716">
      <w:r>
        <w:t xml:space="preserve">We did not achieve our target of </w:t>
      </w:r>
      <w:r w:rsidRPr="004C6E21">
        <w:t xml:space="preserve">supporting two government projects to purchase recycled content or products </w:t>
      </w:r>
      <w:r>
        <w:t>in 2019–20</w:t>
      </w:r>
      <w:r w:rsidRPr="004C6E21">
        <w:t>. Ecologiq</w:t>
      </w:r>
      <w:r w:rsidR="000E2BD0">
        <w:t xml:space="preserve"> was set up in </w:t>
      </w:r>
      <w:r>
        <w:t xml:space="preserve">the </w:t>
      </w:r>
      <w:r w:rsidRPr="004C6E21">
        <w:t xml:space="preserve">Major Transport Infrastructure Authority in late 2019, </w:t>
      </w:r>
      <w:r w:rsidR="000E2BD0">
        <w:t xml:space="preserve">and </w:t>
      </w:r>
      <w:r w:rsidRPr="004C6E21">
        <w:t>responsibility for increasing the use and reuse of recycled materials via the Government</w:t>
      </w:r>
      <w:r w:rsidRPr="004C6E21">
        <w:rPr>
          <w:rFonts w:hint="cs"/>
        </w:rPr>
        <w:t>’</w:t>
      </w:r>
      <w:r w:rsidRPr="004C6E21">
        <w:t>s Big Build projects now sits with Ecologiq.</w:t>
      </w:r>
    </w:p>
    <w:p w14:paraId="6B72BED4" w14:textId="663C9529" w:rsidR="000E2BD0" w:rsidRPr="009940E4" w:rsidRDefault="000E2BD0" w:rsidP="009C0026">
      <w:pPr>
        <w:pStyle w:val="Heading3"/>
      </w:pPr>
      <w:r w:rsidRPr="009940E4">
        <w:t>Reduce toxic chemicals going into landfill</w:t>
      </w:r>
    </w:p>
    <w:p w14:paraId="6F354B5E" w14:textId="21996E61" w:rsidR="000E2BD0" w:rsidRDefault="000E2BD0" w:rsidP="00F51716">
      <w:r>
        <w:t>T</w:t>
      </w:r>
      <w:r w:rsidRPr="0047585B">
        <w:t xml:space="preserve">he Household Chemical Collection Program </w:t>
      </w:r>
      <w:r>
        <w:t>saw</w:t>
      </w:r>
      <w:r w:rsidRPr="0047585B">
        <w:t xml:space="preserve"> 5,026 householders</w:t>
      </w:r>
      <w:r>
        <w:t xml:space="preserve"> safely dispose of 95 tonnes of </w:t>
      </w:r>
      <w:r w:rsidRPr="00690C02">
        <w:t>toxic household chemicals</w:t>
      </w:r>
      <w:r>
        <w:t xml:space="preserve"> in 27 </w:t>
      </w:r>
      <w:hyperlink r:id="rId30" w:history="1">
        <w:r w:rsidRPr="009940E4">
          <w:rPr>
            <w:rStyle w:val="Hyperlink"/>
            <w:rFonts w:cstheme="minorBidi"/>
          </w:rPr>
          <w:t>Detox Your Home</w:t>
        </w:r>
      </w:hyperlink>
      <w:r w:rsidRPr="0047585B">
        <w:t xml:space="preserve"> mobile collections </w:t>
      </w:r>
      <w:r>
        <w:t>in</w:t>
      </w:r>
      <w:r w:rsidRPr="0047585B">
        <w:t xml:space="preserve"> </w:t>
      </w:r>
      <w:r>
        <w:br/>
        <w:t>2019–20</w:t>
      </w:r>
      <w:r w:rsidRPr="0047585B">
        <w:t xml:space="preserve">. </w:t>
      </w:r>
      <w:r>
        <w:t xml:space="preserve">Six events did not proceed due to </w:t>
      </w:r>
      <w:r w:rsidRPr="0047585B">
        <w:t>COVID-19</w:t>
      </w:r>
      <w:r>
        <w:t xml:space="preserve">. A further 163 tonnes were collected at </w:t>
      </w:r>
      <w:r w:rsidR="000615C9">
        <w:t>h</w:t>
      </w:r>
      <w:r w:rsidRPr="00A52C9C">
        <w:t xml:space="preserve">ousehold </w:t>
      </w:r>
      <w:r w:rsidR="000615C9">
        <w:t>c</w:t>
      </w:r>
      <w:r w:rsidRPr="00A52C9C">
        <w:t xml:space="preserve">hemical </w:t>
      </w:r>
      <w:r w:rsidR="000615C9">
        <w:t>c</w:t>
      </w:r>
      <w:r w:rsidRPr="00A52C9C">
        <w:t>ollection permanent drop-off site</w:t>
      </w:r>
      <w:r>
        <w:t xml:space="preserve">s. </w:t>
      </w:r>
    </w:p>
    <w:p w14:paraId="213B23AF" w14:textId="58AB822E" w:rsidR="000E2BD0" w:rsidRPr="00AB7A8A" w:rsidRDefault="000E2BD0" w:rsidP="00F51716">
      <w:pPr>
        <w:pStyle w:val="Caption"/>
      </w:pPr>
      <w:r>
        <w:t xml:space="preserve">Table </w:t>
      </w:r>
      <w:fldSimple w:instr=" SEQ Table \* ARABIC ">
        <w:r w:rsidR="003F15CC">
          <w:rPr>
            <w:noProof/>
          </w:rPr>
          <w:t>15</w:t>
        </w:r>
      </w:fldSimple>
      <w:r>
        <w:t xml:space="preserve">: </w:t>
      </w:r>
      <w:r w:rsidR="00AE6C3C">
        <w:t>R</w:t>
      </w:r>
      <w:r>
        <w:t>educing toxic chemicals going into landfill</w:t>
      </w:r>
      <w:r w:rsidR="00AE6C3C">
        <w:t xml:space="preserve"> in 2019–20</w:t>
      </w:r>
    </w:p>
    <w:tbl>
      <w:tblPr>
        <w:tblStyle w:val="TableGrid0"/>
        <w:tblW w:w="8949" w:type="dxa"/>
        <w:tblInd w:w="0" w:type="dxa"/>
        <w:tblLayout w:type="fixed"/>
        <w:tblCellMar>
          <w:top w:w="109" w:type="dxa"/>
          <w:right w:w="125" w:type="dxa"/>
        </w:tblCellMar>
        <w:tblLook w:val="04A0" w:firstRow="1" w:lastRow="0" w:firstColumn="1" w:lastColumn="0" w:noHBand="0" w:noVBand="1"/>
      </w:tblPr>
      <w:tblGrid>
        <w:gridCol w:w="5245"/>
        <w:gridCol w:w="1011"/>
        <w:gridCol w:w="1275"/>
        <w:gridCol w:w="1418"/>
      </w:tblGrid>
      <w:tr w:rsidR="000E2BD0" w:rsidRPr="007D4704" w14:paraId="4625C574" w14:textId="77777777" w:rsidTr="00AB7A8A">
        <w:trPr>
          <w:trHeight w:val="373"/>
        </w:trPr>
        <w:tc>
          <w:tcPr>
            <w:tcW w:w="5245" w:type="dxa"/>
            <w:tcBorders>
              <w:top w:val="nil"/>
              <w:left w:val="nil"/>
              <w:bottom w:val="nil"/>
              <w:right w:val="nil"/>
            </w:tcBorders>
            <w:shd w:val="clear" w:color="auto" w:fill="82C341"/>
            <w:vAlign w:val="center"/>
          </w:tcPr>
          <w:p w14:paraId="604B20BD" w14:textId="03F167F7" w:rsidR="000E2BD0" w:rsidRPr="007D4704" w:rsidRDefault="009940E4" w:rsidP="00F51716">
            <w:pPr>
              <w:pStyle w:val="TableHeading"/>
              <w:rPr>
                <w:rFonts w:asciiTheme="minorHAnsi" w:hAnsiTheme="minorHAnsi" w:cstheme="minorHAnsi"/>
                <w:color w:val="000000" w:themeColor="text1"/>
                <w:sz w:val="19"/>
                <w:szCs w:val="19"/>
              </w:rPr>
            </w:pPr>
            <w:r w:rsidRPr="00FE1ED7">
              <w:t>Outcome measure</w:t>
            </w:r>
          </w:p>
        </w:tc>
        <w:tc>
          <w:tcPr>
            <w:tcW w:w="1011" w:type="dxa"/>
            <w:tcBorders>
              <w:top w:val="nil"/>
              <w:left w:val="nil"/>
              <w:bottom w:val="nil"/>
              <w:right w:val="nil"/>
            </w:tcBorders>
            <w:shd w:val="clear" w:color="auto" w:fill="82C341"/>
            <w:vAlign w:val="center"/>
          </w:tcPr>
          <w:p w14:paraId="3D33D0B2" w14:textId="77777777" w:rsidR="000E2BD0" w:rsidRPr="007D4704" w:rsidRDefault="000E2BD0" w:rsidP="00F51716">
            <w:pPr>
              <w:pStyle w:val="tableheadright"/>
            </w:pPr>
            <w:r w:rsidRPr="007D4704">
              <w:t>2019–20 target</w:t>
            </w:r>
          </w:p>
        </w:tc>
        <w:tc>
          <w:tcPr>
            <w:tcW w:w="1275" w:type="dxa"/>
            <w:tcBorders>
              <w:top w:val="nil"/>
              <w:left w:val="nil"/>
              <w:bottom w:val="nil"/>
              <w:right w:val="nil"/>
            </w:tcBorders>
            <w:shd w:val="clear" w:color="auto" w:fill="82C341"/>
            <w:vAlign w:val="center"/>
          </w:tcPr>
          <w:p w14:paraId="07DA14EF" w14:textId="77777777" w:rsidR="000E2BD0" w:rsidRPr="007D4704" w:rsidRDefault="000E2BD0" w:rsidP="00F51716">
            <w:pPr>
              <w:pStyle w:val="tableheadright"/>
            </w:pPr>
            <w:r w:rsidRPr="007D4704">
              <w:t>2019–20 actual</w:t>
            </w:r>
          </w:p>
        </w:tc>
        <w:tc>
          <w:tcPr>
            <w:tcW w:w="1418" w:type="dxa"/>
            <w:tcBorders>
              <w:top w:val="nil"/>
              <w:left w:val="nil"/>
              <w:bottom w:val="nil"/>
              <w:right w:val="nil"/>
            </w:tcBorders>
            <w:shd w:val="clear" w:color="auto" w:fill="82C341"/>
            <w:vAlign w:val="center"/>
          </w:tcPr>
          <w:p w14:paraId="5461C740" w14:textId="77777777" w:rsidR="000E2BD0" w:rsidRPr="007D4704" w:rsidRDefault="000E2BD0" w:rsidP="00F51716">
            <w:pPr>
              <w:pStyle w:val="tableheadright"/>
            </w:pPr>
            <w:r w:rsidRPr="007D4704">
              <w:t xml:space="preserve">Target </w:t>
            </w:r>
            <w:r>
              <w:t>met</w:t>
            </w:r>
          </w:p>
        </w:tc>
      </w:tr>
      <w:tr w:rsidR="000E2BD0" w:rsidRPr="007951C1" w14:paraId="0CFCA59B" w14:textId="77777777" w:rsidTr="00AB7A8A">
        <w:trPr>
          <w:trHeight w:val="411"/>
        </w:trPr>
        <w:tc>
          <w:tcPr>
            <w:tcW w:w="5245" w:type="dxa"/>
            <w:tcBorders>
              <w:top w:val="single" w:sz="2" w:space="0" w:color="A7A9AB"/>
              <w:left w:val="nil"/>
              <w:bottom w:val="single" w:sz="2" w:space="0" w:color="A7A9AB"/>
              <w:right w:val="nil"/>
            </w:tcBorders>
            <w:vAlign w:val="center"/>
          </w:tcPr>
          <w:p w14:paraId="3214DFDD" w14:textId="3C0C904A" w:rsidR="000E2BD0" w:rsidRPr="00F47EA8" w:rsidRDefault="000E2BD0" w:rsidP="00F51716">
            <w:pPr>
              <w:pStyle w:val="Tabletext0"/>
            </w:pPr>
            <w:r w:rsidRPr="000E2BD0">
              <w:t>5,000 Victorians disposed of their toxic household chemicals via Detox Your Home chemical collection events across Victoria</w:t>
            </w:r>
          </w:p>
        </w:tc>
        <w:tc>
          <w:tcPr>
            <w:tcW w:w="1011" w:type="dxa"/>
            <w:tcBorders>
              <w:top w:val="single" w:sz="2" w:space="0" w:color="A7A9AB"/>
              <w:left w:val="nil"/>
              <w:bottom w:val="single" w:sz="2" w:space="0" w:color="A7A9AB"/>
              <w:right w:val="nil"/>
            </w:tcBorders>
            <w:vAlign w:val="center"/>
          </w:tcPr>
          <w:p w14:paraId="65DCEA43" w14:textId="719459C7" w:rsidR="000E2BD0" w:rsidRPr="007951C1" w:rsidRDefault="000E2BD0" w:rsidP="00F51716">
            <w:pPr>
              <w:pStyle w:val="tableright"/>
            </w:pPr>
            <w:r>
              <w:t>5,000</w:t>
            </w:r>
          </w:p>
        </w:tc>
        <w:tc>
          <w:tcPr>
            <w:tcW w:w="1275" w:type="dxa"/>
            <w:tcBorders>
              <w:top w:val="single" w:sz="2" w:space="0" w:color="A7A9AB"/>
              <w:left w:val="nil"/>
              <w:bottom w:val="single" w:sz="2" w:space="0" w:color="A7A9AB"/>
              <w:right w:val="nil"/>
            </w:tcBorders>
            <w:vAlign w:val="center"/>
          </w:tcPr>
          <w:p w14:paraId="67140965" w14:textId="4424FA24" w:rsidR="000E2BD0" w:rsidRPr="007951C1" w:rsidRDefault="000E2BD0" w:rsidP="00F51716">
            <w:pPr>
              <w:pStyle w:val="tableright"/>
            </w:pPr>
            <w:r>
              <w:t>5,02</w:t>
            </w:r>
            <w:r w:rsidR="003A78C8">
              <w:t>5</w:t>
            </w:r>
          </w:p>
        </w:tc>
        <w:tc>
          <w:tcPr>
            <w:tcW w:w="1418" w:type="dxa"/>
            <w:tcBorders>
              <w:top w:val="single" w:sz="2" w:space="0" w:color="A7A9AB"/>
              <w:left w:val="nil"/>
              <w:bottom w:val="single" w:sz="2" w:space="0" w:color="A7A9AB"/>
              <w:right w:val="nil"/>
            </w:tcBorders>
            <w:vAlign w:val="center"/>
          </w:tcPr>
          <w:p w14:paraId="06B9479A" w14:textId="77777777" w:rsidR="000E2BD0" w:rsidRPr="007951C1" w:rsidRDefault="000E2BD0" w:rsidP="00F51716">
            <w:pPr>
              <w:pStyle w:val="tableright"/>
            </w:pPr>
            <w:r>
              <w:rPr>
                <w:rStyle w:val="normaltextrun"/>
                <w:rFonts w:ascii="Segoe UI Emoji" w:hAnsi="Segoe UI Emoji" w:cs="Segoe UI Emoji"/>
              </w:rPr>
              <w:t>✔</w:t>
            </w:r>
          </w:p>
        </w:tc>
      </w:tr>
    </w:tbl>
    <w:p w14:paraId="359332CD" w14:textId="77777777" w:rsidR="00B921F5" w:rsidRDefault="00B921F5" w:rsidP="009C0026">
      <w:pPr>
        <w:pStyle w:val="Heading3"/>
      </w:pPr>
      <w:r>
        <w:t>Health sector waste</w:t>
      </w:r>
    </w:p>
    <w:p w14:paraId="6B10AD19" w14:textId="77777777" w:rsidR="00B921F5" w:rsidRPr="00E232AE" w:rsidRDefault="00B921F5" w:rsidP="00F51716">
      <w:r w:rsidRPr="00E232AE">
        <w:t xml:space="preserve">The Department of Health and Human Services, SV and the Australian Nurse and Midwifery Federation partnered on a project to assess opportunities for waste reduction </w:t>
      </w:r>
      <w:r>
        <w:t xml:space="preserve">in </w:t>
      </w:r>
      <w:r w:rsidRPr="00E232AE">
        <w:t xml:space="preserve">the public health sector and deliver interventions to increase recovery and reduce waste generation. </w:t>
      </w:r>
      <w:r>
        <w:t xml:space="preserve">A total of 48 </w:t>
      </w:r>
      <w:r w:rsidRPr="00E232AE">
        <w:t>health organisations participated in behaviour change to improve sustainability.</w:t>
      </w:r>
    </w:p>
    <w:p w14:paraId="3C39C71F" w14:textId="77777777" w:rsidR="00D1350B" w:rsidRPr="002E0B3B" w:rsidRDefault="00D1350B" w:rsidP="009C0026">
      <w:pPr>
        <w:pStyle w:val="Heading3"/>
      </w:pPr>
      <w:r>
        <w:t>H</w:t>
      </w:r>
      <w:r w:rsidRPr="002E0B3B">
        <w:t xml:space="preserve">elp local governments and the community to address litter </w:t>
      </w:r>
    </w:p>
    <w:p w14:paraId="0F98BAF8" w14:textId="77777777" w:rsidR="00D1350B" w:rsidRPr="002E0B3B" w:rsidRDefault="00D1350B" w:rsidP="00F51716">
      <w:r w:rsidRPr="002E0B3B">
        <w:t>Thirteen organisations (</w:t>
      </w:r>
      <w:r>
        <w:t>waste and resource recovery groups</w:t>
      </w:r>
      <w:r w:rsidRPr="002E0B3B">
        <w:t xml:space="preserve"> and councils with litter projects) are now using a consistent data collection methodology (DumpIn Data App, Let’s Strain the Drains, Regional Litter Plan and LitterWatch). </w:t>
      </w:r>
    </w:p>
    <w:p w14:paraId="7149733D" w14:textId="77777777" w:rsidR="00D1350B" w:rsidRPr="002E0B3B" w:rsidRDefault="00D1350B" w:rsidP="00F51716">
      <w:r w:rsidRPr="002E0B3B">
        <w:t xml:space="preserve">The Let's Strain the Drains project </w:t>
      </w:r>
      <w:r>
        <w:t>was</w:t>
      </w:r>
      <w:r w:rsidRPr="002E0B3B">
        <w:t xml:space="preserve"> successfully delivered with all seven cycles completed, 93 volunteers engaged, a sold-out online showcase of data</w:t>
      </w:r>
      <w:r>
        <w:t xml:space="preserve"> and</w:t>
      </w:r>
      <w:r w:rsidRPr="002E0B3B">
        <w:t xml:space="preserve"> four social media videos. SV launched the first promotional video online with an additional three shorter social media videos to follow.</w:t>
      </w:r>
    </w:p>
    <w:p w14:paraId="046E5E0B" w14:textId="77777777" w:rsidR="00B30771" w:rsidRDefault="00B30771">
      <w:pPr>
        <w:spacing w:line="264" w:lineRule="auto"/>
        <w:rPr>
          <w:rFonts w:asciiTheme="majorHAnsi" w:eastAsiaTheme="majorEastAsia" w:hAnsiTheme="majorHAnsi" w:cstheme="majorBidi"/>
          <w:color w:val="5C5F62" w:themeColor="text2" w:themeShade="80"/>
          <w:sz w:val="36"/>
          <w:szCs w:val="36"/>
        </w:rPr>
      </w:pPr>
      <w:r>
        <w:br w:type="page"/>
      </w:r>
    </w:p>
    <w:p w14:paraId="50216EE4" w14:textId="67B4214C" w:rsidR="00D85614" w:rsidRDefault="00BD011D" w:rsidP="009C0026">
      <w:pPr>
        <w:pStyle w:val="Header3outcome"/>
      </w:pPr>
      <w:r>
        <w:t xml:space="preserve">Strategic outcome: </w:t>
      </w:r>
      <w:r w:rsidR="00D85614" w:rsidRPr="00D85614">
        <w:t xml:space="preserve">Victoria’s </w:t>
      </w:r>
      <w:r w:rsidR="00D85614">
        <w:t xml:space="preserve">waste and resource recovery </w:t>
      </w:r>
      <w:r w:rsidR="00D85614" w:rsidRPr="00D85614">
        <w:t>sector has the capacity to meet the needs of a growing Victoria</w:t>
      </w:r>
    </w:p>
    <w:p w14:paraId="5528766A" w14:textId="5A7073B5" w:rsidR="007A59C7" w:rsidRDefault="007A59C7" w:rsidP="00F51716">
      <w:r w:rsidRPr="002E0B3B">
        <w:t>The</w:t>
      </w:r>
      <w:r>
        <w:t xml:space="preserve"> </w:t>
      </w:r>
      <w:r w:rsidR="000615C9">
        <w:t>R</w:t>
      </w:r>
      <w:r>
        <w:t xml:space="preserve">esource Recovery Infrastructure Fund </w:t>
      </w:r>
      <w:r w:rsidRPr="002E0B3B">
        <w:t>added 122,000 tonnes of additional recycling and resource recovery infrastructure capacity to the waste and resource recovery sector year to date</w:t>
      </w:r>
      <w:r>
        <w:t xml:space="preserve">. </w:t>
      </w:r>
    </w:p>
    <w:p w14:paraId="489FE34D" w14:textId="14F4B01F" w:rsidR="007A59C7" w:rsidRDefault="007A59C7" w:rsidP="00F51716">
      <w:r>
        <w:t>T</w:t>
      </w:r>
      <w:r w:rsidRPr="002E0B3B">
        <w:t xml:space="preserve">he Alex Fraser project (additive bin at their Clarinda facility) is up and running, with the project expected to add </w:t>
      </w:r>
      <w:r>
        <w:t>about</w:t>
      </w:r>
      <w:r w:rsidRPr="002E0B3B">
        <w:t xml:space="preserve"> 60,000</w:t>
      </w:r>
      <w:r>
        <w:t> </w:t>
      </w:r>
      <w:r w:rsidRPr="002E0B3B">
        <w:t>tonnes of capacity</w:t>
      </w:r>
      <w:r>
        <w:t xml:space="preserve">. We did not get the </w:t>
      </w:r>
      <w:r w:rsidRPr="002E0B3B">
        <w:t xml:space="preserve">commissioning report </w:t>
      </w:r>
      <w:r>
        <w:t>before 30 June 2020, leaving us slightly below our 2019–20 target (</w:t>
      </w:r>
      <w:r>
        <w:fldChar w:fldCharType="begin"/>
      </w:r>
      <w:r>
        <w:instrText xml:space="preserve"> REF _Ref57380230 \h </w:instrText>
      </w:r>
      <w:r>
        <w:fldChar w:fldCharType="separate"/>
      </w:r>
      <w:r w:rsidR="00205952">
        <w:t xml:space="preserve">Table </w:t>
      </w:r>
      <w:r w:rsidR="00205952">
        <w:rPr>
          <w:noProof/>
        </w:rPr>
        <w:t>16</w:t>
      </w:r>
      <w:r>
        <w:fldChar w:fldCharType="end"/>
      </w:r>
      <w:r>
        <w:t>)</w:t>
      </w:r>
      <w:r w:rsidRPr="002E0B3B">
        <w:t>.</w:t>
      </w:r>
    </w:p>
    <w:p w14:paraId="3ACF76F0" w14:textId="2F944B59" w:rsidR="00D1350B" w:rsidRDefault="00D1350B" w:rsidP="00791C84">
      <w:pPr>
        <w:spacing w:before="240"/>
      </w:pPr>
      <w:r w:rsidRPr="00A3614F">
        <w:t xml:space="preserve">In 2019–20, we awarded $6 million in funding for 28 </w:t>
      </w:r>
      <w:r>
        <w:t>r</w:t>
      </w:r>
      <w:r w:rsidRPr="00A3614F">
        <w:t xml:space="preserve">esource </w:t>
      </w:r>
      <w:r>
        <w:t>r</w:t>
      </w:r>
      <w:r w:rsidRPr="00A3614F">
        <w:t>ecovery</w:t>
      </w:r>
      <w:r w:rsidRPr="00E232AE">
        <w:t xml:space="preserve"> </w:t>
      </w:r>
      <w:r>
        <w:t>i</w:t>
      </w:r>
      <w:r w:rsidRPr="00E232AE">
        <w:t>nfrastructure</w:t>
      </w:r>
      <w:r w:rsidRPr="00A3614F">
        <w:t xml:space="preserve"> projects</w:t>
      </w:r>
      <w:r w:rsidR="00791C84">
        <w:t xml:space="preserve">. </w:t>
      </w:r>
      <w:r>
        <w:t xml:space="preserve">The funding invested </w:t>
      </w:r>
      <w:r w:rsidRPr="0028610B">
        <w:t xml:space="preserve">leveraged further investment of $14 million, which </w:t>
      </w:r>
      <w:r>
        <w:t>wa</w:t>
      </w:r>
      <w:r w:rsidRPr="0028610B">
        <w:t xml:space="preserve">s $9 million short of </w:t>
      </w:r>
      <w:r>
        <w:t>our</w:t>
      </w:r>
      <w:r w:rsidRPr="0028610B">
        <w:t xml:space="preserve"> target</w:t>
      </w:r>
      <w:r w:rsidR="00791C84">
        <w:t xml:space="preserve"> (</w:t>
      </w:r>
      <w:r w:rsidR="00791C84">
        <w:fldChar w:fldCharType="begin"/>
      </w:r>
      <w:r w:rsidR="00791C84">
        <w:instrText xml:space="preserve"> REF _Ref57380230 \h </w:instrText>
      </w:r>
      <w:r w:rsidR="00791C84">
        <w:fldChar w:fldCharType="separate"/>
      </w:r>
      <w:r w:rsidR="00791C84">
        <w:t xml:space="preserve">Table </w:t>
      </w:r>
      <w:r w:rsidR="00791C84">
        <w:rPr>
          <w:noProof/>
        </w:rPr>
        <w:t>16</w:t>
      </w:r>
      <w:r w:rsidR="00791C84">
        <w:fldChar w:fldCharType="end"/>
      </w:r>
      <w:r w:rsidR="00791C84">
        <w:t>).</w:t>
      </w:r>
    </w:p>
    <w:p w14:paraId="30F24D1C" w14:textId="09A1ED78" w:rsidR="007A59C7" w:rsidRDefault="007A59C7" w:rsidP="00F51716">
      <w:pPr>
        <w:pStyle w:val="Caption"/>
      </w:pPr>
      <w:bookmarkStart w:id="37" w:name="_Ref57380230"/>
      <w:r>
        <w:t xml:space="preserve">Table </w:t>
      </w:r>
      <w:fldSimple w:instr=" SEQ Table \* ARABIC ">
        <w:r w:rsidR="003F15CC">
          <w:rPr>
            <w:noProof/>
          </w:rPr>
          <w:t>16</w:t>
        </w:r>
      </w:fldSimple>
      <w:bookmarkEnd w:id="37"/>
      <w:r>
        <w:t xml:space="preserve">: </w:t>
      </w:r>
      <w:r w:rsidR="00AE6C3C">
        <w:t>I</w:t>
      </w:r>
      <w:r>
        <w:t>ncreasing capacity in Victoria’s waste and resource recovery sector</w:t>
      </w:r>
      <w:r w:rsidR="00AE6C3C">
        <w:t xml:space="preserve"> in 2019-20</w:t>
      </w:r>
    </w:p>
    <w:tbl>
      <w:tblPr>
        <w:tblStyle w:val="TableGrid0"/>
        <w:tblW w:w="8949" w:type="dxa"/>
        <w:tblInd w:w="0" w:type="dxa"/>
        <w:tblLayout w:type="fixed"/>
        <w:tblCellMar>
          <w:top w:w="109" w:type="dxa"/>
          <w:right w:w="125" w:type="dxa"/>
        </w:tblCellMar>
        <w:tblLook w:val="04A0" w:firstRow="1" w:lastRow="0" w:firstColumn="1" w:lastColumn="0" w:noHBand="0" w:noVBand="1"/>
      </w:tblPr>
      <w:tblGrid>
        <w:gridCol w:w="5245"/>
        <w:gridCol w:w="1011"/>
        <w:gridCol w:w="1275"/>
        <w:gridCol w:w="1418"/>
      </w:tblGrid>
      <w:tr w:rsidR="007A59C7" w:rsidRPr="007D4704" w14:paraId="0D6E7C57" w14:textId="77777777" w:rsidTr="009940E4">
        <w:trPr>
          <w:trHeight w:val="373"/>
        </w:trPr>
        <w:tc>
          <w:tcPr>
            <w:tcW w:w="5245" w:type="dxa"/>
            <w:tcBorders>
              <w:top w:val="nil"/>
              <w:left w:val="nil"/>
              <w:bottom w:val="nil"/>
              <w:right w:val="nil"/>
            </w:tcBorders>
            <w:shd w:val="clear" w:color="auto" w:fill="82C341"/>
            <w:vAlign w:val="center"/>
          </w:tcPr>
          <w:p w14:paraId="37D9C6E8" w14:textId="0E30BCE2" w:rsidR="007A59C7" w:rsidRPr="007D4704" w:rsidRDefault="009940E4" w:rsidP="00F51716">
            <w:pPr>
              <w:pStyle w:val="TableHeading"/>
              <w:rPr>
                <w:rFonts w:asciiTheme="minorHAnsi" w:hAnsiTheme="minorHAnsi" w:cstheme="minorHAnsi"/>
                <w:color w:val="000000" w:themeColor="text1"/>
                <w:sz w:val="19"/>
                <w:szCs w:val="19"/>
              </w:rPr>
            </w:pPr>
            <w:r w:rsidRPr="00FE1ED7">
              <w:t>Outcome measure</w:t>
            </w:r>
            <w:r w:rsidRPr="007D4704">
              <w:rPr>
                <w:rFonts w:cstheme="minorHAnsi"/>
                <w:color w:val="000000" w:themeColor="text1"/>
                <w:sz w:val="19"/>
                <w:szCs w:val="19"/>
              </w:rPr>
              <w:t xml:space="preserve"> </w:t>
            </w:r>
          </w:p>
        </w:tc>
        <w:tc>
          <w:tcPr>
            <w:tcW w:w="1011" w:type="dxa"/>
            <w:tcBorders>
              <w:top w:val="nil"/>
              <w:left w:val="nil"/>
              <w:bottom w:val="nil"/>
              <w:right w:val="nil"/>
            </w:tcBorders>
            <w:shd w:val="clear" w:color="auto" w:fill="82C341"/>
            <w:vAlign w:val="center"/>
          </w:tcPr>
          <w:p w14:paraId="38B084C7" w14:textId="77777777" w:rsidR="007A59C7" w:rsidRPr="009940E4" w:rsidRDefault="007A59C7" w:rsidP="00F51716">
            <w:pPr>
              <w:pStyle w:val="tableheadright"/>
            </w:pPr>
            <w:r w:rsidRPr="009940E4">
              <w:t>2019–20 target</w:t>
            </w:r>
          </w:p>
        </w:tc>
        <w:tc>
          <w:tcPr>
            <w:tcW w:w="1275" w:type="dxa"/>
            <w:tcBorders>
              <w:top w:val="nil"/>
              <w:left w:val="nil"/>
              <w:bottom w:val="nil"/>
              <w:right w:val="nil"/>
            </w:tcBorders>
            <w:shd w:val="clear" w:color="auto" w:fill="82C341"/>
            <w:vAlign w:val="center"/>
          </w:tcPr>
          <w:p w14:paraId="66E29F9B" w14:textId="77777777" w:rsidR="007A59C7" w:rsidRPr="009940E4" w:rsidRDefault="007A59C7" w:rsidP="00F51716">
            <w:pPr>
              <w:pStyle w:val="tableheadright"/>
            </w:pPr>
            <w:r w:rsidRPr="009940E4">
              <w:t>2019–20 actual</w:t>
            </w:r>
          </w:p>
        </w:tc>
        <w:tc>
          <w:tcPr>
            <w:tcW w:w="1418" w:type="dxa"/>
            <w:tcBorders>
              <w:top w:val="nil"/>
              <w:left w:val="nil"/>
              <w:bottom w:val="nil"/>
              <w:right w:val="nil"/>
            </w:tcBorders>
            <w:shd w:val="clear" w:color="auto" w:fill="82C341"/>
            <w:vAlign w:val="center"/>
          </w:tcPr>
          <w:p w14:paraId="1F11EAEE" w14:textId="77777777" w:rsidR="007A59C7" w:rsidRPr="009940E4" w:rsidRDefault="007A59C7" w:rsidP="00F51716">
            <w:pPr>
              <w:pStyle w:val="tableheadright"/>
            </w:pPr>
            <w:r w:rsidRPr="009940E4">
              <w:t>Target met</w:t>
            </w:r>
          </w:p>
        </w:tc>
      </w:tr>
      <w:tr w:rsidR="007A59C7" w:rsidRPr="007951C1" w14:paraId="2F8413BC" w14:textId="77777777" w:rsidTr="009940E4">
        <w:trPr>
          <w:trHeight w:val="411"/>
        </w:trPr>
        <w:tc>
          <w:tcPr>
            <w:tcW w:w="5245" w:type="dxa"/>
            <w:tcBorders>
              <w:top w:val="single" w:sz="2" w:space="0" w:color="A7A9AB"/>
              <w:left w:val="nil"/>
              <w:bottom w:val="single" w:sz="2" w:space="0" w:color="A7A9AB"/>
              <w:right w:val="nil"/>
            </w:tcBorders>
            <w:vAlign w:val="center"/>
          </w:tcPr>
          <w:p w14:paraId="62A4BAD8" w14:textId="270C224E" w:rsidR="007A59C7" w:rsidRPr="00F47EA8" w:rsidRDefault="007A59C7" w:rsidP="00F51716">
            <w:pPr>
              <w:pStyle w:val="Tabletext0"/>
            </w:pPr>
            <w:r w:rsidRPr="007A59C7">
              <w:t>An additional 150,000 tonnes of capacity added to the waste and resource recovery sector</w:t>
            </w:r>
          </w:p>
        </w:tc>
        <w:tc>
          <w:tcPr>
            <w:tcW w:w="1011" w:type="dxa"/>
            <w:tcBorders>
              <w:top w:val="single" w:sz="2" w:space="0" w:color="A7A9AB"/>
              <w:left w:val="nil"/>
              <w:bottom w:val="single" w:sz="2" w:space="0" w:color="A7A9AB"/>
              <w:right w:val="nil"/>
            </w:tcBorders>
            <w:vAlign w:val="center"/>
          </w:tcPr>
          <w:p w14:paraId="64A0D4DF" w14:textId="2E6F7334" w:rsidR="007A59C7" w:rsidRPr="007951C1" w:rsidRDefault="007A59C7" w:rsidP="00F51716">
            <w:pPr>
              <w:pStyle w:val="tableright"/>
            </w:pPr>
            <w:r>
              <w:t>150,000</w:t>
            </w:r>
          </w:p>
        </w:tc>
        <w:tc>
          <w:tcPr>
            <w:tcW w:w="1275" w:type="dxa"/>
            <w:tcBorders>
              <w:top w:val="single" w:sz="2" w:space="0" w:color="A7A9AB"/>
              <w:left w:val="nil"/>
              <w:bottom w:val="single" w:sz="2" w:space="0" w:color="A7A9AB"/>
              <w:right w:val="nil"/>
            </w:tcBorders>
            <w:vAlign w:val="center"/>
          </w:tcPr>
          <w:p w14:paraId="09135824" w14:textId="2CCF09FD" w:rsidR="007A59C7" w:rsidRPr="007951C1" w:rsidRDefault="007A59C7" w:rsidP="00F51716">
            <w:pPr>
              <w:pStyle w:val="tableright"/>
            </w:pPr>
            <w:r>
              <w:t>122,000</w:t>
            </w:r>
          </w:p>
        </w:tc>
        <w:tc>
          <w:tcPr>
            <w:tcW w:w="1418" w:type="dxa"/>
            <w:tcBorders>
              <w:top w:val="single" w:sz="2" w:space="0" w:color="A7A9AB"/>
              <w:left w:val="nil"/>
              <w:bottom w:val="single" w:sz="2" w:space="0" w:color="A7A9AB"/>
              <w:right w:val="nil"/>
            </w:tcBorders>
            <w:vAlign w:val="center"/>
          </w:tcPr>
          <w:p w14:paraId="46290A7C" w14:textId="19E3A0F9" w:rsidR="007A59C7" w:rsidRPr="007951C1" w:rsidRDefault="007A59C7" w:rsidP="00F51716">
            <w:pPr>
              <w:pStyle w:val="tableright"/>
            </w:pPr>
            <w:r>
              <w:rPr>
                <w:rStyle w:val="normaltextrun"/>
                <w:rFonts w:ascii="Segoe UI Symbol" w:hAnsi="Segoe UI Symbol" w:cs="Segoe UI Symbol"/>
              </w:rPr>
              <w:t>✘</w:t>
            </w:r>
          </w:p>
        </w:tc>
      </w:tr>
      <w:tr w:rsidR="007A59C7" w:rsidRPr="007951C1" w14:paraId="21C4A3A5" w14:textId="77777777" w:rsidTr="009940E4">
        <w:trPr>
          <w:trHeight w:val="411"/>
        </w:trPr>
        <w:tc>
          <w:tcPr>
            <w:tcW w:w="5245" w:type="dxa"/>
            <w:vMerge w:val="restart"/>
            <w:tcBorders>
              <w:top w:val="single" w:sz="2" w:space="0" w:color="A7A9AB"/>
              <w:left w:val="nil"/>
              <w:right w:val="nil"/>
            </w:tcBorders>
            <w:vAlign w:val="center"/>
          </w:tcPr>
          <w:p w14:paraId="78F5E138" w14:textId="4FE6C212" w:rsidR="007A59C7" w:rsidRDefault="007A59C7" w:rsidP="00F51716">
            <w:pPr>
              <w:pStyle w:val="Tabletext0"/>
            </w:pPr>
            <w:r w:rsidRPr="007A59C7">
              <w:t>$7 million of SV investment leveraged an additional $23 million infrastructure investment by the waste and resource recovery sector</w:t>
            </w:r>
          </w:p>
        </w:tc>
        <w:tc>
          <w:tcPr>
            <w:tcW w:w="1011" w:type="dxa"/>
            <w:tcBorders>
              <w:top w:val="single" w:sz="2" w:space="0" w:color="A7A9AB"/>
              <w:left w:val="nil"/>
              <w:bottom w:val="single" w:sz="2" w:space="0" w:color="A7A9AB"/>
              <w:right w:val="nil"/>
            </w:tcBorders>
            <w:vAlign w:val="center"/>
          </w:tcPr>
          <w:p w14:paraId="0BCE1DF4" w14:textId="223C0212" w:rsidR="007A59C7" w:rsidRDefault="007A59C7" w:rsidP="00F51716">
            <w:pPr>
              <w:pStyle w:val="tableright"/>
            </w:pPr>
            <w:r>
              <w:t>$7 M</w:t>
            </w:r>
          </w:p>
        </w:tc>
        <w:tc>
          <w:tcPr>
            <w:tcW w:w="1275" w:type="dxa"/>
            <w:tcBorders>
              <w:top w:val="single" w:sz="2" w:space="0" w:color="A7A9AB"/>
              <w:left w:val="nil"/>
              <w:bottom w:val="single" w:sz="2" w:space="0" w:color="A7A9AB"/>
              <w:right w:val="nil"/>
            </w:tcBorders>
            <w:vAlign w:val="center"/>
          </w:tcPr>
          <w:p w14:paraId="7D5FCFCF" w14:textId="7922FE09" w:rsidR="007A59C7" w:rsidRDefault="007A59C7" w:rsidP="00F51716">
            <w:pPr>
              <w:pStyle w:val="tableright"/>
            </w:pPr>
            <w:r>
              <w:t>$6 M</w:t>
            </w:r>
          </w:p>
        </w:tc>
        <w:tc>
          <w:tcPr>
            <w:tcW w:w="1418" w:type="dxa"/>
            <w:tcBorders>
              <w:top w:val="single" w:sz="2" w:space="0" w:color="A7A9AB"/>
              <w:left w:val="nil"/>
              <w:bottom w:val="single" w:sz="2" w:space="0" w:color="A7A9AB"/>
              <w:right w:val="nil"/>
            </w:tcBorders>
            <w:vAlign w:val="center"/>
          </w:tcPr>
          <w:p w14:paraId="5FB444EA" w14:textId="2DFBFE95" w:rsidR="007A59C7" w:rsidRDefault="007A59C7" w:rsidP="00F51716">
            <w:pPr>
              <w:pStyle w:val="tableright"/>
              <w:rPr>
                <w:rStyle w:val="normaltextrun"/>
                <w:rFonts w:ascii="Segoe UI Emoji" w:hAnsi="Segoe UI Emoji" w:cs="Segoe UI Emoji"/>
              </w:rPr>
            </w:pPr>
            <w:r>
              <w:rPr>
                <w:rStyle w:val="normaltextrun"/>
                <w:rFonts w:ascii="Segoe UI Symbol" w:hAnsi="Segoe UI Symbol" w:cs="Segoe UI Symbol"/>
              </w:rPr>
              <w:t>✘</w:t>
            </w:r>
          </w:p>
        </w:tc>
      </w:tr>
      <w:tr w:rsidR="007A59C7" w:rsidRPr="007951C1" w14:paraId="0C38112A" w14:textId="77777777" w:rsidTr="009940E4">
        <w:trPr>
          <w:trHeight w:val="411"/>
        </w:trPr>
        <w:tc>
          <w:tcPr>
            <w:tcW w:w="5245" w:type="dxa"/>
            <w:vMerge/>
            <w:tcBorders>
              <w:left w:val="nil"/>
              <w:bottom w:val="single" w:sz="2" w:space="0" w:color="A7A9AB"/>
              <w:right w:val="nil"/>
            </w:tcBorders>
            <w:vAlign w:val="center"/>
          </w:tcPr>
          <w:p w14:paraId="2026AB49" w14:textId="77777777" w:rsidR="007A59C7" w:rsidRPr="007A59C7" w:rsidRDefault="007A59C7" w:rsidP="00F51716">
            <w:pPr>
              <w:pStyle w:val="Pa2"/>
              <w:spacing w:after="140"/>
              <w:rPr>
                <w:rFonts w:asciiTheme="minorHAnsi" w:hAnsiTheme="minorHAnsi" w:cstheme="minorHAnsi"/>
                <w:color w:val="000000" w:themeColor="text1"/>
                <w:sz w:val="19"/>
                <w:szCs w:val="19"/>
              </w:rPr>
            </w:pPr>
          </w:p>
        </w:tc>
        <w:tc>
          <w:tcPr>
            <w:tcW w:w="1011" w:type="dxa"/>
            <w:tcBorders>
              <w:top w:val="single" w:sz="2" w:space="0" w:color="A7A9AB"/>
              <w:left w:val="nil"/>
              <w:bottom w:val="single" w:sz="2" w:space="0" w:color="A7A9AB"/>
              <w:right w:val="nil"/>
            </w:tcBorders>
            <w:vAlign w:val="center"/>
          </w:tcPr>
          <w:p w14:paraId="0685C279" w14:textId="11268882" w:rsidR="007A59C7" w:rsidRDefault="007A59C7" w:rsidP="00F51716">
            <w:pPr>
              <w:pStyle w:val="tableright"/>
            </w:pPr>
            <w:r>
              <w:t>$23 M</w:t>
            </w:r>
          </w:p>
        </w:tc>
        <w:tc>
          <w:tcPr>
            <w:tcW w:w="1275" w:type="dxa"/>
            <w:tcBorders>
              <w:top w:val="single" w:sz="2" w:space="0" w:color="A7A9AB"/>
              <w:left w:val="nil"/>
              <w:bottom w:val="single" w:sz="2" w:space="0" w:color="A7A9AB"/>
              <w:right w:val="nil"/>
            </w:tcBorders>
            <w:vAlign w:val="center"/>
          </w:tcPr>
          <w:p w14:paraId="54826337" w14:textId="335BA37E" w:rsidR="007A59C7" w:rsidRDefault="007A59C7" w:rsidP="00F51716">
            <w:pPr>
              <w:pStyle w:val="tableright"/>
            </w:pPr>
            <w:r>
              <w:t>$14 M</w:t>
            </w:r>
          </w:p>
        </w:tc>
        <w:tc>
          <w:tcPr>
            <w:tcW w:w="1418" w:type="dxa"/>
            <w:tcBorders>
              <w:top w:val="single" w:sz="2" w:space="0" w:color="A7A9AB"/>
              <w:left w:val="nil"/>
              <w:bottom w:val="single" w:sz="2" w:space="0" w:color="A7A9AB"/>
              <w:right w:val="nil"/>
            </w:tcBorders>
            <w:vAlign w:val="center"/>
          </w:tcPr>
          <w:p w14:paraId="292504DB" w14:textId="41C5CD92" w:rsidR="007A59C7" w:rsidRDefault="007A59C7" w:rsidP="00F51716">
            <w:pPr>
              <w:pStyle w:val="tableright"/>
              <w:rPr>
                <w:rStyle w:val="normaltextrun"/>
                <w:rFonts w:ascii="Segoe UI Symbol" w:hAnsi="Segoe UI Symbol" w:cs="Segoe UI Symbol"/>
              </w:rPr>
            </w:pPr>
            <w:r>
              <w:rPr>
                <w:rStyle w:val="normaltextrun"/>
                <w:rFonts w:ascii="Segoe UI Symbol" w:hAnsi="Segoe UI Symbol" w:cs="Segoe UI Symbol"/>
              </w:rPr>
              <w:t>✘</w:t>
            </w:r>
          </w:p>
        </w:tc>
      </w:tr>
    </w:tbl>
    <w:p w14:paraId="1C07A3A3" w14:textId="58CCAA8F" w:rsidR="00D85614" w:rsidRDefault="00B30771" w:rsidP="00B7347B">
      <w:pPr>
        <w:pStyle w:val="Heading3"/>
      </w:pPr>
      <w:r>
        <w:rPr>
          <w:noProof/>
        </w:rPr>
        <mc:AlternateContent>
          <mc:Choice Requires="wps">
            <w:drawing>
              <wp:inline distT="0" distB="0" distL="0" distR="0" wp14:anchorId="0CADF061" wp14:editId="61C9E043">
                <wp:extent cx="1828800" cy="1828800"/>
                <wp:effectExtent l="0" t="0" r="15240" b="18415"/>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256FB12" w14:textId="0B43D081" w:rsidR="005F5554" w:rsidRPr="00443437" w:rsidRDefault="005F5554" w:rsidP="00F51716">
                            <w:pPr>
                              <w:rPr>
                                <w:rStyle w:val="Strong"/>
                              </w:rPr>
                            </w:pPr>
                            <w:r w:rsidRPr="00443437">
                              <w:rPr>
                                <w:rStyle w:val="Strong"/>
                              </w:rPr>
                              <w:t>Transitioning to a low carbon economy</w:t>
                            </w:r>
                          </w:p>
                          <w:p w14:paraId="6DACC38F" w14:textId="40A84474" w:rsidR="005F5554" w:rsidRDefault="005F5554" w:rsidP="00F51716">
                            <w:r>
                              <w:t>The Bioenergy Infrastructure Fund supports projects that use bioenergy technologies to recover and reprocess organic waste from commercial, industrial and municipal sources. Four grants were awarded in 2019–20, with projects to be completed by October 2020.</w:t>
                            </w:r>
                          </w:p>
                          <w:p w14:paraId="17D730C6" w14:textId="77777777" w:rsidR="005F5554" w:rsidRDefault="005F5554" w:rsidP="00F51716">
                            <w:r>
                              <w:t>The Bioenergy Infrastructure Fund is the second round of funding from the Waste to Energy Infrastructure Fund which is supporting investment in waste-to-energy technologies that will assist Victoria in achieving the transition to a low carbon economy by reducing greenhouse gas emissions and diverting waste from landfill.</w:t>
                            </w:r>
                          </w:p>
                          <w:p w14:paraId="3576DE18" w14:textId="77777777" w:rsidR="005F5554" w:rsidRDefault="005F5554" w:rsidP="00F51716">
                            <w:r>
                              <w:t xml:space="preserve">Visit </w:t>
                            </w:r>
                            <w:hyperlink r:id="rId31" w:history="1">
                              <w:r>
                                <w:rPr>
                                  <w:rStyle w:val="Hyperlink"/>
                                  <w:rFonts w:cstheme="minorBidi"/>
                                </w:rPr>
                                <w:t>sustainability.vic.gov.au/Grants-and-funding/Bioenergy-infrastructure-fund-grants</w:t>
                              </w:r>
                            </w:hyperlink>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w14:anchorId="0CADF061" id="Text Box 3" o:spid="_x0000_s1028"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TTPQIAAH8EAAAOAAAAZHJzL2Uyb0RvYy54bWysVMtu2zAQvBfoPxC8N/IrqWtYDtwEKQoY&#10;SQC7yJmmKFsoxSVIxpL79R1SlmOkPRW9UPsmd2ZX89u21uygnK/I5Hx4NeBMGUlFZXY5/7F5+DTl&#10;zAdhCqHJqJwflee3i48f5o2dqRHtSRfKMRQxftbYnO9DsLMs83KvauGvyCoDZ0muFgGq22WFEw2q&#10;1zobDQY3WUOusI6k8h7W+87JF6l+WSoZnsrSq8B0zvG2kE6Xzm08s8VczHZO2H0lT88Q//CKWlQG&#10;l55L3Ysg2Kur/ihVV9KRpzJcSaozKstKqtQDuhkO3nWz3gurUi8Ax9szTP7/lZWPh2fHqiLnY86M&#10;qEHRRrWBfaWWjSM6jfUzBK0twkILM1ju7R7G2HRbujp+0Q6DHzgfz9jGYjImTUfT6QAuCV+voH72&#10;lm6dD98U1SwKOXcgL2EqDisfutA+JN5m6KHSOhGoDWtyfjO+HqQET7oqojOGxZQ77dhBYAS2Wsif&#10;8fm49iIKmjYwxma7pqIU2m2boBn1DW+pOAIHR90ceSsfKpRfCR+ehcPgoD8sQ3jCUWrCm+gkcbYn&#10;9+tv9hgPPuHlrMEg5txgUzjT3w14/jKcTOLcJmVy/XkExV16tpce81rfEdocYumsTGKMD7oXS0f1&#10;CzZmGe+ESxiJm3MeevEudMuBjZNquUxBmFQrwsqsrYyle1A37Ytw9kRWAM+P1A+smL3jrIuNmd4u&#10;XwOYS4RGlDtMT+BjyhM3p42Ma3Spp6i3/8biNwA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LuRVNM9AgAAfwQAAA4AAAAAAAAAAAAA&#10;AAAALgIAAGRycy9lMm9Eb2MueG1sUEsBAi0AFAAGAAgAAAAhALcMAwjXAAAABQEAAA8AAAAAAAAA&#10;AAAAAAAAlwQAAGRycy9kb3ducmV2LnhtbFBLBQYAAAAABAAEAPMAAACbBQAAAAA=&#10;" filled="f" strokeweight=".5pt">
                <v:textbox style="mso-fit-shape-to-text:t">
                  <w:txbxContent>
                    <w:p w14:paraId="1256FB12" w14:textId="0B43D081" w:rsidR="005F5554" w:rsidRPr="00443437" w:rsidRDefault="005F5554" w:rsidP="00F51716">
                      <w:pPr>
                        <w:rPr>
                          <w:rStyle w:val="Strong"/>
                        </w:rPr>
                      </w:pPr>
                      <w:r w:rsidRPr="00443437">
                        <w:rPr>
                          <w:rStyle w:val="Strong"/>
                        </w:rPr>
                        <w:t>Transitioning to a low carbon economy</w:t>
                      </w:r>
                    </w:p>
                    <w:p w14:paraId="6DACC38F" w14:textId="40A84474" w:rsidR="005F5554" w:rsidRDefault="005F5554" w:rsidP="00F51716">
                      <w:r>
                        <w:t>The Bioenergy Infrastructure Fund supports projects that use bioenergy technologies to recover and reprocess organic waste from commercial, industrial and municipal sources. Four grants were awarded in 2019–20, with projects to be completed by October 2020.</w:t>
                      </w:r>
                    </w:p>
                    <w:p w14:paraId="17D730C6" w14:textId="77777777" w:rsidR="005F5554" w:rsidRDefault="005F5554" w:rsidP="00F51716">
                      <w:r>
                        <w:t>The Bioenergy Infrastructure Fund is the second round of funding from the Waste to Energy Infrastructure Fund which is supporting investment in waste-to-energy technologies that will assist Victoria in achieving the transition to a low carbon economy by reducing greenhouse gas emissions and diverting waste from landfill.</w:t>
                      </w:r>
                    </w:p>
                    <w:p w14:paraId="3576DE18" w14:textId="77777777" w:rsidR="005F5554" w:rsidRDefault="005F5554" w:rsidP="00F51716">
                      <w:r>
                        <w:t xml:space="preserve">Visit </w:t>
                      </w:r>
                      <w:hyperlink r:id="rId32" w:history="1">
                        <w:r>
                          <w:rPr>
                            <w:rStyle w:val="Hyperlink"/>
                            <w:rFonts w:cstheme="minorBidi"/>
                          </w:rPr>
                          <w:t>sustainability.vic.gov.au/Grants-and-funding/Bioenergy-infrastructure-fund-grants</w:t>
                        </w:r>
                      </w:hyperlink>
                    </w:p>
                  </w:txbxContent>
                </v:textbox>
                <w10:anchorlock/>
              </v:shape>
            </w:pict>
          </mc:Fallback>
        </mc:AlternateContent>
      </w:r>
      <w:r w:rsidR="00325C06" w:rsidRPr="00264034" w:rsidDel="00325C06">
        <w:t xml:space="preserve"> </w:t>
      </w:r>
    </w:p>
    <w:p w14:paraId="794BF8BC" w14:textId="77777777" w:rsidR="00D1350B" w:rsidRDefault="00D1350B" w:rsidP="00F51716">
      <w:pPr>
        <w:rPr>
          <w:rFonts w:asciiTheme="majorHAnsi" w:eastAsiaTheme="majorEastAsia" w:hAnsiTheme="majorHAnsi" w:cstheme="majorBidi"/>
          <w:sz w:val="24"/>
          <w:szCs w:val="24"/>
        </w:rPr>
      </w:pPr>
      <w:r>
        <w:br w:type="page"/>
      </w:r>
    </w:p>
    <w:p w14:paraId="3E16DBE7" w14:textId="06A7EB74" w:rsidR="00D92714" w:rsidRDefault="00BD011D" w:rsidP="009C0026">
      <w:pPr>
        <w:pStyle w:val="Header3outcome"/>
      </w:pPr>
      <w:r>
        <w:t xml:space="preserve">Strategic outcome: </w:t>
      </w:r>
      <w:r w:rsidR="00D92714">
        <w:t xml:space="preserve">Zero organic material goes to landfill </w:t>
      </w:r>
    </w:p>
    <w:p w14:paraId="6DB78A44" w14:textId="29F466D2" w:rsidR="002643B1" w:rsidRDefault="002643B1" w:rsidP="00F51716">
      <w:r>
        <w:t>Work in this space was impacted by COVID-19 restrictions, particularly our ongoing work to reduce food waste with hospitality businesses under the Love Food Hate Waste (LFHW) business program (</w:t>
      </w:r>
      <w:r>
        <w:fldChar w:fldCharType="begin"/>
      </w:r>
      <w:r>
        <w:instrText xml:space="preserve"> REF _Ref57380996 \h </w:instrText>
      </w:r>
      <w:r>
        <w:fldChar w:fldCharType="separate"/>
      </w:r>
      <w:r w:rsidR="00205952" w:rsidRPr="00DA6EC2">
        <w:t xml:space="preserve">Table </w:t>
      </w:r>
      <w:r w:rsidR="00205952">
        <w:rPr>
          <w:noProof/>
        </w:rPr>
        <w:t>17</w:t>
      </w:r>
      <w:r>
        <w:fldChar w:fldCharType="end"/>
      </w:r>
      <w:r>
        <w:t xml:space="preserve">). Program promotion was put on hold, although businesses continue to sign up online. Large closures of hospitality businesses due to COVID-19 will further impact the progress of this target and make it inappropriate for SV to promote the program. </w:t>
      </w:r>
    </w:p>
    <w:p w14:paraId="2AB18D03" w14:textId="77777777" w:rsidR="009C0026" w:rsidRDefault="009C0026" w:rsidP="009C0026">
      <w:r>
        <w:t xml:space="preserve">The planned launch of the </w:t>
      </w:r>
      <w:hyperlink r:id="rId33" w:history="1">
        <w:r w:rsidRPr="00B921F5">
          <w:rPr>
            <w:rStyle w:val="Hyperlink"/>
            <w:rFonts w:cstheme="minorBidi"/>
          </w:rPr>
          <w:t>Love a List Challenge</w:t>
        </w:r>
      </w:hyperlink>
      <w:r>
        <w:t xml:space="preserve"> campaign in June 2020 was also delayed due to COVID-19. Despite little promotion, Love a List received 408 sign-ups in 2019–20. On average, participants save $50 or more during the challenge, 87 per cent report wasting less food and 50 per cent stick to the new behaviour after the four-week challenge.</w:t>
      </w:r>
    </w:p>
    <w:p w14:paraId="650A37E0" w14:textId="77777777" w:rsidR="002643B1" w:rsidRDefault="002643B1" w:rsidP="00F51716">
      <w:r>
        <w:t>We funded two projects</w:t>
      </w:r>
      <w:r w:rsidRPr="002643B1">
        <w:t xml:space="preserve"> </w:t>
      </w:r>
      <w:r>
        <w:t>to increase recovery of organic waste for beneficial uses in 2019–10:</w:t>
      </w:r>
    </w:p>
    <w:p w14:paraId="540E7905" w14:textId="77777777" w:rsidR="002643B1" w:rsidRDefault="002643B1" w:rsidP="00F51716">
      <w:pPr>
        <w:pStyle w:val="ListBullet"/>
      </w:pPr>
      <w:r>
        <w:t>Western Composting – Shepparton Organics Resource Recovery Facility (SORRF)</w:t>
      </w:r>
    </w:p>
    <w:p w14:paraId="4A459D31" w14:textId="77777777" w:rsidR="002643B1" w:rsidRDefault="002643B1" w:rsidP="00F51716">
      <w:pPr>
        <w:pStyle w:val="ListBullet"/>
      </w:pPr>
      <w:r>
        <w:t>Wangaratta Regional Organics Processing Plant.</w:t>
      </w:r>
    </w:p>
    <w:p w14:paraId="6BAC3B9D" w14:textId="1874EC75" w:rsidR="002643B1" w:rsidRPr="00690F0B" w:rsidRDefault="002643B1" w:rsidP="00F51716">
      <w:r>
        <w:t>These two plants have added 26,000</w:t>
      </w:r>
      <w:r w:rsidR="009C0026">
        <w:t xml:space="preserve"> tonnes</w:t>
      </w:r>
      <w:r>
        <w:t xml:space="preserve"> in additional capacity for organic waste – well above our target of 10,000</w:t>
      </w:r>
      <w:r w:rsidR="009C0026">
        <w:t xml:space="preserve"> tonnes</w:t>
      </w:r>
      <w:r>
        <w:t xml:space="preserve">. </w:t>
      </w:r>
    </w:p>
    <w:p w14:paraId="4977D592" w14:textId="77777777" w:rsidR="002643B1" w:rsidRDefault="002643B1" w:rsidP="00F51716">
      <w:r w:rsidRPr="0066600F">
        <w:t>Two councils implemented a new or improved food</w:t>
      </w:r>
      <w:r>
        <w:t xml:space="preserve"> and garden </w:t>
      </w:r>
      <w:r w:rsidRPr="0066600F">
        <w:t>organics (FOGO) collection system. Campaspe Shire Council introduced a household FOGO Collection and expanded existing garden collections to include food. Macedon Ranges Shire Council introduced a food organics and garden organics kerbside waste collection service.</w:t>
      </w:r>
    </w:p>
    <w:p w14:paraId="5A304330" w14:textId="22AE6525" w:rsidR="002643B1" w:rsidRPr="00DA6EC2" w:rsidRDefault="002643B1" w:rsidP="00F51716">
      <w:pPr>
        <w:pStyle w:val="Caption"/>
      </w:pPr>
      <w:bookmarkStart w:id="38" w:name="_Ref57380996"/>
      <w:r w:rsidRPr="00DA6EC2">
        <w:t xml:space="preserve">Table </w:t>
      </w:r>
      <w:fldSimple w:instr=" SEQ Table \* ARABIC ">
        <w:r w:rsidR="003F15CC">
          <w:rPr>
            <w:noProof/>
          </w:rPr>
          <w:t>17</w:t>
        </w:r>
      </w:fldSimple>
      <w:bookmarkEnd w:id="38"/>
      <w:r w:rsidRPr="00DA6EC2">
        <w:t xml:space="preserve">: </w:t>
      </w:r>
      <w:r w:rsidR="00AE6C3C">
        <w:t>R</w:t>
      </w:r>
      <w:r w:rsidRPr="002643B1">
        <w:t>educ</w:t>
      </w:r>
      <w:r w:rsidR="00AE6C3C">
        <w:t>ing</w:t>
      </w:r>
      <w:r w:rsidRPr="002643B1">
        <w:t xml:space="preserve"> organics going</w:t>
      </w:r>
      <w:r>
        <w:t xml:space="preserve"> to</w:t>
      </w:r>
      <w:r w:rsidRPr="002643B1">
        <w:t xml:space="preserve"> landfill</w:t>
      </w:r>
      <w:r w:rsidR="00D1350B">
        <w:t xml:space="preserve"> in 2019–20</w:t>
      </w:r>
    </w:p>
    <w:tbl>
      <w:tblPr>
        <w:tblStyle w:val="TableGrid0"/>
        <w:tblW w:w="9233" w:type="dxa"/>
        <w:tblInd w:w="0" w:type="dxa"/>
        <w:tblLayout w:type="fixed"/>
        <w:tblCellMar>
          <w:top w:w="109" w:type="dxa"/>
          <w:right w:w="125" w:type="dxa"/>
        </w:tblCellMar>
        <w:tblLook w:val="04A0" w:firstRow="1" w:lastRow="0" w:firstColumn="1" w:lastColumn="0" w:noHBand="0" w:noVBand="1"/>
      </w:tblPr>
      <w:tblGrid>
        <w:gridCol w:w="5529"/>
        <w:gridCol w:w="1011"/>
        <w:gridCol w:w="1275"/>
        <w:gridCol w:w="1418"/>
      </w:tblGrid>
      <w:tr w:rsidR="002643B1" w:rsidRPr="007D4704" w14:paraId="61AB4E10" w14:textId="77777777" w:rsidTr="00D1350B">
        <w:trPr>
          <w:trHeight w:val="373"/>
        </w:trPr>
        <w:tc>
          <w:tcPr>
            <w:tcW w:w="5529" w:type="dxa"/>
            <w:tcBorders>
              <w:top w:val="nil"/>
              <w:left w:val="nil"/>
              <w:bottom w:val="nil"/>
              <w:right w:val="nil"/>
            </w:tcBorders>
            <w:shd w:val="clear" w:color="auto" w:fill="82C341"/>
            <w:vAlign w:val="center"/>
          </w:tcPr>
          <w:p w14:paraId="5C6DCC28" w14:textId="599D8A38" w:rsidR="002643B1" w:rsidRPr="007D4704" w:rsidRDefault="00D1350B" w:rsidP="00F51716">
            <w:pPr>
              <w:pStyle w:val="TableHeading"/>
              <w:rPr>
                <w:rFonts w:asciiTheme="minorHAnsi" w:hAnsiTheme="minorHAnsi" w:cstheme="minorHAnsi"/>
                <w:color w:val="000000" w:themeColor="text1"/>
                <w:sz w:val="19"/>
                <w:szCs w:val="19"/>
              </w:rPr>
            </w:pPr>
            <w:r w:rsidRPr="00FE1ED7">
              <w:t>Outcome measure</w:t>
            </w:r>
          </w:p>
        </w:tc>
        <w:tc>
          <w:tcPr>
            <w:tcW w:w="1011" w:type="dxa"/>
            <w:tcBorders>
              <w:top w:val="nil"/>
              <w:left w:val="nil"/>
              <w:bottom w:val="nil"/>
              <w:right w:val="nil"/>
            </w:tcBorders>
            <w:shd w:val="clear" w:color="auto" w:fill="82C341"/>
            <w:vAlign w:val="center"/>
          </w:tcPr>
          <w:p w14:paraId="7B3E0DC5" w14:textId="77777777" w:rsidR="002643B1" w:rsidRPr="007D4704" w:rsidRDefault="002643B1" w:rsidP="00F51716">
            <w:pPr>
              <w:pStyle w:val="tableheadright"/>
            </w:pPr>
            <w:r w:rsidRPr="007D4704">
              <w:t>2019–20 target</w:t>
            </w:r>
          </w:p>
        </w:tc>
        <w:tc>
          <w:tcPr>
            <w:tcW w:w="1275" w:type="dxa"/>
            <w:tcBorders>
              <w:top w:val="nil"/>
              <w:left w:val="nil"/>
              <w:bottom w:val="nil"/>
              <w:right w:val="nil"/>
            </w:tcBorders>
            <w:shd w:val="clear" w:color="auto" w:fill="82C341"/>
            <w:vAlign w:val="center"/>
          </w:tcPr>
          <w:p w14:paraId="16A32658" w14:textId="77777777" w:rsidR="002643B1" w:rsidRPr="007D4704" w:rsidRDefault="002643B1" w:rsidP="00F51716">
            <w:pPr>
              <w:pStyle w:val="tableheadright"/>
            </w:pPr>
            <w:r w:rsidRPr="007D4704">
              <w:t>2019–20 actual</w:t>
            </w:r>
          </w:p>
        </w:tc>
        <w:tc>
          <w:tcPr>
            <w:tcW w:w="1418" w:type="dxa"/>
            <w:tcBorders>
              <w:top w:val="nil"/>
              <w:left w:val="nil"/>
              <w:bottom w:val="nil"/>
              <w:right w:val="nil"/>
            </w:tcBorders>
            <w:shd w:val="clear" w:color="auto" w:fill="82C341"/>
            <w:vAlign w:val="center"/>
          </w:tcPr>
          <w:p w14:paraId="0C02C77A" w14:textId="77777777" w:rsidR="002643B1" w:rsidRPr="007D4704" w:rsidRDefault="002643B1" w:rsidP="00F51716">
            <w:pPr>
              <w:pStyle w:val="tableheadright"/>
            </w:pPr>
            <w:r w:rsidRPr="007D4704">
              <w:t xml:space="preserve">Target </w:t>
            </w:r>
            <w:r>
              <w:t>met</w:t>
            </w:r>
          </w:p>
        </w:tc>
      </w:tr>
      <w:tr w:rsidR="002643B1" w:rsidRPr="007951C1" w14:paraId="6A51A9C9" w14:textId="77777777" w:rsidTr="00D1350B">
        <w:trPr>
          <w:trHeight w:val="411"/>
        </w:trPr>
        <w:tc>
          <w:tcPr>
            <w:tcW w:w="5529" w:type="dxa"/>
            <w:tcBorders>
              <w:top w:val="single" w:sz="2" w:space="0" w:color="A7A9AB"/>
              <w:left w:val="nil"/>
              <w:bottom w:val="single" w:sz="2" w:space="0" w:color="A7A9AB"/>
              <w:right w:val="nil"/>
            </w:tcBorders>
            <w:vAlign w:val="center"/>
          </w:tcPr>
          <w:p w14:paraId="03DEA53E" w14:textId="028DC72B" w:rsidR="002643B1" w:rsidRPr="00F47EA8" w:rsidRDefault="002643B1" w:rsidP="00F51716">
            <w:pPr>
              <w:pStyle w:val="Tabletext0"/>
            </w:pPr>
            <w:r w:rsidRPr="002643B1">
              <w:t>Local government diverted 20,000</w:t>
            </w:r>
            <w:r w:rsidR="007536F1">
              <w:t> </w:t>
            </w:r>
            <w:r w:rsidRPr="002643B1">
              <w:t>t of organics from landfill</w:t>
            </w:r>
          </w:p>
        </w:tc>
        <w:tc>
          <w:tcPr>
            <w:tcW w:w="1011" w:type="dxa"/>
            <w:tcBorders>
              <w:top w:val="single" w:sz="2" w:space="0" w:color="A7A9AB"/>
              <w:left w:val="nil"/>
              <w:bottom w:val="single" w:sz="2" w:space="0" w:color="A7A9AB"/>
              <w:right w:val="nil"/>
            </w:tcBorders>
            <w:vAlign w:val="center"/>
          </w:tcPr>
          <w:p w14:paraId="0F75DE71" w14:textId="3A43399D" w:rsidR="002643B1" w:rsidRPr="00D1350B" w:rsidRDefault="002643B1" w:rsidP="00F51716">
            <w:pPr>
              <w:pStyle w:val="tableright"/>
            </w:pPr>
            <w:r w:rsidRPr="00D1350B">
              <w:t>20,000</w:t>
            </w:r>
            <w:r w:rsidR="007536F1">
              <w:t> </w:t>
            </w:r>
            <w:r w:rsidRPr="00D1350B">
              <w:t>t</w:t>
            </w:r>
          </w:p>
        </w:tc>
        <w:tc>
          <w:tcPr>
            <w:tcW w:w="1275" w:type="dxa"/>
            <w:tcBorders>
              <w:top w:val="single" w:sz="2" w:space="0" w:color="A7A9AB"/>
              <w:left w:val="nil"/>
              <w:bottom w:val="single" w:sz="2" w:space="0" w:color="A7A9AB"/>
              <w:right w:val="nil"/>
            </w:tcBorders>
            <w:vAlign w:val="center"/>
          </w:tcPr>
          <w:p w14:paraId="37E36141" w14:textId="483D2BD3" w:rsidR="002643B1" w:rsidRPr="00D1350B" w:rsidRDefault="00DC21B6" w:rsidP="00F51716">
            <w:pPr>
              <w:pStyle w:val="tableright"/>
            </w:pPr>
            <w:r w:rsidRPr="00DC21B6">
              <w:t>43,738</w:t>
            </w:r>
            <w:r>
              <w:t xml:space="preserve"> </w:t>
            </w:r>
            <w:r w:rsidR="002643B1" w:rsidRPr="00D1350B">
              <w:t>t</w:t>
            </w:r>
          </w:p>
        </w:tc>
        <w:tc>
          <w:tcPr>
            <w:tcW w:w="1418" w:type="dxa"/>
            <w:tcBorders>
              <w:top w:val="single" w:sz="2" w:space="0" w:color="A7A9AB"/>
              <w:left w:val="nil"/>
              <w:bottom w:val="single" w:sz="2" w:space="0" w:color="A7A9AB"/>
              <w:right w:val="nil"/>
            </w:tcBorders>
            <w:vAlign w:val="center"/>
          </w:tcPr>
          <w:p w14:paraId="2916CA0A" w14:textId="0ABD27C5" w:rsidR="002643B1" w:rsidRPr="00D1350B" w:rsidRDefault="00DC21B6" w:rsidP="00F51716">
            <w:pPr>
              <w:pStyle w:val="tableright"/>
            </w:pPr>
            <w:r w:rsidRPr="00D1350B">
              <w:rPr>
                <w:rStyle w:val="normaltextrun"/>
                <w:rFonts w:ascii="Segoe UI Emoji" w:hAnsi="Segoe UI Emoji" w:cs="Segoe UI Emoji"/>
              </w:rPr>
              <w:t>✔</w:t>
            </w:r>
          </w:p>
        </w:tc>
      </w:tr>
      <w:tr w:rsidR="002643B1" w:rsidRPr="007951C1" w14:paraId="37ABB21B" w14:textId="77777777" w:rsidTr="00D1350B">
        <w:trPr>
          <w:trHeight w:val="411"/>
        </w:trPr>
        <w:tc>
          <w:tcPr>
            <w:tcW w:w="5529" w:type="dxa"/>
            <w:tcBorders>
              <w:top w:val="single" w:sz="2" w:space="0" w:color="A7A9AB"/>
              <w:left w:val="nil"/>
              <w:bottom w:val="single" w:sz="2" w:space="0" w:color="A7A9AB"/>
              <w:right w:val="nil"/>
            </w:tcBorders>
            <w:vAlign w:val="center"/>
          </w:tcPr>
          <w:p w14:paraId="59EB8126" w14:textId="20CCF34A" w:rsidR="002643B1" w:rsidRDefault="00F66272" w:rsidP="00F51716">
            <w:pPr>
              <w:pStyle w:val="Tabletext0"/>
            </w:pPr>
            <w:r>
              <w:t>Two</w:t>
            </w:r>
            <w:r w:rsidR="002643B1" w:rsidRPr="002643B1">
              <w:t xml:space="preserve"> councils implemented a new or improved food organics collection systems with funding and support from SV</w:t>
            </w:r>
          </w:p>
        </w:tc>
        <w:tc>
          <w:tcPr>
            <w:tcW w:w="1011" w:type="dxa"/>
            <w:tcBorders>
              <w:top w:val="single" w:sz="2" w:space="0" w:color="A7A9AB"/>
              <w:left w:val="nil"/>
              <w:bottom w:val="single" w:sz="2" w:space="0" w:color="A7A9AB"/>
              <w:right w:val="nil"/>
            </w:tcBorders>
            <w:vAlign w:val="center"/>
          </w:tcPr>
          <w:p w14:paraId="3AC675AF" w14:textId="708F5A7B" w:rsidR="002643B1" w:rsidRPr="00D1350B" w:rsidRDefault="002643B1" w:rsidP="00F51716">
            <w:pPr>
              <w:pStyle w:val="tableright"/>
            </w:pPr>
            <w:r w:rsidRPr="00D1350B">
              <w:t>2</w:t>
            </w:r>
          </w:p>
        </w:tc>
        <w:tc>
          <w:tcPr>
            <w:tcW w:w="1275" w:type="dxa"/>
            <w:tcBorders>
              <w:top w:val="single" w:sz="2" w:space="0" w:color="A7A9AB"/>
              <w:left w:val="nil"/>
              <w:bottom w:val="single" w:sz="2" w:space="0" w:color="A7A9AB"/>
              <w:right w:val="nil"/>
            </w:tcBorders>
            <w:vAlign w:val="center"/>
          </w:tcPr>
          <w:p w14:paraId="6A9D7D1C" w14:textId="6945E5E1" w:rsidR="002643B1" w:rsidRPr="00D1350B" w:rsidRDefault="002643B1" w:rsidP="00F51716">
            <w:pPr>
              <w:pStyle w:val="tableright"/>
            </w:pPr>
            <w:r w:rsidRPr="00D1350B">
              <w:t>2</w:t>
            </w:r>
          </w:p>
        </w:tc>
        <w:tc>
          <w:tcPr>
            <w:tcW w:w="1418" w:type="dxa"/>
            <w:tcBorders>
              <w:top w:val="single" w:sz="2" w:space="0" w:color="A7A9AB"/>
              <w:left w:val="nil"/>
              <w:bottom w:val="single" w:sz="2" w:space="0" w:color="A7A9AB"/>
              <w:right w:val="nil"/>
            </w:tcBorders>
            <w:vAlign w:val="center"/>
          </w:tcPr>
          <w:p w14:paraId="36D58067" w14:textId="033A65C9" w:rsidR="002643B1" w:rsidRPr="00D1350B" w:rsidRDefault="002643B1" w:rsidP="00F51716">
            <w:pPr>
              <w:pStyle w:val="tableright"/>
              <w:rPr>
                <w:rStyle w:val="normaltextrun"/>
              </w:rPr>
            </w:pPr>
            <w:r w:rsidRPr="00D1350B">
              <w:rPr>
                <w:rStyle w:val="normaltextrun"/>
                <w:rFonts w:ascii="Segoe UI Emoji" w:hAnsi="Segoe UI Emoji" w:cs="Segoe UI Emoji"/>
              </w:rPr>
              <w:t>✔</w:t>
            </w:r>
          </w:p>
        </w:tc>
      </w:tr>
      <w:tr w:rsidR="002643B1" w:rsidRPr="007951C1" w14:paraId="389EFD04" w14:textId="77777777" w:rsidTr="00D1350B">
        <w:trPr>
          <w:trHeight w:val="411"/>
        </w:trPr>
        <w:tc>
          <w:tcPr>
            <w:tcW w:w="5529" w:type="dxa"/>
            <w:tcBorders>
              <w:top w:val="single" w:sz="2" w:space="0" w:color="A7A9AB"/>
              <w:left w:val="nil"/>
              <w:bottom w:val="single" w:sz="2" w:space="0" w:color="A7A9AB"/>
              <w:right w:val="nil"/>
            </w:tcBorders>
            <w:vAlign w:val="center"/>
          </w:tcPr>
          <w:p w14:paraId="50DC829C" w14:textId="02B3D268" w:rsidR="002643B1" w:rsidRPr="009C0026" w:rsidRDefault="002643B1" w:rsidP="00F51716">
            <w:pPr>
              <w:pStyle w:val="Tabletext0"/>
            </w:pPr>
            <w:r w:rsidRPr="009C0026">
              <w:t>50% of households applied food waste reduction behaviours at home</w:t>
            </w:r>
          </w:p>
        </w:tc>
        <w:tc>
          <w:tcPr>
            <w:tcW w:w="1011" w:type="dxa"/>
            <w:tcBorders>
              <w:top w:val="single" w:sz="2" w:space="0" w:color="A7A9AB"/>
              <w:left w:val="nil"/>
              <w:bottom w:val="single" w:sz="2" w:space="0" w:color="A7A9AB"/>
              <w:right w:val="nil"/>
            </w:tcBorders>
            <w:vAlign w:val="center"/>
          </w:tcPr>
          <w:p w14:paraId="368B7B7B" w14:textId="170F997A" w:rsidR="002643B1" w:rsidRPr="009C0026" w:rsidRDefault="002643B1" w:rsidP="00F51716">
            <w:pPr>
              <w:pStyle w:val="tableright"/>
            </w:pPr>
            <w:r w:rsidRPr="009C0026">
              <w:t>50%</w:t>
            </w:r>
          </w:p>
        </w:tc>
        <w:tc>
          <w:tcPr>
            <w:tcW w:w="1275" w:type="dxa"/>
            <w:tcBorders>
              <w:top w:val="single" w:sz="2" w:space="0" w:color="A7A9AB"/>
              <w:left w:val="nil"/>
              <w:bottom w:val="single" w:sz="2" w:space="0" w:color="A7A9AB"/>
              <w:right w:val="nil"/>
            </w:tcBorders>
            <w:vAlign w:val="center"/>
          </w:tcPr>
          <w:p w14:paraId="200CEB3D" w14:textId="0BE4C4B9" w:rsidR="002643B1" w:rsidRPr="009C0026" w:rsidRDefault="009C0026" w:rsidP="00F51716">
            <w:pPr>
              <w:pStyle w:val="tableright"/>
            </w:pPr>
            <w:r w:rsidRPr="009C0026">
              <w:t>0%</w:t>
            </w:r>
          </w:p>
        </w:tc>
        <w:tc>
          <w:tcPr>
            <w:tcW w:w="1418" w:type="dxa"/>
            <w:tcBorders>
              <w:top w:val="single" w:sz="2" w:space="0" w:color="A7A9AB"/>
              <w:left w:val="nil"/>
              <w:bottom w:val="single" w:sz="2" w:space="0" w:color="A7A9AB"/>
              <w:right w:val="nil"/>
            </w:tcBorders>
            <w:vAlign w:val="center"/>
          </w:tcPr>
          <w:p w14:paraId="2AA93690" w14:textId="054FB8D4" w:rsidR="002643B1" w:rsidRPr="009C0026" w:rsidRDefault="009C0026" w:rsidP="00F51716">
            <w:pPr>
              <w:pStyle w:val="tableright"/>
              <w:rPr>
                <w:rStyle w:val="normaltextrun"/>
              </w:rPr>
            </w:pPr>
            <w:r w:rsidRPr="009C0026">
              <w:rPr>
                <w:rStyle w:val="normaltextrun"/>
                <w:rFonts w:ascii="Segoe UI Symbol" w:hAnsi="Segoe UI Symbol" w:cs="Segoe UI Symbol"/>
              </w:rPr>
              <w:t>✘</w:t>
            </w:r>
          </w:p>
        </w:tc>
      </w:tr>
      <w:tr w:rsidR="002643B1" w:rsidRPr="007951C1" w14:paraId="782FDFCC" w14:textId="77777777" w:rsidTr="00D1350B">
        <w:trPr>
          <w:trHeight w:val="411"/>
        </w:trPr>
        <w:tc>
          <w:tcPr>
            <w:tcW w:w="5529" w:type="dxa"/>
            <w:tcBorders>
              <w:top w:val="single" w:sz="2" w:space="0" w:color="A7A9AB"/>
              <w:left w:val="nil"/>
              <w:bottom w:val="single" w:sz="2" w:space="0" w:color="A7A9AB"/>
              <w:right w:val="nil"/>
            </w:tcBorders>
            <w:vAlign w:val="center"/>
          </w:tcPr>
          <w:p w14:paraId="2124D0AB" w14:textId="74B8C955" w:rsidR="002643B1" w:rsidRPr="009C0026" w:rsidRDefault="002643B1" w:rsidP="00F51716">
            <w:pPr>
              <w:pStyle w:val="Tabletext0"/>
            </w:pPr>
            <w:r w:rsidRPr="009C0026">
              <w:t>200 hospitality businesses reduced food waste through participation in the LFHW program</w:t>
            </w:r>
          </w:p>
        </w:tc>
        <w:tc>
          <w:tcPr>
            <w:tcW w:w="1011" w:type="dxa"/>
            <w:tcBorders>
              <w:top w:val="single" w:sz="2" w:space="0" w:color="A7A9AB"/>
              <w:left w:val="nil"/>
              <w:bottom w:val="single" w:sz="2" w:space="0" w:color="A7A9AB"/>
              <w:right w:val="nil"/>
            </w:tcBorders>
            <w:vAlign w:val="center"/>
          </w:tcPr>
          <w:p w14:paraId="1C65FF06" w14:textId="1FB3694E" w:rsidR="002643B1" w:rsidRPr="009C0026" w:rsidRDefault="002643B1" w:rsidP="00F51716">
            <w:pPr>
              <w:pStyle w:val="tableright"/>
            </w:pPr>
            <w:r w:rsidRPr="009C0026">
              <w:t>200</w:t>
            </w:r>
          </w:p>
        </w:tc>
        <w:tc>
          <w:tcPr>
            <w:tcW w:w="1275" w:type="dxa"/>
            <w:tcBorders>
              <w:top w:val="single" w:sz="2" w:space="0" w:color="A7A9AB"/>
              <w:left w:val="nil"/>
              <w:bottom w:val="single" w:sz="2" w:space="0" w:color="A7A9AB"/>
              <w:right w:val="nil"/>
            </w:tcBorders>
            <w:vAlign w:val="center"/>
          </w:tcPr>
          <w:p w14:paraId="0FF546ED" w14:textId="4C8E1BBD" w:rsidR="002643B1" w:rsidRPr="009C0026" w:rsidRDefault="009C0026" w:rsidP="00F51716">
            <w:pPr>
              <w:pStyle w:val="tableright"/>
            </w:pPr>
            <w:r w:rsidRPr="009C0026">
              <w:t>68</w:t>
            </w:r>
          </w:p>
        </w:tc>
        <w:tc>
          <w:tcPr>
            <w:tcW w:w="1418" w:type="dxa"/>
            <w:tcBorders>
              <w:top w:val="single" w:sz="2" w:space="0" w:color="A7A9AB"/>
              <w:left w:val="nil"/>
              <w:bottom w:val="single" w:sz="2" w:space="0" w:color="A7A9AB"/>
              <w:right w:val="nil"/>
            </w:tcBorders>
            <w:vAlign w:val="center"/>
          </w:tcPr>
          <w:p w14:paraId="4FAE98FC" w14:textId="49CCACB1" w:rsidR="002643B1" w:rsidRPr="009C0026" w:rsidRDefault="002643B1" w:rsidP="00F51716">
            <w:pPr>
              <w:pStyle w:val="tableright"/>
              <w:rPr>
                <w:rStyle w:val="normaltextrun"/>
              </w:rPr>
            </w:pPr>
            <w:r w:rsidRPr="009C0026">
              <w:rPr>
                <w:rStyle w:val="normaltextrun"/>
                <w:rFonts w:ascii="Segoe UI Symbol" w:hAnsi="Segoe UI Symbol" w:cs="Segoe UI Symbol"/>
              </w:rPr>
              <w:t>✘</w:t>
            </w:r>
          </w:p>
        </w:tc>
      </w:tr>
      <w:tr w:rsidR="002643B1" w:rsidRPr="007951C1" w14:paraId="5896A6A6" w14:textId="77777777" w:rsidTr="00D1350B">
        <w:trPr>
          <w:trHeight w:val="411"/>
        </w:trPr>
        <w:tc>
          <w:tcPr>
            <w:tcW w:w="5529" w:type="dxa"/>
            <w:tcBorders>
              <w:top w:val="single" w:sz="2" w:space="0" w:color="A7A9AB"/>
              <w:left w:val="nil"/>
              <w:bottom w:val="single" w:sz="2" w:space="0" w:color="A7A9AB"/>
              <w:right w:val="nil"/>
            </w:tcBorders>
            <w:vAlign w:val="center"/>
          </w:tcPr>
          <w:p w14:paraId="5C3063D8" w14:textId="1308A32A" w:rsidR="002643B1" w:rsidRPr="009C0026" w:rsidRDefault="002643B1" w:rsidP="00F51716">
            <w:pPr>
              <w:pStyle w:val="Tabletext0"/>
            </w:pPr>
            <w:r w:rsidRPr="009C0026">
              <w:t xml:space="preserve">10,000 tonnes of capacity added to </w:t>
            </w:r>
            <w:r w:rsidR="009C0026">
              <w:t xml:space="preserve">increase </w:t>
            </w:r>
            <w:r w:rsidRPr="009C0026">
              <w:t>recover</w:t>
            </w:r>
            <w:r w:rsidR="009C0026">
              <w:t>y of</w:t>
            </w:r>
            <w:r w:rsidRPr="009C0026">
              <w:t xml:space="preserve"> organic waste for beneficial uses</w:t>
            </w:r>
          </w:p>
        </w:tc>
        <w:tc>
          <w:tcPr>
            <w:tcW w:w="1011" w:type="dxa"/>
            <w:tcBorders>
              <w:top w:val="single" w:sz="2" w:space="0" w:color="A7A9AB"/>
              <w:left w:val="nil"/>
              <w:bottom w:val="single" w:sz="2" w:space="0" w:color="A7A9AB"/>
              <w:right w:val="nil"/>
            </w:tcBorders>
            <w:vAlign w:val="center"/>
          </w:tcPr>
          <w:p w14:paraId="477337A0" w14:textId="62ADB35E" w:rsidR="002643B1" w:rsidRPr="009C0026" w:rsidRDefault="002643B1" w:rsidP="00F51716">
            <w:pPr>
              <w:pStyle w:val="tableright"/>
            </w:pPr>
            <w:r w:rsidRPr="009C0026">
              <w:t>10,000</w:t>
            </w:r>
            <w:r w:rsidR="007536F1">
              <w:t> </w:t>
            </w:r>
            <w:r w:rsidRPr="009C0026">
              <w:t>t</w:t>
            </w:r>
          </w:p>
        </w:tc>
        <w:tc>
          <w:tcPr>
            <w:tcW w:w="1275" w:type="dxa"/>
            <w:tcBorders>
              <w:top w:val="single" w:sz="2" w:space="0" w:color="A7A9AB"/>
              <w:left w:val="nil"/>
              <w:bottom w:val="single" w:sz="2" w:space="0" w:color="A7A9AB"/>
              <w:right w:val="nil"/>
            </w:tcBorders>
            <w:vAlign w:val="center"/>
          </w:tcPr>
          <w:p w14:paraId="2A29CD04" w14:textId="177618FA" w:rsidR="002643B1" w:rsidRPr="009C0026" w:rsidRDefault="009C0026" w:rsidP="00F51716">
            <w:pPr>
              <w:pStyle w:val="tableright"/>
            </w:pPr>
            <w:r w:rsidRPr="009C0026">
              <w:t>26,000</w:t>
            </w:r>
            <w:r>
              <w:t> t</w:t>
            </w:r>
          </w:p>
        </w:tc>
        <w:tc>
          <w:tcPr>
            <w:tcW w:w="1418" w:type="dxa"/>
            <w:tcBorders>
              <w:top w:val="single" w:sz="2" w:space="0" w:color="A7A9AB"/>
              <w:left w:val="nil"/>
              <w:bottom w:val="single" w:sz="2" w:space="0" w:color="A7A9AB"/>
              <w:right w:val="nil"/>
            </w:tcBorders>
            <w:vAlign w:val="center"/>
          </w:tcPr>
          <w:p w14:paraId="20AAEEC4" w14:textId="73F9F3D9" w:rsidR="002643B1" w:rsidRPr="009C0026" w:rsidRDefault="009C0026" w:rsidP="00F51716">
            <w:pPr>
              <w:pStyle w:val="tableright"/>
              <w:rPr>
                <w:rStyle w:val="normaltextrun"/>
              </w:rPr>
            </w:pPr>
            <w:r w:rsidRPr="00D1350B">
              <w:rPr>
                <w:rStyle w:val="normaltextrun"/>
                <w:rFonts w:ascii="Segoe UI Emoji" w:hAnsi="Segoe UI Emoji" w:cs="Segoe UI Emoji"/>
              </w:rPr>
              <w:t>✔</w:t>
            </w:r>
          </w:p>
        </w:tc>
      </w:tr>
    </w:tbl>
    <w:p w14:paraId="77C3B8D4" w14:textId="77777777" w:rsidR="00B921F5" w:rsidRPr="00F66272" w:rsidRDefault="00B921F5" w:rsidP="009C0026">
      <w:pPr>
        <w:pStyle w:val="Heading3"/>
      </w:pPr>
      <w:r w:rsidRPr="00F66272">
        <w:t>Realise opportunities to address food waste across the supply chain</w:t>
      </w:r>
    </w:p>
    <w:p w14:paraId="2A96944E" w14:textId="77777777" w:rsidR="00B921F5" w:rsidRPr="00F66272" w:rsidRDefault="00B921F5" w:rsidP="00F51716">
      <w:r w:rsidRPr="00F66272">
        <w:t xml:space="preserve">SV is leading national research projects on consumer food waste reduction. In 2019–20, we began developing an SV-led roadmap to halve food waste by 2030 and completed a retail report on waste in hospitality and food. </w:t>
      </w:r>
    </w:p>
    <w:p w14:paraId="0CE7025A" w14:textId="77777777" w:rsidR="00225FF8" w:rsidRDefault="00B921F5" w:rsidP="00F51716">
      <w:r w:rsidRPr="00F66272">
        <w:t>We engaged 131 stakeholders in developing the food roadmap and identified and assessed 45 interventions for their impact in reducing and managing food waste.</w:t>
      </w:r>
    </w:p>
    <w:p w14:paraId="1D199CCA" w14:textId="19B4B438" w:rsidR="00225FF8" w:rsidRDefault="00225FF8" w:rsidP="009C0026">
      <w:pPr>
        <w:pStyle w:val="Heading3"/>
      </w:pPr>
      <w:r>
        <w:t>Other activities</w:t>
      </w:r>
    </w:p>
    <w:p w14:paraId="7747FFC3" w14:textId="77777777" w:rsidR="00225FF8" w:rsidRPr="00DF716C" w:rsidRDefault="00225FF8" w:rsidP="009C0026">
      <w:pPr>
        <w:pStyle w:val="Heading4"/>
      </w:pPr>
      <w:bookmarkStart w:id="39" w:name="_Toc56627325"/>
      <w:r w:rsidRPr="00DF716C">
        <w:t>Hazardous waste planning</w:t>
      </w:r>
    </w:p>
    <w:p w14:paraId="202BE32A" w14:textId="77777777" w:rsidR="00225FF8" w:rsidRDefault="00225FF8" w:rsidP="00225FF8">
      <w:r w:rsidRPr="0047585B">
        <w:t>S</w:t>
      </w:r>
      <w:r>
        <w:t>V plays</w:t>
      </w:r>
      <w:r w:rsidRPr="0047585B">
        <w:t xml:space="preserve"> a role in planning for hazardous waste infrastructure and providing timely data and information on waste and waste infrastructure. </w:t>
      </w:r>
      <w:r>
        <w:t>In 2019–20,</w:t>
      </w:r>
      <w:r w:rsidRPr="0047585B">
        <w:t xml:space="preserve"> </w:t>
      </w:r>
      <w:r>
        <w:t xml:space="preserve">we </w:t>
      </w:r>
      <w:r w:rsidRPr="0047585B">
        <w:t xml:space="preserve">completed a draft Hazardous Waste Infrastructure Plan and a Strategic Data Improvement Plan to </w:t>
      </w:r>
      <w:r>
        <w:t>give g</w:t>
      </w:r>
      <w:r w:rsidRPr="0047585B">
        <w:t>overnment evidence to plan infrastructure to protect public health and environment and maximise higher</w:t>
      </w:r>
      <w:r>
        <w:t>-</w:t>
      </w:r>
      <w:r w:rsidRPr="0047585B">
        <w:t xml:space="preserve">order recovery for hazardous waste in Victoria. </w:t>
      </w:r>
      <w:r>
        <w:t>We also completed a</w:t>
      </w:r>
      <w:r w:rsidRPr="0047585B">
        <w:t xml:space="preserve"> </w:t>
      </w:r>
      <w:r>
        <w:t>k</w:t>
      </w:r>
      <w:r w:rsidRPr="0047585B">
        <w:t>erbside reform analysis for household chemical collection system</w:t>
      </w:r>
      <w:r>
        <w:t>s</w:t>
      </w:r>
      <w:r w:rsidRPr="0047585B">
        <w:t xml:space="preserve"> and recommendations report.</w:t>
      </w:r>
    </w:p>
    <w:p w14:paraId="3931C50B" w14:textId="77777777" w:rsidR="00225FF8" w:rsidRPr="00D72182" w:rsidRDefault="00225FF8" w:rsidP="009C0026">
      <w:pPr>
        <w:pStyle w:val="Heading4"/>
      </w:pPr>
      <w:r>
        <w:t>C</w:t>
      </w:r>
      <w:r w:rsidRPr="00D72182">
        <w:t xml:space="preserve">ollect and report on crucial data trends so government and industry can make informed investments </w:t>
      </w:r>
    </w:p>
    <w:p w14:paraId="456119C0" w14:textId="77777777" w:rsidR="00225FF8" w:rsidRDefault="00225FF8" w:rsidP="00225FF8">
      <w:r w:rsidRPr="0047585B">
        <w:t xml:space="preserve">In </w:t>
      </w:r>
      <w:r>
        <w:t>2019–20,</w:t>
      </w:r>
      <w:r w:rsidRPr="0047585B">
        <w:t xml:space="preserve"> S</w:t>
      </w:r>
      <w:r>
        <w:t>V</w:t>
      </w:r>
      <w:r w:rsidRPr="0047585B">
        <w:t xml:space="preserve"> fulfilled its role as custodian of statewide waste data to meet industry needs and </w:t>
      </w:r>
      <w:r>
        <w:t>s</w:t>
      </w:r>
      <w:r w:rsidRPr="0047585B">
        <w:t xml:space="preserve">tate requirements for a waste data system and expansion of data measures to capture </w:t>
      </w:r>
      <w:r>
        <w:t>c</w:t>
      </w:r>
      <w:r w:rsidRPr="0047585B">
        <w:t xml:space="preserve">ircular </w:t>
      </w:r>
      <w:r>
        <w:t>e</w:t>
      </w:r>
      <w:r w:rsidRPr="0047585B">
        <w:t>conomy metrics.</w:t>
      </w:r>
    </w:p>
    <w:p w14:paraId="3925C406" w14:textId="77777777" w:rsidR="00225FF8" w:rsidRDefault="00225FF8" w:rsidP="00225FF8">
      <w:r w:rsidRPr="0047585B">
        <w:t>A data roadmap plan was successfully completed with 100</w:t>
      </w:r>
      <w:r>
        <w:t xml:space="preserve"> per cent </w:t>
      </w:r>
      <w:r w:rsidRPr="0047585B">
        <w:t>confidence from the reference group that the data roadmap will improve statewide waste data.</w:t>
      </w:r>
    </w:p>
    <w:p w14:paraId="78DDFBE2" w14:textId="77777777" w:rsidR="00225FF8" w:rsidRDefault="00225FF8" w:rsidP="00225FF8">
      <w:r>
        <w:t xml:space="preserve">SV distributed 10 Recovered Resources Market Bulletins. </w:t>
      </w:r>
      <w:r w:rsidRPr="00C7472C">
        <w:t>The</w:t>
      </w:r>
      <w:r>
        <w:t>se reports</w:t>
      </w:r>
      <w:r w:rsidRPr="00C7472C">
        <w:t xml:space="preserve"> </w:t>
      </w:r>
      <w:r>
        <w:t>gave</w:t>
      </w:r>
      <w:r w:rsidRPr="00C7472C">
        <w:t xml:space="preserve"> an up-to-date picture of the health of resource recovery markets, ongoing challenges and opportunities in the sector, and details of actions taken to improve the resilience and recovery performance of kerbside recycling.</w:t>
      </w:r>
    </w:p>
    <w:p w14:paraId="771507E8" w14:textId="77777777" w:rsidR="00225FF8" w:rsidRDefault="00225FF8" w:rsidP="00225FF8"/>
    <w:p w14:paraId="3CAF9C51" w14:textId="77777777" w:rsidR="00225FF8" w:rsidRDefault="00225FF8">
      <w:pPr>
        <w:spacing w:line="264" w:lineRule="auto"/>
        <w:rPr>
          <w:rFonts w:asciiTheme="majorHAnsi" w:eastAsiaTheme="majorEastAsia" w:hAnsiTheme="majorHAnsi" w:cstheme="majorBidi"/>
          <w:color w:val="4F7928" w:themeColor="accent4" w:themeShade="BF"/>
          <w:sz w:val="32"/>
          <w:szCs w:val="32"/>
        </w:rPr>
      </w:pPr>
      <w:r>
        <w:br w:type="page"/>
      </w:r>
    </w:p>
    <w:p w14:paraId="38A86D3C" w14:textId="71394241" w:rsidR="00BC4E04" w:rsidRDefault="006B16AC" w:rsidP="00F51716">
      <w:pPr>
        <w:pStyle w:val="Heading2"/>
      </w:pPr>
      <w:bookmarkStart w:id="40" w:name="_Toc59624198"/>
      <w:r w:rsidRPr="006B16AC">
        <w:t>Enabling delivery</w:t>
      </w:r>
      <w:bookmarkEnd w:id="39"/>
      <w:bookmarkEnd w:id="40"/>
    </w:p>
    <w:p w14:paraId="43A5043C" w14:textId="5D0DB1F5" w:rsidR="003D5C04" w:rsidRDefault="003D5C04" w:rsidP="00F51716">
      <w:pPr>
        <w:pStyle w:val="Intro"/>
      </w:pPr>
      <w:r>
        <w:t>At SV, we recognise that if we want to ignite change in Victoria to transition to a net zero emissions and circular economy, it begins with harnessing and developing the full potential of our people.</w:t>
      </w:r>
    </w:p>
    <w:p w14:paraId="084ADA8D" w14:textId="0A8CD625" w:rsidR="003D5C04" w:rsidRDefault="003D5C04" w:rsidP="00F51716">
      <w:r>
        <w:t>We encourage SVers to bring their full and authentic selves to work, to be passionate about making a difference for the environment, surrounded by knowledgeable peers and supported to be agile through flexible working conditions and strong technology. We drive a constructive culture of continuous learning, agility and leadership. At SV, we encourage our staff to deliver amazing work, develop their knowledge and skills, and to take strong sustainability principles with them to all their future workplaces.</w:t>
      </w:r>
    </w:p>
    <w:p w14:paraId="755953A4" w14:textId="5EB7E4CE" w:rsidR="0087471B" w:rsidRDefault="003D5C04" w:rsidP="00F51716">
      <w:r>
        <w:t>Over the</w:t>
      </w:r>
      <w:r w:rsidR="0087471B" w:rsidRPr="00263653">
        <w:t xml:space="preserve"> past 12 months, we have </w:t>
      </w:r>
      <w:r>
        <w:t>helped staff collaborate, explore and create impact toward</w:t>
      </w:r>
      <w:r w:rsidR="00653AB9">
        <w:t>s</w:t>
      </w:r>
      <w:r>
        <w:t xml:space="preserve"> the state of the future.</w:t>
      </w:r>
    </w:p>
    <w:p w14:paraId="4FD1A361" w14:textId="20E1D48C" w:rsidR="00225FF8" w:rsidRPr="00F66272" w:rsidRDefault="00225FF8" w:rsidP="009C0026">
      <w:pPr>
        <w:pStyle w:val="Header3outcome"/>
      </w:pPr>
      <w:r w:rsidRPr="00225FF8">
        <w:t xml:space="preserve">Strategic outcome: </w:t>
      </w:r>
      <w:r w:rsidRPr="00F66272">
        <w:t>Our people have a deep understanding of the Victorian community and are empowered to lead the transition to the State of the Future</w:t>
      </w:r>
    </w:p>
    <w:p w14:paraId="3C8F5180" w14:textId="2269D8B0" w:rsidR="00225FF8" w:rsidRDefault="00225FF8" w:rsidP="009C0026">
      <w:pPr>
        <w:pStyle w:val="Heading3"/>
      </w:pPr>
      <w:r>
        <w:t>Increase engagement with Victorians through our various online platforms</w:t>
      </w:r>
    </w:p>
    <w:p w14:paraId="51AAA9FC" w14:textId="642F58E2" w:rsidR="00225FF8" w:rsidRDefault="00F66272" w:rsidP="00980424">
      <w:r>
        <w:t>In June 2020, traffic to the SV website increased</w:t>
      </w:r>
      <w:r w:rsidR="00980424">
        <w:t>. T</w:t>
      </w:r>
      <w:r>
        <w:t xml:space="preserve">he </w:t>
      </w:r>
      <w:r w:rsidRPr="00980424">
        <w:rPr>
          <w:i/>
          <w:iCs/>
        </w:rPr>
        <w:t>Know Your Recycling</w:t>
      </w:r>
      <w:r>
        <w:t xml:space="preserve"> website was the number one source of traffic for this month helping us to exceed our target for the year by nearly double.</w:t>
      </w:r>
    </w:p>
    <w:p w14:paraId="6FEBC4A5" w14:textId="1668A8CC" w:rsidR="00225FF8" w:rsidRPr="00225FF8" w:rsidRDefault="00980424" w:rsidP="00225FF8">
      <w:r>
        <w:t>We have close to 80,000</w:t>
      </w:r>
      <w:r w:rsidRPr="00DF716C">
        <w:t xml:space="preserve"> social media followers. We exceeded our target by more than 9,000, despite the communication challenges of COVID-19.</w:t>
      </w:r>
    </w:p>
    <w:p w14:paraId="308E93B6" w14:textId="124B6BE0" w:rsidR="00225FF8" w:rsidRDefault="00225FF8" w:rsidP="00225FF8">
      <w:pPr>
        <w:pStyle w:val="Caption"/>
      </w:pPr>
      <w:r>
        <w:t xml:space="preserve">Table </w:t>
      </w:r>
      <w:fldSimple w:instr=" SEQ Table \* ARABIC ">
        <w:r w:rsidR="003F15CC">
          <w:rPr>
            <w:noProof/>
          </w:rPr>
          <w:t>18</w:t>
        </w:r>
      </w:fldSimple>
      <w:r>
        <w:t>: Increasing online engagement in 2019–20</w:t>
      </w:r>
    </w:p>
    <w:tbl>
      <w:tblPr>
        <w:tblStyle w:val="TableGrid0"/>
        <w:tblW w:w="8949" w:type="dxa"/>
        <w:tblInd w:w="0" w:type="dxa"/>
        <w:tblLayout w:type="fixed"/>
        <w:tblCellMar>
          <w:top w:w="109" w:type="dxa"/>
          <w:right w:w="125" w:type="dxa"/>
        </w:tblCellMar>
        <w:tblLook w:val="04A0" w:firstRow="1" w:lastRow="0" w:firstColumn="1" w:lastColumn="0" w:noHBand="0" w:noVBand="1"/>
      </w:tblPr>
      <w:tblGrid>
        <w:gridCol w:w="5245"/>
        <w:gridCol w:w="1011"/>
        <w:gridCol w:w="1275"/>
        <w:gridCol w:w="1418"/>
      </w:tblGrid>
      <w:tr w:rsidR="00225FF8" w:rsidRPr="007D4704" w14:paraId="71F40BBA" w14:textId="77777777" w:rsidTr="00B30771">
        <w:trPr>
          <w:trHeight w:val="373"/>
        </w:trPr>
        <w:tc>
          <w:tcPr>
            <w:tcW w:w="5245" w:type="dxa"/>
            <w:tcBorders>
              <w:top w:val="nil"/>
              <w:left w:val="nil"/>
              <w:bottom w:val="nil"/>
              <w:right w:val="nil"/>
            </w:tcBorders>
            <w:shd w:val="clear" w:color="auto" w:fill="82C341"/>
            <w:vAlign w:val="center"/>
          </w:tcPr>
          <w:p w14:paraId="68C58861" w14:textId="77777777" w:rsidR="00225FF8" w:rsidRPr="007D4704" w:rsidRDefault="00225FF8" w:rsidP="00B30771">
            <w:pPr>
              <w:pStyle w:val="TableHeading"/>
              <w:rPr>
                <w:rFonts w:asciiTheme="minorHAnsi" w:hAnsiTheme="minorHAnsi" w:cstheme="minorHAnsi"/>
                <w:color w:val="000000" w:themeColor="text1"/>
                <w:sz w:val="19"/>
                <w:szCs w:val="19"/>
              </w:rPr>
            </w:pPr>
            <w:r w:rsidRPr="00FE1ED7">
              <w:t>Outcome measure</w:t>
            </w:r>
            <w:r w:rsidRPr="007D4704">
              <w:rPr>
                <w:rFonts w:cstheme="minorHAnsi"/>
                <w:color w:val="000000" w:themeColor="text1"/>
                <w:sz w:val="19"/>
                <w:szCs w:val="19"/>
              </w:rPr>
              <w:t xml:space="preserve"> </w:t>
            </w:r>
          </w:p>
        </w:tc>
        <w:tc>
          <w:tcPr>
            <w:tcW w:w="1011" w:type="dxa"/>
            <w:tcBorders>
              <w:top w:val="nil"/>
              <w:left w:val="nil"/>
              <w:bottom w:val="nil"/>
              <w:right w:val="nil"/>
            </w:tcBorders>
            <w:shd w:val="clear" w:color="auto" w:fill="82C341"/>
            <w:vAlign w:val="center"/>
          </w:tcPr>
          <w:p w14:paraId="7D0DD437" w14:textId="77777777" w:rsidR="00225FF8" w:rsidRPr="009940E4" w:rsidRDefault="00225FF8" w:rsidP="00B30771">
            <w:pPr>
              <w:pStyle w:val="tableheadright"/>
            </w:pPr>
            <w:r w:rsidRPr="009940E4">
              <w:t>2019–20 target</w:t>
            </w:r>
          </w:p>
        </w:tc>
        <w:tc>
          <w:tcPr>
            <w:tcW w:w="1275" w:type="dxa"/>
            <w:tcBorders>
              <w:top w:val="nil"/>
              <w:left w:val="nil"/>
              <w:bottom w:val="nil"/>
              <w:right w:val="nil"/>
            </w:tcBorders>
            <w:shd w:val="clear" w:color="auto" w:fill="82C341"/>
            <w:vAlign w:val="center"/>
          </w:tcPr>
          <w:p w14:paraId="1693402A" w14:textId="77777777" w:rsidR="00225FF8" w:rsidRPr="009940E4" w:rsidRDefault="00225FF8" w:rsidP="00B30771">
            <w:pPr>
              <w:pStyle w:val="tableheadright"/>
            </w:pPr>
            <w:r w:rsidRPr="009940E4">
              <w:t>2019–20 actual</w:t>
            </w:r>
          </w:p>
        </w:tc>
        <w:tc>
          <w:tcPr>
            <w:tcW w:w="1418" w:type="dxa"/>
            <w:tcBorders>
              <w:top w:val="nil"/>
              <w:left w:val="nil"/>
              <w:bottom w:val="nil"/>
              <w:right w:val="nil"/>
            </w:tcBorders>
            <w:shd w:val="clear" w:color="auto" w:fill="82C341"/>
            <w:vAlign w:val="center"/>
          </w:tcPr>
          <w:p w14:paraId="2A113A3D" w14:textId="77777777" w:rsidR="00225FF8" w:rsidRPr="009940E4" w:rsidRDefault="00225FF8" w:rsidP="00B30771">
            <w:pPr>
              <w:pStyle w:val="tableheadright"/>
            </w:pPr>
            <w:r w:rsidRPr="009940E4">
              <w:t>Target met</w:t>
            </w:r>
          </w:p>
        </w:tc>
      </w:tr>
      <w:tr w:rsidR="00225FF8" w:rsidRPr="007951C1" w14:paraId="5C962F8A" w14:textId="77777777" w:rsidTr="00B30771">
        <w:trPr>
          <w:trHeight w:val="411"/>
        </w:trPr>
        <w:tc>
          <w:tcPr>
            <w:tcW w:w="5245" w:type="dxa"/>
            <w:tcBorders>
              <w:top w:val="single" w:sz="2" w:space="0" w:color="A7A9AB"/>
              <w:left w:val="nil"/>
              <w:bottom w:val="single" w:sz="2" w:space="0" w:color="A7A9AB"/>
              <w:right w:val="nil"/>
            </w:tcBorders>
            <w:vAlign w:val="center"/>
          </w:tcPr>
          <w:p w14:paraId="3A72C90B" w14:textId="5A351F3C" w:rsidR="00225FF8" w:rsidRPr="00F47EA8" w:rsidRDefault="00F66272" w:rsidP="00B30771">
            <w:pPr>
              <w:pStyle w:val="Tabletext0"/>
            </w:pPr>
            <w:r w:rsidRPr="00F66272">
              <w:t>SV engages with 10% of Victorians through our various online platforms</w:t>
            </w:r>
          </w:p>
        </w:tc>
        <w:tc>
          <w:tcPr>
            <w:tcW w:w="1011" w:type="dxa"/>
            <w:tcBorders>
              <w:top w:val="single" w:sz="2" w:space="0" w:color="A7A9AB"/>
              <w:left w:val="nil"/>
              <w:bottom w:val="single" w:sz="2" w:space="0" w:color="A7A9AB"/>
              <w:right w:val="nil"/>
            </w:tcBorders>
            <w:vAlign w:val="center"/>
          </w:tcPr>
          <w:p w14:paraId="6097892E" w14:textId="03852202" w:rsidR="00225FF8" w:rsidRPr="007951C1" w:rsidRDefault="00F66272" w:rsidP="00B30771">
            <w:pPr>
              <w:pStyle w:val="tableright"/>
            </w:pPr>
            <w:r>
              <w:t>10%</w:t>
            </w:r>
          </w:p>
        </w:tc>
        <w:tc>
          <w:tcPr>
            <w:tcW w:w="1275" w:type="dxa"/>
            <w:tcBorders>
              <w:top w:val="single" w:sz="2" w:space="0" w:color="A7A9AB"/>
              <w:left w:val="nil"/>
              <w:bottom w:val="single" w:sz="2" w:space="0" w:color="A7A9AB"/>
              <w:right w:val="nil"/>
            </w:tcBorders>
            <w:vAlign w:val="center"/>
          </w:tcPr>
          <w:p w14:paraId="30768FEA" w14:textId="28AC306C" w:rsidR="00225FF8" w:rsidRPr="007951C1" w:rsidRDefault="00F66272" w:rsidP="00B30771">
            <w:pPr>
              <w:pStyle w:val="tableright"/>
            </w:pPr>
            <w:r>
              <w:t>22%</w:t>
            </w:r>
          </w:p>
        </w:tc>
        <w:tc>
          <w:tcPr>
            <w:tcW w:w="1418" w:type="dxa"/>
            <w:tcBorders>
              <w:top w:val="single" w:sz="2" w:space="0" w:color="A7A9AB"/>
              <w:left w:val="nil"/>
              <w:bottom w:val="single" w:sz="2" w:space="0" w:color="A7A9AB"/>
              <w:right w:val="nil"/>
            </w:tcBorders>
            <w:vAlign w:val="center"/>
          </w:tcPr>
          <w:p w14:paraId="4F7BD48E" w14:textId="36374719" w:rsidR="00225FF8" w:rsidRPr="007951C1" w:rsidRDefault="009C0026" w:rsidP="00B30771">
            <w:pPr>
              <w:pStyle w:val="tableright"/>
            </w:pPr>
            <w:r>
              <w:rPr>
                <w:rStyle w:val="normaltextrun"/>
                <w:rFonts w:ascii="Segoe UI Emoji" w:hAnsi="Segoe UI Emoji" w:cs="Segoe UI Emoji"/>
              </w:rPr>
              <w:t>✔</w:t>
            </w:r>
          </w:p>
        </w:tc>
      </w:tr>
      <w:tr w:rsidR="00F66272" w:rsidRPr="007951C1" w14:paraId="3883C6F8" w14:textId="77777777" w:rsidTr="00B30771">
        <w:trPr>
          <w:trHeight w:val="411"/>
        </w:trPr>
        <w:tc>
          <w:tcPr>
            <w:tcW w:w="5245" w:type="dxa"/>
            <w:tcBorders>
              <w:top w:val="single" w:sz="2" w:space="0" w:color="A7A9AB"/>
              <w:left w:val="nil"/>
              <w:bottom w:val="single" w:sz="2" w:space="0" w:color="A7A9AB"/>
              <w:right w:val="nil"/>
            </w:tcBorders>
            <w:vAlign w:val="center"/>
          </w:tcPr>
          <w:p w14:paraId="3282B13E" w14:textId="44476DF1" w:rsidR="00F66272" w:rsidRPr="00F47EA8" w:rsidRDefault="00F66272" w:rsidP="00F66272">
            <w:pPr>
              <w:pStyle w:val="Tabletext0"/>
            </w:pPr>
            <w:r w:rsidRPr="00F66272">
              <w:t>SV has 70,000 social media followers</w:t>
            </w:r>
          </w:p>
        </w:tc>
        <w:tc>
          <w:tcPr>
            <w:tcW w:w="1011" w:type="dxa"/>
            <w:tcBorders>
              <w:top w:val="single" w:sz="2" w:space="0" w:color="A7A9AB"/>
              <w:left w:val="nil"/>
              <w:bottom w:val="single" w:sz="2" w:space="0" w:color="A7A9AB"/>
              <w:right w:val="nil"/>
            </w:tcBorders>
            <w:vAlign w:val="center"/>
          </w:tcPr>
          <w:p w14:paraId="5AD67016" w14:textId="2902ECF3" w:rsidR="00F66272" w:rsidRDefault="00F66272" w:rsidP="00F66272">
            <w:pPr>
              <w:pStyle w:val="tableright"/>
            </w:pPr>
            <w:r>
              <w:t>70,000</w:t>
            </w:r>
          </w:p>
        </w:tc>
        <w:tc>
          <w:tcPr>
            <w:tcW w:w="1275" w:type="dxa"/>
            <w:tcBorders>
              <w:top w:val="single" w:sz="2" w:space="0" w:color="A7A9AB"/>
              <w:left w:val="nil"/>
              <w:bottom w:val="single" w:sz="2" w:space="0" w:color="A7A9AB"/>
              <w:right w:val="nil"/>
            </w:tcBorders>
            <w:vAlign w:val="center"/>
          </w:tcPr>
          <w:p w14:paraId="6F96F0A7" w14:textId="7048F686" w:rsidR="00F66272" w:rsidRPr="00F66272" w:rsidRDefault="00F66272" w:rsidP="00F66272">
            <w:pPr>
              <w:pStyle w:val="tableright"/>
            </w:pPr>
            <w:r w:rsidRPr="00F66272">
              <w:t>79,938</w:t>
            </w:r>
          </w:p>
        </w:tc>
        <w:tc>
          <w:tcPr>
            <w:tcW w:w="1418" w:type="dxa"/>
            <w:tcBorders>
              <w:top w:val="single" w:sz="2" w:space="0" w:color="A7A9AB"/>
              <w:left w:val="nil"/>
              <w:bottom w:val="single" w:sz="2" w:space="0" w:color="A7A9AB"/>
              <w:right w:val="nil"/>
            </w:tcBorders>
            <w:vAlign w:val="center"/>
          </w:tcPr>
          <w:p w14:paraId="0C9B2FC1" w14:textId="07160279" w:rsidR="00F66272" w:rsidRPr="007951C1" w:rsidRDefault="009C0026" w:rsidP="00F66272">
            <w:pPr>
              <w:pStyle w:val="tableright"/>
            </w:pPr>
            <w:r>
              <w:rPr>
                <w:rStyle w:val="normaltextrun"/>
                <w:rFonts w:ascii="Segoe UI Emoji" w:hAnsi="Segoe UI Emoji" w:cs="Segoe UI Emoji"/>
              </w:rPr>
              <w:t>✔</w:t>
            </w:r>
          </w:p>
        </w:tc>
      </w:tr>
    </w:tbl>
    <w:p w14:paraId="7F558B30" w14:textId="2B348360" w:rsidR="00B921F5" w:rsidRDefault="00225FF8" w:rsidP="009C0026">
      <w:pPr>
        <w:pStyle w:val="Heading3"/>
      </w:pPr>
      <w:r>
        <w:t>Increase staff engagement with the work SV does</w:t>
      </w:r>
    </w:p>
    <w:p w14:paraId="25E68108" w14:textId="34AB8D8C" w:rsidR="00F66272" w:rsidRDefault="00F66272" w:rsidP="00F66272">
      <w:r>
        <w:t xml:space="preserve">The </w:t>
      </w:r>
      <w:r w:rsidRPr="00D93DD8">
        <w:t xml:space="preserve">April 2020 </w:t>
      </w:r>
      <w:r>
        <w:t xml:space="preserve">staff </w:t>
      </w:r>
      <w:r w:rsidRPr="00D93DD8">
        <w:t xml:space="preserve">engagement score </w:t>
      </w:r>
      <w:r>
        <w:t>wa</w:t>
      </w:r>
      <w:r w:rsidRPr="00D93DD8">
        <w:t>s 73</w:t>
      </w:r>
      <w:r>
        <w:t xml:space="preserve"> per cent</w:t>
      </w:r>
      <w:r w:rsidRPr="00D93DD8">
        <w:t>, which is 1</w:t>
      </w:r>
      <w:r>
        <w:t xml:space="preserve"> per cent </w:t>
      </w:r>
      <w:r w:rsidRPr="00D93DD8">
        <w:t xml:space="preserve">below </w:t>
      </w:r>
      <w:r>
        <w:t>our</w:t>
      </w:r>
      <w:r w:rsidRPr="00D93DD8">
        <w:t xml:space="preserve"> target</w:t>
      </w:r>
      <w:r>
        <w:t xml:space="preserve"> (</w:t>
      </w:r>
      <w:r>
        <w:fldChar w:fldCharType="begin"/>
      </w:r>
      <w:r>
        <w:instrText xml:space="preserve"> REF _Ref57473850 \h </w:instrText>
      </w:r>
      <w:r>
        <w:fldChar w:fldCharType="separate"/>
      </w:r>
      <w:r w:rsidR="00205952">
        <w:t xml:space="preserve">Table </w:t>
      </w:r>
      <w:r w:rsidR="00205952">
        <w:rPr>
          <w:noProof/>
        </w:rPr>
        <w:t>19</w:t>
      </w:r>
      <w:r>
        <w:fldChar w:fldCharType="end"/>
      </w:r>
      <w:r>
        <w:t>)</w:t>
      </w:r>
      <w:r w:rsidRPr="00D93DD8">
        <w:t>. This</w:t>
      </w:r>
      <w:r>
        <w:t xml:space="preserve"> score may have been influenced by the</w:t>
      </w:r>
      <w:r w:rsidRPr="00D93DD8">
        <w:t xml:space="preserve"> start of the </w:t>
      </w:r>
      <w:r>
        <w:t xml:space="preserve">COVID-19 </w:t>
      </w:r>
      <w:r w:rsidRPr="00D93DD8">
        <w:t xml:space="preserve">pandemic, </w:t>
      </w:r>
      <w:r>
        <w:t>requiring all employees to work from home</w:t>
      </w:r>
      <w:r w:rsidRPr="00D93DD8">
        <w:t xml:space="preserve"> and </w:t>
      </w:r>
      <w:r>
        <w:t xml:space="preserve">adjust to </w:t>
      </w:r>
      <w:r w:rsidRPr="00D93DD8">
        <w:t>organisational change.</w:t>
      </w:r>
    </w:p>
    <w:p w14:paraId="16F0E747" w14:textId="77777777" w:rsidR="00F66272" w:rsidRDefault="00F66272" w:rsidP="00F66272">
      <w:r>
        <w:t xml:space="preserve">We prioritised </w:t>
      </w:r>
      <w:r w:rsidRPr="00A1495C">
        <w:t xml:space="preserve">defining and delivering learning </w:t>
      </w:r>
      <w:r>
        <w:t>and</w:t>
      </w:r>
      <w:r w:rsidRPr="00A1495C">
        <w:t xml:space="preserve"> development solutions t</w:t>
      </w:r>
      <w:r>
        <w:t>o</w:t>
      </w:r>
      <w:r w:rsidRPr="00A1495C">
        <w:t xml:space="preserve"> </w:t>
      </w:r>
      <w:r>
        <w:t xml:space="preserve">address immediate organisational needs, </w:t>
      </w:r>
      <w:r w:rsidRPr="00A1495C">
        <w:t xml:space="preserve">such </w:t>
      </w:r>
      <w:r>
        <w:t xml:space="preserve">as </w:t>
      </w:r>
      <w:r w:rsidRPr="00A1495C">
        <w:t>mental health and wellbeing</w:t>
      </w:r>
      <w:r>
        <w:t>. This</w:t>
      </w:r>
      <w:r w:rsidRPr="00A1495C">
        <w:t xml:space="preserve"> strong</w:t>
      </w:r>
      <w:r>
        <w:t>ly</w:t>
      </w:r>
      <w:r w:rsidRPr="00A1495C">
        <w:t xml:space="preserve"> align</w:t>
      </w:r>
      <w:r>
        <w:t>ed</w:t>
      </w:r>
      <w:r w:rsidRPr="00A1495C">
        <w:t xml:space="preserve"> with </w:t>
      </w:r>
      <w:r>
        <w:t xml:space="preserve">our </w:t>
      </w:r>
      <w:r w:rsidRPr="00A1495C">
        <w:t>future-focused outputs of desired culture and behaviours in SV.</w:t>
      </w:r>
    </w:p>
    <w:p w14:paraId="137A3925" w14:textId="77777777" w:rsidR="008C258D" w:rsidRDefault="008C258D">
      <w:pPr>
        <w:spacing w:line="264" w:lineRule="auto"/>
      </w:pPr>
      <w:r>
        <w:br w:type="page"/>
      </w:r>
    </w:p>
    <w:p w14:paraId="32E53A54" w14:textId="6DC0AB58" w:rsidR="00F66272" w:rsidRDefault="00F66272" w:rsidP="00F66272">
      <w:r>
        <w:t>We l</w:t>
      </w:r>
      <w:r w:rsidRPr="00A1495C">
        <w:t>aunched the Mental Health Action Plan to address ongoing challenges in maintaining staff and leaders’ mental health, psychological safety and wellbeing whil</w:t>
      </w:r>
      <w:r>
        <w:t>e</w:t>
      </w:r>
      <w:r w:rsidRPr="00A1495C">
        <w:t xml:space="preserve"> managing remote teams. Initiatives included over </w:t>
      </w:r>
      <w:r>
        <w:t>17</w:t>
      </w:r>
      <w:r w:rsidRPr="00A1495C">
        <w:t xml:space="preserve"> separate sessions deployed from April 2020 that were set to empower </w:t>
      </w:r>
      <w:r>
        <w:t>l</w:t>
      </w:r>
      <w:r w:rsidRPr="00A1495C">
        <w:t>eaders with strategies to support staff during the pandemic and provide them with multiple wellbeing offerings.</w:t>
      </w:r>
    </w:p>
    <w:p w14:paraId="1EFB7073" w14:textId="52EF02C1" w:rsidR="00F66272" w:rsidRDefault="00F66272" w:rsidP="00F66272">
      <w:r w:rsidRPr="00A1495C">
        <w:t>Professional development continued with re-launching Empowering Conversations. Continuous development for leaders included targeted one</w:t>
      </w:r>
      <w:r>
        <w:t>-</w:t>
      </w:r>
      <w:r w:rsidRPr="00A1495C">
        <w:t>on</w:t>
      </w:r>
      <w:r>
        <w:t>-</w:t>
      </w:r>
      <w:r w:rsidRPr="00A1495C">
        <w:t>one support through</w:t>
      </w:r>
      <w:r>
        <w:t xml:space="preserve"> the </w:t>
      </w:r>
      <w:r w:rsidR="00C65C26">
        <w:t>employee</w:t>
      </w:r>
      <w:r>
        <w:t xml:space="preserve"> assistance program</w:t>
      </w:r>
      <w:r w:rsidRPr="00A1495C">
        <w:t xml:space="preserve"> and Converge International Career Assist services as well as individualised coaching and mentoring packages.</w:t>
      </w:r>
    </w:p>
    <w:p w14:paraId="2F15ADA4" w14:textId="77777777" w:rsidR="00F66272" w:rsidRDefault="00F66272" w:rsidP="00F66272">
      <w:r>
        <w:t>We launched two n</w:t>
      </w:r>
      <w:r w:rsidRPr="00A1495C">
        <w:t>ew SharePoint sites: Career Development and Transition to support staff through an intensive recruitment period.</w:t>
      </w:r>
    </w:p>
    <w:p w14:paraId="6DB33974" w14:textId="77777777" w:rsidR="00F66272" w:rsidRDefault="00F66272" w:rsidP="00F66272">
      <w:r>
        <w:t>We la</w:t>
      </w:r>
      <w:r w:rsidRPr="00A1495C">
        <w:t xml:space="preserve">unched a series </w:t>
      </w:r>
      <w:r>
        <w:t xml:space="preserve">called </w:t>
      </w:r>
      <w:r w:rsidRPr="00A1495C">
        <w:t>Culture Jam Sessions</w:t>
      </w:r>
      <w:r>
        <w:t xml:space="preserve"> and</w:t>
      </w:r>
      <w:r w:rsidRPr="00A1495C">
        <w:t xml:space="preserve"> interactive workshops based on Gallup Strengths to support ongoing personal development, self-insight, building new teams, career transition and preparing for capability-based collaboration.</w:t>
      </w:r>
    </w:p>
    <w:p w14:paraId="6CDF3675" w14:textId="57C60970" w:rsidR="00225FF8" w:rsidRDefault="00225FF8" w:rsidP="00225FF8">
      <w:pPr>
        <w:pStyle w:val="Caption"/>
      </w:pPr>
      <w:bookmarkStart w:id="41" w:name="_Ref57473850"/>
      <w:r>
        <w:t xml:space="preserve">Table </w:t>
      </w:r>
      <w:fldSimple w:instr=" SEQ Table \* ARABIC ">
        <w:r w:rsidR="003F15CC">
          <w:rPr>
            <w:noProof/>
          </w:rPr>
          <w:t>19</w:t>
        </w:r>
      </w:fldSimple>
      <w:bookmarkEnd w:id="41"/>
      <w:r>
        <w:t xml:space="preserve">: </w:t>
      </w:r>
      <w:r w:rsidR="00F66272">
        <w:t>Employee engagement in 2019–20</w:t>
      </w:r>
    </w:p>
    <w:tbl>
      <w:tblPr>
        <w:tblStyle w:val="TableGrid0"/>
        <w:tblW w:w="8949" w:type="dxa"/>
        <w:tblInd w:w="0" w:type="dxa"/>
        <w:tblLayout w:type="fixed"/>
        <w:tblCellMar>
          <w:top w:w="109" w:type="dxa"/>
          <w:right w:w="125" w:type="dxa"/>
        </w:tblCellMar>
        <w:tblLook w:val="04A0" w:firstRow="1" w:lastRow="0" w:firstColumn="1" w:lastColumn="0" w:noHBand="0" w:noVBand="1"/>
      </w:tblPr>
      <w:tblGrid>
        <w:gridCol w:w="5245"/>
        <w:gridCol w:w="1011"/>
        <w:gridCol w:w="1275"/>
        <w:gridCol w:w="1418"/>
      </w:tblGrid>
      <w:tr w:rsidR="00225FF8" w:rsidRPr="007D4704" w14:paraId="57C4D519" w14:textId="77777777" w:rsidTr="00B30771">
        <w:trPr>
          <w:trHeight w:val="373"/>
        </w:trPr>
        <w:tc>
          <w:tcPr>
            <w:tcW w:w="5245" w:type="dxa"/>
            <w:tcBorders>
              <w:top w:val="nil"/>
              <w:left w:val="nil"/>
              <w:bottom w:val="nil"/>
              <w:right w:val="nil"/>
            </w:tcBorders>
            <w:shd w:val="clear" w:color="auto" w:fill="82C341"/>
            <w:vAlign w:val="center"/>
          </w:tcPr>
          <w:p w14:paraId="4A39054A" w14:textId="77777777" w:rsidR="00225FF8" w:rsidRPr="007D4704" w:rsidRDefault="00225FF8" w:rsidP="00B30771">
            <w:pPr>
              <w:pStyle w:val="TableHeading"/>
              <w:rPr>
                <w:rFonts w:asciiTheme="minorHAnsi" w:hAnsiTheme="minorHAnsi" w:cstheme="minorHAnsi"/>
                <w:color w:val="000000" w:themeColor="text1"/>
                <w:sz w:val="19"/>
                <w:szCs w:val="19"/>
              </w:rPr>
            </w:pPr>
            <w:r w:rsidRPr="00FE1ED7">
              <w:t>Outcome measure</w:t>
            </w:r>
            <w:r w:rsidRPr="007D4704">
              <w:rPr>
                <w:rFonts w:cstheme="minorHAnsi"/>
                <w:color w:val="000000" w:themeColor="text1"/>
                <w:sz w:val="19"/>
                <w:szCs w:val="19"/>
              </w:rPr>
              <w:t xml:space="preserve"> </w:t>
            </w:r>
          </w:p>
        </w:tc>
        <w:tc>
          <w:tcPr>
            <w:tcW w:w="1011" w:type="dxa"/>
            <w:tcBorders>
              <w:top w:val="nil"/>
              <w:left w:val="nil"/>
              <w:bottom w:val="nil"/>
              <w:right w:val="nil"/>
            </w:tcBorders>
            <w:shd w:val="clear" w:color="auto" w:fill="82C341"/>
            <w:vAlign w:val="center"/>
          </w:tcPr>
          <w:p w14:paraId="088CB92F" w14:textId="77777777" w:rsidR="00225FF8" w:rsidRPr="009940E4" w:rsidRDefault="00225FF8" w:rsidP="00B30771">
            <w:pPr>
              <w:pStyle w:val="tableheadright"/>
            </w:pPr>
            <w:r w:rsidRPr="009940E4">
              <w:t>2019–20 target</w:t>
            </w:r>
          </w:p>
        </w:tc>
        <w:tc>
          <w:tcPr>
            <w:tcW w:w="1275" w:type="dxa"/>
            <w:tcBorders>
              <w:top w:val="nil"/>
              <w:left w:val="nil"/>
              <w:bottom w:val="nil"/>
              <w:right w:val="nil"/>
            </w:tcBorders>
            <w:shd w:val="clear" w:color="auto" w:fill="82C341"/>
            <w:vAlign w:val="center"/>
          </w:tcPr>
          <w:p w14:paraId="19A8F6A0" w14:textId="77777777" w:rsidR="00225FF8" w:rsidRPr="009940E4" w:rsidRDefault="00225FF8" w:rsidP="00B30771">
            <w:pPr>
              <w:pStyle w:val="tableheadright"/>
            </w:pPr>
            <w:r w:rsidRPr="009940E4">
              <w:t>2019–20 actual</w:t>
            </w:r>
          </w:p>
        </w:tc>
        <w:tc>
          <w:tcPr>
            <w:tcW w:w="1418" w:type="dxa"/>
            <w:tcBorders>
              <w:top w:val="nil"/>
              <w:left w:val="nil"/>
              <w:bottom w:val="nil"/>
              <w:right w:val="nil"/>
            </w:tcBorders>
            <w:shd w:val="clear" w:color="auto" w:fill="82C341"/>
            <w:vAlign w:val="center"/>
          </w:tcPr>
          <w:p w14:paraId="020A1499" w14:textId="77777777" w:rsidR="00225FF8" w:rsidRPr="009940E4" w:rsidRDefault="00225FF8" w:rsidP="00B30771">
            <w:pPr>
              <w:pStyle w:val="tableheadright"/>
            </w:pPr>
            <w:r w:rsidRPr="009940E4">
              <w:t>Target met</w:t>
            </w:r>
          </w:p>
        </w:tc>
      </w:tr>
      <w:tr w:rsidR="00225FF8" w:rsidRPr="007951C1" w14:paraId="6D7B8B11" w14:textId="77777777" w:rsidTr="00B30771">
        <w:trPr>
          <w:trHeight w:val="411"/>
        </w:trPr>
        <w:tc>
          <w:tcPr>
            <w:tcW w:w="5245" w:type="dxa"/>
            <w:tcBorders>
              <w:top w:val="single" w:sz="2" w:space="0" w:color="A7A9AB"/>
              <w:left w:val="nil"/>
              <w:bottom w:val="single" w:sz="2" w:space="0" w:color="A7A9AB"/>
              <w:right w:val="nil"/>
            </w:tcBorders>
            <w:vAlign w:val="center"/>
          </w:tcPr>
          <w:p w14:paraId="352FFDAC" w14:textId="29F3E3A1" w:rsidR="00225FF8" w:rsidRPr="00F47EA8" w:rsidRDefault="00F66272" w:rsidP="00B30771">
            <w:pPr>
              <w:pStyle w:val="Tabletext0"/>
            </w:pPr>
            <w:r w:rsidRPr="00F66272">
              <w:t>74% of SV employees feel engaged with the work SV does</w:t>
            </w:r>
          </w:p>
        </w:tc>
        <w:tc>
          <w:tcPr>
            <w:tcW w:w="1011" w:type="dxa"/>
            <w:tcBorders>
              <w:top w:val="single" w:sz="2" w:space="0" w:color="A7A9AB"/>
              <w:left w:val="nil"/>
              <w:bottom w:val="single" w:sz="2" w:space="0" w:color="A7A9AB"/>
              <w:right w:val="nil"/>
            </w:tcBorders>
            <w:vAlign w:val="center"/>
          </w:tcPr>
          <w:p w14:paraId="0D2374F2" w14:textId="3638FD72" w:rsidR="00225FF8" w:rsidRPr="007951C1" w:rsidRDefault="00F66272" w:rsidP="00B30771">
            <w:pPr>
              <w:pStyle w:val="tableright"/>
            </w:pPr>
            <w:r>
              <w:t>74%</w:t>
            </w:r>
          </w:p>
        </w:tc>
        <w:tc>
          <w:tcPr>
            <w:tcW w:w="1275" w:type="dxa"/>
            <w:tcBorders>
              <w:top w:val="single" w:sz="2" w:space="0" w:color="A7A9AB"/>
              <w:left w:val="nil"/>
              <w:bottom w:val="single" w:sz="2" w:space="0" w:color="A7A9AB"/>
              <w:right w:val="nil"/>
            </w:tcBorders>
            <w:vAlign w:val="center"/>
          </w:tcPr>
          <w:p w14:paraId="244A2A01" w14:textId="22799B91" w:rsidR="00225FF8" w:rsidRPr="007951C1" w:rsidRDefault="00F66272" w:rsidP="00B30771">
            <w:pPr>
              <w:pStyle w:val="tableright"/>
            </w:pPr>
            <w:r>
              <w:t>73%</w:t>
            </w:r>
          </w:p>
        </w:tc>
        <w:tc>
          <w:tcPr>
            <w:tcW w:w="1418" w:type="dxa"/>
            <w:tcBorders>
              <w:top w:val="single" w:sz="2" w:space="0" w:color="A7A9AB"/>
              <w:left w:val="nil"/>
              <w:bottom w:val="single" w:sz="2" w:space="0" w:color="A7A9AB"/>
              <w:right w:val="nil"/>
            </w:tcBorders>
            <w:vAlign w:val="center"/>
          </w:tcPr>
          <w:p w14:paraId="4C3A23C8" w14:textId="12CC5543" w:rsidR="00225FF8" w:rsidRPr="007951C1" w:rsidRDefault="009C0026" w:rsidP="00B30771">
            <w:pPr>
              <w:pStyle w:val="tableright"/>
            </w:pPr>
            <w:r>
              <w:rPr>
                <w:rStyle w:val="normaltextrun"/>
                <w:rFonts w:ascii="Segoe UI Symbol" w:hAnsi="Segoe UI Symbol" w:cs="Segoe UI Symbol"/>
              </w:rPr>
              <w:t>✘</w:t>
            </w:r>
          </w:p>
        </w:tc>
      </w:tr>
    </w:tbl>
    <w:p w14:paraId="1B100899" w14:textId="14F74C04" w:rsidR="00F66272" w:rsidRDefault="00F66272" w:rsidP="009C0026">
      <w:pPr>
        <w:pStyle w:val="Heading3"/>
      </w:pPr>
      <w:r>
        <w:t>Increase SV staff behaviour change capability</w:t>
      </w:r>
    </w:p>
    <w:p w14:paraId="571FDD98" w14:textId="77777777" w:rsidR="00F66272" w:rsidRDefault="00F66272" w:rsidP="00F66272">
      <w:r>
        <w:t>We developed an online toolbox of resources for staff to incorporate best practice behaviour change approaches into program design and delivery.</w:t>
      </w:r>
    </w:p>
    <w:p w14:paraId="7C84F333" w14:textId="77777777" w:rsidR="00F66272" w:rsidRDefault="00F66272" w:rsidP="00F66272">
      <w:r>
        <w:t>We gave advice to more than 30 projects and teams on applying a behavioural insights approach to their programs and projects.</w:t>
      </w:r>
    </w:p>
    <w:p w14:paraId="1372DA59" w14:textId="40176B62" w:rsidR="00F66272" w:rsidRPr="00276DC8" w:rsidRDefault="00F66272" w:rsidP="00F66272">
      <w:pPr>
        <w:rPr>
          <w:rFonts w:eastAsiaTheme="minorHAnsi" w:cs="Times New Roman"/>
          <w:color w:val="000000" w:themeColor="text1"/>
        </w:rPr>
      </w:pPr>
      <w:r>
        <w:t>More than 90 per cent of SV staff attended behaviour change trainings in 2019–20. Twenty staff also attended SV’s inaugural seven-week behaviour change bootcamp, giving them a much deeper insight into the behaviour change process.</w:t>
      </w:r>
    </w:p>
    <w:p w14:paraId="70F151FE" w14:textId="1C8D3E25" w:rsidR="00F66272" w:rsidRDefault="00F66272" w:rsidP="00F66272">
      <w:pPr>
        <w:pStyle w:val="Caption"/>
      </w:pPr>
      <w:r>
        <w:t xml:space="preserve">Table </w:t>
      </w:r>
      <w:fldSimple w:instr=" SEQ Table \* ARABIC ">
        <w:r w:rsidR="003F15CC">
          <w:rPr>
            <w:noProof/>
          </w:rPr>
          <w:t>20</w:t>
        </w:r>
      </w:fldSimple>
      <w:r>
        <w:t xml:space="preserve">: Introductory </w:t>
      </w:r>
      <w:r w:rsidRPr="00F66272">
        <w:t>behaviour change training</w:t>
      </w:r>
      <w:r>
        <w:t xml:space="preserve"> in 2019–20</w:t>
      </w:r>
    </w:p>
    <w:tbl>
      <w:tblPr>
        <w:tblStyle w:val="TableGrid0"/>
        <w:tblW w:w="8949" w:type="dxa"/>
        <w:tblInd w:w="0" w:type="dxa"/>
        <w:tblLayout w:type="fixed"/>
        <w:tblCellMar>
          <w:top w:w="109" w:type="dxa"/>
          <w:right w:w="125" w:type="dxa"/>
        </w:tblCellMar>
        <w:tblLook w:val="04A0" w:firstRow="1" w:lastRow="0" w:firstColumn="1" w:lastColumn="0" w:noHBand="0" w:noVBand="1"/>
      </w:tblPr>
      <w:tblGrid>
        <w:gridCol w:w="5245"/>
        <w:gridCol w:w="1011"/>
        <w:gridCol w:w="1275"/>
        <w:gridCol w:w="1418"/>
      </w:tblGrid>
      <w:tr w:rsidR="00F66272" w:rsidRPr="007D4704" w14:paraId="4786CFB6" w14:textId="77777777" w:rsidTr="00205952">
        <w:trPr>
          <w:trHeight w:val="373"/>
        </w:trPr>
        <w:tc>
          <w:tcPr>
            <w:tcW w:w="5245" w:type="dxa"/>
            <w:tcBorders>
              <w:top w:val="nil"/>
              <w:left w:val="nil"/>
              <w:bottom w:val="nil"/>
              <w:right w:val="nil"/>
            </w:tcBorders>
            <w:shd w:val="clear" w:color="auto" w:fill="82C341"/>
            <w:vAlign w:val="center"/>
          </w:tcPr>
          <w:p w14:paraId="74E37023" w14:textId="77777777" w:rsidR="00F66272" w:rsidRPr="007D4704" w:rsidRDefault="00F66272" w:rsidP="00205952">
            <w:pPr>
              <w:pStyle w:val="TableHeading"/>
              <w:rPr>
                <w:rFonts w:asciiTheme="minorHAnsi" w:hAnsiTheme="minorHAnsi" w:cstheme="minorHAnsi"/>
                <w:color w:val="000000" w:themeColor="text1"/>
                <w:sz w:val="19"/>
                <w:szCs w:val="19"/>
              </w:rPr>
            </w:pPr>
            <w:r w:rsidRPr="00FE1ED7">
              <w:t>Outcome measure</w:t>
            </w:r>
            <w:r w:rsidRPr="007D4704">
              <w:rPr>
                <w:rFonts w:cstheme="minorHAnsi"/>
                <w:color w:val="000000" w:themeColor="text1"/>
                <w:sz w:val="19"/>
                <w:szCs w:val="19"/>
              </w:rPr>
              <w:t xml:space="preserve"> </w:t>
            </w:r>
          </w:p>
        </w:tc>
        <w:tc>
          <w:tcPr>
            <w:tcW w:w="1011" w:type="dxa"/>
            <w:tcBorders>
              <w:top w:val="nil"/>
              <w:left w:val="nil"/>
              <w:bottom w:val="nil"/>
              <w:right w:val="nil"/>
            </w:tcBorders>
            <w:shd w:val="clear" w:color="auto" w:fill="82C341"/>
            <w:vAlign w:val="center"/>
          </w:tcPr>
          <w:p w14:paraId="5451DA16" w14:textId="77777777" w:rsidR="00F66272" w:rsidRPr="009940E4" w:rsidRDefault="00F66272" w:rsidP="00205952">
            <w:pPr>
              <w:pStyle w:val="tableheadright"/>
            </w:pPr>
            <w:r w:rsidRPr="009940E4">
              <w:t>2019–20 target</w:t>
            </w:r>
          </w:p>
        </w:tc>
        <w:tc>
          <w:tcPr>
            <w:tcW w:w="1275" w:type="dxa"/>
            <w:tcBorders>
              <w:top w:val="nil"/>
              <w:left w:val="nil"/>
              <w:bottom w:val="nil"/>
              <w:right w:val="nil"/>
            </w:tcBorders>
            <w:shd w:val="clear" w:color="auto" w:fill="82C341"/>
            <w:vAlign w:val="center"/>
          </w:tcPr>
          <w:p w14:paraId="63286312" w14:textId="77777777" w:rsidR="00F66272" w:rsidRPr="009940E4" w:rsidRDefault="00F66272" w:rsidP="00205952">
            <w:pPr>
              <w:pStyle w:val="tableheadright"/>
            </w:pPr>
            <w:r w:rsidRPr="009940E4">
              <w:t>2019–20 actual</w:t>
            </w:r>
          </w:p>
        </w:tc>
        <w:tc>
          <w:tcPr>
            <w:tcW w:w="1418" w:type="dxa"/>
            <w:tcBorders>
              <w:top w:val="nil"/>
              <w:left w:val="nil"/>
              <w:bottom w:val="nil"/>
              <w:right w:val="nil"/>
            </w:tcBorders>
            <w:shd w:val="clear" w:color="auto" w:fill="82C341"/>
            <w:vAlign w:val="center"/>
          </w:tcPr>
          <w:p w14:paraId="1F6D84A7" w14:textId="77777777" w:rsidR="00F66272" w:rsidRPr="009940E4" w:rsidRDefault="00F66272" w:rsidP="00205952">
            <w:pPr>
              <w:pStyle w:val="tableheadright"/>
            </w:pPr>
            <w:r w:rsidRPr="009940E4">
              <w:t>Target met</w:t>
            </w:r>
          </w:p>
        </w:tc>
      </w:tr>
      <w:tr w:rsidR="00F66272" w:rsidRPr="007951C1" w14:paraId="72096F6B" w14:textId="77777777" w:rsidTr="00205952">
        <w:trPr>
          <w:trHeight w:val="411"/>
        </w:trPr>
        <w:tc>
          <w:tcPr>
            <w:tcW w:w="5245" w:type="dxa"/>
            <w:tcBorders>
              <w:top w:val="single" w:sz="2" w:space="0" w:color="A7A9AB"/>
              <w:left w:val="nil"/>
              <w:bottom w:val="single" w:sz="2" w:space="0" w:color="A7A9AB"/>
              <w:right w:val="nil"/>
            </w:tcBorders>
            <w:vAlign w:val="center"/>
          </w:tcPr>
          <w:p w14:paraId="19DB592E" w14:textId="7A941A8D" w:rsidR="00F66272" w:rsidRPr="00F47EA8" w:rsidRDefault="00F66272" w:rsidP="00205952">
            <w:pPr>
              <w:pStyle w:val="Tabletext0"/>
            </w:pPr>
            <w:r w:rsidRPr="00F66272">
              <w:t>60% of staff complete introductory behaviour change training</w:t>
            </w:r>
          </w:p>
        </w:tc>
        <w:tc>
          <w:tcPr>
            <w:tcW w:w="1011" w:type="dxa"/>
            <w:tcBorders>
              <w:top w:val="single" w:sz="2" w:space="0" w:color="A7A9AB"/>
              <w:left w:val="nil"/>
              <w:bottom w:val="single" w:sz="2" w:space="0" w:color="A7A9AB"/>
              <w:right w:val="nil"/>
            </w:tcBorders>
            <w:vAlign w:val="center"/>
          </w:tcPr>
          <w:p w14:paraId="0EF8E7F2" w14:textId="352C43D4" w:rsidR="00F66272" w:rsidRPr="007951C1" w:rsidRDefault="00F66272" w:rsidP="00205952">
            <w:pPr>
              <w:pStyle w:val="tableright"/>
            </w:pPr>
            <w:r>
              <w:t>60%</w:t>
            </w:r>
          </w:p>
        </w:tc>
        <w:tc>
          <w:tcPr>
            <w:tcW w:w="1275" w:type="dxa"/>
            <w:tcBorders>
              <w:top w:val="single" w:sz="2" w:space="0" w:color="A7A9AB"/>
              <w:left w:val="nil"/>
              <w:bottom w:val="single" w:sz="2" w:space="0" w:color="A7A9AB"/>
              <w:right w:val="nil"/>
            </w:tcBorders>
            <w:vAlign w:val="center"/>
          </w:tcPr>
          <w:p w14:paraId="7DE6E529" w14:textId="2943656F" w:rsidR="00F66272" w:rsidRPr="007951C1" w:rsidRDefault="00F66272" w:rsidP="00205952">
            <w:pPr>
              <w:pStyle w:val="tableright"/>
            </w:pPr>
            <w:r>
              <w:t>90%</w:t>
            </w:r>
          </w:p>
        </w:tc>
        <w:tc>
          <w:tcPr>
            <w:tcW w:w="1418" w:type="dxa"/>
            <w:tcBorders>
              <w:top w:val="single" w:sz="2" w:space="0" w:color="A7A9AB"/>
              <w:left w:val="nil"/>
              <w:bottom w:val="single" w:sz="2" w:space="0" w:color="A7A9AB"/>
              <w:right w:val="nil"/>
            </w:tcBorders>
            <w:vAlign w:val="center"/>
          </w:tcPr>
          <w:p w14:paraId="1DF24338" w14:textId="4C5BA2AA" w:rsidR="00F66272" w:rsidRPr="007951C1" w:rsidRDefault="009C0026" w:rsidP="00205952">
            <w:pPr>
              <w:pStyle w:val="tableright"/>
            </w:pPr>
            <w:r>
              <w:rPr>
                <w:rStyle w:val="normaltextrun"/>
                <w:rFonts w:ascii="Segoe UI Emoji" w:hAnsi="Segoe UI Emoji" w:cs="Segoe UI Emoji"/>
              </w:rPr>
              <w:t>✔</w:t>
            </w:r>
          </w:p>
        </w:tc>
      </w:tr>
    </w:tbl>
    <w:p w14:paraId="50FFB81E" w14:textId="76C69BFA" w:rsidR="00F66272" w:rsidRDefault="00980424" w:rsidP="009C0026">
      <w:pPr>
        <w:pStyle w:val="Heading3"/>
      </w:pPr>
      <w:r>
        <w:t xml:space="preserve">Other activities </w:t>
      </w:r>
    </w:p>
    <w:p w14:paraId="7A8EF108" w14:textId="5D7F70E8" w:rsidR="003D5C04" w:rsidRPr="003D5C04" w:rsidRDefault="00980424" w:rsidP="009C0026">
      <w:pPr>
        <w:pStyle w:val="Heading4"/>
      </w:pPr>
      <w:r>
        <w:t>Risk capability</w:t>
      </w:r>
    </w:p>
    <w:p w14:paraId="0A3846A8" w14:textId="7D1B5A1B" w:rsidR="003D5C04" w:rsidRDefault="0087471B" w:rsidP="00F51716">
      <w:r w:rsidRPr="00610F24">
        <w:t xml:space="preserve">Since March 2020, </w:t>
      </w:r>
      <w:r w:rsidR="003D5C04">
        <w:t xml:space="preserve">we’ve held </w:t>
      </w:r>
      <w:r w:rsidRPr="00610F24">
        <w:t xml:space="preserve">monthly risk inductions for new starters </w:t>
      </w:r>
      <w:r w:rsidR="003D5C04">
        <w:t>and</w:t>
      </w:r>
      <w:r w:rsidRPr="00610F24">
        <w:t xml:space="preserve"> existing staff. </w:t>
      </w:r>
      <w:r w:rsidR="003D5C04">
        <w:t xml:space="preserve">A total of </w:t>
      </w:r>
      <w:r w:rsidRPr="00610F24">
        <w:t>22 staff attended these inductions, bringing the total number of risk-trained staff to 95</w:t>
      </w:r>
      <w:r w:rsidR="003D5C04">
        <w:t xml:space="preserve"> – about</w:t>
      </w:r>
      <w:r w:rsidRPr="00610F24">
        <w:t xml:space="preserve"> 63</w:t>
      </w:r>
      <w:r w:rsidR="003D5C04">
        <w:t xml:space="preserve"> per cent</w:t>
      </w:r>
      <w:r w:rsidRPr="00610F24">
        <w:t xml:space="preserve"> of</w:t>
      </w:r>
      <w:r w:rsidR="003D5C04">
        <w:t xml:space="preserve"> our</w:t>
      </w:r>
      <w:r w:rsidRPr="00610F24">
        <w:t xml:space="preserve"> workforce.</w:t>
      </w:r>
    </w:p>
    <w:p w14:paraId="72F56360" w14:textId="698A4BD2" w:rsidR="0087471B" w:rsidRDefault="0087471B" w:rsidP="00F51716">
      <w:r>
        <w:t>The r</w:t>
      </w:r>
      <w:r w:rsidRPr="00610F24">
        <w:t xml:space="preserve">isk team successfully released the Risks and Opportunities Toolbox to all staff, which will </w:t>
      </w:r>
      <w:r w:rsidR="00F635E6">
        <w:t xml:space="preserve">help staff to </w:t>
      </w:r>
      <w:r w:rsidRPr="00610F24">
        <w:t xml:space="preserve">find appropriate risk resources. </w:t>
      </w:r>
      <w:r w:rsidR="00BC18DE">
        <w:t>R</w:t>
      </w:r>
      <w:r w:rsidRPr="00610F24">
        <w:t xml:space="preserve">isk workshops </w:t>
      </w:r>
      <w:r w:rsidR="00BC18DE">
        <w:t xml:space="preserve">were also </w:t>
      </w:r>
      <w:r w:rsidRPr="00610F24">
        <w:t xml:space="preserve">held for </w:t>
      </w:r>
      <w:r w:rsidR="008017FF">
        <w:t>R</w:t>
      </w:r>
      <w:r w:rsidR="00730D2B">
        <w:t>ecycling Victoria</w:t>
      </w:r>
      <w:r w:rsidRPr="00610F24">
        <w:t xml:space="preserve"> project teams. The long-term </w:t>
      </w:r>
      <w:r w:rsidR="00F635E6" w:rsidRPr="00610F24">
        <w:t xml:space="preserve">risk </w:t>
      </w:r>
      <w:r w:rsidRPr="00610F24">
        <w:t xml:space="preserve">strategy </w:t>
      </w:r>
      <w:r>
        <w:t xml:space="preserve">was </w:t>
      </w:r>
      <w:r w:rsidRPr="00610F24">
        <w:t>endorsed by the Board in June 2020.</w:t>
      </w:r>
    </w:p>
    <w:p w14:paraId="43AF3584" w14:textId="3A67B458" w:rsidR="00D771E9" w:rsidRPr="005D5DBE" w:rsidRDefault="00D771E9" w:rsidP="009C0026">
      <w:pPr>
        <w:pStyle w:val="Heading4"/>
      </w:pPr>
      <w:r w:rsidRPr="005D5DBE">
        <w:t>Research and knowledge</w:t>
      </w:r>
    </w:p>
    <w:p w14:paraId="686DD51D" w14:textId="12A8A4FF" w:rsidR="0087471B" w:rsidRDefault="00A13ED9" w:rsidP="00F51716">
      <w:r>
        <w:t>We held i</w:t>
      </w:r>
      <w:r w:rsidR="0087471B">
        <w:t>nternal research showcases to increase staff sharing of knowledge across the organisation and beyond.</w:t>
      </w:r>
    </w:p>
    <w:p w14:paraId="58959FA9" w14:textId="63434BEE" w:rsidR="0087471B" w:rsidRDefault="0087471B" w:rsidP="00F51716">
      <w:r>
        <w:t xml:space="preserve">SV’s partnership with BehaviourWorks Australia continued, with joint research work undertaken on a range of programs, including the Waste Research Collaboration Project. This research project focused on three waste topics, with collaboration across New South Wales and Victoria, comprising all levels of government (multiple councils, </w:t>
      </w:r>
      <w:r w:rsidR="00801DD3">
        <w:t>s</w:t>
      </w:r>
      <w:r>
        <w:t xml:space="preserve">tate and </w:t>
      </w:r>
      <w:r w:rsidR="00801DD3">
        <w:t>Australian g</w:t>
      </w:r>
      <w:r>
        <w:t>overnment departments and agencies).</w:t>
      </w:r>
    </w:p>
    <w:p w14:paraId="7F1B0655" w14:textId="422736CC" w:rsidR="0087471B" w:rsidRDefault="0087471B" w:rsidP="00F51716">
      <w:r w:rsidRPr="0047585B">
        <w:t>A vast amount of work was done by SV to increase organisational knowledge in circular economy</w:t>
      </w:r>
      <w:r>
        <w:t xml:space="preserve">, </w:t>
      </w:r>
      <w:r w:rsidRPr="0047585B">
        <w:t xml:space="preserve">bringing more research and information together to enable us to speak in confidence to others about </w:t>
      </w:r>
      <w:r>
        <w:t>c</w:t>
      </w:r>
      <w:r w:rsidRPr="0047585B">
        <w:t xml:space="preserve">ircular </w:t>
      </w:r>
      <w:r>
        <w:t>e</w:t>
      </w:r>
      <w:r w:rsidRPr="0047585B">
        <w:t xml:space="preserve">conomy. This provided a great knowledge bank that was leveraged in </w:t>
      </w:r>
      <w:r>
        <w:t>development</w:t>
      </w:r>
      <w:r w:rsidRPr="0047585B">
        <w:t xml:space="preserve"> of the new Recycling Victoria policy</w:t>
      </w:r>
      <w:r>
        <w:t>.</w:t>
      </w:r>
    </w:p>
    <w:p w14:paraId="45BBDCD7" w14:textId="77777777" w:rsidR="00980424" w:rsidRDefault="00980424" w:rsidP="009C0026">
      <w:pPr>
        <w:pStyle w:val="Heading4"/>
      </w:pPr>
      <w:r w:rsidRPr="002203FA">
        <w:t>Social Procurement Strategy</w:t>
      </w:r>
      <w:r>
        <w:t xml:space="preserve"> </w:t>
      </w:r>
    </w:p>
    <w:p w14:paraId="55AFCE51" w14:textId="787F4661" w:rsidR="0087471B" w:rsidRPr="002203FA" w:rsidRDefault="0087471B" w:rsidP="00F51716">
      <w:r>
        <w:t>SV d</w:t>
      </w:r>
      <w:r w:rsidRPr="002203FA">
        <w:t>eveloped and implemented a Social Procurement Strategy to harness our spending power to deliver social and sustainable outcomes.</w:t>
      </w:r>
    </w:p>
    <w:p w14:paraId="548AEA44" w14:textId="4E7A8D1F" w:rsidR="0087471B" w:rsidRDefault="0087471B" w:rsidP="00F51716">
      <w:r>
        <w:t xml:space="preserve">We </w:t>
      </w:r>
      <w:r w:rsidR="0002656C">
        <w:t xml:space="preserve">started </w:t>
      </w:r>
      <w:r>
        <w:t>implement</w:t>
      </w:r>
      <w:r w:rsidR="0002656C">
        <w:t xml:space="preserve">ing </w:t>
      </w:r>
      <w:r w:rsidRPr="002203FA">
        <w:t>a technology solution to manage our grant programs resulting in increased efficiency, stakeholder experience, security and probity.</w:t>
      </w:r>
    </w:p>
    <w:p w14:paraId="4E84D001" w14:textId="2C964759" w:rsidR="00980424" w:rsidRDefault="00980424" w:rsidP="009C0026">
      <w:pPr>
        <w:pStyle w:val="Heading4"/>
      </w:pPr>
      <w:r>
        <w:t>IT capability</w:t>
      </w:r>
    </w:p>
    <w:p w14:paraId="62D0B6BA" w14:textId="457B2AA9" w:rsidR="0002656C" w:rsidRDefault="0087471B" w:rsidP="00F51716">
      <w:r w:rsidRPr="00263653">
        <w:t xml:space="preserve">Our IT capability was enhanced in </w:t>
      </w:r>
      <w:r w:rsidR="005D5DBE">
        <w:t>2019–20</w:t>
      </w:r>
      <w:r w:rsidRPr="00263653">
        <w:t xml:space="preserve"> </w:t>
      </w:r>
      <w:r w:rsidR="0002656C">
        <w:t>by:</w:t>
      </w:r>
    </w:p>
    <w:p w14:paraId="658217B4" w14:textId="74A6A8CA" w:rsidR="0002656C" w:rsidRDefault="003F15CC" w:rsidP="00F51716">
      <w:pPr>
        <w:pStyle w:val="ListBullet"/>
      </w:pPr>
      <w:r>
        <w:t>r</w:t>
      </w:r>
      <w:r w:rsidR="0087471B" w:rsidRPr="00263653">
        <w:t>estructur</w:t>
      </w:r>
      <w:r w:rsidR="0002656C">
        <w:t xml:space="preserve">ing </w:t>
      </w:r>
      <w:r w:rsidR="0087471B" w:rsidRPr="00263653">
        <w:t xml:space="preserve">the IT team to deliver </w:t>
      </w:r>
      <w:r w:rsidR="0087471B">
        <w:t>our</w:t>
      </w:r>
      <w:r w:rsidR="0087471B" w:rsidRPr="00263653">
        <w:t xml:space="preserve"> IT strategy</w:t>
      </w:r>
    </w:p>
    <w:p w14:paraId="041B99E6" w14:textId="40FCB0AA" w:rsidR="0002656C" w:rsidRDefault="0087471B" w:rsidP="00F51716">
      <w:pPr>
        <w:pStyle w:val="ListBullet"/>
      </w:pPr>
      <w:r w:rsidRPr="00263653">
        <w:t>reappoint</w:t>
      </w:r>
      <w:r w:rsidR="0002656C">
        <w:t>ing</w:t>
      </w:r>
      <w:r w:rsidRPr="00263653">
        <w:t xml:space="preserve"> our incumbent IT services provider to a new </w:t>
      </w:r>
      <w:r>
        <w:t>three-</w:t>
      </w:r>
      <w:r w:rsidRPr="00263653">
        <w:t>year managed services contract</w:t>
      </w:r>
    </w:p>
    <w:p w14:paraId="2E5FA722" w14:textId="77777777" w:rsidR="0002656C" w:rsidRDefault="0087471B" w:rsidP="00F51716">
      <w:pPr>
        <w:pStyle w:val="ListBullet"/>
      </w:pPr>
      <w:r w:rsidRPr="00263653">
        <w:t>facilitat</w:t>
      </w:r>
      <w:r w:rsidR="0002656C">
        <w:t xml:space="preserve">ing </w:t>
      </w:r>
      <w:r w:rsidRPr="00263653">
        <w:t>remote working for all staff as part of the COVID-19 response</w:t>
      </w:r>
    </w:p>
    <w:p w14:paraId="704A21AB" w14:textId="12E00DC2" w:rsidR="0087471B" w:rsidRPr="00263653" w:rsidRDefault="0087471B" w:rsidP="00F51716">
      <w:pPr>
        <w:pStyle w:val="ListBullet"/>
      </w:pPr>
      <w:r w:rsidRPr="00263653">
        <w:t>uplift</w:t>
      </w:r>
      <w:r w:rsidR="0002656C">
        <w:t xml:space="preserve">ing </w:t>
      </w:r>
      <w:r w:rsidRPr="00263653">
        <w:t xml:space="preserve">our security posture through </w:t>
      </w:r>
      <w:r>
        <w:t>m</w:t>
      </w:r>
      <w:r w:rsidRPr="00263653">
        <w:t>ulti-</w:t>
      </w:r>
      <w:r>
        <w:t>f</w:t>
      </w:r>
      <w:r w:rsidRPr="00263653">
        <w:t xml:space="preserve">actor </w:t>
      </w:r>
      <w:r>
        <w:t>a</w:t>
      </w:r>
      <w:r w:rsidRPr="00263653">
        <w:t>uthentication.</w:t>
      </w:r>
    </w:p>
    <w:p w14:paraId="66FA9DB2" w14:textId="56C16E19" w:rsidR="0087471B" w:rsidRDefault="0087471B" w:rsidP="00F51716">
      <w:r>
        <w:t>We built, implemented and trained delegates on a new finance system to provide greater reporting and analytical capability, which went live on 1</w:t>
      </w:r>
      <w:r w:rsidR="007536F1">
        <w:t> </w:t>
      </w:r>
      <w:r>
        <w:t>July</w:t>
      </w:r>
      <w:r w:rsidR="007536F1">
        <w:t> </w:t>
      </w:r>
      <w:r>
        <w:t>2020.</w:t>
      </w:r>
    </w:p>
    <w:p w14:paraId="68EC28B3" w14:textId="65C29A11" w:rsidR="00980424" w:rsidRDefault="00980424" w:rsidP="009C0026">
      <w:pPr>
        <w:pStyle w:val="Heading4"/>
      </w:pPr>
      <w:r>
        <w:t>Working with DELWP</w:t>
      </w:r>
    </w:p>
    <w:p w14:paraId="3780AA2E" w14:textId="4B70DDBE" w:rsidR="0087471B" w:rsidRDefault="0087471B" w:rsidP="00F51716">
      <w:r>
        <w:t>We e</w:t>
      </w:r>
      <w:r w:rsidRPr="00276DC8">
        <w:t xml:space="preserve">nhanced and continued to build on our relationship with DELWP </w:t>
      </w:r>
      <w:r w:rsidR="003072B8">
        <w:t xml:space="preserve">by </w:t>
      </w:r>
      <w:r w:rsidRPr="00276DC8">
        <w:t>providing resource support for establish</w:t>
      </w:r>
      <w:r w:rsidR="003072B8">
        <w:t>ing</w:t>
      </w:r>
      <w:r w:rsidRPr="00276DC8">
        <w:t xml:space="preserve"> the new DELWP </w:t>
      </w:r>
      <w:r w:rsidR="00751F16">
        <w:t>Portfolio</w:t>
      </w:r>
      <w:r w:rsidR="00751F16" w:rsidRPr="00276DC8">
        <w:t xml:space="preserve"> </w:t>
      </w:r>
      <w:r w:rsidRPr="00276DC8">
        <w:t>Management Office.</w:t>
      </w:r>
    </w:p>
    <w:p w14:paraId="43F7A288" w14:textId="397C2949" w:rsidR="00980424" w:rsidRDefault="00980424" w:rsidP="009C0026">
      <w:pPr>
        <w:pStyle w:val="Heading4"/>
      </w:pPr>
      <w:r>
        <w:t>Operational emissions</w:t>
      </w:r>
    </w:p>
    <w:p w14:paraId="48B93B41" w14:textId="1ADEE602" w:rsidR="0083076E" w:rsidRPr="00A133BE" w:rsidRDefault="0083076E" w:rsidP="00F51716">
      <w:r w:rsidRPr="00A133BE">
        <w:t>In response to the COVID-19 pandemic, the Victorian Government mandated the</w:t>
      </w:r>
      <w:r>
        <w:t xml:space="preserve"> </w:t>
      </w:r>
      <w:r w:rsidRPr="00A133BE">
        <w:t>closure of</w:t>
      </w:r>
      <w:r>
        <w:t xml:space="preserve"> </w:t>
      </w:r>
      <w:r w:rsidRPr="00A133BE">
        <w:t>non-essential services and to mobilise office workers to work from</w:t>
      </w:r>
      <w:r>
        <w:t xml:space="preserve"> </w:t>
      </w:r>
      <w:r w:rsidRPr="00A133BE">
        <w:t>home</w:t>
      </w:r>
      <w:r w:rsidR="003072B8">
        <w:t xml:space="preserve">, which affected our </w:t>
      </w:r>
      <w:r w:rsidRPr="00A133BE">
        <w:t>operational</w:t>
      </w:r>
      <w:r>
        <w:t xml:space="preserve"> </w:t>
      </w:r>
      <w:r w:rsidRPr="00A133BE">
        <w:t>emissions</w:t>
      </w:r>
      <w:r w:rsidR="003072B8">
        <w:t xml:space="preserve">. </w:t>
      </w:r>
      <w:r w:rsidRPr="00A133BE">
        <w:t>Overall emissions for 2019</w:t>
      </w:r>
      <w:r w:rsidR="00801DD3">
        <w:t>–</w:t>
      </w:r>
      <w:r w:rsidRPr="00A133BE">
        <w:t>20 showed a 28</w:t>
      </w:r>
      <w:r w:rsidR="00980424">
        <w:t xml:space="preserve"> per cent</w:t>
      </w:r>
      <w:r w:rsidRPr="00A133BE">
        <w:t xml:space="preserve"> decrease compared to the average emissions from 2015</w:t>
      </w:r>
      <w:r w:rsidR="00801DD3">
        <w:t>–</w:t>
      </w:r>
      <w:r w:rsidRPr="00A133BE">
        <w:t>16 to 2018</w:t>
      </w:r>
      <w:r w:rsidR="00801DD3">
        <w:t>–</w:t>
      </w:r>
      <w:r w:rsidRPr="00A133BE">
        <w:t>19</w:t>
      </w:r>
      <w:r w:rsidR="00A133BE">
        <w:t>:</w:t>
      </w:r>
    </w:p>
    <w:p w14:paraId="0522FF6A" w14:textId="4B03B264" w:rsidR="0083076E" w:rsidRPr="00801DD3" w:rsidRDefault="0083076E" w:rsidP="00F51716">
      <w:pPr>
        <w:pStyle w:val="ListBullet"/>
      </w:pPr>
      <w:r w:rsidRPr="00801DD3">
        <w:t>Floor-only electricity use emissions decreased by 21</w:t>
      </w:r>
      <w:r w:rsidR="003072B8">
        <w:t xml:space="preserve"> per cent</w:t>
      </w:r>
    </w:p>
    <w:p w14:paraId="2AAD2DF9" w14:textId="7B231C85" w:rsidR="0083076E" w:rsidRPr="00801DD3" w:rsidRDefault="0083076E" w:rsidP="00F51716">
      <w:pPr>
        <w:pStyle w:val="ListBullet"/>
      </w:pPr>
      <w:r w:rsidRPr="00801DD3">
        <w:t>Floor-only water use emissions decreased by 42</w:t>
      </w:r>
      <w:r w:rsidR="003072B8">
        <w:t xml:space="preserve"> per cent</w:t>
      </w:r>
    </w:p>
    <w:p w14:paraId="50C9603B" w14:textId="0539C568" w:rsidR="0083076E" w:rsidRPr="00801DD3" w:rsidRDefault="0083076E" w:rsidP="00F51716">
      <w:pPr>
        <w:pStyle w:val="ListBullet"/>
      </w:pPr>
      <w:r w:rsidRPr="00801DD3">
        <w:t>Floor-only waste emissions decreased by 61</w:t>
      </w:r>
      <w:r w:rsidR="003072B8">
        <w:t xml:space="preserve"> per cent</w:t>
      </w:r>
    </w:p>
    <w:p w14:paraId="62F62AB7" w14:textId="16F5E8E1" w:rsidR="0083076E" w:rsidRPr="00801DD3" w:rsidRDefault="0083076E" w:rsidP="00F51716">
      <w:pPr>
        <w:pStyle w:val="ListBullet"/>
      </w:pPr>
      <w:r w:rsidRPr="00801DD3">
        <w:t>Flight emissions reduced by 69</w:t>
      </w:r>
      <w:r w:rsidR="003072B8">
        <w:t xml:space="preserve"> per cent </w:t>
      </w:r>
      <w:r w:rsidRPr="00801DD3">
        <w:t>compared to the corresponding emissions in</w:t>
      </w:r>
      <w:r w:rsidR="003072B8">
        <w:t xml:space="preserve"> </w:t>
      </w:r>
      <w:r w:rsidRPr="00801DD3">
        <w:t>2018</w:t>
      </w:r>
      <w:r w:rsidR="00801DD3">
        <w:t>–</w:t>
      </w:r>
      <w:r w:rsidRPr="00801DD3">
        <w:t>19</w:t>
      </w:r>
    </w:p>
    <w:p w14:paraId="10D81067" w14:textId="77777777" w:rsidR="003072B8" w:rsidRDefault="003072B8" w:rsidP="00F51716">
      <w:r>
        <w:t>Before</w:t>
      </w:r>
      <w:r w:rsidR="0083076E" w:rsidRPr="00A133BE">
        <w:t xml:space="preserve"> the pandemic</w:t>
      </w:r>
      <w:r>
        <w:t>,</w:t>
      </w:r>
      <w:r w:rsidR="0083076E" w:rsidRPr="00A133BE">
        <w:t xml:space="preserve"> there was a generally upward trend in SV’s electricity</w:t>
      </w:r>
      <w:r w:rsidR="00551746">
        <w:t xml:space="preserve"> </w:t>
      </w:r>
      <w:r w:rsidR="0083076E" w:rsidRPr="00A133BE">
        <w:t>usage, which is one of SV’s largest contributing elements to its GHG</w:t>
      </w:r>
      <w:r w:rsidR="00551746">
        <w:t xml:space="preserve"> </w:t>
      </w:r>
      <w:r w:rsidR="0083076E" w:rsidRPr="00A133BE">
        <w:t>inventory. Despite this, there was a generally downward trend in emissions</w:t>
      </w:r>
      <w:r w:rsidR="00551746">
        <w:t xml:space="preserve"> </w:t>
      </w:r>
      <w:r w:rsidR="0083076E" w:rsidRPr="00A133BE">
        <w:t>associated with electricity use, due to decreasing emissions factors over time.</w:t>
      </w:r>
      <w:r w:rsidR="00551746">
        <w:t xml:space="preserve"> </w:t>
      </w:r>
    </w:p>
    <w:p w14:paraId="08FD3C9E" w14:textId="4FD95653" w:rsidR="0083076E" w:rsidRPr="00A133BE" w:rsidRDefault="0083076E" w:rsidP="00F51716">
      <w:r w:rsidRPr="00A133BE">
        <w:t>Scope 2 emissions, air travel and staff commuting are the largest contributors</w:t>
      </w:r>
      <w:r w:rsidR="00551746">
        <w:t xml:space="preserve"> </w:t>
      </w:r>
      <w:r w:rsidRPr="00A133BE">
        <w:t xml:space="preserve">to SV’s emissions inventory. As these categories </w:t>
      </w:r>
      <w:r w:rsidR="003072B8" w:rsidRPr="00A133BE">
        <w:t xml:space="preserve">were all </w:t>
      </w:r>
      <w:r w:rsidRPr="00A133BE">
        <w:t>directly affected by</w:t>
      </w:r>
      <w:r w:rsidR="00551746">
        <w:t xml:space="preserve"> </w:t>
      </w:r>
      <w:r w:rsidRPr="00A133BE">
        <w:t xml:space="preserve">the operational changes in working from home, this </w:t>
      </w:r>
      <w:r w:rsidR="003072B8">
        <w:t xml:space="preserve">led to a </w:t>
      </w:r>
      <w:r w:rsidRPr="00A133BE">
        <w:t>substantial decrease in overall emissions.</w:t>
      </w:r>
    </w:p>
    <w:p w14:paraId="59870BB2" w14:textId="26C5BC97" w:rsidR="00C719F3" w:rsidRDefault="008149F9" w:rsidP="009C0026">
      <w:pPr>
        <w:pStyle w:val="Heading4"/>
      </w:pPr>
      <w:r w:rsidRPr="00263653">
        <w:t>Put the customer first</w:t>
      </w:r>
    </w:p>
    <w:p w14:paraId="18BB2A4F" w14:textId="61686913" w:rsidR="0087471B" w:rsidRDefault="0087471B" w:rsidP="00F51716">
      <w:r w:rsidRPr="00276DC8">
        <w:t>The annual</w:t>
      </w:r>
      <w:r w:rsidR="003072B8" w:rsidRPr="00276DC8">
        <w:t xml:space="preserve"> stakeholder research survey</w:t>
      </w:r>
      <w:r w:rsidRPr="00276DC8">
        <w:t xml:space="preserve"> was completed in November </w:t>
      </w:r>
      <w:r>
        <w:t xml:space="preserve">2019 </w:t>
      </w:r>
      <w:r w:rsidRPr="00276DC8">
        <w:t>and SV</w:t>
      </w:r>
      <w:r>
        <w:t>’</w:t>
      </w:r>
      <w:r w:rsidRPr="00276DC8">
        <w:t>s relevance rating increased from 87 to 89</w:t>
      </w:r>
      <w:r w:rsidR="003072B8">
        <w:t xml:space="preserve"> per cent</w:t>
      </w:r>
      <w:r w:rsidRPr="00276DC8">
        <w:t xml:space="preserve">. This survey will now be conducted biannually, </w:t>
      </w:r>
      <w:r>
        <w:t>with</w:t>
      </w:r>
      <w:r w:rsidRPr="00276DC8">
        <w:t xml:space="preserve"> the next survey </w:t>
      </w:r>
      <w:r>
        <w:t>to</w:t>
      </w:r>
      <w:r w:rsidRPr="00276DC8">
        <w:t xml:space="preserve"> be completed in </w:t>
      </w:r>
      <w:r w:rsidR="00801DD3">
        <w:t>2020–21</w:t>
      </w:r>
      <w:r w:rsidRPr="00276DC8">
        <w:t xml:space="preserve">. </w:t>
      </w:r>
      <w:r w:rsidR="00110DB9">
        <w:t>W</w:t>
      </w:r>
      <w:r w:rsidRPr="00276DC8">
        <w:t>e will report the November 201</w:t>
      </w:r>
      <w:r w:rsidR="008017FF">
        <w:t>9</w:t>
      </w:r>
      <w:r w:rsidRPr="00276DC8">
        <w:t xml:space="preserve"> figure in our SV2020 evaluation.</w:t>
      </w:r>
    </w:p>
    <w:p w14:paraId="3A1DA175" w14:textId="77777777" w:rsidR="006E31EC" w:rsidRDefault="006E31EC" w:rsidP="00F51716">
      <w:pPr>
        <w:rPr>
          <w:rFonts w:asciiTheme="majorHAnsi" w:eastAsiaTheme="majorEastAsia" w:hAnsiTheme="majorHAnsi" w:cstheme="majorBidi"/>
          <w:color w:val="4F7928" w:themeColor="accent4" w:themeShade="BF"/>
          <w:sz w:val="28"/>
          <w:szCs w:val="28"/>
        </w:rPr>
      </w:pPr>
      <w:bookmarkStart w:id="42" w:name="_Toc56627326"/>
      <w:bookmarkEnd w:id="33"/>
      <w:r>
        <w:br w:type="page"/>
      </w:r>
    </w:p>
    <w:p w14:paraId="030CF61E" w14:textId="452FD36B" w:rsidR="006B16AC" w:rsidRDefault="00BB0319" w:rsidP="00F51716">
      <w:pPr>
        <w:pStyle w:val="Heading1"/>
      </w:pPr>
      <w:bookmarkStart w:id="43" w:name="_Toc56627327"/>
      <w:bookmarkStart w:id="44" w:name="_Toc57039861"/>
      <w:bookmarkStart w:id="45" w:name="_Toc59624199"/>
      <w:bookmarkEnd w:id="42"/>
      <w:r>
        <w:t xml:space="preserve">Performance </w:t>
      </w:r>
      <w:r w:rsidR="00801DD3">
        <w:t>r</w:t>
      </w:r>
      <w:r>
        <w:t>eporting (</w:t>
      </w:r>
      <w:r w:rsidR="00801DD3">
        <w:t>f</w:t>
      </w:r>
      <w:r>
        <w:t>inancial)</w:t>
      </w:r>
      <w:bookmarkEnd w:id="43"/>
      <w:bookmarkEnd w:id="44"/>
      <w:bookmarkEnd w:id="45"/>
    </w:p>
    <w:p w14:paraId="0E432211" w14:textId="3B8A1278" w:rsidR="006B16AC" w:rsidRPr="006F5994" w:rsidRDefault="006B16AC" w:rsidP="00F51716">
      <w:pPr>
        <w:pStyle w:val="Heading2"/>
      </w:pPr>
      <w:bookmarkStart w:id="46" w:name="_Toc56627328"/>
      <w:bookmarkStart w:id="47" w:name="_Toc57039862"/>
      <w:bookmarkStart w:id="48" w:name="_Toc59624200"/>
      <w:r w:rsidRPr="006B16AC">
        <w:t>Five</w:t>
      </w:r>
      <w:r w:rsidR="00204477">
        <w:t>-</w:t>
      </w:r>
      <w:r w:rsidRPr="006B16AC">
        <w:t>year financial summary</w:t>
      </w:r>
      <w:bookmarkEnd w:id="46"/>
      <w:bookmarkEnd w:id="47"/>
      <w:bookmarkEnd w:id="48"/>
    </w:p>
    <w:p w14:paraId="102349F7" w14:textId="30912D7E" w:rsidR="006B16AC" w:rsidRDefault="00110DB9" w:rsidP="00F51716">
      <w:r>
        <w:fldChar w:fldCharType="begin"/>
      </w:r>
      <w:r>
        <w:instrText xml:space="preserve"> REF _Ref57272039 \h </w:instrText>
      </w:r>
      <w:r>
        <w:fldChar w:fldCharType="separate"/>
      </w:r>
      <w:r w:rsidR="00205952">
        <w:t xml:space="preserve">Table </w:t>
      </w:r>
      <w:r w:rsidR="00205952">
        <w:rPr>
          <w:noProof/>
        </w:rPr>
        <w:t>21</w:t>
      </w:r>
      <w:r>
        <w:fldChar w:fldCharType="end"/>
      </w:r>
      <w:r>
        <w:t xml:space="preserve"> </w:t>
      </w:r>
      <w:r w:rsidR="00927600" w:rsidRPr="000535AD">
        <w:t xml:space="preserve">outlines our </w:t>
      </w:r>
      <w:r w:rsidR="000535AD" w:rsidRPr="000535AD">
        <w:t>five-year</w:t>
      </w:r>
      <w:r w:rsidR="00927600" w:rsidRPr="0068532D">
        <w:t xml:space="preserve"> financial summary and current year financial review.</w:t>
      </w:r>
    </w:p>
    <w:p w14:paraId="3F4D4118" w14:textId="644EC47C" w:rsidR="00110DB9" w:rsidRDefault="00110DB9" w:rsidP="00F51716">
      <w:pPr>
        <w:pStyle w:val="Caption"/>
      </w:pPr>
      <w:bookmarkStart w:id="49" w:name="_Ref57272039"/>
      <w:r>
        <w:t xml:space="preserve">Table </w:t>
      </w:r>
      <w:fldSimple w:instr=" SEQ Table \* ARABIC ">
        <w:r w:rsidR="003F15CC">
          <w:rPr>
            <w:noProof/>
          </w:rPr>
          <w:t>21</w:t>
        </w:r>
      </w:fldSimple>
      <w:bookmarkEnd w:id="49"/>
      <w:r>
        <w:t>: F</w:t>
      </w:r>
      <w:r w:rsidRPr="000535AD">
        <w:t>ive-year</w:t>
      </w:r>
      <w:r w:rsidRPr="0068532D">
        <w:t xml:space="preserve"> financial summary and current year financial review</w:t>
      </w:r>
    </w:p>
    <w:tbl>
      <w:tblPr>
        <w:tblW w:w="8939" w:type="dxa"/>
        <w:tblCellMar>
          <w:top w:w="15" w:type="dxa"/>
          <w:bottom w:w="15" w:type="dxa"/>
        </w:tblCellMar>
        <w:tblLook w:val="04A0" w:firstRow="1" w:lastRow="0" w:firstColumn="1" w:lastColumn="0" w:noHBand="0" w:noVBand="1"/>
      </w:tblPr>
      <w:tblGrid>
        <w:gridCol w:w="3599"/>
        <w:gridCol w:w="1074"/>
        <w:gridCol w:w="1158"/>
        <w:gridCol w:w="1036"/>
        <w:gridCol w:w="1036"/>
        <w:gridCol w:w="1036"/>
      </w:tblGrid>
      <w:tr w:rsidR="00FE7DD3" w:rsidRPr="00195D9D" w14:paraId="7FF75655" w14:textId="77777777" w:rsidTr="00AB668E">
        <w:trPr>
          <w:trHeight w:val="600"/>
        </w:trPr>
        <w:tc>
          <w:tcPr>
            <w:tcW w:w="3599" w:type="dxa"/>
            <w:tcBorders>
              <w:top w:val="single" w:sz="4" w:space="0" w:color="AEAAAA"/>
              <w:left w:val="single" w:sz="4" w:space="0" w:color="E7E6E6"/>
              <w:bottom w:val="single" w:sz="4" w:space="0" w:color="AEAAAA"/>
              <w:right w:val="nil"/>
            </w:tcBorders>
            <w:shd w:val="clear" w:color="000000" w:fill="92D050"/>
            <w:vAlign w:val="bottom"/>
          </w:tcPr>
          <w:p w14:paraId="4D73E879" w14:textId="77777777" w:rsidR="00FE7DD3" w:rsidRPr="00195D9D" w:rsidRDefault="00FE7DD3" w:rsidP="00F51716">
            <w:pPr>
              <w:pStyle w:val="TableHeading"/>
            </w:pPr>
          </w:p>
        </w:tc>
        <w:tc>
          <w:tcPr>
            <w:tcW w:w="1074" w:type="dxa"/>
            <w:tcBorders>
              <w:top w:val="single" w:sz="4" w:space="0" w:color="AEAAAA"/>
              <w:left w:val="nil"/>
              <w:bottom w:val="single" w:sz="4" w:space="0" w:color="AEAAAA"/>
              <w:right w:val="nil"/>
            </w:tcBorders>
            <w:shd w:val="clear" w:color="000000" w:fill="92D050"/>
          </w:tcPr>
          <w:p w14:paraId="72AA3EC6" w14:textId="37E2AACC" w:rsidR="00FE7DD3" w:rsidRPr="00195D9D" w:rsidRDefault="006E31EC" w:rsidP="00205952">
            <w:pPr>
              <w:pStyle w:val="tableheadright"/>
              <w:rPr>
                <w:rFonts w:ascii="Calibri" w:eastAsia="Times New Roman" w:hAnsi="Calibri" w:cs="Calibri"/>
                <w:color w:val="FFFFFF"/>
              </w:rPr>
            </w:pPr>
            <w:r>
              <w:t>2020</w:t>
            </w:r>
            <w:r w:rsidR="00110DB9">
              <w:br/>
            </w:r>
            <w:r>
              <w:t>$’000</w:t>
            </w:r>
          </w:p>
        </w:tc>
        <w:tc>
          <w:tcPr>
            <w:tcW w:w="1158" w:type="dxa"/>
            <w:tcBorders>
              <w:top w:val="single" w:sz="4" w:space="0" w:color="AEAAAA"/>
              <w:left w:val="nil"/>
              <w:bottom w:val="single" w:sz="4" w:space="0" w:color="AEAAAA"/>
              <w:right w:val="nil"/>
            </w:tcBorders>
            <w:shd w:val="clear" w:color="000000" w:fill="92D050"/>
          </w:tcPr>
          <w:p w14:paraId="08372373" w14:textId="2939CF48" w:rsidR="00FE7DD3" w:rsidRPr="00195D9D" w:rsidRDefault="00FE7DD3" w:rsidP="00205952">
            <w:pPr>
              <w:pStyle w:val="tableheadright"/>
              <w:rPr>
                <w:rFonts w:ascii="Calibri" w:eastAsia="Times New Roman" w:hAnsi="Calibri" w:cs="Calibri"/>
                <w:color w:val="FFFFFF"/>
              </w:rPr>
            </w:pPr>
            <w:r>
              <w:t>2019 $'000</w:t>
            </w:r>
          </w:p>
        </w:tc>
        <w:tc>
          <w:tcPr>
            <w:tcW w:w="1036" w:type="dxa"/>
            <w:tcBorders>
              <w:top w:val="single" w:sz="4" w:space="0" w:color="AEAAAA"/>
              <w:left w:val="nil"/>
              <w:bottom w:val="single" w:sz="4" w:space="0" w:color="AEAAAA"/>
              <w:right w:val="nil"/>
            </w:tcBorders>
            <w:shd w:val="clear" w:color="000000" w:fill="92D050"/>
          </w:tcPr>
          <w:p w14:paraId="4657AD72" w14:textId="6F1E29BE" w:rsidR="00FE7DD3" w:rsidRPr="00195D9D" w:rsidRDefault="00FE7DD3" w:rsidP="00205952">
            <w:pPr>
              <w:pStyle w:val="tableheadright"/>
              <w:rPr>
                <w:rFonts w:ascii="Calibri" w:eastAsia="Times New Roman" w:hAnsi="Calibri" w:cs="Calibri"/>
                <w:color w:val="FFFFFF"/>
              </w:rPr>
            </w:pPr>
            <w:r>
              <w:t>2018 $'000</w:t>
            </w:r>
          </w:p>
        </w:tc>
        <w:tc>
          <w:tcPr>
            <w:tcW w:w="1036" w:type="dxa"/>
            <w:tcBorders>
              <w:top w:val="single" w:sz="4" w:space="0" w:color="AEAAAA"/>
              <w:left w:val="nil"/>
              <w:bottom w:val="single" w:sz="4" w:space="0" w:color="AEAAAA"/>
              <w:right w:val="nil"/>
            </w:tcBorders>
            <w:shd w:val="clear" w:color="000000" w:fill="92D050"/>
          </w:tcPr>
          <w:p w14:paraId="2CA5D0DF" w14:textId="7FAAF079" w:rsidR="00FE7DD3" w:rsidRPr="00195D9D" w:rsidRDefault="00FE7DD3" w:rsidP="00205952">
            <w:pPr>
              <w:pStyle w:val="tableheadright"/>
              <w:rPr>
                <w:rFonts w:ascii="Calibri" w:eastAsia="Times New Roman" w:hAnsi="Calibri" w:cs="Calibri"/>
                <w:color w:val="FFFFFF"/>
              </w:rPr>
            </w:pPr>
            <w:r>
              <w:t>2017 $'000</w:t>
            </w:r>
          </w:p>
        </w:tc>
        <w:tc>
          <w:tcPr>
            <w:tcW w:w="1036" w:type="dxa"/>
            <w:tcBorders>
              <w:top w:val="single" w:sz="4" w:space="0" w:color="AEAAAA"/>
              <w:left w:val="nil"/>
              <w:bottom w:val="single" w:sz="4" w:space="0" w:color="AEAAAA"/>
              <w:right w:val="single" w:sz="4" w:space="0" w:color="E7E6E6"/>
            </w:tcBorders>
            <w:shd w:val="clear" w:color="000000" w:fill="92D050"/>
          </w:tcPr>
          <w:p w14:paraId="704AC869" w14:textId="1325940B" w:rsidR="00FE7DD3" w:rsidRPr="00195D9D" w:rsidRDefault="00FE7DD3" w:rsidP="00205952">
            <w:pPr>
              <w:pStyle w:val="tableheadright"/>
              <w:rPr>
                <w:rFonts w:ascii="Calibri" w:eastAsia="Times New Roman" w:hAnsi="Calibri" w:cs="Calibri"/>
                <w:color w:val="FFFFFF"/>
              </w:rPr>
            </w:pPr>
            <w:r>
              <w:t>2016 $'000</w:t>
            </w:r>
          </w:p>
        </w:tc>
      </w:tr>
      <w:tr w:rsidR="002679FB" w:rsidRPr="00195D9D" w14:paraId="5116CE93" w14:textId="77777777" w:rsidTr="00AB668E">
        <w:trPr>
          <w:trHeight w:val="300"/>
        </w:trPr>
        <w:tc>
          <w:tcPr>
            <w:tcW w:w="3599" w:type="dxa"/>
            <w:tcBorders>
              <w:top w:val="single" w:sz="4" w:space="0" w:color="AEAAAA"/>
              <w:left w:val="single" w:sz="4" w:space="0" w:color="E7E6E6"/>
              <w:bottom w:val="single" w:sz="4" w:space="0" w:color="AEAAAA"/>
              <w:right w:val="nil"/>
            </w:tcBorders>
            <w:noWrap/>
            <w:vAlign w:val="bottom"/>
          </w:tcPr>
          <w:p w14:paraId="4EB7F430" w14:textId="049BEA29" w:rsidR="002679FB" w:rsidRPr="00205952" w:rsidRDefault="002679FB" w:rsidP="00205952">
            <w:pPr>
              <w:pStyle w:val="Tabletext0"/>
            </w:pPr>
            <w:r w:rsidRPr="00205952">
              <w:t>Income from Government</w:t>
            </w:r>
          </w:p>
        </w:tc>
        <w:tc>
          <w:tcPr>
            <w:tcW w:w="1074" w:type="dxa"/>
            <w:tcBorders>
              <w:top w:val="single" w:sz="4" w:space="0" w:color="AEAAAA"/>
              <w:left w:val="nil"/>
              <w:bottom w:val="single" w:sz="4" w:space="0" w:color="AEAAAA"/>
              <w:right w:val="nil"/>
            </w:tcBorders>
            <w:noWrap/>
            <w:vAlign w:val="bottom"/>
          </w:tcPr>
          <w:p w14:paraId="021FB247" w14:textId="7C34CC50" w:rsidR="002679FB" w:rsidRPr="00043B1F" w:rsidRDefault="002679FB" w:rsidP="00F51716">
            <w:pPr>
              <w:pStyle w:val="tableright"/>
            </w:pPr>
            <w:r w:rsidRPr="00110DB9">
              <w:t xml:space="preserve">48,084 </w:t>
            </w:r>
          </w:p>
        </w:tc>
        <w:tc>
          <w:tcPr>
            <w:tcW w:w="1158" w:type="dxa"/>
            <w:tcBorders>
              <w:top w:val="single" w:sz="4" w:space="0" w:color="AEAAAA"/>
              <w:left w:val="nil"/>
              <w:bottom w:val="single" w:sz="4" w:space="0" w:color="AEAAAA"/>
              <w:right w:val="nil"/>
            </w:tcBorders>
            <w:noWrap/>
            <w:vAlign w:val="bottom"/>
          </w:tcPr>
          <w:p w14:paraId="1507034B" w14:textId="108F228F" w:rsidR="002679FB" w:rsidRPr="00043B1F" w:rsidRDefault="002679FB" w:rsidP="00F51716">
            <w:pPr>
              <w:pStyle w:val="tableright"/>
            </w:pPr>
            <w:r w:rsidRPr="00110DB9">
              <w:t xml:space="preserve">  166,377 </w:t>
            </w:r>
          </w:p>
        </w:tc>
        <w:tc>
          <w:tcPr>
            <w:tcW w:w="1036" w:type="dxa"/>
            <w:tcBorders>
              <w:top w:val="single" w:sz="4" w:space="0" w:color="AEAAAA"/>
              <w:left w:val="nil"/>
              <w:bottom w:val="single" w:sz="4" w:space="0" w:color="AEAAAA"/>
              <w:right w:val="nil"/>
            </w:tcBorders>
            <w:noWrap/>
            <w:vAlign w:val="bottom"/>
          </w:tcPr>
          <w:p w14:paraId="49162240" w14:textId="5E2D8769" w:rsidR="002679FB" w:rsidRPr="00043B1F" w:rsidRDefault="002679FB" w:rsidP="00F51716">
            <w:pPr>
              <w:pStyle w:val="tableright"/>
            </w:pPr>
            <w:r w:rsidRPr="00110DB9">
              <w:t xml:space="preserve">  40,591 </w:t>
            </w:r>
          </w:p>
        </w:tc>
        <w:tc>
          <w:tcPr>
            <w:tcW w:w="1036" w:type="dxa"/>
            <w:tcBorders>
              <w:top w:val="single" w:sz="4" w:space="0" w:color="AEAAAA"/>
              <w:left w:val="nil"/>
              <w:bottom w:val="single" w:sz="4" w:space="0" w:color="AEAAAA"/>
              <w:right w:val="nil"/>
            </w:tcBorders>
            <w:noWrap/>
            <w:vAlign w:val="bottom"/>
          </w:tcPr>
          <w:p w14:paraId="712CBF19" w14:textId="13B0C195" w:rsidR="002679FB" w:rsidRPr="00043B1F" w:rsidRDefault="002679FB" w:rsidP="00F51716">
            <w:pPr>
              <w:pStyle w:val="tableright"/>
            </w:pPr>
            <w:r w:rsidRPr="00110DB9">
              <w:t xml:space="preserve">  33,778 </w:t>
            </w:r>
          </w:p>
        </w:tc>
        <w:tc>
          <w:tcPr>
            <w:tcW w:w="1036" w:type="dxa"/>
            <w:tcBorders>
              <w:top w:val="single" w:sz="4" w:space="0" w:color="AEAAAA"/>
              <w:left w:val="nil"/>
              <w:bottom w:val="single" w:sz="4" w:space="0" w:color="AEAAAA"/>
              <w:right w:val="single" w:sz="4" w:space="0" w:color="E7E6E6"/>
            </w:tcBorders>
            <w:noWrap/>
            <w:vAlign w:val="bottom"/>
          </w:tcPr>
          <w:p w14:paraId="5CAC17B8" w14:textId="7EFF1CF5" w:rsidR="002679FB" w:rsidRPr="00043B1F" w:rsidRDefault="002679FB" w:rsidP="00F51716">
            <w:pPr>
              <w:pStyle w:val="tableright"/>
            </w:pPr>
            <w:r w:rsidRPr="00110DB9">
              <w:t xml:space="preserve">  30,132 </w:t>
            </w:r>
          </w:p>
        </w:tc>
      </w:tr>
      <w:tr w:rsidR="002679FB" w:rsidRPr="00195D9D" w14:paraId="67308C0E" w14:textId="77777777" w:rsidTr="00AB668E">
        <w:trPr>
          <w:trHeight w:val="300"/>
        </w:trPr>
        <w:tc>
          <w:tcPr>
            <w:tcW w:w="3599" w:type="dxa"/>
            <w:tcBorders>
              <w:top w:val="single" w:sz="4" w:space="0" w:color="AEAAAA"/>
              <w:left w:val="single" w:sz="4" w:space="0" w:color="E7E6E6"/>
              <w:bottom w:val="single" w:sz="4" w:space="0" w:color="AEAAAA"/>
              <w:right w:val="nil"/>
            </w:tcBorders>
            <w:noWrap/>
            <w:vAlign w:val="bottom"/>
          </w:tcPr>
          <w:p w14:paraId="72FFCA58" w14:textId="38FB367A" w:rsidR="002679FB" w:rsidRPr="00205952" w:rsidRDefault="002679FB" w:rsidP="00205952">
            <w:pPr>
              <w:pStyle w:val="Tabletext0"/>
            </w:pPr>
            <w:r w:rsidRPr="00205952">
              <w:t>Total income from transactions</w:t>
            </w:r>
          </w:p>
        </w:tc>
        <w:tc>
          <w:tcPr>
            <w:tcW w:w="1074" w:type="dxa"/>
            <w:tcBorders>
              <w:top w:val="single" w:sz="4" w:space="0" w:color="AEAAAA"/>
              <w:left w:val="nil"/>
              <w:bottom w:val="single" w:sz="4" w:space="0" w:color="AEAAAA"/>
              <w:right w:val="nil"/>
            </w:tcBorders>
            <w:noWrap/>
            <w:vAlign w:val="bottom"/>
          </w:tcPr>
          <w:p w14:paraId="5A029637" w14:textId="1C06ED2D" w:rsidR="002679FB" w:rsidRPr="00043B1F" w:rsidRDefault="002679FB" w:rsidP="00F51716">
            <w:pPr>
              <w:pStyle w:val="tableright"/>
            </w:pPr>
            <w:r w:rsidRPr="00110DB9">
              <w:t xml:space="preserve"> 51,</w:t>
            </w:r>
            <w:r w:rsidR="006C1321" w:rsidRPr="00110DB9">
              <w:t xml:space="preserve">877 </w:t>
            </w:r>
          </w:p>
        </w:tc>
        <w:tc>
          <w:tcPr>
            <w:tcW w:w="1158" w:type="dxa"/>
            <w:tcBorders>
              <w:top w:val="single" w:sz="4" w:space="0" w:color="AEAAAA"/>
              <w:left w:val="nil"/>
              <w:bottom w:val="single" w:sz="4" w:space="0" w:color="AEAAAA"/>
              <w:right w:val="nil"/>
            </w:tcBorders>
            <w:noWrap/>
            <w:vAlign w:val="bottom"/>
          </w:tcPr>
          <w:p w14:paraId="3049ACC0" w14:textId="50C588BA" w:rsidR="002679FB" w:rsidRPr="00043B1F" w:rsidRDefault="002679FB" w:rsidP="00F51716">
            <w:pPr>
              <w:pStyle w:val="tableright"/>
            </w:pPr>
            <w:r w:rsidRPr="00110DB9">
              <w:t xml:space="preserve">  170,768 </w:t>
            </w:r>
          </w:p>
        </w:tc>
        <w:tc>
          <w:tcPr>
            <w:tcW w:w="1036" w:type="dxa"/>
            <w:tcBorders>
              <w:top w:val="single" w:sz="4" w:space="0" w:color="AEAAAA"/>
              <w:left w:val="nil"/>
              <w:bottom w:val="single" w:sz="4" w:space="0" w:color="AEAAAA"/>
              <w:right w:val="nil"/>
            </w:tcBorders>
            <w:noWrap/>
            <w:vAlign w:val="bottom"/>
          </w:tcPr>
          <w:p w14:paraId="15750364" w14:textId="451B15F2" w:rsidR="002679FB" w:rsidRPr="00043B1F" w:rsidRDefault="002679FB" w:rsidP="00F51716">
            <w:pPr>
              <w:pStyle w:val="tableright"/>
            </w:pPr>
            <w:r w:rsidRPr="00110DB9">
              <w:t xml:space="preserve">  43,898 </w:t>
            </w:r>
          </w:p>
        </w:tc>
        <w:tc>
          <w:tcPr>
            <w:tcW w:w="1036" w:type="dxa"/>
            <w:tcBorders>
              <w:top w:val="single" w:sz="4" w:space="0" w:color="AEAAAA"/>
              <w:left w:val="nil"/>
              <w:bottom w:val="single" w:sz="4" w:space="0" w:color="AEAAAA"/>
              <w:right w:val="nil"/>
            </w:tcBorders>
            <w:noWrap/>
            <w:vAlign w:val="bottom"/>
          </w:tcPr>
          <w:p w14:paraId="450FCB4D" w14:textId="3B25BE9B" w:rsidR="002679FB" w:rsidRPr="00043B1F" w:rsidRDefault="002679FB" w:rsidP="00F51716">
            <w:pPr>
              <w:pStyle w:val="tableright"/>
            </w:pPr>
            <w:r w:rsidRPr="00110DB9">
              <w:t xml:space="preserve">  36,661 </w:t>
            </w:r>
          </w:p>
        </w:tc>
        <w:tc>
          <w:tcPr>
            <w:tcW w:w="1036" w:type="dxa"/>
            <w:tcBorders>
              <w:top w:val="single" w:sz="4" w:space="0" w:color="AEAAAA"/>
              <w:left w:val="nil"/>
              <w:bottom w:val="single" w:sz="4" w:space="0" w:color="AEAAAA"/>
              <w:right w:val="single" w:sz="4" w:space="0" w:color="E7E6E6"/>
            </w:tcBorders>
            <w:noWrap/>
            <w:vAlign w:val="bottom"/>
          </w:tcPr>
          <w:p w14:paraId="09F716C0" w14:textId="320E040C" w:rsidR="002679FB" w:rsidRPr="00043B1F" w:rsidRDefault="002679FB" w:rsidP="00F51716">
            <w:pPr>
              <w:pStyle w:val="tableright"/>
            </w:pPr>
            <w:r w:rsidRPr="00110DB9">
              <w:t xml:space="preserve">  32,695 </w:t>
            </w:r>
          </w:p>
        </w:tc>
      </w:tr>
      <w:tr w:rsidR="002679FB" w:rsidRPr="00195D9D" w14:paraId="36534431" w14:textId="77777777" w:rsidTr="00AB668E">
        <w:trPr>
          <w:trHeight w:val="300"/>
        </w:trPr>
        <w:tc>
          <w:tcPr>
            <w:tcW w:w="3599" w:type="dxa"/>
            <w:tcBorders>
              <w:top w:val="single" w:sz="4" w:space="0" w:color="AEAAAA"/>
              <w:left w:val="single" w:sz="4" w:space="0" w:color="E7E6E6"/>
              <w:bottom w:val="single" w:sz="4" w:space="0" w:color="AEAAAA"/>
              <w:right w:val="nil"/>
            </w:tcBorders>
            <w:noWrap/>
            <w:vAlign w:val="bottom"/>
          </w:tcPr>
          <w:p w14:paraId="4C79D9CA" w14:textId="5F76A0D9" w:rsidR="002679FB" w:rsidRPr="00205952" w:rsidRDefault="002679FB" w:rsidP="00205952">
            <w:pPr>
              <w:pStyle w:val="Tabletext0"/>
            </w:pPr>
            <w:r w:rsidRPr="00205952">
              <w:t>Total expenses from transactions</w:t>
            </w:r>
          </w:p>
        </w:tc>
        <w:tc>
          <w:tcPr>
            <w:tcW w:w="1074" w:type="dxa"/>
            <w:tcBorders>
              <w:top w:val="single" w:sz="4" w:space="0" w:color="AEAAAA"/>
              <w:left w:val="nil"/>
              <w:bottom w:val="single" w:sz="4" w:space="0" w:color="AEAAAA"/>
              <w:right w:val="nil"/>
            </w:tcBorders>
            <w:noWrap/>
            <w:vAlign w:val="bottom"/>
          </w:tcPr>
          <w:p w14:paraId="79A4F904" w14:textId="5EBDFBA0" w:rsidR="002679FB" w:rsidRPr="00043B1F" w:rsidRDefault="002679FB" w:rsidP="00F51716">
            <w:pPr>
              <w:pStyle w:val="tableright"/>
            </w:pPr>
            <w:r w:rsidRPr="00110DB9">
              <w:t xml:space="preserve">  (58,</w:t>
            </w:r>
            <w:r w:rsidR="004E215D" w:rsidRPr="00110DB9">
              <w:t>116</w:t>
            </w:r>
            <w:r w:rsidRPr="00110DB9">
              <w:t>)</w:t>
            </w:r>
          </w:p>
        </w:tc>
        <w:tc>
          <w:tcPr>
            <w:tcW w:w="1158" w:type="dxa"/>
            <w:tcBorders>
              <w:top w:val="single" w:sz="4" w:space="0" w:color="AEAAAA"/>
              <w:left w:val="nil"/>
              <w:bottom w:val="single" w:sz="4" w:space="0" w:color="AEAAAA"/>
              <w:right w:val="nil"/>
            </w:tcBorders>
            <w:noWrap/>
            <w:vAlign w:val="bottom"/>
          </w:tcPr>
          <w:p w14:paraId="48F1F81A" w14:textId="396B1CF7" w:rsidR="002679FB" w:rsidRPr="00043B1F" w:rsidRDefault="002679FB" w:rsidP="00F51716">
            <w:pPr>
              <w:pStyle w:val="tableright"/>
            </w:pPr>
            <w:r w:rsidRPr="00110DB9">
              <w:t xml:space="preserve">  (153,560)</w:t>
            </w:r>
          </w:p>
        </w:tc>
        <w:tc>
          <w:tcPr>
            <w:tcW w:w="1036" w:type="dxa"/>
            <w:tcBorders>
              <w:top w:val="single" w:sz="4" w:space="0" w:color="AEAAAA"/>
              <w:left w:val="nil"/>
              <w:bottom w:val="single" w:sz="4" w:space="0" w:color="AEAAAA"/>
              <w:right w:val="nil"/>
            </w:tcBorders>
            <w:noWrap/>
            <w:vAlign w:val="bottom"/>
          </w:tcPr>
          <w:p w14:paraId="05C7DBC9" w14:textId="5D430286" w:rsidR="002679FB" w:rsidRPr="00043B1F" w:rsidRDefault="002679FB" w:rsidP="00F51716">
            <w:pPr>
              <w:pStyle w:val="tableright"/>
            </w:pPr>
            <w:r w:rsidRPr="00110DB9">
              <w:t xml:space="preserve">  (40,645)</w:t>
            </w:r>
          </w:p>
        </w:tc>
        <w:tc>
          <w:tcPr>
            <w:tcW w:w="1036" w:type="dxa"/>
            <w:tcBorders>
              <w:top w:val="single" w:sz="4" w:space="0" w:color="AEAAAA"/>
              <w:left w:val="nil"/>
              <w:bottom w:val="single" w:sz="4" w:space="0" w:color="AEAAAA"/>
              <w:right w:val="nil"/>
            </w:tcBorders>
            <w:noWrap/>
            <w:vAlign w:val="bottom"/>
          </w:tcPr>
          <w:p w14:paraId="5F47556E" w14:textId="6EC4C3DD" w:rsidR="002679FB" w:rsidRPr="00043B1F" w:rsidRDefault="002679FB" w:rsidP="00F51716">
            <w:pPr>
              <w:pStyle w:val="tableright"/>
            </w:pPr>
            <w:r w:rsidRPr="00110DB9">
              <w:t xml:space="preserve">  (32,881)</w:t>
            </w:r>
          </w:p>
        </w:tc>
        <w:tc>
          <w:tcPr>
            <w:tcW w:w="1036" w:type="dxa"/>
            <w:tcBorders>
              <w:top w:val="single" w:sz="4" w:space="0" w:color="AEAAAA"/>
              <w:left w:val="nil"/>
              <w:bottom w:val="single" w:sz="4" w:space="0" w:color="AEAAAA"/>
              <w:right w:val="single" w:sz="4" w:space="0" w:color="E7E6E6"/>
            </w:tcBorders>
            <w:noWrap/>
            <w:vAlign w:val="bottom"/>
          </w:tcPr>
          <w:p w14:paraId="4EA54BA1" w14:textId="0D9AF8CA" w:rsidR="002679FB" w:rsidRPr="00043B1F" w:rsidRDefault="002679FB" w:rsidP="00F51716">
            <w:pPr>
              <w:pStyle w:val="tableright"/>
            </w:pPr>
            <w:r w:rsidRPr="00110DB9">
              <w:t xml:space="preserve">  (33,480)</w:t>
            </w:r>
          </w:p>
        </w:tc>
      </w:tr>
      <w:tr w:rsidR="002679FB" w:rsidRPr="00195D9D" w14:paraId="1F589F05" w14:textId="77777777" w:rsidTr="00AB668E">
        <w:trPr>
          <w:trHeight w:val="300"/>
        </w:trPr>
        <w:tc>
          <w:tcPr>
            <w:tcW w:w="3599" w:type="dxa"/>
            <w:tcBorders>
              <w:top w:val="single" w:sz="4" w:space="0" w:color="AEAAAA"/>
              <w:left w:val="single" w:sz="4" w:space="0" w:color="E7E6E6"/>
              <w:bottom w:val="nil"/>
              <w:right w:val="nil"/>
            </w:tcBorders>
            <w:noWrap/>
            <w:vAlign w:val="bottom"/>
          </w:tcPr>
          <w:p w14:paraId="336BEA70" w14:textId="68422EB5" w:rsidR="002679FB" w:rsidRPr="00205952" w:rsidRDefault="002679FB" w:rsidP="00205952">
            <w:pPr>
              <w:pStyle w:val="Tabletext0"/>
            </w:pPr>
            <w:r w:rsidRPr="00205952">
              <w:t>Net result from transactions</w:t>
            </w:r>
          </w:p>
        </w:tc>
        <w:tc>
          <w:tcPr>
            <w:tcW w:w="1074" w:type="dxa"/>
            <w:tcBorders>
              <w:top w:val="single" w:sz="4" w:space="0" w:color="AEAAAA"/>
              <w:left w:val="nil"/>
              <w:bottom w:val="nil"/>
              <w:right w:val="nil"/>
            </w:tcBorders>
            <w:noWrap/>
            <w:vAlign w:val="bottom"/>
          </w:tcPr>
          <w:p w14:paraId="4E0D8DF9" w14:textId="53103FEC" w:rsidR="002679FB" w:rsidRPr="00043B1F" w:rsidRDefault="002679FB" w:rsidP="00F51716">
            <w:pPr>
              <w:pStyle w:val="tableright"/>
            </w:pPr>
            <w:r w:rsidRPr="00110DB9">
              <w:t xml:space="preserve">  (6,</w:t>
            </w:r>
            <w:r w:rsidR="004E215D" w:rsidRPr="00110DB9">
              <w:t>238</w:t>
            </w:r>
            <w:r w:rsidRPr="00110DB9">
              <w:t>)</w:t>
            </w:r>
          </w:p>
        </w:tc>
        <w:tc>
          <w:tcPr>
            <w:tcW w:w="1158" w:type="dxa"/>
            <w:tcBorders>
              <w:top w:val="single" w:sz="4" w:space="0" w:color="AEAAAA"/>
              <w:left w:val="nil"/>
              <w:bottom w:val="nil"/>
              <w:right w:val="nil"/>
            </w:tcBorders>
            <w:noWrap/>
            <w:vAlign w:val="bottom"/>
          </w:tcPr>
          <w:p w14:paraId="790C67A4" w14:textId="31712D28" w:rsidR="002679FB" w:rsidRPr="00043B1F" w:rsidRDefault="002679FB" w:rsidP="00F51716">
            <w:pPr>
              <w:pStyle w:val="tableright"/>
            </w:pPr>
            <w:r w:rsidRPr="00110DB9">
              <w:t xml:space="preserve">  17,208 </w:t>
            </w:r>
          </w:p>
        </w:tc>
        <w:tc>
          <w:tcPr>
            <w:tcW w:w="1036" w:type="dxa"/>
            <w:tcBorders>
              <w:top w:val="single" w:sz="4" w:space="0" w:color="AEAAAA"/>
              <w:left w:val="nil"/>
              <w:bottom w:val="nil"/>
              <w:right w:val="nil"/>
            </w:tcBorders>
            <w:noWrap/>
            <w:vAlign w:val="bottom"/>
          </w:tcPr>
          <w:p w14:paraId="6BF0E4C7" w14:textId="5DDE2B00" w:rsidR="002679FB" w:rsidRPr="00043B1F" w:rsidRDefault="002679FB" w:rsidP="00F51716">
            <w:pPr>
              <w:pStyle w:val="tableright"/>
            </w:pPr>
            <w:r w:rsidRPr="00110DB9">
              <w:t xml:space="preserve">  3,248 </w:t>
            </w:r>
          </w:p>
        </w:tc>
        <w:tc>
          <w:tcPr>
            <w:tcW w:w="1036" w:type="dxa"/>
            <w:tcBorders>
              <w:top w:val="single" w:sz="4" w:space="0" w:color="AEAAAA"/>
              <w:left w:val="nil"/>
              <w:bottom w:val="nil"/>
              <w:right w:val="nil"/>
            </w:tcBorders>
            <w:noWrap/>
            <w:vAlign w:val="bottom"/>
          </w:tcPr>
          <w:p w14:paraId="13859D35" w14:textId="2F24862D" w:rsidR="002679FB" w:rsidRPr="00043B1F" w:rsidRDefault="002679FB" w:rsidP="00F51716">
            <w:pPr>
              <w:pStyle w:val="tableright"/>
            </w:pPr>
            <w:r w:rsidRPr="00110DB9">
              <w:t xml:space="preserve">  3,780 </w:t>
            </w:r>
          </w:p>
        </w:tc>
        <w:tc>
          <w:tcPr>
            <w:tcW w:w="1036" w:type="dxa"/>
            <w:tcBorders>
              <w:top w:val="single" w:sz="4" w:space="0" w:color="AEAAAA"/>
              <w:left w:val="nil"/>
              <w:bottom w:val="nil"/>
              <w:right w:val="single" w:sz="4" w:space="0" w:color="E7E6E6"/>
            </w:tcBorders>
            <w:noWrap/>
            <w:vAlign w:val="bottom"/>
          </w:tcPr>
          <w:p w14:paraId="07ECB7EC" w14:textId="273C4AC2" w:rsidR="002679FB" w:rsidRPr="00043B1F" w:rsidRDefault="002679FB" w:rsidP="00F51716">
            <w:pPr>
              <w:pStyle w:val="tableright"/>
            </w:pPr>
            <w:r w:rsidRPr="00110DB9">
              <w:t xml:space="preserve">  (785)</w:t>
            </w:r>
          </w:p>
        </w:tc>
      </w:tr>
      <w:tr w:rsidR="002679FB" w:rsidRPr="00195D9D" w14:paraId="7563B750" w14:textId="77777777" w:rsidTr="00AB668E">
        <w:trPr>
          <w:trHeight w:val="300"/>
        </w:trPr>
        <w:tc>
          <w:tcPr>
            <w:tcW w:w="3599" w:type="dxa"/>
            <w:tcBorders>
              <w:top w:val="single" w:sz="4" w:space="0" w:color="AEAAAA"/>
              <w:left w:val="single" w:sz="4" w:space="0" w:color="E7E6E6"/>
              <w:bottom w:val="single" w:sz="4" w:space="0" w:color="AEAAAA"/>
              <w:right w:val="nil"/>
            </w:tcBorders>
            <w:noWrap/>
            <w:vAlign w:val="bottom"/>
          </w:tcPr>
          <w:p w14:paraId="25D944D5" w14:textId="01B968BE" w:rsidR="002679FB" w:rsidRPr="00205952" w:rsidRDefault="002679FB" w:rsidP="00205952">
            <w:pPr>
              <w:pStyle w:val="Tabletext0"/>
            </w:pPr>
            <w:r w:rsidRPr="00205952">
              <w:t>Net result for the period</w:t>
            </w:r>
          </w:p>
        </w:tc>
        <w:tc>
          <w:tcPr>
            <w:tcW w:w="1074" w:type="dxa"/>
            <w:tcBorders>
              <w:top w:val="single" w:sz="4" w:space="0" w:color="AEAAAA"/>
              <w:left w:val="nil"/>
              <w:bottom w:val="single" w:sz="4" w:space="0" w:color="AEAAAA"/>
              <w:right w:val="nil"/>
            </w:tcBorders>
            <w:noWrap/>
            <w:vAlign w:val="bottom"/>
          </w:tcPr>
          <w:p w14:paraId="1B3253D5" w14:textId="4F0CC938" w:rsidR="002679FB" w:rsidRPr="00043B1F" w:rsidRDefault="002679FB" w:rsidP="00F51716">
            <w:pPr>
              <w:pStyle w:val="tableright"/>
            </w:pPr>
            <w:r w:rsidRPr="00110DB9">
              <w:t xml:space="preserve">  (6,</w:t>
            </w:r>
            <w:r w:rsidR="004E215D" w:rsidRPr="00110DB9">
              <w:t>223</w:t>
            </w:r>
            <w:r w:rsidRPr="00110DB9">
              <w:t>)</w:t>
            </w:r>
          </w:p>
        </w:tc>
        <w:tc>
          <w:tcPr>
            <w:tcW w:w="1158" w:type="dxa"/>
            <w:tcBorders>
              <w:top w:val="single" w:sz="4" w:space="0" w:color="AEAAAA"/>
              <w:left w:val="nil"/>
              <w:bottom w:val="single" w:sz="4" w:space="0" w:color="AEAAAA"/>
              <w:right w:val="nil"/>
            </w:tcBorders>
            <w:noWrap/>
            <w:vAlign w:val="bottom"/>
          </w:tcPr>
          <w:p w14:paraId="74C6CB8C" w14:textId="389053E4" w:rsidR="002679FB" w:rsidRPr="00043B1F" w:rsidRDefault="002679FB" w:rsidP="00F51716">
            <w:pPr>
              <w:pStyle w:val="tableright"/>
            </w:pPr>
            <w:r w:rsidRPr="00110DB9">
              <w:t xml:space="preserve">  16,993 </w:t>
            </w:r>
          </w:p>
        </w:tc>
        <w:tc>
          <w:tcPr>
            <w:tcW w:w="1036" w:type="dxa"/>
            <w:tcBorders>
              <w:top w:val="single" w:sz="4" w:space="0" w:color="AEAAAA"/>
              <w:left w:val="nil"/>
              <w:bottom w:val="single" w:sz="4" w:space="0" w:color="AEAAAA"/>
              <w:right w:val="nil"/>
            </w:tcBorders>
            <w:noWrap/>
            <w:vAlign w:val="bottom"/>
          </w:tcPr>
          <w:p w14:paraId="097BAA68" w14:textId="13EF36E9" w:rsidR="002679FB" w:rsidRPr="00043B1F" w:rsidRDefault="002679FB" w:rsidP="00F51716">
            <w:pPr>
              <w:pStyle w:val="tableright"/>
            </w:pPr>
            <w:r w:rsidRPr="00110DB9">
              <w:t xml:space="preserve">  3,170 </w:t>
            </w:r>
          </w:p>
        </w:tc>
        <w:tc>
          <w:tcPr>
            <w:tcW w:w="1036" w:type="dxa"/>
            <w:tcBorders>
              <w:top w:val="single" w:sz="4" w:space="0" w:color="AEAAAA"/>
              <w:left w:val="nil"/>
              <w:bottom w:val="single" w:sz="4" w:space="0" w:color="AEAAAA"/>
              <w:right w:val="nil"/>
            </w:tcBorders>
            <w:noWrap/>
            <w:vAlign w:val="bottom"/>
          </w:tcPr>
          <w:p w14:paraId="684504A9" w14:textId="5B1A3D65" w:rsidR="002679FB" w:rsidRPr="00043B1F" w:rsidRDefault="002679FB" w:rsidP="00F51716">
            <w:pPr>
              <w:pStyle w:val="tableright"/>
            </w:pPr>
            <w:r w:rsidRPr="00110DB9">
              <w:t xml:space="preserve">  4,056 </w:t>
            </w:r>
          </w:p>
        </w:tc>
        <w:tc>
          <w:tcPr>
            <w:tcW w:w="1036" w:type="dxa"/>
            <w:tcBorders>
              <w:top w:val="single" w:sz="4" w:space="0" w:color="AEAAAA"/>
              <w:left w:val="nil"/>
              <w:bottom w:val="single" w:sz="4" w:space="0" w:color="AEAAAA"/>
              <w:right w:val="single" w:sz="4" w:space="0" w:color="E7E6E6"/>
            </w:tcBorders>
            <w:noWrap/>
            <w:vAlign w:val="bottom"/>
          </w:tcPr>
          <w:p w14:paraId="3AD0C008" w14:textId="18B220BD" w:rsidR="002679FB" w:rsidRPr="00043B1F" w:rsidRDefault="002679FB" w:rsidP="00F51716">
            <w:pPr>
              <w:pStyle w:val="tableright"/>
            </w:pPr>
            <w:r w:rsidRPr="00110DB9">
              <w:t xml:space="preserve">  (934)</w:t>
            </w:r>
          </w:p>
        </w:tc>
      </w:tr>
      <w:tr w:rsidR="002679FB" w:rsidRPr="00195D9D" w14:paraId="68E45A78" w14:textId="77777777" w:rsidTr="00AB668E">
        <w:trPr>
          <w:trHeight w:val="300"/>
        </w:trPr>
        <w:tc>
          <w:tcPr>
            <w:tcW w:w="3599" w:type="dxa"/>
            <w:tcBorders>
              <w:top w:val="single" w:sz="4" w:space="0" w:color="AEAAAA"/>
              <w:left w:val="single" w:sz="4" w:space="0" w:color="E7E6E6"/>
              <w:bottom w:val="single" w:sz="4" w:space="0" w:color="AEAAAA"/>
              <w:right w:val="nil"/>
            </w:tcBorders>
            <w:noWrap/>
            <w:vAlign w:val="bottom"/>
          </w:tcPr>
          <w:p w14:paraId="0D7C720D" w14:textId="631FCFAB" w:rsidR="002679FB" w:rsidRPr="00205952" w:rsidRDefault="002679FB" w:rsidP="00205952">
            <w:pPr>
              <w:pStyle w:val="Tabletext0"/>
            </w:pPr>
            <w:r w:rsidRPr="00205952">
              <w:t>Net cashflow from operating activities</w:t>
            </w:r>
          </w:p>
        </w:tc>
        <w:tc>
          <w:tcPr>
            <w:tcW w:w="1074" w:type="dxa"/>
            <w:tcBorders>
              <w:top w:val="single" w:sz="4" w:space="0" w:color="AEAAAA"/>
              <w:left w:val="nil"/>
              <w:bottom w:val="single" w:sz="4" w:space="0" w:color="AEAAAA"/>
              <w:right w:val="nil"/>
            </w:tcBorders>
            <w:noWrap/>
            <w:vAlign w:val="bottom"/>
          </w:tcPr>
          <w:p w14:paraId="7A30051B" w14:textId="18DA35E4" w:rsidR="002679FB" w:rsidRPr="00110DB9" w:rsidRDefault="00DA35FA" w:rsidP="00F51716">
            <w:pPr>
              <w:pStyle w:val="tableright"/>
            </w:pPr>
            <w:r w:rsidRPr="00110DB9">
              <w:t>(</w:t>
            </w:r>
            <w:r w:rsidR="003104D8" w:rsidRPr="00110DB9">
              <w:t>20</w:t>
            </w:r>
            <w:r w:rsidRPr="00110DB9">
              <w:t>,</w:t>
            </w:r>
            <w:r w:rsidR="004E215D" w:rsidRPr="00110DB9">
              <w:t>779</w:t>
            </w:r>
            <w:r w:rsidRPr="00110DB9">
              <w:t>)</w:t>
            </w:r>
          </w:p>
        </w:tc>
        <w:tc>
          <w:tcPr>
            <w:tcW w:w="1158" w:type="dxa"/>
            <w:tcBorders>
              <w:top w:val="single" w:sz="4" w:space="0" w:color="AEAAAA"/>
              <w:left w:val="nil"/>
              <w:bottom w:val="single" w:sz="4" w:space="0" w:color="AEAAAA"/>
              <w:right w:val="nil"/>
            </w:tcBorders>
            <w:noWrap/>
            <w:vAlign w:val="bottom"/>
          </w:tcPr>
          <w:p w14:paraId="1F40D957" w14:textId="049EAC5C" w:rsidR="002679FB" w:rsidRPr="00110DB9" w:rsidRDefault="002679FB" w:rsidP="00F51716">
            <w:pPr>
              <w:pStyle w:val="tableright"/>
            </w:pPr>
            <w:r w:rsidRPr="00110DB9">
              <w:t xml:space="preserve">  38,591 </w:t>
            </w:r>
          </w:p>
        </w:tc>
        <w:tc>
          <w:tcPr>
            <w:tcW w:w="1036" w:type="dxa"/>
            <w:tcBorders>
              <w:top w:val="single" w:sz="4" w:space="0" w:color="AEAAAA"/>
              <w:left w:val="nil"/>
              <w:bottom w:val="single" w:sz="4" w:space="0" w:color="AEAAAA"/>
              <w:right w:val="nil"/>
            </w:tcBorders>
            <w:noWrap/>
            <w:vAlign w:val="bottom"/>
          </w:tcPr>
          <w:p w14:paraId="15DEB440" w14:textId="5646F3A7" w:rsidR="002679FB" w:rsidRPr="00043B1F" w:rsidRDefault="002679FB" w:rsidP="00F51716">
            <w:pPr>
              <w:pStyle w:val="tableright"/>
            </w:pPr>
            <w:r w:rsidRPr="00110DB9">
              <w:t xml:space="preserve">  4,099 </w:t>
            </w:r>
          </w:p>
        </w:tc>
        <w:tc>
          <w:tcPr>
            <w:tcW w:w="1036" w:type="dxa"/>
            <w:tcBorders>
              <w:top w:val="single" w:sz="4" w:space="0" w:color="AEAAAA"/>
              <w:left w:val="nil"/>
              <w:bottom w:val="single" w:sz="4" w:space="0" w:color="AEAAAA"/>
              <w:right w:val="nil"/>
            </w:tcBorders>
            <w:noWrap/>
            <w:vAlign w:val="bottom"/>
          </w:tcPr>
          <w:p w14:paraId="1BB5C655" w14:textId="7AFE2A47" w:rsidR="002679FB" w:rsidRPr="00043B1F" w:rsidRDefault="002679FB" w:rsidP="00F51716">
            <w:pPr>
              <w:pStyle w:val="tableright"/>
            </w:pPr>
            <w:r w:rsidRPr="00110DB9">
              <w:t xml:space="preserve">  6,363 </w:t>
            </w:r>
          </w:p>
        </w:tc>
        <w:tc>
          <w:tcPr>
            <w:tcW w:w="1036" w:type="dxa"/>
            <w:tcBorders>
              <w:top w:val="single" w:sz="4" w:space="0" w:color="AEAAAA"/>
              <w:left w:val="nil"/>
              <w:bottom w:val="single" w:sz="4" w:space="0" w:color="AEAAAA"/>
              <w:right w:val="single" w:sz="4" w:space="0" w:color="E7E6E6"/>
            </w:tcBorders>
            <w:noWrap/>
            <w:vAlign w:val="bottom"/>
          </w:tcPr>
          <w:p w14:paraId="27865E82" w14:textId="03A8D31E" w:rsidR="002679FB" w:rsidRPr="00043B1F" w:rsidRDefault="002679FB" w:rsidP="00F51716">
            <w:pPr>
              <w:pStyle w:val="tableright"/>
            </w:pPr>
            <w:r w:rsidRPr="00110DB9">
              <w:t xml:space="preserve">  (6,485)</w:t>
            </w:r>
          </w:p>
        </w:tc>
      </w:tr>
      <w:tr w:rsidR="002679FB" w:rsidRPr="00195D9D" w14:paraId="2FF8278C" w14:textId="77777777" w:rsidTr="00AB668E">
        <w:trPr>
          <w:trHeight w:val="300"/>
        </w:trPr>
        <w:tc>
          <w:tcPr>
            <w:tcW w:w="3599" w:type="dxa"/>
            <w:tcBorders>
              <w:top w:val="single" w:sz="4" w:space="0" w:color="AEAAAA"/>
              <w:left w:val="single" w:sz="4" w:space="0" w:color="E7E6E6"/>
              <w:bottom w:val="single" w:sz="4" w:space="0" w:color="AEAAAA"/>
              <w:right w:val="nil"/>
            </w:tcBorders>
            <w:noWrap/>
            <w:vAlign w:val="bottom"/>
          </w:tcPr>
          <w:p w14:paraId="1B6FA51B" w14:textId="63BF7BA6" w:rsidR="002679FB" w:rsidRPr="00205952" w:rsidRDefault="002679FB" w:rsidP="00205952">
            <w:pPr>
              <w:pStyle w:val="Tabletext0"/>
            </w:pPr>
            <w:r w:rsidRPr="00205952">
              <w:t>Total assets</w:t>
            </w:r>
          </w:p>
        </w:tc>
        <w:tc>
          <w:tcPr>
            <w:tcW w:w="1074" w:type="dxa"/>
            <w:tcBorders>
              <w:top w:val="single" w:sz="4" w:space="0" w:color="AEAAAA"/>
              <w:left w:val="nil"/>
              <w:bottom w:val="single" w:sz="4" w:space="0" w:color="AEAAAA"/>
              <w:right w:val="nil"/>
            </w:tcBorders>
            <w:noWrap/>
            <w:vAlign w:val="bottom"/>
          </w:tcPr>
          <w:p w14:paraId="251DCBC9" w14:textId="7EB7D9F8" w:rsidR="002679FB" w:rsidRPr="00110DB9" w:rsidRDefault="002679FB" w:rsidP="00F51716">
            <w:pPr>
              <w:pStyle w:val="tableright"/>
            </w:pPr>
            <w:r w:rsidRPr="00110DB9">
              <w:t>52,</w:t>
            </w:r>
            <w:r w:rsidR="004E215D" w:rsidRPr="00110DB9">
              <w:t>614</w:t>
            </w:r>
            <w:r w:rsidRPr="00110DB9">
              <w:t xml:space="preserve"> </w:t>
            </w:r>
          </w:p>
        </w:tc>
        <w:tc>
          <w:tcPr>
            <w:tcW w:w="1158" w:type="dxa"/>
            <w:tcBorders>
              <w:top w:val="single" w:sz="4" w:space="0" w:color="AEAAAA"/>
              <w:left w:val="nil"/>
              <w:bottom w:val="single" w:sz="4" w:space="0" w:color="AEAAAA"/>
              <w:right w:val="nil"/>
            </w:tcBorders>
            <w:noWrap/>
            <w:vAlign w:val="bottom"/>
          </w:tcPr>
          <w:p w14:paraId="031FA2BC" w14:textId="6E320882" w:rsidR="002679FB" w:rsidRPr="00110DB9" w:rsidRDefault="002679FB" w:rsidP="00F51716">
            <w:pPr>
              <w:pStyle w:val="tableright"/>
            </w:pPr>
            <w:r w:rsidRPr="00110DB9">
              <w:t xml:space="preserve">  84,214 </w:t>
            </w:r>
          </w:p>
        </w:tc>
        <w:tc>
          <w:tcPr>
            <w:tcW w:w="1036" w:type="dxa"/>
            <w:tcBorders>
              <w:top w:val="single" w:sz="4" w:space="0" w:color="AEAAAA"/>
              <w:left w:val="nil"/>
              <w:bottom w:val="single" w:sz="4" w:space="0" w:color="AEAAAA"/>
              <w:right w:val="nil"/>
            </w:tcBorders>
            <w:noWrap/>
            <w:vAlign w:val="bottom"/>
          </w:tcPr>
          <w:p w14:paraId="6FB2A910" w14:textId="361FBBEA" w:rsidR="002679FB" w:rsidRPr="00043B1F" w:rsidRDefault="002679FB" w:rsidP="00F51716">
            <w:pPr>
              <w:pStyle w:val="tableright"/>
            </w:pPr>
            <w:r w:rsidRPr="00110DB9">
              <w:t xml:space="preserve">  36,372 </w:t>
            </w:r>
          </w:p>
        </w:tc>
        <w:tc>
          <w:tcPr>
            <w:tcW w:w="1036" w:type="dxa"/>
            <w:tcBorders>
              <w:top w:val="single" w:sz="4" w:space="0" w:color="AEAAAA"/>
              <w:left w:val="nil"/>
              <w:bottom w:val="single" w:sz="4" w:space="0" w:color="AEAAAA"/>
              <w:right w:val="nil"/>
            </w:tcBorders>
            <w:noWrap/>
            <w:vAlign w:val="bottom"/>
          </w:tcPr>
          <w:p w14:paraId="340CAF72" w14:textId="7A78D4AC" w:rsidR="002679FB" w:rsidRPr="00043B1F" w:rsidRDefault="002679FB" w:rsidP="00F51716">
            <w:pPr>
              <w:pStyle w:val="tableright"/>
            </w:pPr>
            <w:r w:rsidRPr="00110DB9">
              <w:t xml:space="preserve">  32,676 </w:t>
            </w:r>
          </w:p>
        </w:tc>
        <w:tc>
          <w:tcPr>
            <w:tcW w:w="1036" w:type="dxa"/>
            <w:tcBorders>
              <w:top w:val="single" w:sz="4" w:space="0" w:color="AEAAAA"/>
              <w:left w:val="nil"/>
              <w:bottom w:val="single" w:sz="4" w:space="0" w:color="AEAAAA"/>
              <w:right w:val="single" w:sz="4" w:space="0" w:color="E7E6E6"/>
            </w:tcBorders>
            <w:noWrap/>
            <w:vAlign w:val="bottom"/>
          </w:tcPr>
          <w:p w14:paraId="65B370B8" w14:textId="0883D46E" w:rsidR="002679FB" w:rsidRPr="00043B1F" w:rsidRDefault="002679FB" w:rsidP="00F51716">
            <w:pPr>
              <w:pStyle w:val="tableright"/>
            </w:pPr>
            <w:r w:rsidRPr="00110DB9">
              <w:t xml:space="preserve">  28,319 </w:t>
            </w:r>
          </w:p>
        </w:tc>
      </w:tr>
      <w:tr w:rsidR="002679FB" w:rsidRPr="00195D9D" w14:paraId="3FD1CAE4" w14:textId="77777777" w:rsidTr="00AB668E">
        <w:trPr>
          <w:trHeight w:val="300"/>
        </w:trPr>
        <w:tc>
          <w:tcPr>
            <w:tcW w:w="3599" w:type="dxa"/>
            <w:tcBorders>
              <w:top w:val="single" w:sz="4" w:space="0" w:color="AEAAAA"/>
              <w:left w:val="single" w:sz="4" w:space="0" w:color="E7E6E6"/>
              <w:bottom w:val="single" w:sz="4" w:space="0" w:color="AEAAAA"/>
              <w:right w:val="nil"/>
            </w:tcBorders>
            <w:noWrap/>
            <w:vAlign w:val="bottom"/>
          </w:tcPr>
          <w:p w14:paraId="5E12047E" w14:textId="5CBD1416" w:rsidR="002679FB" w:rsidRPr="00205952" w:rsidRDefault="002679FB" w:rsidP="00205952">
            <w:pPr>
              <w:pStyle w:val="Tabletext0"/>
            </w:pPr>
            <w:r w:rsidRPr="00205952">
              <w:t>Total liabilities</w:t>
            </w:r>
          </w:p>
        </w:tc>
        <w:tc>
          <w:tcPr>
            <w:tcW w:w="1074" w:type="dxa"/>
            <w:tcBorders>
              <w:top w:val="single" w:sz="4" w:space="0" w:color="AEAAAA"/>
              <w:left w:val="nil"/>
              <w:bottom w:val="single" w:sz="4" w:space="0" w:color="AEAAAA"/>
              <w:right w:val="nil"/>
            </w:tcBorders>
            <w:noWrap/>
            <w:vAlign w:val="bottom"/>
          </w:tcPr>
          <w:p w14:paraId="74433F6B" w14:textId="447942DF" w:rsidR="002679FB" w:rsidRPr="00110DB9" w:rsidRDefault="002679FB" w:rsidP="00F51716">
            <w:pPr>
              <w:pStyle w:val="tableright"/>
            </w:pPr>
            <w:r w:rsidRPr="00110DB9">
              <w:t>33,</w:t>
            </w:r>
            <w:r w:rsidR="004E215D" w:rsidRPr="00110DB9">
              <w:t>527</w:t>
            </w:r>
          </w:p>
        </w:tc>
        <w:tc>
          <w:tcPr>
            <w:tcW w:w="1158" w:type="dxa"/>
            <w:tcBorders>
              <w:top w:val="single" w:sz="4" w:space="0" w:color="AEAAAA"/>
              <w:left w:val="nil"/>
              <w:bottom w:val="single" w:sz="4" w:space="0" w:color="AEAAAA"/>
              <w:right w:val="nil"/>
            </w:tcBorders>
            <w:noWrap/>
            <w:vAlign w:val="bottom"/>
          </w:tcPr>
          <w:p w14:paraId="52E4F06B" w14:textId="7B0746B7" w:rsidR="002679FB" w:rsidRPr="00110DB9" w:rsidRDefault="002679FB" w:rsidP="00F51716">
            <w:pPr>
              <w:pStyle w:val="tableright"/>
            </w:pPr>
            <w:r w:rsidRPr="00110DB9">
              <w:t xml:space="preserve">  35,949 </w:t>
            </w:r>
          </w:p>
        </w:tc>
        <w:tc>
          <w:tcPr>
            <w:tcW w:w="1036" w:type="dxa"/>
            <w:tcBorders>
              <w:top w:val="single" w:sz="4" w:space="0" w:color="AEAAAA"/>
              <w:left w:val="nil"/>
              <w:bottom w:val="single" w:sz="4" w:space="0" w:color="AEAAAA"/>
              <w:right w:val="nil"/>
            </w:tcBorders>
            <w:noWrap/>
            <w:vAlign w:val="bottom"/>
          </w:tcPr>
          <w:p w14:paraId="33E81F26" w14:textId="6130D549" w:rsidR="002679FB" w:rsidRPr="00043B1F" w:rsidRDefault="002679FB" w:rsidP="00F51716">
            <w:pPr>
              <w:pStyle w:val="tableright"/>
            </w:pPr>
            <w:r w:rsidRPr="00110DB9">
              <w:t xml:space="preserve">  5,100 </w:t>
            </w:r>
          </w:p>
        </w:tc>
        <w:tc>
          <w:tcPr>
            <w:tcW w:w="1036" w:type="dxa"/>
            <w:tcBorders>
              <w:top w:val="single" w:sz="4" w:space="0" w:color="AEAAAA"/>
              <w:left w:val="nil"/>
              <w:bottom w:val="single" w:sz="4" w:space="0" w:color="AEAAAA"/>
              <w:right w:val="nil"/>
            </w:tcBorders>
            <w:noWrap/>
            <w:vAlign w:val="bottom"/>
          </w:tcPr>
          <w:p w14:paraId="6AFFCC52" w14:textId="297346A2" w:rsidR="002679FB" w:rsidRPr="00043B1F" w:rsidRDefault="002679FB" w:rsidP="00F51716">
            <w:pPr>
              <w:pStyle w:val="tableright"/>
            </w:pPr>
            <w:r w:rsidRPr="00110DB9">
              <w:t xml:space="preserve">  4,574 </w:t>
            </w:r>
          </w:p>
        </w:tc>
        <w:tc>
          <w:tcPr>
            <w:tcW w:w="1036" w:type="dxa"/>
            <w:tcBorders>
              <w:top w:val="single" w:sz="4" w:space="0" w:color="AEAAAA"/>
              <w:left w:val="nil"/>
              <w:bottom w:val="single" w:sz="4" w:space="0" w:color="AEAAAA"/>
              <w:right w:val="single" w:sz="4" w:space="0" w:color="E7E6E6"/>
            </w:tcBorders>
            <w:noWrap/>
            <w:vAlign w:val="bottom"/>
          </w:tcPr>
          <w:p w14:paraId="724E459F" w14:textId="46698B05" w:rsidR="002679FB" w:rsidRPr="00043B1F" w:rsidRDefault="002679FB" w:rsidP="00F51716">
            <w:pPr>
              <w:pStyle w:val="tableright"/>
            </w:pPr>
            <w:r w:rsidRPr="00110DB9">
              <w:t xml:space="preserve">  4,273 </w:t>
            </w:r>
          </w:p>
        </w:tc>
      </w:tr>
    </w:tbl>
    <w:p w14:paraId="0F969005" w14:textId="78559BAF" w:rsidR="006B16AC" w:rsidRDefault="006B16AC" w:rsidP="00F51716">
      <w:pPr>
        <w:pStyle w:val="Heading2"/>
      </w:pPr>
      <w:bookmarkStart w:id="50" w:name="_Toc56627329"/>
      <w:bookmarkStart w:id="51" w:name="_Toc57039863"/>
      <w:bookmarkStart w:id="52" w:name="_Toc59624201"/>
      <w:r w:rsidRPr="006B16AC">
        <w:t>Current year financial review</w:t>
      </w:r>
      <w:bookmarkEnd w:id="50"/>
      <w:bookmarkEnd w:id="51"/>
      <w:bookmarkEnd w:id="52"/>
    </w:p>
    <w:p w14:paraId="07427945" w14:textId="1A143188" w:rsidR="006B16AC" w:rsidRDefault="006B16AC" w:rsidP="009C0026">
      <w:pPr>
        <w:pStyle w:val="Heading3"/>
        <w:rPr>
          <w:color w:val="000000"/>
          <w14:textFill>
            <w14:solidFill>
              <w14:srgbClr w14:val="000000">
                <w14:lumMod w14:val="50000"/>
              </w14:srgbClr>
            </w14:solidFill>
          </w14:textFill>
        </w:rPr>
      </w:pPr>
      <w:r w:rsidRPr="00CA49E4">
        <w:t>Overview</w:t>
      </w:r>
    </w:p>
    <w:p w14:paraId="59EAD7C6" w14:textId="13BCE602" w:rsidR="002679FB" w:rsidRDefault="002679FB" w:rsidP="00F51716">
      <w:r w:rsidRPr="002679FB">
        <w:t>The Victorian Government considers the net result from transactions to be the appropriate measure of financial management that can be directly attributed to government policy. This measure excludes the effects of revaluations (holding gains or losses) arising from changes in market prices and other changes in the volume of assets shown under ‘other economic flows’ on the comprehensive operating statement, which are outside the control of the agency.</w:t>
      </w:r>
    </w:p>
    <w:p w14:paraId="2D0184CB" w14:textId="50D085A9" w:rsidR="00521535" w:rsidRDefault="00F317AE" w:rsidP="00F51716">
      <w:r>
        <w:t>The</w:t>
      </w:r>
      <w:r w:rsidR="008C6F6E">
        <w:t xml:space="preserve"> </w:t>
      </w:r>
      <w:r w:rsidR="005D5DBE">
        <w:t>2019–20</w:t>
      </w:r>
      <w:r w:rsidR="008C6F6E">
        <w:t xml:space="preserve"> financial year results </w:t>
      </w:r>
      <w:r w:rsidR="00B10E5A">
        <w:t xml:space="preserve">include the effect of </w:t>
      </w:r>
      <w:r w:rsidR="00260C54">
        <w:t xml:space="preserve">implementation of </w:t>
      </w:r>
      <w:r w:rsidR="00852112">
        <w:t xml:space="preserve">the </w:t>
      </w:r>
      <w:r w:rsidR="00260C54">
        <w:t>new accounting standards</w:t>
      </w:r>
      <w:r w:rsidR="00852112">
        <w:t>:</w:t>
      </w:r>
      <w:r w:rsidR="00260C54">
        <w:t xml:space="preserve"> AASB </w:t>
      </w:r>
      <w:r w:rsidR="00B26E06">
        <w:t xml:space="preserve">15 </w:t>
      </w:r>
      <w:r w:rsidR="007D2F88">
        <w:t>Revenue from Contracts with Customers and AASB 16 Leases</w:t>
      </w:r>
      <w:r w:rsidR="00061D61">
        <w:t>.</w:t>
      </w:r>
    </w:p>
    <w:p w14:paraId="5FCADFA0" w14:textId="3E1DBA8A" w:rsidR="00DE635E" w:rsidRDefault="00852112" w:rsidP="00F51716">
      <w:r>
        <w:t>In accordance with AASB 15</w:t>
      </w:r>
      <w:r w:rsidR="00AE6C3C">
        <w:t>,</w:t>
      </w:r>
      <w:r>
        <w:t xml:space="preserve"> </w:t>
      </w:r>
      <w:r w:rsidR="0018421D">
        <w:t xml:space="preserve">SV’s </w:t>
      </w:r>
      <w:r w:rsidR="005D5DBE">
        <w:t>2019–20</w:t>
      </w:r>
      <w:r w:rsidR="003855B5">
        <w:t xml:space="preserve"> </w:t>
      </w:r>
      <w:r w:rsidR="0018421D">
        <w:t xml:space="preserve">opening balances were adjusted to </w:t>
      </w:r>
      <w:r w:rsidR="003855B5">
        <w:t xml:space="preserve">write back </w:t>
      </w:r>
      <w:r w:rsidR="009B634F">
        <w:t xml:space="preserve">$22.9 million in revenue which </w:t>
      </w:r>
      <w:r w:rsidR="00A15ED3">
        <w:t>had been</w:t>
      </w:r>
      <w:r w:rsidR="009B634F">
        <w:t xml:space="preserve"> recognised in prior years </w:t>
      </w:r>
      <w:r w:rsidR="00C160CE">
        <w:t>in accordance with</w:t>
      </w:r>
      <w:r w:rsidR="009B634F">
        <w:t xml:space="preserve"> the previous revenue standard</w:t>
      </w:r>
      <w:r w:rsidR="00103387">
        <w:t>.</w:t>
      </w:r>
      <w:r w:rsidR="00C744DB">
        <w:t xml:space="preserve"> </w:t>
      </w:r>
      <w:r w:rsidR="00103387">
        <w:t>T</w:t>
      </w:r>
      <w:r w:rsidR="009B634F">
        <w:t xml:space="preserve">his resulted in a decrease in </w:t>
      </w:r>
      <w:r w:rsidR="00997482">
        <w:t xml:space="preserve">equity of $22.9 million </w:t>
      </w:r>
      <w:r w:rsidR="00A15ED3">
        <w:t xml:space="preserve">and an increase in </w:t>
      </w:r>
      <w:r w:rsidR="00103387">
        <w:t xml:space="preserve">the </w:t>
      </w:r>
      <w:r w:rsidR="00A15ED3">
        <w:t xml:space="preserve">liability </w:t>
      </w:r>
      <w:r w:rsidR="00C744DB">
        <w:t>for unearned revenue. T</w:t>
      </w:r>
      <w:r w:rsidR="00997482">
        <w:t xml:space="preserve">his revenue will be recognised in </w:t>
      </w:r>
      <w:r w:rsidR="00764E83">
        <w:t xml:space="preserve">current and </w:t>
      </w:r>
      <w:r w:rsidR="00997482">
        <w:t xml:space="preserve">future years </w:t>
      </w:r>
      <w:r w:rsidR="00764E83">
        <w:t>in line with AASB 15</w:t>
      </w:r>
      <w:r w:rsidR="00787311">
        <w:t xml:space="preserve">. Revenue will be </w:t>
      </w:r>
      <w:r w:rsidR="00AA76B4">
        <w:t>recognised as specific performance obligations in contracts are met</w:t>
      </w:r>
      <w:r w:rsidR="00AE6C3C">
        <w:t>,</w:t>
      </w:r>
      <w:r w:rsidR="00AA76B4">
        <w:t xml:space="preserve"> which will result in </w:t>
      </w:r>
      <w:r w:rsidR="003D185D">
        <w:t xml:space="preserve">revenue being recognised more evenly throughout the life of contracts </w:t>
      </w:r>
      <w:r w:rsidR="00521535">
        <w:t>instead of when large milestone payments are received.</w:t>
      </w:r>
    </w:p>
    <w:p w14:paraId="573F5B58" w14:textId="2A73D5DC" w:rsidR="00521535" w:rsidRDefault="00852112" w:rsidP="00F51716">
      <w:r>
        <w:t xml:space="preserve">In accordance with AASB 16, the lease of </w:t>
      </w:r>
      <w:r w:rsidR="002E259B">
        <w:t>SV’s office premises ha</w:t>
      </w:r>
      <w:r w:rsidR="004A1722">
        <w:t>s</w:t>
      </w:r>
      <w:r w:rsidR="002E259B">
        <w:t xml:space="preserve"> been brought onto the balance sheet </w:t>
      </w:r>
      <w:r w:rsidR="00AF629E">
        <w:t>as at 1</w:t>
      </w:r>
      <w:r w:rsidR="007536F1">
        <w:t> </w:t>
      </w:r>
      <w:r w:rsidR="00AF629E">
        <w:t>July</w:t>
      </w:r>
      <w:r w:rsidR="007536F1">
        <w:t> </w:t>
      </w:r>
      <w:r w:rsidR="00AF629E">
        <w:t>2019.</w:t>
      </w:r>
      <w:r>
        <w:t xml:space="preserve"> T</w:t>
      </w:r>
      <w:r w:rsidR="00386EF6">
        <w:t xml:space="preserve">he carrying </w:t>
      </w:r>
      <w:r w:rsidR="00AF629E">
        <w:t>value</w:t>
      </w:r>
      <w:r w:rsidR="00386EF6">
        <w:t xml:space="preserve"> for the right-of-use asset at 30</w:t>
      </w:r>
      <w:r w:rsidR="00AE6C3C">
        <w:t> </w:t>
      </w:r>
      <w:r w:rsidR="00386EF6">
        <w:t>June</w:t>
      </w:r>
      <w:r w:rsidR="00AE6C3C">
        <w:t> </w:t>
      </w:r>
      <w:r w:rsidR="00386EF6">
        <w:t>2020 is</w:t>
      </w:r>
      <w:r w:rsidR="004A1722">
        <w:t xml:space="preserve"> </w:t>
      </w:r>
      <w:r w:rsidR="00AA09CD">
        <w:t>$1.</w:t>
      </w:r>
      <w:r w:rsidR="004A1722">
        <w:t>4</w:t>
      </w:r>
      <w:r w:rsidR="00AA09CD">
        <w:t xml:space="preserve"> million.</w:t>
      </w:r>
    </w:p>
    <w:p w14:paraId="6F89E046" w14:textId="360C9DAC" w:rsidR="006B16AC" w:rsidRPr="006B16AC" w:rsidRDefault="008033A9" w:rsidP="00F51716">
      <w:r>
        <w:t xml:space="preserve">Operation of the Solar Homes Rebate program was transferred to DELWP in </w:t>
      </w:r>
      <w:r w:rsidR="005D5DBE">
        <w:t>2019–20</w:t>
      </w:r>
      <w:r>
        <w:t xml:space="preserve"> with SV recording a net result of a deficit of $3.1 million during the final months of operation. This transfer represents the majority of material movements </w:t>
      </w:r>
      <w:r w:rsidR="00AF629E">
        <w:t xml:space="preserve">in both the </w:t>
      </w:r>
      <w:r w:rsidR="00B949D5">
        <w:t>Comprehensive Operating Statement</w:t>
      </w:r>
      <w:r w:rsidR="00B5704D">
        <w:t xml:space="preserve"> and the Balance Sheet </w:t>
      </w:r>
      <w:r>
        <w:t>as compared to the prior year.</w:t>
      </w:r>
    </w:p>
    <w:p w14:paraId="6C963CC0" w14:textId="6855B008" w:rsidR="006B16AC" w:rsidRPr="00CA49E4" w:rsidRDefault="006B16AC" w:rsidP="009C0026">
      <w:pPr>
        <w:pStyle w:val="Heading3"/>
      </w:pPr>
      <w:r w:rsidRPr="00CA49E4">
        <w:t>Financial performance and business review</w:t>
      </w:r>
    </w:p>
    <w:p w14:paraId="4C2B4385" w14:textId="7986DE29" w:rsidR="00FE7DD3" w:rsidRDefault="00FE7DD3" w:rsidP="00F51716">
      <w:r>
        <w:t xml:space="preserve">In </w:t>
      </w:r>
      <w:r w:rsidR="005D5DBE">
        <w:t>2019–20</w:t>
      </w:r>
      <w:r>
        <w:t xml:space="preserve">, SV recorded a net result from transactions of </w:t>
      </w:r>
      <w:r w:rsidR="00A90711">
        <w:t xml:space="preserve">a deficit of </w:t>
      </w:r>
      <w:r>
        <w:t>$6.</w:t>
      </w:r>
      <w:r w:rsidR="004A1722">
        <w:t>2</w:t>
      </w:r>
      <w:r>
        <w:t xml:space="preserve"> million, which is a decrease of $23.</w:t>
      </w:r>
      <w:r w:rsidR="00A46220">
        <w:t>4</w:t>
      </w:r>
      <w:r>
        <w:t xml:space="preserve"> million compared to </w:t>
      </w:r>
      <w:r w:rsidR="00801DD3">
        <w:t>2018–19</w:t>
      </w:r>
      <w:r>
        <w:t xml:space="preserve">. </w:t>
      </w:r>
      <w:r w:rsidR="00C84F48" w:rsidRPr="00C84F48">
        <w:t xml:space="preserve">Income from transactions </w:t>
      </w:r>
      <w:r w:rsidR="00C84F48">
        <w:t>de</w:t>
      </w:r>
      <w:r w:rsidR="00C84F48" w:rsidRPr="00C84F48">
        <w:t xml:space="preserve">creased </w:t>
      </w:r>
      <w:r w:rsidR="00C84F48">
        <w:t>by</w:t>
      </w:r>
      <w:r w:rsidR="00C84F48" w:rsidRPr="00C84F48">
        <w:t xml:space="preserve"> $1</w:t>
      </w:r>
      <w:r w:rsidR="00C84F48">
        <w:t>1</w:t>
      </w:r>
      <w:r w:rsidR="004A1722">
        <w:t>9</w:t>
      </w:r>
      <w:r w:rsidR="00C84F48" w:rsidRPr="00C84F48">
        <w:t xml:space="preserve"> million (</w:t>
      </w:r>
      <w:r w:rsidR="0089510E">
        <w:t>69</w:t>
      </w:r>
      <w:r w:rsidR="00980424">
        <w:t xml:space="preserve"> per cent</w:t>
      </w:r>
      <w:r w:rsidR="00C84F48" w:rsidRPr="00C84F48">
        <w:t xml:space="preserve">) and total expenses from transactions </w:t>
      </w:r>
      <w:r w:rsidR="00C84F48">
        <w:t>de</w:t>
      </w:r>
      <w:r w:rsidR="00C84F48" w:rsidRPr="00C84F48">
        <w:t>creased $</w:t>
      </w:r>
      <w:r w:rsidR="00C84F48">
        <w:t>95</w:t>
      </w:r>
      <w:r w:rsidR="00C84F48" w:rsidRPr="00C84F48">
        <w:t xml:space="preserve"> million (</w:t>
      </w:r>
      <w:r w:rsidR="0089510E">
        <w:t>62</w:t>
      </w:r>
      <w:r w:rsidR="00980424">
        <w:t> per cent</w:t>
      </w:r>
      <w:r w:rsidR="00C84F48" w:rsidRPr="00C84F48">
        <w:t>)</w:t>
      </w:r>
      <w:r w:rsidR="0089510E">
        <w:t>.</w:t>
      </w:r>
    </w:p>
    <w:p w14:paraId="0C17310B" w14:textId="78C53DF2" w:rsidR="00B555CD" w:rsidRDefault="00B555CD" w:rsidP="00F51716">
      <w:r>
        <w:t xml:space="preserve">Total income of $51.9 million has decreased materially due to the transfer of the Solar Homes Rebate program. During </w:t>
      </w:r>
      <w:r w:rsidR="00801DD3">
        <w:t>2018–19,</w:t>
      </w:r>
      <w:r>
        <w:t xml:space="preserve"> $101.3 million in income was received for this project. Total expenditure has decreased to $</w:t>
      </w:r>
      <w:r w:rsidR="00C30461">
        <w:t>58</w:t>
      </w:r>
      <w:r>
        <w:t xml:space="preserve"> million, again largely due to the reduction in Solar Homes Rebate expenditure which reduced from $98.1 million in 2018</w:t>
      </w:r>
      <w:r w:rsidR="00801DD3">
        <w:t>–</w:t>
      </w:r>
      <w:r>
        <w:t>19 to $3.2</w:t>
      </w:r>
      <w:r w:rsidR="00980424">
        <w:t> </w:t>
      </w:r>
      <w:r>
        <w:t xml:space="preserve">million in </w:t>
      </w:r>
      <w:r w:rsidR="005D5DBE">
        <w:t>2019–20</w:t>
      </w:r>
      <w:r>
        <w:t>.</w:t>
      </w:r>
    </w:p>
    <w:p w14:paraId="3127CD8E" w14:textId="27F3BE19" w:rsidR="006B16AC" w:rsidRPr="00CA49E4" w:rsidRDefault="006B16AC" w:rsidP="009C0026">
      <w:pPr>
        <w:pStyle w:val="Heading3"/>
      </w:pPr>
      <w:r w:rsidRPr="00CA49E4">
        <w:t>Financial position – balance sheet</w:t>
      </w:r>
    </w:p>
    <w:p w14:paraId="3635A910" w14:textId="3D75B23C" w:rsidR="00CB24BC" w:rsidRDefault="00CB24BC" w:rsidP="00F51716">
      <w:r>
        <w:t>Total assets decreased by $31.</w:t>
      </w:r>
      <w:r w:rsidR="00C30461">
        <w:t>6</w:t>
      </w:r>
      <w:r>
        <w:t xml:space="preserve"> million, with $23.</w:t>
      </w:r>
      <w:r w:rsidR="00A708A7">
        <w:t xml:space="preserve">9 </w:t>
      </w:r>
      <w:r>
        <w:t xml:space="preserve">million represented by </w:t>
      </w:r>
      <w:r w:rsidR="0017338D">
        <w:t>the transfer</w:t>
      </w:r>
      <w:r>
        <w:t xml:space="preserve"> of the Solar Homes Rebate program. Total liabilities decreased by $2.</w:t>
      </w:r>
      <w:r w:rsidR="00C30461">
        <w:t>4</w:t>
      </w:r>
      <w:r>
        <w:t xml:space="preserve"> million compared to the prior year. The material movement in liabilities represented the transfer out of $20.7 million in relation to Solar Homes Rebate program and an increase of $26.6 million from the recognition of unearned revenue in respect of </w:t>
      </w:r>
      <w:r w:rsidR="0017338D">
        <w:t>the implementation</w:t>
      </w:r>
      <w:r>
        <w:t xml:space="preserve"> of AASB 15 in </w:t>
      </w:r>
      <w:r w:rsidR="005D5DBE">
        <w:t>2019–20</w:t>
      </w:r>
      <w:r>
        <w:t>.</w:t>
      </w:r>
    </w:p>
    <w:p w14:paraId="73F0785B" w14:textId="385F1799" w:rsidR="006B16AC" w:rsidRPr="00CA49E4" w:rsidRDefault="006B16AC" w:rsidP="009C0026">
      <w:pPr>
        <w:pStyle w:val="Heading3"/>
      </w:pPr>
      <w:r w:rsidRPr="00CA49E4">
        <w:t>Cash flows</w:t>
      </w:r>
    </w:p>
    <w:p w14:paraId="655E1153" w14:textId="0A85A8FA" w:rsidR="00CB24BC" w:rsidRDefault="00CB24BC" w:rsidP="00F51716">
      <w:r>
        <w:t xml:space="preserve">SV has in place a Financial Sustainability Strategy which seeks to ensure the organisation’s financial sustainability and maintain an adequate financial buffer in </w:t>
      </w:r>
      <w:r w:rsidR="0017338D">
        <w:t>the out</w:t>
      </w:r>
      <w:r>
        <w:t xml:space="preserve"> years.</w:t>
      </w:r>
    </w:p>
    <w:p w14:paraId="64CB7CAF" w14:textId="6E02E0AA" w:rsidR="00CB24BC" w:rsidRDefault="00CB24BC" w:rsidP="00F51716">
      <w:r>
        <w:t xml:space="preserve">In </w:t>
      </w:r>
      <w:r w:rsidR="005D5DBE">
        <w:t>2019–20</w:t>
      </w:r>
      <w:r>
        <w:t>, SV maintained a working capital level of $5.5 million to ensure the organisation was able to meet its financial commitments.</w:t>
      </w:r>
    </w:p>
    <w:p w14:paraId="28E37BD7" w14:textId="07484B38" w:rsidR="0025043E" w:rsidRPr="00AF6B06" w:rsidRDefault="0025043E" w:rsidP="00F51716">
      <w:r w:rsidRPr="00AF6B06">
        <w:t xml:space="preserve">Tied funding is funding received from government or third parties, for the implementation of specific projects. Other funding includes our landfill levy distribution, with investment decisions made by the SV management and </w:t>
      </w:r>
      <w:r w:rsidR="00801DD3">
        <w:t>B</w:t>
      </w:r>
      <w:r w:rsidRPr="00AF6B06">
        <w:t>oard.</w:t>
      </w:r>
    </w:p>
    <w:p w14:paraId="2A732852" w14:textId="27C87ED4" w:rsidR="006B16AC" w:rsidRPr="00CA49E4" w:rsidRDefault="006B16AC" w:rsidP="009C0026">
      <w:pPr>
        <w:pStyle w:val="Heading3"/>
      </w:pPr>
      <w:r w:rsidRPr="00CA49E4">
        <w:t>Significant changes in financial position</w:t>
      </w:r>
    </w:p>
    <w:p w14:paraId="62027383" w14:textId="3ECBE460" w:rsidR="00E75DCC" w:rsidRDefault="008E11A0" w:rsidP="00F51716">
      <w:r>
        <w:t>The implementation of AASB 15 significantly</w:t>
      </w:r>
      <w:r w:rsidR="000A222A">
        <w:t xml:space="preserve"> impacted</w:t>
      </w:r>
      <w:r>
        <w:t xml:space="preserve"> the way that SV recognises revenue from contracts</w:t>
      </w:r>
      <w:r w:rsidR="00647CEB">
        <w:t>,</w:t>
      </w:r>
      <w:r>
        <w:t xml:space="preserve"> including funding from</w:t>
      </w:r>
      <w:r w:rsidR="00AE6C3C">
        <w:t xml:space="preserve"> the</w:t>
      </w:r>
      <w:r>
        <w:t xml:space="preserve"> Sustainability Fund. </w:t>
      </w:r>
      <w:r w:rsidR="007A1A12">
        <w:t>Where milestone payments were previously recognised on receipt</w:t>
      </w:r>
      <w:r w:rsidR="00DE50D1">
        <w:t xml:space="preserve">, </w:t>
      </w:r>
      <w:r w:rsidR="00A12FC7">
        <w:t xml:space="preserve">now </w:t>
      </w:r>
      <w:r w:rsidR="00647CEB">
        <w:t>s</w:t>
      </w:r>
      <w:r w:rsidR="00405B4E">
        <w:t>ignificant</w:t>
      </w:r>
      <w:r w:rsidR="00647CEB">
        <w:t xml:space="preserve"> revenue is</w:t>
      </w:r>
      <w:r w:rsidR="00A12FC7">
        <w:t xml:space="preserve"> deferred to </w:t>
      </w:r>
      <w:r w:rsidR="008966D1">
        <w:t>a liability account</w:t>
      </w:r>
      <w:r w:rsidR="00A12FC7">
        <w:t xml:space="preserve"> to </w:t>
      </w:r>
      <w:r w:rsidR="00C35FD3">
        <w:t xml:space="preserve">recognise </w:t>
      </w:r>
      <w:r w:rsidR="00B5704D">
        <w:t xml:space="preserve">as and </w:t>
      </w:r>
      <w:r w:rsidR="00C35FD3">
        <w:t xml:space="preserve">when performance obligations are met. This has delayed revenue recognition </w:t>
      </w:r>
      <w:r w:rsidR="00352E92">
        <w:t xml:space="preserve">for </w:t>
      </w:r>
      <w:r w:rsidR="005D5DBE">
        <w:t>2019–20</w:t>
      </w:r>
      <w:r w:rsidR="00352E92">
        <w:t xml:space="preserve"> in comparison to previous years</w:t>
      </w:r>
      <w:r w:rsidR="00503B00">
        <w:t xml:space="preserve"> which has contributed to SV reco</w:t>
      </w:r>
      <w:r w:rsidR="00B5704D">
        <w:t>r</w:t>
      </w:r>
      <w:r w:rsidR="00503B00">
        <w:t>ding a deficit the year</w:t>
      </w:r>
      <w:r w:rsidR="00B5704D">
        <w:t xml:space="preserve"> end</w:t>
      </w:r>
      <w:r w:rsidR="00AE6C3C">
        <w:t>ing</w:t>
      </w:r>
      <w:r w:rsidR="00B5704D">
        <w:t xml:space="preserve"> 30</w:t>
      </w:r>
      <w:r w:rsidR="007536F1">
        <w:t> </w:t>
      </w:r>
      <w:r w:rsidR="00B5704D">
        <w:t>June</w:t>
      </w:r>
      <w:r w:rsidR="007536F1">
        <w:t> </w:t>
      </w:r>
      <w:r w:rsidR="00B5704D">
        <w:t>2020</w:t>
      </w:r>
      <w:r w:rsidR="00352E92">
        <w:t>.</w:t>
      </w:r>
    </w:p>
    <w:p w14:paraId="710CD5BF" w14:textId="14A2100B" w:rsidR="006E372B" w:rsidRDefault="00AE6055" w:rsidP="00F51716">
      <w:r>
        <w:t>SV’s deficit of $6.</w:t>
      </w:r>
      <w:r w:rsidR="00B03FFC">
        <w:t>2</w:t>
      </w:r>
      <w:r>
        <w:t xml:space="preserve"> million in </w:t>
      </w:r>
      <w:r w:rsidR="005D5DBE">
        <w:t>2019–20</w:t>
      </w:r>
      <w:r>
        <w:t xml:space="preserve"> includes the deficit of $3.1 million </w:t>
      </w:r>
      <w:r w:rsidR="005779FF">
        <w:t>from the final months of operation for</w:t>
      </w:r>
      <w:r w:rsidR="00AE6C3C">
        <w:t xml:space="preserve"> the</w:t>
      </w:r>
      <w:r w:rsidR="00C7777B">
        <w:t xml:space="preserve"> Solar Homes Rebate program</w:t>
      </w:r>
      <w:r w:rsidR="006004ED">
        <w:t>. I</w:t>
      </w:r>
      <w:r w:rsidR="003473F5">
        <w:t xml:space="preserve">ncome </w:t>
      </w:r>
      <w:r w:rsidR="000A222A">
        <w:t>to cover</w:t>
      </w:r>
      <w:r w:rsidR="003473F5">
        <w:t xml:space="preserve"> this program was reco</w:t>
      </w:r>
      <w:r w:rsidR="00B5704D">
        <w:t xml:space="preserve">gnised </w:t>
      </w:r>
      <w:r w:rsidR="003473F5">
        <w:t>in</w:t>
      </w:r>
      <w:r w:rsidR="00B5704D">
        <w:t xml:space="preserve"> the</w:t>
      </w:r>
      <w:r w:rsidR="003473F5">
        <w:t xml:space="preserve"> </w:t>
      </w:r>
      <w:r w:rsidR="00801DD3">
        <w:t>2018–19</w:t>
      </w:r>
      <w:r w:rsidR="00B5704D">
        <w:t xml:space="preserve"> financial year</w:t>
      </w:r>
      <w:r w:rsidR="006004ED">
        <w:t xml:space="preserve"> and the final expenditure was </w:t>
      </w:r>
      <w:r w:rsidR="00B5704D">
        <w:t>incurred</w:t>
      </w:r>
      <w:r w:rsidR="006004ED">
        <w:t xml:space="preserve"> in </w:t>
      </w:r>
      <w:r w:rsidR="005D5DBE">
        <w:t>2019–20</w:t>
      </w:r>
      <w:r w:rsidR="00B5704D">
        <w:t xml:space="preserve"> financial year.</w:t>
      </w:r>
    </w:p>
    <w:p w14:paraId="5BA5014A" w14:textId="5B9C617A" w:rsidR="006E372B" w:rsidRPr="00AF02C2" w:rsidRDefault="006E372B" w:rsidP="00F51716">
      <w:r w:rsidRPr="00AF02C2">
        <w:t xml:space="preserve">The Victorian </w:t>
      </w:r>
      <w:r w:rsidR="00AE6C3C">
        <w:t>G</w:t>
      </w:r>
      <w:r w:rsidRPr="00AF02C2">
        <w:t>overnment announced a mandate and imposed Stage 3 restrictions on the community in response to the coronavirus (COVID-19) pandemic. This has had an impact on the operating and economic environment for SV such as establishing remote working environments for employees and associated wellbeing initiatives and some programs being paused during the period due to delivery risks.</w:t>
      </w:r>
    </w:p>
    <w:p w14:paraId="58619C44" w14:textId="3CC65CF0" w:rsidR="00E75DCC" w:rsidRPr="0068532D" w:rsidRDefault="006E372B" w:rsidP="00F51716">
      <w:r w:rsidRPr="00AF02C2">
        <w:t>Management have considered the impacts of COVID-19 on the judgements and assumptions applied to accounting policies, estimates that may result in a decline of the carrying amounts for assets and liabilities. The impacts and assessments have been considered on assets and liabilities and have been determined as not being material. Additional financial impacts have been considered on revenue and expense items in line with the government’s announcements and these have also been determined as not being material.</w:t>
      </w:r>
    </w:p>
    <w:p w14:paraId="4751D93E" w14:textId="0FC6CB3A" w:rsidR="00E75DCC" w:rsidRPr="00CA49E4" w:rsidRDefault="00E75DCC" w:rsidP="009C0026">
      <w:pPr>
        <w:pStyle w:val="Heading3"/>
      </w:pPr>
      <w:r w:rsidRPr="00CA49E4">
        <w:t>Significant changes or factors affecting performance</w:t>
      </w:r>
    </w:p>
    <w:p w14:paraId="2D3F86A1" w14:textId="42F9DFB2" w:rsidR="00E75DCC" w:rsidRPr="00783A98" w:rsidRDefault="7066782C" w:rsidP="00F51716">
      <w:r w:rsidRPr="00783A98">
        <w:t xml:space="preserve">On </w:t>
      </w:r>
      <w:r w:rsidR="00653AB9">
        <w:t>23</w:t>
      </w:r>
      <w:r w:rsidR="007536F1">
        <w:t> </w:t>
      </w:r>
      <w:r w:rsidRPr="00783A98">
        <w:t>March</w:t>
      </w:r>
      <w:r w:rsidR="007536F1">
        <w:t> </w:t>
      </w:r>
      <w:r w:rsidRPr="00783A98">
        <w:t xml:space="preserve">2020, SV staff were directed to work from home in response to COVID-19 and following the Victoria </w:t>
      </w:r>
      <w:r w:rsidR="00CF3851">
        <w:t>G</w:t>
      </w:r>
      <w:r w:rsidRPr="00783A98">
        <w:t>overnment's directive to impose Stage 3 restrictions. The new remote working environment did not impact staff performance.</w:t>
      </w:r>
    </w:p>
    <w:p w14:paraId="056BF167" w14:textId="65E97172" w:rsidR="00E75DCC" w:rsidRPr="006F5994" w:rsidRDefault="00E75DCC" w:rsidP="009C0026">
      <w:pPr>
        <w:pStyle w:val="Heading3"/>
        <w:rPr>
          <w:color w:val="000000"/>
          <w:highlight w:val="cyan"/>
          <w14:textFill>
            <w14:solidFill>
              <w14:srgbClr w14:val="000000">
                <w14:lumMod w14:val="50000"/>
              </w14:srgbClr>
            </w14:solidFill>
          </w14:textFill>
        </w:rPr>
      </w:pPr>
      <w:r w:rsidRPr="00CA49E4">
        <w:t>Capital projects</w:t>
      </w:r>
    </w:p>
    <w:p w14:paraId="1A333424" w14:textId="3906D591" w:rsidR="00E75DCC" w:rsidRPr="0068532D" w:rsidRDefault="00096BC8" w:rsidP="00F51716">
      <w:r w:rsidRPr="0017338D">
        <w:t xml:space="preserve">In </w:t>
      </w:r>
      <w:r w:rsidR="005D5DBE">
        <w:t>2019–20</w:t>
      </w:r>
      <w:r w:rsidR="00653AB9">
        <w:t>,</w:t>
      </w:r>
      <w:r w:rsidRPr="0017338D">
        <w:t xml:space="preserve"> SV did not have any capital projects with a total estimated investment of $10</w:t>
      </w:r>
      <w:r w:rsidR="00653AB9">
        <w:t> </w:t>
      </w:r>
      <w:r w:rsidRPr="0017338D">
        <w:t>million or more.</w:t>
      </w:r>
    </w:p>
    <w:p w14:paraId="453DFAAE" w14:textId="29A955F1" w:rsidR="00E75DCC" w:rsidRPr="00AF76E1" w:rsidRDefault="00E75DCC" w:rsidP="009C0026">
      <w:pPr>
        <w:pStyle w:val="Heading3"/>
      </w:pPr>
      <w:r w:rsidRPr="00CA49E4">
        <w:t>Disclosure of grants and transfer payments</w:t>
      </w:r>
    </w:p>
    <w:p w14:paraId="72A8272F" w14:textId="5A430421" w:rsidR="00E75DCC" w:rsidRPr="0068532D" w:rsidRDefault="00342A48" w:rsidP="00F51716">
      <w:r w:rsidRPr="00AF6B06">
        <w:t xml:space="preserve">Please refer to </w:t>
      </w:r>
      <w:r w:rsidRPr="0017338D">
        <w:t>Appendix 4.</w:t>
      </w:r>
    </w:p>
    <w:p w14:paraId="39076A78" w14:textId="2FBF0647" w:rsidR="00E75DCC" w:rsidRPr="00CA49E4" w:rsidRDefault="00E75DCC" w:rsidP="009C0026">
      <w:pPr>
        <w:pStyle w:val="Heading3"/>
      </w:pPr>
      <w:r w:rsidRPr="00CA49E4">
        <w:t>Subsequent events</w:t>
      </w:r>
    </w:p>
    <w:p w14:paraId="4CE33E63" w14:textId="474479EF" w:rsidR="00E75DCC" w:rsidRDefault="00C46EDD" w:rsidP="00F51716">
      <w:r w:rsidRPr="00C46EDD">
        <w:t xml:space="preserve">The State of </w:t>
      </w:r>
      <w:r w:rsidR="00AB2FAA" w:rsidRPr="00C46EDD">
        <w:t>Victoria introduced</w:t>
      </w:r>
      <w:r w:rsidRPr="00C46EDD">
        <w:t xml:space="preserve"> more restrictions post balancing date in response to the </w:t>
      </w:r>
      <w:r w:rsidR="00105AEC">
        <w:t>‘</w:t>
      </w:r>
      <w:r w:rsidRPr="00C46EDD">
        <w:t>second wave</w:t>
      </w:r>
      <w:r w:rsidR="00105AEC">
        <w:t>’</w:t>
      </w:r>
      <w:r w:rsidRPr="00C46EDD">
        <w:t xml:space="preserve"> of </w:t>
      </w:r>
      <w:r w:rsidR="00664133">
        <w:t xml:space="preserve">the </w:t>
      </w:r>
      <w:r w:rsidRPr="00C46EDD">
        <w:t xml:space="preserve">Coronavirus pandemic. The measures implemented included stricter limitations on the operation of businesses in Victoria. SV has assessed that these restrictions are likely to have a financial impact in the </w:t>
      </w:r>
      <w:r w:rsidR="00801DD3">
        <w:t>2020–21</w:t>
      </w:r>
      <w:r w:rsidRPr="00C46EDD">
        <w:t xml:space="preserve"> financial year</w:t>
      </w:r>
      <w:r w:rsidR="00664133">
        <w:t>,</w:t>
      </w:r>
      <w:r w:rsidRPr="00C46EDD">
        <w:t xml:space="preserve"> however these impacts are unable to be reliably measured and are not expected to be material.</w:t>
      </w:r>
      <w:r w:rsidR="00E75DCC">
        <w:br w:type="page"/>
      </w:r>
    </w:p>
    <w:p w14:paraId="51D418BC" w14:textId="213CC9BC" w:rsidR="00E75DCC" w:rsidRPr="00810968" w:rsidRDefault="00E75DCC" w:rsidP="00F51716">
      <w:pPr>
        <w:pStyle w:val="Heading1"/>
      </w:pPr>
      <w:bookmarkStart w:id="53" w:name="_Toc56627330"/>
      <w:bookmarkStart w:id="54" w:name="_Toc57039864"/>
      <w:bookmarkStart w:id="55" w:name="_Toc59624202"/>
      <w:r w:rsidRPr="00A61FD4">
        <w:t>Governance and organi</w:t>
      </w:r>
      <w:r w:rsidRPr="00810968">
        <w:t>sational structure</w:t>
      </w:r>
      <w:bookmarkEnd w:id="53"/>
      <w:bookmarkEnd w:id="54"/>
      <w:bookmarkEnd w:id="55"/>
    </w:p>
    <w:p w14:paraId="6189226C" w14:textId="77777777" w:rsidR="00C23742" w:rsidRPr="00810968" w:rsidRDefault="00C23742" w:rsidP="00F51716">
      <w:pPr>
        <w:pStyle w:val="Heading2"/>
      </w:pPr>
      <w:bookmarkStart w:id="56" w:name="_Toc59624203"/>
      <w:bookmarkStart w:id="57" w:name="_Toc56627331"/>
      <w:bookmarkStart w:id="58" w:name="_Toc57039865"/>
      <w:r w:rsidRPr="00A61FD4">
        <w:t>Our Board</w:t>
      </w:r>
      <w:bookmarkEnd w:id="56"/>
      <w:r w:rsidRPr="00A61FD4">
        <w:t xml:space="preserve"> </w:t>
      </w:r>
    </w:p>
    <w:p w14:paraId="64FA80AB" w14:textId="2E6BE7F9" w:rsidR="00C23742" w:rsidRDefault="00C23742" w:rsidP="00F51716">
      <w:r w:rsidRPr="008D2656">
        <w:t xml:space="preserve">The Board met </w:t>
      </w:r>
      <w:r>
        <w:t>11</w:t>
      </w:r>
      <w:r w:rsidRPr="008D2656">
        <w:t xml:space="preserve"> times during </w:t>
      </w:r>
      <w:r w:rsidRPr="0082001A">
        <w:t>2019</w:t>
      </w:r>
      <w:r w:rsidR="00110DB9">
        <w:t>–</w:t>
      </w:r>
      <w:r w:rsidRPr="0082001A">
        <w:t xml:space="preserve">20. The </w:t>
      </w:r>
      <w:r w:rsidRPr="00EA6B9F">
        <w:t xml:space="preserve">attendance of individual members is set out </w:t>
      </w:r>
      <w:r w:rsidR="00110DB9">
        <w:t xml:space="preserve">in  </w:t>
      </w:r>
      <w:r w:rsidR="00110DB9">
        <w:fldChar w:fldCharType="begin"/>
      </w:r>
      <w:r w:rsidR="00110DB9">
        <w:instrText xml:space="preserve"> REF _Ref57272266 \h </w:instrText>
      </w:r>
      <w:r w:rsidR="00110DB9">
        <w:fldChar w:fldCharType="separate"/>
      </w:r>
      <w:r w:rsidR="00205952">
        <w:t xml:space="preserve">Table </w:t>
      </w:r>
      <w:r w:rsidR="00205952">
        <w:rPr>
          <w:noProof/>
        </w:rPr>
        <w:t>22</w:t>
      </w:r>
      <w:r w:rsidR="00110DB9">
        <w:fldChar w:fldCharType="end"/>
      </w:r>
      <w:r w:rsidRPr="00EA6B9F">
        <w:t>.</w:t>
      </w:r>
    </w:p>
    <w:p w14:paraId="577DD47F" w14:textId="572A2E9B" w:rsidR="00110DB9" w:rsidRPr="008815EA" w:rsidRDefault="00110DB9" w:rsidP="00F51716">
      <w:pPr>
        <w:pStyle w:val="Caption"/>
        <w:rPr>
          <w:rFonts w:cstheme="minorHAnsi"/>
          <w:szCs w:val="19"/>
        </w:rPr>
      </w:pPr>
      <w:bookmarkStart w:id="59" w:name="_Ref57272266"/>
      <w:r>
        <w:t xml:space="preserve">Table </w:t>
      </w:r>
      <w:fldSimple w:instr=" SEQ Table \* ARABIC ">
        <w:r w:rsidR="003F15CC">
          <w:rPr>
            <w:noProof/>
          </w:rPr>
          <w:t>22</w:t>
        </w:r>
      </w:fldSimple>
      <w:bookmarkEnd w:id="59"/>
      <w:r>
        <w:t>: Board attendance in 2019–20</w:t>
      </w:r>
    </w:p>
    <w:tbl>
      <w:tblPr>
        <w:tblW w:w="7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525"/>
        <w:gridCol w:w="1525"/>
      </w:tblGrid>
      <w:tr w:rsidR="00C23742" w:rsidRPr="007B2FFA" w14:paraId="3CA824F7" w14:textId="77777777" w:rsidTr="00CF3851">
        <w:trPr>
          <w:trHeight w:val="339"/>
        </w:trPr>
        <w:tc>
          <w:tcPr>
            <w:tcW w:w="4106" w:type="dxa"/>
            <w:shd w:val="clear" w:color="auto" w:fill="82C341" w:themeFill="accent1"/>
            <w:noWrap/>
            <w:vAlign w:val="bottom"/>
            <w:hideMark/>
          </w:tcPr>
          <w:p w14:paraId="79270E7D" w14:textId="77777777" w:rsidR="00C23742" w:rsidRPr="007B2FFA" w:rsidRDefault="00C23742" w:rsidP="00F51716">
            <w:pPr>
              <w:pStyle w:val="TableHeading"/>
            </w:pPr>
            <w:r w:rsidRPr="007B2FFA">
              <w:t>Member</w:t>
            </w:r>
          </w:p>
        </w:tc>
        <w:tc>
          <w:tcPr>
            <w:tcW w:w="1525" w:type="dxa"/>
            <w:shd w:val="clear" w:color="auto" w:fill="82C341" w:themeFill="accent1"/>
            <w:vAlign w:val="bottom"/>
            <w:hideMark/>
          </w:tcPr>
          <w:p w14:paraId="6A63C09A" w14:textId="77777777" w:rsidR="00C23742" w:rsidRPr="007B2FFA" w:rsidRDefault="00C23742" w:rsidP="00F51716">
            <w:pPr>
              <w:pStyle w:val="TableHeading"/>
            </w:pPr>
            <w:r w:rsidRPr="007B2FFA">
              <w:t>Meetings attended</w:t>
            </w:r>
          </w:p>
        </w:tc>
        <w:tc>
          <w:tcPr>
            <w:tcW w:w="1525" w:type="dxa"/>
            <w:shd w:val="clear" w:color="auto" w:fill="82C341" w:themeFill="accent1"/>
          </w:tcPr>
          <w:p w14:paraId="0FE0C311" w14:textId="77777777" w:rsidR="00C23742" w:rsidRPr="007B2FFA" w:rsidRDefault="00C23742" w:rsidP="00F51716">
            <w:pPr>
              <w:pStyle w:val="TableHeading"/>
            </w:pPr>
            <w:r>
              <w:t>Number eligible to attend</w:t>
            </w:r>
          </w:p>
        </w:tc>
      </w:tr>
      <w:tr w:rsidR="00C23742" w:rsidRPr="00993C41" w14:paraId="090CAD98" w14:textId="77777777" w:rsidTr="00CF3851">
        <w:trPr>
          <w:trHeight w:val="300"/>
        </w:trPr>
        <w:tc>
          <w:tcPr>
            <w:tcW w:w="4106" w:type="dxa"/>
            <w:shd w:val="clear" w:color="auto" w:fill="auto"/>
            <w:noWrap/>
            <w:vAlign w:val="bottom"/>
            <w:hideMark/>
          </w:tcPr>
          <w:p w14:paraId="199EDDA4" w14:textId="0B1A8696" w:rsidR="00C23742" w:rsidRPr="00AF6B06" w:rsidRDefault="00C23742" w:rsidP="00F51716">
            <w:pPr>
              <w:pStyle w:val="Tabletext0"/>
            </w:pPr>
            <w:r w:rsidRPr="00AF6B06">
              <w:t>Heather Campbell (Chair</w:t>
            </w:r>
            <w:r w:rsidR="00205952">
              <w:t>person</w:t>
            </w:r>
            <w:r w:rsidRPr="00AF6B06">
              <w:t>)</w:t>
            </w:r>
          </w:p>
        </w:tc>
        <w:tc>
          <w:tcPr>
            <w:tcW w:w="1525" w:type="dxa"/>
            <w:shd w:val="clear" w:color="auto" w:fill="auto"/>
            <w:noWrap/>
            <w:vAlign w:val="bottom"/>
          </w:tcPr>
          <w:p w14:paraId="7EA9A21C" w14:textId="77777777" w:rsidR="00C23742" w:rsidRPr="00C7472C" w:rsidRDefault="00C23742" w:rsidP="00F51716">
            <w:pPr>
              <w:pStyle w:val="tableright"/>
            </w:pPr>
            <w:r w:rsidRPr="00C7472C">
              <w:t>11</w:t>
            </w:r>
          </w:p>
        </w:tc>
        <w:tc>
          <w:tcPr>
            <w:tcW w:w="1525" w:type="dxa"/>
          </w:tcPr>
          <w:p w14:paraId="4CBCFB97" w14:textId="77777777" w:rsidR="00C23742" w:rsidRPr="00C7472C" w:rsidRDefault="00C23742" w:rsidP="00F51716">
            <w:pPr>
              <w:pStyle w:val="tableright"/>
            </w:pPr>
            <w:r w:rsidRPr="00C7472C">
              <w:t>11</w:t>
            </w:r>
          </w:p>
        </w:tc>
      </w:tr>
      <w:tr w:rsidR="00C23742" w:rsidRPr="00993C41" w14:paraId="33DD3635" w14:textId="77777777" w:rsidTr="00CF3851">
        <w:trPr>
          <w:trHeight w:val="300"/>
        </w:trPr>
        <w:tc>
          <w:tcPr>
            <w:tcW w:w="4106" w:type="dxa"/>
            <w:shd w:val="clear" w:color="auto" w:fill="auto"/>
            <w:noWrap/>
            <w:vAlign w:val="bottom"/>
            <w:hideMark/>
          </w:tcPr>
          <w:p w14:paraId="466C5C9C" w14:textId="5BE9D164" w:rsidR="00C23742" w:rsidRPr="00AF6B06" w:rsidRDefault="00C23742" w:rsidP="00F51716">
            <w:pPr>
              <w:pStyle w:val="Tabletext0"/>
            </w:pPr>
            <w:r>
              <w:t>Sarah Clarke</w:t>
            </w:r>
            <w:r w:rsidRPr="00AF6B06">
              <w:t xml:space="preserve"> (Deputy Chair</w:t>
            </w:r>
            <w:r w:rsidR="00205952">
              <w:t>person</w:t>
            </w:r>
            <w:r w:rsidRPr="00AF6B06">
              <w:t>)</w:t>
            </w:r>
          </w:p>
        </w:tc>
        <w:tc>
          <w:tcPr>
            <w:tcW w:w="1525" w:type="dxa"/>
            <w:shd w:val="clear" w:color="auto" w:fill="auto"/>
            <w:noWrap/>
            <w:vAlign w:val="bottom"/>
          </w:tcPr>
          <w:p w14:paraId="4629B5F2" w14:textId="77777777" w:rsidR="00C23742" w:rsidRPr="00C7472C" w:rsidRDefault="00C23742" w:rsidP="00F51716">
            <w:pPr>
              <w:pStyle w:val="tableright"/>
            </w:pPr>
            <w:r w:rsidRPr="00C7472C">
              <w:t>7</w:t>
            </w:r>
          </w:p>
        </w:tc>
        <w:tc>
          <w:tcPr>
            <w:tcW w:w="1525" w:type="dxa"/>
          </w:tcPr>
          <w:p w14:paraId="4935E69F" w14:textId="77777777" w:rsidR="00C23742" w:rsidRPr="00C7472C" w:rsidRDefault="00C23742" w:rsidP="00F51716">
            <w:pPr>
              <w:pStyle w:val="tableright"/>
            </w:pPr>
            <w:r w:rsidRPr="00C7472C">
              <w:t>11</w:t>
            </w:r>
          </w:p>
        </w:tc>
      </w:tr>
      <w:tr w:rsidR="00C23742" w:rsidRPr="00993C41" w14:paraId="4DF05ADB" w14:textId="77777777" w:rsidTr="00CF3851">
        <w:trPr>
          <w:trHeight w:val="300"/>
        </w:trPr>
        <w:tc>
          <w:tcPr>
            <w:tcW w:w="4106" w:type="dxa"/>
            <w:shd w:val="clear" w:color="auto" w:fill="auto"/>
            <w:noWrap/>
            <w:vAlign w:val="bottom"/>
            <w:hideMark/>
          </w:tcPr>
          <w:p w14:paraId="48755DEE" w14:textId="77777777" w:rsidR="00C23742" w:rsidRPr="00AF6B06" w:rsidRDefault="00C23742" w:rsidP="00F51716">
            <w:pPr>
              <w:pStyle w:val="Tabletext0"/>
            </w:pPr>
            <w:r w:rsidRPr="00AF6B06">
              <w:t>Peter Castellas</w:t>
            </w:r>
          </w:p>
        </w:tc>
        <w:tc>
          <w:tcPr>
            <w:tcW w:w="1525" w:type="dxa"/>
            <w:shd w:val="clear" w:color="auto" w:fill="auto"/>
            <w:noWrap/>
            <w:vAlign w:val="bottom"/>
          </w:tcPr>
          <w:p w14:paraId="59A142A9" w14:textId="77777777" w:rsidR="00C23742" w:rsidRPr="00C7472C" w:rsidRDefault="00C23742" w:rsidP="00F51716">
            <w:pPr>
              <w:pStyle w:val="tableright"/>
            </w:pPr>
            <w:r w:rsidRPr="00C7472C">
              <w:t>10</w:t>
            </w:r>
          </w:p>
        </w:tc>
        <w:tc>
          <w:tcPr>
            <w:tcW w:w="1525" w:type="dxa"/>
          </w:tcPr>
          <w:p w14:paraId="1A872703" w14:textId="77777777" w:rsidR="00C23742" w:rsidRPr="00C7472C" w:rsidRDefault="00C23742" w:rsidP="00F51716">
            <w:pPr>
              <w:pStyle w:val="tableright"/>
            </w:pPr>
            <w:r>
              <w:t>11</w:t>
            </w:r>
          </w:p>
        </w:tc>
      </w:tr>
      <w:tr w:rsidR="00C23742" w:rsidRPr="00993C41" w14:paraId="3AE08ED5" w14:textId="77777777" w:rsidTr="00CF3851">
        <w:trPr>
          <w:trHeight w:val="300"/>
        </w:trPr>
        <w:tc>
          <w:tcPr>
            <w:tcW w:w="4106" w:type="dxa"/>
            <w:shd w:val="clear" w:color="auto" w:fill="auto"/>
            <w:noWrap/>
            <w:vAlign w:val="bottom"/>
            <w:hideMark/>
          </w:tcPr>
          <w:p w14:paraId="18DA6950" w14:textId="77777777" w:rsidR="00C23742" w:rsidRPr="00AF6B06" w:rsidRDefault="00C23742" w:rsidP="00F51716">
            <w:pPr>
              <w:pStyle w:val="Tabletext0"/>
            </w:pPr>
            <w:r w:rsidRPr="00AF6B06">
              <w:t>Vicky Darling</w:t>
            </w:r>
          </w:p>
        </w:tc>
        <w:tc>
          <w:tcPr>
            <w:tcW w:w="1525" w:type="dxa"/>
            <w:shd w:val="clear" w:color="auto" w:fill="auto"/>
            <w:noWrap/>
            <w:vAlign w:val="bottom"/>
          </w:tcPr>
          <w:p w14:paraId="0E06EF2B" w14:textId="77777777" w:rsidR="00C23742" w:rsidRPr="00C7472C" w:rsidRDefault="00C23742" w:rsidP="00F51716">
            <w:pPr>
              <w:pStyle w:val="tableright"/>
            </w:pPr>
            <w:r w:rsidRPr="00C7472C">
              <w:t>9</w:t>
            </w:r>
          </w:p>
        </w:tc>
        <w:tc>
          <w:tcPr>
            <w:tcW w:w="1525" w:type="dxa"/>
          </w:tcPr>
          <w:p w14:paraId="3B11F493" w14:textId="77777777" w:rsidR="00C23742" w:rsidRPr="00C7472C" w:rsidRDefault="00C23742" w:rsidP="00F51716">
            <w:pPr>
              <w:pStyle w:val="tableright"/>
            </w:pPr>
            <w:r w:rsidRPr="00C7472C">
              <w:t>11</w:t>
            </w:r>
          </w:p>
        </w:tc>
      </w:tr>
      <w:tr w:rsidR="00C23742" w:rsidRPr="00993C41" w14:paraId="6E68B78B" w14:textId="77777777" w:rsidTr="00CF3851">
        <w:trPr>
          <w:trHeight w:val="300"/>
        </w:trPr>
        <w:tc>
          <w:tcPr>
            <w:tcW w:w="4106" w:type="dxa"/>
            <w:shd w:val="clear" w:color="auto" w:fill="auto"/>
            <w:noWrap/>
            <w:vAlign w:val="bottom"/>
            <w:hideMark/>
          </w:tcPr>
          <w:p w14:paraId="53D45CA4" w14:textId="77777777" w:rsidR="00C23742" w:rsidRPr="00AF6B06" w:rsidRDefault="00C23742" w:rsidP="00F51716">
            <w:pPr>
              <w:pStyle w:val="Tabletext0"/>
            </w:pPr>
            <w:r w:rsidRPr="00AF6B06">
              <w:t>Megan Flynn</w:t>
            </w:r>
          </w:p>
        </w:tc>
        <w:tc>
          <w:tcPr>
            <w:tcW w:w="1525" w:type="dxa"/>
            <w:shd w:val="clear" w:color="auto" w:fill="auto"/>
            <w:noWrap/>
            <w:vAlign w:val="bottom"/>
          </w:tcPr>
          <w:p w14:paraId="14F2E290" w14:textId="77777777" w:rsidR="00C23742" w:rsidRPr="00C7472C" w:rsidRDefault="00C23742" w:rsidP="00F51716">
            <w:pPr>
              <w:pStyle w:val="tableright"/>
            </w:pPr>
            <w:r>
              <w:t>7</w:t>
            </w:r>
          </w:p>
        </w:tc>
        <w:tc>
          <w:tcPr>
            <w:tcW w:w="1525" w:type="dxa"/>
          </w:tcPr>
          <w:p w14:paraId="44EA5FC4" w14:textId="77777777" w:rsidR="00C23742" w:rsidRPr="00C7472C" w:rsidRDefault="00C23742" w:rsidP="00F51716">
            <w:pPr>
              <w:pStyle w:val="tableright"/>
            </w:pPr>
            <w:r w:rsidRPr="00C7472C">
              <w:t>11</w:t>
            </w:r>
          </w:p>
        </w:tc>
      </w:tr>
      <w:tr w:rsidR="00C23742" w:rsidRPr="00993C41" w14:paraId="45389A52" w14:textId="77777777" w:rsidTr="00CF3851">
        <w:trPr>
          <w:trHeight w:val="300"/>
        </w:trPr>
        <w:tc>
          <w:tcPr>
            <w:tcW w:w="4106" w:type="dxa"/>
            <w:shd w:val="clear" w:color="auto" w:fill="auto"/>
            <w:noWrap/>
            <w:vAlign w:val="bottom"/>
            <w:hideMark/>
          </w:tcPr>
          <w:p w14:paraId="42564B6D" w14:textId="59FBBB9F" w:rsidR="00C23742" w:rsidRPr="00AF6B06" w:rsidRDefault="00C23742" w:rsidP="00F51716">
            <w:pPr>
              <w:pStyle w:val="Tabletext0"/>
            </w:pPr>
            <w:r w:rsidRPr="00AF6B06">
              <w:t>Judith Harris</w:t>
            </w:r>
          </w:p>
        </w:tc>
        <w:tc>
          <w:tcPr>
            <w:tcW w:w="1525" w:type="dxa"/>
            <w:shd w:val="clear" w:color="auto" w:fill="auto"/>
            <w:noWrap/>
            <w:vAlign w:val="bottom"/>
          </w:tcPr>
          <w:p w14:paraId="03987F3A" w14:textId="77777777" w:rsidR="00C23742" w:rsidRPr="00C7472C" w:rsidRDefault="00C23742" w:rsidP="00F51716">
            <w:pPr>
              <w:pStyle w:val="tableright"/>
            </w:pPr>
            <w:r>
              <w:t>11</w:t>
            </w:r>
          </w:p>
        </w:tc>
        <w:tc>
          <w:tcPr>
            <w:tcW w:w="1525" w:type="dxa"/>
          </w:tcPr>
          <w:p w14:paraId="0C557365" w14:textId="77777777" w:rsidR="00C23742" w:rsidRPr="00C7472C" w:rsidRDefault="00C23742" w:rsidP="00F51716">
            <w:pPr>
              <w:pStyle w:val="tableright"/>
            </w:pPr>
            <w:r w:rsidRPr="00C7472C">
              <w:t>11</w:t>
            </w:r>
          </w:p>
        </w:tc>
      </w:tr>
      <w:tr w:rsidR="00C23742" w:rsidRPr="00993C41" w14:paraId="31C8F3C8" w14:textId="77777777" w:rsidTr="00CF3851">
        <w:trPr>
          <w:trHeight w:val="300"/>
        </w:trPr>
        <w:tc>
          <w:tcPr>
            <w:tcW w:w="4106" w:type="dxa"/>
            <w:shd w:val="clear" w:color="auto" w:fill="auto"/>
            <w:noWrap/>
            <w:vAlign w:val="bottom"/>
            <w:hideMark/>
          </w:tcPr>
          <w:p w14:paraId="27851136" w14:textId="77777777" w:rsidR="00C23742" w:rsidRPr="00AF6B06" w:rsidRDefault="00C23742" w:rsidP="00F51716">
            <w:pPr>
              <w:pStyle w:val="Tabletext0"/>
            </w:pPr>
            <w:r w:rsidRPr="00AF6B06">
              <w:t>Jennifer Lauber Patterson</w:t>
            </w:r>
          </w:p>
        </w:tc>
        <w:tc>
          <w:tcPr>
            <w:tcW w:w="1525" w:type="dxa"/>
            <w:shd w:val="clear" w:color="auto" w:fill="auto"/>
            <w:noWrap/>
            <w:vAlign w:val="bottom"/>
          </w:tcPr>
          <w:p w14:paraId="36F1FACB" w14:textId="77777777" w:rsidR="00C23742" w:rsidRPr="00C7472C" w:rsidRDefault="00C23742" w:rsidP="00F51716">
            <w:pPr>
              <w:pStyle w:val="tableright"/>
            </w:pPr>
            <w:r w:rsidRPr="00C7472C">
              <w:t>8</w:t>
            </w:r>
          </w:p>
        </w:tc>
        <w:tc>
          <w:tcPr>
            <w:tcW w:w="1525" w:type="dxa"/>
          </w:tcPr>
          <w:p w14:paraId="7C2EFDBB" w14:textId="77777777" w:rsidR="00C23742" w:rsidRPr="00C7472C" w:rsidRDefault="00C23742" w:rsidP="00F51716">
            <w:pPr>
              <w:pStyle w:val="tableright"/>
            </w:pPr>
            <w:r w:rsidRPr="00C7472C">
              <w:t>9</w:t>
            </w:r>
          </w:p>
        </w:tc>
      </w:tr>
      <w:tr w:rsidR="00C23742" w:rsidRPr="00993C41" w14:paraId="79B71859" w14:textId="77777777" w:rsidTr="00CF3851">
        <w:trPr>
          <w:trHeight w:val="300"/>
        </w:trPr>
        <w:tc>
          <w:tcPr>
            <w:tcW w:w="4106" w:type="dxa"/>
            <w:shd w:val="clear" w:color="auto" w:fill="auto"/>
            <w:noWrap/>
            <w:vAlign w:val="bottom"/>
            <w:hideMark/>
          </w:tcPr>
          <w:p w14:paraId="053D1B73" w14:textId="77777777" w:rsidR="00C23742" w:rsidRPr="00AF6B06" w:rsidRDefault="00C23742" w:rsidP="00F51716">
            <w:pPr>
              <w:pStyle w:val="Tabletext0"/>
            </w:pPr>
            <w:r w:rsidRPr="00AF6B06">
              <w:t>Kerry Osborne</w:t>
            </w:r>
          </w:p>
        </w:tc>
        <w:tc>
          <w:tcPr>
            <w:tcW w:w="1525" w:type="dxa"/>
            <w:shd w:val="clear" w:color="auto" w:fill="auto"/>
            <w:noWrap/>
            <w:vAlign w:val="bottom"/>
          </w:tcPr>
          <w:p w14:paraId="1452AB73" w14:textId="77777777" w:rsidR="00C23742" w:rsidRPr="00C7472C" w:rsidRDefault="00C23742" w:rsidP="00F51716">
            <w:pPr>
              <w:pStyle w:val="tableright"/>
            </w:pPr>
            <w:r w:rsidRPr="00C7472C">
              <w:t>11</w:t>
            </w:r>
          </w:p>
        </w:tc>
        <w:tc>
          <w:tcPr>
            <w:tcW w:w="1525" w:type="dxa"/>
          </w:tcPr>
          <w:p w14:paraId="428815BF" w14:textId="77777777" w:rsidR="00C23742" w:rsidRPr="00C7472C" w:rsidRDefault="00C23742" w:rsidP="00F51716">
            <w:pPr>
              <w:pStyle w:val="tableright"/>
            </w:pPr>
            <w:r w:rsidRPr="00C7472C">
              <w:t>11</w:t>
            </w:r>
          </w:p>
        </w:tc>
      </w:tr>
      <w:tr w:rsidR="00C23742" w:rsidRPr="00993C41" w14:paraId="472F7E16" w14:textId="77777777" w:rsidTr="00CF3851">
        <w:trPr>
          <w:trHeight w:val="300"/>
        </w:trPr>
        <w:tc>
          <w:tcPr>
            <w:tcW w:w="4106" w:type="dxa"/>
            <w:shd w:val="clear" w:color="auto" w:fill="auto"/>
            <w:noWrap/>
            <w:vAlign w:val="bottom"/>
          </w:tcPr>
          <w:p w14:paraId="002E17FB" w14:textId="77777777" w:rsidR="00C23742" w:rsidRPr="00AF6B06" w:rsidRDefault="00C23742" w:rsidP="00F51716">
            <w:pPr>
              <w:pStyle w:val="Tabletext0"/>
            </w:pPr>
            <w:r>
              <w:t>Neil Pharaoh</w:t>
            </w:r>
          </w:p>
        </w:tc>
        <w:tc>
          <w:tcPr>
            <w:tcW w:w="1525" w:type="dxa"/>
            <w:shd w:val="clear" w:color="auto" w:fill="auto"/>
            <w:noWrap/>
            <w:vAlign w:val="bottom"/>
          </w:tcPr>
          <w:p w14:paraId="035A9F3A" w14:textId="77777777" w:rsidR="00C23742" w:rsidRPr="00C7472C" w:rsidDel="00FD196C" w:rsidRDefault="00C23742" w:rsidP="00F51716">
            <w:pPr>
              <w:pStyle w:val="tableright"/>
            </w:pPr>
            <w:r w:rsidRPr="00C7472C">
              <w:t>10</w:t>
            </w:r>
          </w:p>
        </w:tc>
        <w:tc>
          <w:tcPr>
            <w:tcW w:w="1525" w:type="dxa"/>
          </w:tcPr>
          <w:p w14:paraId="469B1989" w14:textId="77777777" w:rsidR="00C23742" w:rsidRPr="00C7472C" w:rsidRDefault="00C23742" w:rsidP="00F51716">
            <w:pPr>
              <w:pStyle w:val="tableright"/>
            </w:pPr>
            <w:r w:rsidRPr="00C7472C">
              <w:t>11</w:t>
            </w:r>
          </w:p>
        </w:tc>
      </w:tr>
    </w:tbl>
    <w:p w14:paraId="0404F979" w14:textId="77777777" w:rsidR="00C23742" w:rsidRPr="00B00D51" w:rsidRDefault="00C23742" w:rsidP="00F51716"/>
    <w:p w14:paraId="4DE34483" w14:textId="5247291E" w:rsidR="00C23742" w:rsidRPr="00AF02C2" w:rsidRDefault="00C23742" w:rsidP="00F51716">
      <w:r w:rsidRPr="00AF02C2">
        <w:t xml:space="preserve">The </w:t>
      </w:r>
      <w:r w:rsidRPr="00AF02C2">
        <w:rPr>
          <w:i/>
          <w:iCs/>
        </w:rPr>
        <w:t>Sustainability Victoria Act 2005</w:t>
      </w:r>
      <w:r w:rsidRPr="00AF02C2">
        <w:t xml:space="preserve"> allows for the Minister for Energy, Environment and Climate Change to appoint seven to nine non-executive members to the SV Board. In appointing members to oversee SV’s strategy and functions, the </w:t>
      </w:r>
      <w:r w:rsidR="00203313">
        <w:t>M</w:t>
      </w:r>
      <w:r w:rsidR="00203313" w:rsidRPr="00AF02C2">
        <w:t xml:space="preserve">inister </w:t>
      </w:r>
      <w:r w:rsidRPr="00AF02C2">
        <w:t xml:space="preserve">considers their skills, experience and knowledge. </w:t>
      </w:r>
    </w:p>
    <w:p w14:paraId="22C84037" w14:textId="77777777" w:rsidR="00C23742" w:rsidRPr="00AF6B06" w:rsidRDefault="00C23742" w:rsidP="00F51716">
      <w:pPr>
        <w:rPr>
          <w:rFonts w:cstheme="minorHAnsi"/>
          <w:color w:val="000000"/>
          <w:sz w:val="19"/>
          <w:szCs w:val="19"/>
        </w:rPr>
      </w:pPr>
      <w:r w:rsidRPr="00AF02C2">
        <w:t xml:space="preserve">To meet its responsibility for good governance and effective leadership, the Board: </w:t>
      </w:r>
    </w:p>
    <w:p w14:paraId="775443A9" w14:textId="77777777" w:rsidR="00C23742" w:rsidRPr="00AF6B06" w:rsidRDefault="00C23742" w:rsidP="00F51716">
      <w:pPr>
        <w:pStyle w:val="ListBullet"/>
        <w:rPr>
          <w:rFonts w:cstheme="minorHAnsi"/>
          <w:sz w:val="19"/>
          <w:szCs w:val="19"/>
        </w:rPr>
      </w:pPr>
      <w:r w:rsidRPr="00AF02C2">
        <w:t xml:space="preserve">sets our strategic direction, objectives and performance targets </w:t>
      </w:r>
    </w:p>
    <w:p w14:paraId="76B4A7BF" w14:textId="1F5E2CB5" w:rsidR="00C23742" w:rsidRPr="00AF6B06" w:rsidRDefault="00C23742" w:rsidP="00F51716">
      <w:pPr>
        <w:pStyle w:val="ListBullet"/>
        <w:rPr>
          <w:rFonts w:cstheme="minorHAnsi"/>
          <w:sz w:val="19"/>
          <w:szCs w:val="19"/>
        </w:rPr>
      </w:pPr>
      <w:r w:rsidRPr="00AF02C2">
        <w:t xml:space="preserve">selects the CEO </w:t>
      </w:r>
    </w:p>
    <w:p w14:paraId="0B94463F" w14:textId="77777777" w:rsidR="00C23742" w:rsidRPr="00AF6B06" w:rsidRDefault="00C23742" w:rsidP="00F51716">
      <w:pPr>
        <w:pStyle w:val="ListBullet"/>
      </w:pPr>
      <w:r w:rsidRPr="00AF02C2">
        <w:t>monitors operational and fin</w:t>
      </w:r>
      <w:r w:rsidRPr="00AF6B06">
        <w:t xml:space="preserve">ancial performance </w:t>
      </w:r>
    </w:p>
    <w:p w14:paraId="52579C1A" w14:textId="77777777" w:rsidR="00C23742" w:rsidRPr="00AF6B06" w:rsidRDefault="00C23742" w:rsidP="00F51716">
      <w:pPr>
        <w:pStyle w:val="ListBullet"/>
        <w:rPr>
          <w:rFonts w:cstheme="minorHAnsi"/>
          <w:sz w:val="19"/>
          <w:szCs w:val="19"/>
        </w:rPr>
      </w:pPr>
      <w:r w:rsidRPr="00AF02C2">
        <w:t xml:space="preserve">oversees compliance with laws, regulations and other obligations </w:t>
      </w:r>
    </w:p>
    <w:p w14:paraId="060C7AA6" w14:textId="77777777" w:rsidR="00C23742" w:rsidRPr="00AF6B06" w:rsidRDefault="00C23742" w:rsidP="00F51716">
      <w:pPr>
        <w:pStyle w:val="ListBullet"/>
        <w:rPr>
          <w:rFonts w:cstheme="minorHAnsi"/>
          <w:sz w:val="19"/>
          <w:szCs w:val="19"/>
        </w:rPr>
      </w:pPr>
      <w:r w:rsidRPr="00AF02C2">
        <w:t xml:space="preserve">sets and monitors internal controls to manage risks </w:t>
      </w:r>
    </w:p>
    <w:p w14:paraId="27C9E6AE" w14:textId="0F013E6A" w:rsidR="00C23742" w:rsidRPr="00AF6B06" w:rsidRDefault="00C23742" w:rsidP="00F51716">
      <w:pPr>
        <w:pStyle w:val="ListBullet"/>
        <w:rPr>
          <w:rFonts w:cstheme="minorHAnsi"/>
          <w:sz w:val="19"/>
          <w:szCs w:val="19"/>
        </w:rPr>
      </w:pPr>
      <w:r w:rsidRPr="00AF02C2">
        <w:t xml:space="preserve">ensures good conduct and stakeholder relationships </w:t>
      </w:r>
    </w:p>
    <w:p w14:paraId="07A379C8" w14:textId="238BA50A" w:rsidR="00C23742" w:rsidRPr="00C7472C" w:rsidRDefault="00C23742" w:rsidP="00F51716">
      <w:pPr>
        <w:pStyle w:val="ListBullet"/>
      </w:pPr>
      <w:r w:rsidRPr="00AF02C2">
        <w:t xml:space="preserve">manages and monitors </w:t>
      </w:r>
      <w:r>
        <w:t>b</w:t>
      </w:r>
      <w:r w:rsidRPr="00AF02C2">
        <w:t xml:space="preserve">oard and committee conduct and performance. </w:t>
      </w:r>
    </w:p>
    <w:p w14:paraId="25839598" w14:textId="69F65351" w:rsidR="00C23742" w:rsidRPr="00C7472C" w:rsidRDefault="00C23742" w:rsidP="00F51716">
      <w:r w:rsidRPr="00C7472C">
        <w:t>In 2019</w:t>
      </w:r>
      <w:r w:rsidR="00110DB9">
        <w:t>–</w:t>
      </w:r>
      <w:r w:rsidRPr="00C7472C">
        <w:t>20</w:t>
      </w:r>
      <w:r w:rsidR="00110DB9">
        <w:t>,</w:t>
      </w:r>
      <w:r w:rsidRPr="00C7472C">
        <w:t xml:space="preserve"> the Board continued its focus on setting the future direction for </w:t>
      </w:r>
      <w:r>
        <w:t>SV</w:t>
      </w:r>
      <w:r w:rsidRPr="00C7472C">
        <w:t>, including appoint</w:t>
      </w:r>
      <w:r w:rsidR="00110DB9">
        <w:t xml:space="preserve">ing </w:t>
      </w:r>
      <w:r w:rsidRPr="00C7472C">
        <w:t xml:space="preserve">new </w:t>
      </w:r>
      <w:r>
        <w:t>CEO</w:t>
      </w:r>
      <w:r w:rsidRPr="00C7472C">
        <w:t xml:space="preserve"> Claire Ferres Miles on 13</w:t>
      </w:r>
      <w:r w:rsidR="007536F1">
        <w:t> </w:t>
      </w:r>
      <w:r w:rsidRPr="00C7472C">
        <w:t>November</w:t>
      </w:r>
      <w:r w:rsidR="007536F1">
        <w:t> </w:t>
      </w:r>
      <w:r w:rsidRPr="00C7472C">
        <w:t>2019.</w:t>
      </w:r>
    </w:p>
    <w:p w14:paraId="440EBAF1" w14:textId="7573F751" w:rsidR="00C23742" w:rsidRPr="00C7472C" w:rsidRDefault="00C23742" w:rsidP="00F51716">
      <w:r>
        <w:t>On 1</w:t>
      </w:r>
      <w:r w:rsidR="007536F1">
        <w:t> </w:t>
      </w:r>
      <w:r>
        <w:t>July</w:t>
      </w:r>
      <w:r w:rsidR="007536F1">
        <w:t> </w:t>
      </w:r>
      <w:r>
        <w:t>2019, t</w:t>
      </w:r>
      <w:r w:rsidRPr="00C7472C">
        <w:t>he Minister for Energy Environment and Climate Change appointed Neil Pharaoh to the Board</w:t>
      </w:r>
      <w:r>
        <w:t>, replacing Kane Thornton</w:t>
      </w:r>
      <w:r w:rsidDel="0071335D">
        <w:t>.</w:t>
      </w:r>
      <w:r w:rsidRPr="00C7472C">
        <w:t xml:space="preserve"> </w:t>
      </w:r>
      <w:r>
        <w:t>Megan Flynn was reappointed for a further four-year term.</w:t>
      </w:r>
      <w:r w:rsidRPr="00C7472C">
        <w:t xml:space="preserve"> </w:t>
      </w:r>
    </w:p>
    <w:p w14:paraId="04267769" w14:textId="2B9B127C" w:rsidR="00C23742" w:rsidRPr="00C7472C" w:rsidRDefault="00C23742" w:rsidP="00F51716">
      <w:r>
        <w:t xml:space="preserve">Heather Campbell resigned from her position as Chairperson after more than four years leading the Board. During her term </w:t>
      </w:r>
      <w:r w:rsidRPr="00C7472C">
        <w:t>Ms Campbell led the Board through a period of significant change, including establish</w:t>
      </w:r>
      <w:r w:rsidR="00110DB9">
        <w:t xml:space="preserve">ing </w:t>
      </w:r>
      <w:r w:rsidRPr="00C7472C">
        <w:t>Solar Victoria and responsibility for deliver</w:t>
      </w:r>
      <w:r w:rsidR="00110DB9">
        <w:t xml:space="preserve">ing </w:t>
      </w:r>
      <w:r w:rsidRPr="00C7472C">
        <w:t>key components of the Recycling Victoria policy.</w:t>
      </w:r>
      <w:r>
        <w:t xml:space="preserve"> On 19</w:t>
      </w:r>
      <w:r w:rsidR="007536F1">
        <w:t> </w:t>
      </w:r>
      <w:r>
        <w:t>May</w:t>
      </w:r>
      <w:r w:rsidR="007536F1">
        <w:t> </w:t>
      </w:r>
      <w:r>
        <w:t>2020,</w:t>
      </w:r>
      <w:r w:rsidRPr="00C7472C">
        <w:t xml:space="preserve"> Jennifer Lauber Patterson </w:t>
      </w:r>
      <w:r>
        <w:t>submitted her resignation.</w:t>
      </w:r>
    </w:p>
    <w:p w14:paraId="52BFB20A" w14:textId="77777777" w:rsidR="00C23742" w:rsidRPr="00C7472C" w:rsidRDefault="00C23742" w:rsidP="00F51716">
      <w:r w:rsidRPr="00C7472C">
        <w:t>The Recycling Victoria policy</w:t>
      </w:r>
      <w:r w:rsidRPr="0075013C">
        <w:t xml:space="preserve"> marks a new phase for the Board, which now has strategic and financial oversight of a raft of programs designed to transform the Victorian economy by reducing waste, increasing recycling and creating more value from resources.</w:t>
      </w:r>
    </w:p>
    <w:p w14:paraId="1F1DFAA2" w14:textId="11C0C690" w:rsidR="00C23742" w:rsidRPr="00C7472C" w:rsidRDefault="00C23742" w:rsidP="00F51716">
      <w:r w:rsidRPr="00C7472C">
        <w:t>Since April</w:t>
      </w:r>
      <w:r w:rsidR="00D62AF2">
        <w:t>,</w:t>
      </w:r>
      <w:r w:rsidRPr="00C7472C">
        <w:t xml:space="preserve"> the </w:t>
      </w:r>
      <w:r>
        <w:t>Board</w:t>
      </w:r>
      <w:r w:rsidRPr="00C7472C">
        <w:t xml:space="preserve"> has taken oversight of SV’s response to the COVID-19 pandemic, in particular the measures taken to ensure staff’s ongoing health and wellbeing.</w:t>
      </w:r>
    </w:p>
    <w:p w14:paraId="6807DD09" w14:textId="7CC60116" w:rsidR="00C23742" w:rsidRPr="001F0478" w:rsidRDefault="00C23742" w:rsidP="009C0026">
      <w:pPr>
        <w:pStyle w:val="Heading3"/>
      </w:pPr>
      <w:r w:rsidRPr="008815EA">
        <w:t xml:space="preserve">Board members </w:t>
      </w:r>
    </w:p>
    <w:p w14:paraId="10B78DF2" w14:textId="1A028441" w:rsidR="00C23742" w:rsidRPr="00D07781" w:rsidRDefault="00C23742" w:rsidP="00205952">
      <w:pPr>
        <w:pStyle w:val="Heading4"/>
      </w:pPr>
      <w:r w:rsidRPr="00D07781">
        <w:t>Heather Campbell, Chairperson (until 30</w:t>
      </w:r>
      <w:r w:rsidR="007536F1">
        <w:t> </w:t>
      </w:r>
      <w:r w:rsidRPr="00D07781">
        <w:t>June</w:t>
      </w:r>
      <w:r w:rsidR="007536F1">
        <w:t> </w:t>
      </w:r>
      <w:r w:rsidRPr="00D07781">
        <w:t>2020)</w:t>
      </w:r>
    </w:p>
    <w:p w14:paraId="6CCD3110" w14:textId="77777777" w:rsidR="00C23742" w:rsidRPr="00D07781" w:rsidRDefault="00C23742" w:rsidP="00F51716">
      <w:r w:rsidRPr="00D07781">
        <w:t>Heather Campbell has more than 25 years of experience leading the management of environmental and sustainability issues and brings experience of conservation, waste minimisation and energy efficiency.</w:t>
      </w:r>
    </w:p>
    <w:p w14:paraId="16E01CD7" w14:textId="77777777" w:rsidR="00C23742" w:rsidRPr="00D07781" w:rsidRDefault="00C23742" w:rsidP="00F51716">
      <w:r w:rsidRPr="00D07781">
        <w:t>Currently the CEO of Bush Heritage Australia, Heather was the CEO of Landcare Australia and held executive and senior managerial roles with Amcor, CSIRO, Federation Centres, Ridley AgriProducts and Cheetham Salt.</w:t>
      </w:r>
    </w:p>
    <w:p w14:paraId="2EBF187B" w14:textId="5212FE61" w:rsidR="00C23742" w:rsidRPr="00C7472C" w:rsidRDefault="00C23742" w:rsidP="00F51716">
      <w:pPr>
        <w:rPr>
          <w:rFonts w:ascii="Arial" w:hAnsi="Arial" w:cs="Arial"/>
          <w:color w:val="000000"/>
          <w:lang w:val="en"/>
        </w:rPr>
      </w:pPr>
      <w:r w:rsidRPr="00D07781">
        <w:t xml:space="preserve">Heather also has extensive experience as a </w:t>
      </w:r>
      <w:r w:rsidR="00C65C26">
        <w:t>board</w:t>
      </w:r>
      <w:r w:rsidRPr="00D07781">
        <w:t xml:space="preserve"> director and advisory committee member across government, education and the not</w:t>
      </w:r>
      <w:r w:rsidR="000729FA">
        <w:t>-</w:t>
      </w:r>
      <w:r w:rsidRPr="00D07781">
        <w:t>for</w:t>
      </w:r>
      <w:r w:rsidR="000729FA">
        <w:t>-</w:t>
      </w:r>
      <w:r w:rsidRPr="00D07781">
        <w:t>profit sector. Until concluding her term as Chairperson on 30</w:t>
      </w:r>
      <w:r w:rsidR="007536F1">
        <w:t> </w:t>
      </w:r>
      <w:r w:rsidRPr="00D07781">
        <w:t>June</w:t>
      </w:r>
      <w:r w:rsidR="007536F1">
        <w:t> </w:t>
      </w:r>
      <w:r w:rsidRPr="00D07781">
        <w:t>2020, Heather was a member of the Board’s People Culture and Remuneration Committee and attended the Audit Risk and Finance Committee as an observer.</w:t>
      </w:r>
    </w:p>
    <w:p w14:paraId="741AFF3F" w14:textId="77777777" w:rsidR="00C23742" w:rsidRPr="00C7472C" w:rsidRDefault="00C23742" w:rsidP="00205952">
      <w:pPr>
        <w:pStyle w:val="Heading4"/>
      </w:pPr>
      <w:r w:rsidRPr="00C7472C">
        <w:t>Sarah Clarke, Deputy Chairperson</w:t>
      </w:r>
    </w:p>
    <w:p w14:paraId="4ABF088D" w14:textId="1EE32478" w:rsidR="00C23742" w:rsidRPr="00D07781" w:rsidRDefault="00C23742" w:rsidP="00F51716">
      <w:pPr>
        <w:rPr>
          <w:lang w:val="en"/>
        </w:rPr>
      </w:pPr>
      <w:r w:rsidRPr="00D07781">
        <w:rPr>
          <w:lang w:val="en"/>
        </w:rPr>
        <w:t xml:space="preserve">Sarah leads Mirvac’s highly regarded </w:t>
      </w:r>
      <w:r w:rsidR="00234408">
        <w:rPr>
          <w:rStyle w:val="acopre"/>
        </w:rPr>
        <w:t>Environmental</w:t>
      </w:r>
      <w:r w:rsidR="0075013C">
        <w:rPr>
          <w:rStyle w:val="acopre"/>
        </w:rPr>
        <w:t>,</w:t>
      </w:r>
      <w:r w:rsidR="0075013C" w:rsidDel="00234408">
        <w:rPr>
          <w:rStyle w:val="acopre"/>
        </w:rPr>
        <w:t xml:space="preserve"> </w:t>
      </w:r>
      <w:r w:rsidR="00234408">
        <w:rPr>
          <w:rStyle w:val="acopre"/>
        </w:rPr>
        <w:t xml:space="preserve">Social </w:t>
      </w:r>
      <w:r w:rsidR="0075013C">
        <w:rPr>
          <w:rStyle w:val="acopre"/>
        </w:rPr>
        <w:t xml:space="preserve">and </w:t>
      </w:r>
      <w:r w:rsidR="00E40A88">
        <w:rPr>
          <w:rStyle w:val="acopre"/>
        </w:rPr>
        <w:t>Corporate Governance (ESG) group</w:t>
      </w:r>
      <w:r w:rsidR="00E40A88" w:rsidRPr="00D07781">
        <w:rPr>
          <w:lang w:val="en"/>
        </w:rPr>
        <w:t xml:space="preserve"> </w:t>
      </w:r>
      <w:r w:rsidRPr="00D07781">
        <w:rPr>
          <w:lang w:val="en"/>
        </w:rPr>
        <w:t xml:space="preserve">and sustainability strategy, </w:t>
      </w:r>
      <w:r w:rsidRPr="0075013C">
        <w:rPr>
          <w:i/>
          <w:iCs/>
          <w:lang w:val="en"/>
        </w:rPr>
        <w:t>This Changes Everything</w:t>
      </w:r>
      <w:r w:rsidRPr="00D07781">
        <w:rPr>
          <w:lang w:val="en"/>
        </w:rPr>
        <w:t xml:space="preserve">, and is also </w:t>
      </w:r>
      <w:r w:rsidR="0075013C" w:rsidRPr="00D07781">
        <w:rPr>
          <w:lang w:val="en"/>
        </w:rPr>
        <w:t>deputy chair</w:t>
      </w:r>
      <w:r w:rsidRPr="00D07781">
        <w:rPr>
          <w:lang w:val="en"/>
        </w:rPr>
        <w:t xml:space="preserve"> of Mirvac Energy. </w:t>
      </w:r>
    </w:p>
    <w:p w14:paraId="1DB7DC05" w14:textId="13B584F1" w:rsidR="00C23742" w:rsidRPr="00D07781" w:rsidRDefault="0075013C" w:rsidP="00F51716">
      <w:pPr>
        <w:rPr>
          <w:lang w:val="en"/>
        </w:rPr>
      </w:pPr>
      <w:r>
        <w:rPr>
          <w:lang w:val="en"/>
        </w:rPr>
        <w:t>Sarah</w:t>
      </w:r>
      <w:r w:rsidR="00C23742" w:rsidRPr="00D07781">
        <w:rPr>
          <w:lang w:val="en"/>
        </w:rPr>
        <w:t xml:space="preserve"> has deep public affairs and sustainability experience across multiple sectors, industries, and jurisdictions, including federal and state government, top 20 ASX, and not-for-profit (as a non-executive director), in oil and gas, public transport, and social policy, across Australia and internationally.  </w:t>
      </w:r>
    </w:p>
    <w:p w14:paraId="5F13872A" w14:textId="77777777" w:rsidR="00205952" w:rsidRDefault="00C23742" w:rsidP="00F51716">
      <w:pPr>
        <w:rPr>
          <w:lang w:val="en"/>
        </w:rPr>
      </w:pPr>
      <w:r w:rsidRPr="00D07781">
        <w:rPr>
          <w:lang w:val="en"/>
        </w:rPr>
        <w:t>Sarah received a Master of Arts (Professional &amp; Applied Ethics) from the University of Melbourne, is a graduate of the Prince of Wales Business &amp; Sustainability Leadership course from the University of Cambridge, and holds a Bachelor of Arts (Hons, English) from James Cook University. Sarah is a member of the Board’s People Culture and Remuneration Committee.</w:t>
      </w:r>
    </w:p>
    <w:p w14:paraId="31807AA4" w14:textId="76E8E12E" w:rsidR="00C23742" w:rsidRPr="00205952" w:rsidRDefault="00C23742" w:rsidP="00205952">
      <w:pPr>
        <w:pStyle w:val="Heading4"/>
      </w:pPr>
      <w:r w:rsidRPr="00205952">
        <w:t>Peter Castellas</w:t>
      </w:r>
    </w:p>
    <w:p w14:paraId="28EDC2B7" w14:textId="014F3C04" w:rsidR="00C23742" w:rsidRPr="00265C0C" w:rsidRDefault="00C23742" w:rsidP="00F51716">
      <w:r w:rsidRPr="00265C0C">
        <w:t xml:space="preserve">Peter Castellas has more than 20 years’ experience in environment and sustainability. He is the </w:t>
      </w:r>
      <w:r w:rsidR="0075013C" w:rsidRPr="00265C0C">
        <w:t>chief execu</w:t>
      </w:r>
      <w:r w:rsidRPr="00265C0C">
        <w:t xml:space="preserve">tive of Tasman Environmental Markets. </w:t>
      </w:r>
      <w:r w:rsidRPr="00110DB9">
        <w:t xml:space="preserve">Peter is also </w:t>
      </w:r>
      <w:r w:rsidR="0075013C">
        <w:t>d</w:t>
      </w:r>
      <w:r w:rsidRPr="00110DB9">
        <w:t>irector at Clean Technology Australasia and a member of the Queensland Climate Advisory Council.</w:t>
      </w:r>
      <w:r w:rsidRPr="00265C0C">
        <w:t xml:space="preserve"> From 2013 </w:t>
      </w:r>
      <w:r w:rsidR="0075013C">
        <w:t xml:space="preserve">to </w:t>
      </w:r>
      <w:r w:rsidRPr="00265C0C">
        <w:t xml:space="preserve">2018, Peter was the </w:t>
      </w:r>
      <w:r w:rsidR="0075013C" w:rsidRPr="00265C0C">
        <w:t>chief execu</w:t>
      </w:r>
      <w:r w:rsidRPr="00265C0C">
        <w:t>tive of the Carbon Market Institute, assisting Australian businesses in meeting the challenges and opportunities in transitioning to a low</w:t>
      </w:r>
      <w:r w:rsidR="000729FA">
        <w:t>-</w:t>
      </w:r>
      <w:r w:rsidRPr="00265C0C">
        <w:t xml:space="preserve">carbon economy. Other previous roles include </w:t>
      </w:r>
      <w:r w:rsidR="00C65C26" w:rsidRPr="00265C0C">
        <w:t>director of sustainability, carbon and cleantech</w:t>
      </w:r>
      <w:r w:rsidRPr="00265C0C">
        <w:t xml:space="preserve"> at Deloitte Touche Tohmatsu and </w:t>
      </w:r>
      <w:r w:rsidR="00C65C26" w:rsidRPr="00265C0C">
        <w:t>managing direct</w:t>
      </w:r>
      <w:r w:rsidRPr="00265C0C">
        <w:t xml:space="preserve">or of Cleantech Australasia for five years where he designed and ran successful clean technology, finance and investment initiatives in Australia and overseas. </w:t>
      </w:r>
    </w:p>
    <w:p w14:paraId="4453B7DA" w14:textId="77777777" w:rsidR="00C23742" w:rsidRPr="00C7472C" w:rsidRDefault="00C23742" w:rsidP="00F51716">
      <w:pPr>
        <w:rPr>
          <w:color w:val="000000"/>
          <w:szCs w:val="19"/>
          <w:lang w:val="en"/>
        </w:rPr>
      </w:pPr>
      <w:r w:rsidRPr="00265C0C">
        <w:t>Peter holds a Bachelor of Education (Environmental Studies) and a Post Graduate Certificate in Cleaner Production and Environmental Engineering. Peter chairs the Board’s People, Culture and Remuneration Committee.</w:t>
      </w:r>
    </w:p>
    <w:p w14:paraId="5AC10A13" w14:textId="77777777" w:rsidR="00C23742" w:rsidRPr="00C7472C" w:rsidRDefault="00C23742" w:rsidP="00205952">
      <w:pPr>
        <w:pStyle w:val="Heading4"/>
      </w:pPr>
      <w:r w:rsidRPr="00C7472C">
        <w:t>Vicky Darling</w:t>
      </w:r>
    </w:p>
    <w:p w14:paraId="3AAC599D" w14:textId="0C935140" w:rsidR="00C23742" w:rsidRPr="00D07781" w:rsidRDefault="00C23742" w:rsidP="00F51716">
      <w:r w:rsidRPr="00D07781">
        <w:t>Vicky Darling is CEO</w:t>
      </w:r>
      <w:r w:rsidR="007536F1">
        <w:t xml:space="preserve"> at</w:t>
      </w:r>
      <w:r w:rsidRPr="00D07781">
        <w:t xml:space="preserve"> Volunteering and Contact ACT. She has over 20 years</w:t>
      </w:r>
      <w:r w:rsidR="00664133">
        <w:t>’</w:t>
      </w:r>
      <w:r w:rsidRPr="00D07781">
        <w:t xml:space="preserve"> experience in government including senior public sector strategic policy roles, and senior advisory roles for a former Premier of Queensland and a former Commonwealth </w:t>
      </w:r>
      <w:r w:rsidR="00664133">
        <w:t>g</w:t>
      </w:r>
      <w:r w:rsidRPr="00D07781">
        <w:t xml:space="preserve">overnment </w:t>
      </w:r>
      <w:r w:rsidR="00664133">
        <w:t>m</w:t>
      </w:r>
      <w:r w:rsidRPr="00D07781">
        <w:t xml:space="preserve">inister. </w:t>
      </w:r>
    </w:p>
    <w:p w14:paraId="00F6A64B" w14:textId="77777777" w:rsidR="00C23742" w:rsidRPr="00D07781" w:rsidRDefault="00C23742" w:rsidP="00F51716">
      <w:r w:rsidRPr="00D07781">
        <w:t xml:space="preserve">Vicky was a Member of the Queensland Parliament for six years from 2006 to 2012 including one year as Minister for Environment during which she negotiated with local government and industry to pass Queensland’s first waste reduction and recycling legislation and new litter laws. </w:t>
      </w:r>
    </w:p>
    <w:p w14:paraId="11563EF3" w14:textId="1A9616A4" w:rsidR="00C23742" w:rsidRPr="00D07781" w:rsidRDefault="00C23742" w:rsidP="00F51716">
      <w:r w:rsidRPr="00D07781">
        <w:t xml:space="preserve">Vicky also serves on the </w:t>
      </w:r>
      <w:r w:rsidR="00C65C26">
        <w:t>B</w:t>
      </w:r>
      <w:r w:rsidRPr="00D07781">
        <w:t xml:space="preserve">oard of the </w:t>
      </w:r>
      <w:r w:rsidR="00E1393E" w:rsidRPr="00D07781">
        <w:t>Australian Capital Territory</w:t>
      </w:r>
      <w:r w:rsidRPr="00D07781">
        <w:t xml:space="preserve"> Cultural Facilities Corporation. She has previous committee experience as a member of the Australian Capital Territory Waste Feasibility Study Community Reference Group, Chair of the Queensland Waste and Recycling Expert Advisory Panel, </w:t>
      </w:r>
      <w:r w:rsidR="007536F1" w:rsidRPr="00D07781">
        <w:t xml:space="preserve">parliamentary committees, budget estimates committees </w:t>
      </w:r>
      <w:r w:rsidRPr="00D07781">
        <w:t xml:space="preserve">and the Far North Queensland Ministerial Regional Community Forum. </w:t>
      </w:r>
    </w:p>
    <w:p w14:paraId="34B9B07E" w14:textId="2A78FDFB" w:rsidR="00C23742" w:rsidRDefault="00C23742" w:rsidP="00F51716">
      <w:pPr>
        <w:rPr>
          <w:b/>
        </w:rPr>
      </w:pPr>
      <w:r w:rsidRPr="00D07781">
        <w:t xml:space="preserve">Vicky holds a Bachelor of Arts and is a </w:t>
      </w:r>
      <w:r w:rsidR="007536F1">
        <w:t>g</w:t>
      </w:r>
      <w:r w:rsidRPr="00D07781">
        <w:t>raduate of the Australian Institute of Company Directors. During the year Vicky was a member of the Board’s Audit Risk and Finance Committee.</w:t>
      </w:r>
    </w:p>
    <w:p w14:paraId="52B4AA4D" w14:textId="77777777" w:rsidR="00C23742" w:rsidRPr="00C7472C" w:rsidRDefault="00C23742" w:rsidP="00205952">
      <w:pPr>
        <w:pStyle w:val="Heading4"/>
      </w:pPr>
      <w:r w:rsidRPr="00C7472C">
        <w:t>Megan Flynn</w:t>
      </w:r>
    </w:p>
    <w:p w14:paraId="77F629F8" w14:textId="07252BA9" w:rsidR="00C23742" w:rsidRPr="00D07781" w:rsidRDefault="00C23742" w:rsidP="00F51716">
      <w:r w:rsidRPr="00D07781">
        <w:t xml:space="preserve">Megan is a </w:t>
      </w:r>
      <w:r w:rsidR="00664133">
        <w:t>p</w:t>
      </w:r>
      <w:r w:rsidRPr="00D07781">
        <w:t xml:space="preserve">artner in Pollination Capital Partners. She was formerly Qantas Group Manager – Environment and Carbon Strategy. </w:t>
      </w:r>
    </w:p>
    <w:p w14:paraId="7458E0AE" w14:textId="63227E7E" w:rsidR="00110DB9" w:rsidRDefault="00C23742" w:rsidP="00F51716">
      <w:r w:rsidRPr="00D07781">
        <w:t xml:space="preserve">Megan is an experienced business development professional in international and domestic environmental markets and policy </w:t>
      </w:r>
      <w:r w:rsidR="008E0354">
        <w:t>with a</w:t>
      </w:r>
      <w:r w:rsidR="008E0354" w:rsidRPr="00D07781">
        <w:t xml:space="preserve"> </w:t>
      </w:r>
      <w:r w:rsidRPr="00D07781">
        <w:t>background is in law, sustainable business management and corporate strategy. Megan is a non-executive director of the Carbon Market Institute and sits on the Advisory Board of the Melbourne Sustainable Society Institute for the University of Melbourne. Megan chaired the Board’s People Culture and Remuneration Committee until September 2019, and continued as a member.</w:t>
      </w:r>
      <w:r>
        <w:t xml:space="preserve"> </w:t>
      </w:r>
    </w:p>
    <w:p w14:paraId="39B4F718" w14:textId="46F306CE" w:rsidR="00C23742" w:rsidRPr="00C7472C" w:rsidRDefault="00C23742" w:rsidP="00205952">
      <w:pPr>
        <w:pStyle w:val="Heading4"/>
      </w:pPr>
      <w:r w:rsidRPr="00C7472C">
        <w:t>Judi Harris</w:t>
      </w:r>
    </w:p>
    <w:p w14:paraId="6E78320D" w14:textId="77777777" w:rsidR="00C23742" w:rsidRPr="00D07781" w:rsidRDefault="00C23742" w:rsidP="00F51716">
      <w:r w:rsidRPr="00D07781">
        <w:t xml:space="preserve">Judi Harris brings expertise in education and local government with a strong focus on community engagement. She is a former Mildura Rural City councillor (2008-2016) and held the council’s environmental sustainability portfolio from 2012 to 2016. </w:t>
      </w:r>
    </w:p>
    <w:p w14:paraId="142510DD" w14:textId="626C3601" w:rsidR="00C23742" w:rsidRPr="00C7472C" w:rsidRDefault="00C23742" w:rsidP="00F51716">
      <w:r w:rsidRPr="00D07781">
        <w:t xml:space="preserve">Judi has held numerous </w:t>
      </w:r>
      <w:r w:rsidR="00C65C26">
        <w:t>board</w:t>
      </w:r>
      <w:r w:rsidRPr="00D07781">
        <w:t xml:space="preserve"> and committee memberships in arts, education and sustainability, including five years as </w:t>
      </w:r>
      <w:r w:rsidR="00C65C26">
        <w:t>d</w:t>
      </w:r>
      <w:r w:rsidRPr="00D07781">
        <w:t xml:space="preserve">eputy </w:t>
      </w:r>
      <w:r w:rsidR="00C65C26">
        <w:t>c</w:t>
      </w:r>
      <w:r w:rsidRPr="00D07781">
        <w:t>hair of the former Mildura Regional Waste Management Group. Her 36-year education career included secondary education, eight years as an enhancement tutor in communication and media studies at Monash University, and educational consulting in the United States of America for four years. Judi holds a Bachelor of Arts and a Secondary Teachers Certificate. Judi is a member of the Board’s People Culture and Remuneration Committee, and joined the Audit Risk and Finance Committee in June 2020.</w:t>
      </w:r>
    </w:p>
    <w:p w14:paraId="7C8A3725" w14:textId="77777777" w:rsidR="00C23742" w:rsidRPr="00C7472C" w:rsidRDefault="00C23742" w:rsidP="00205952">
      <w:pPr>
        <w:pStyle w:val="Heading4"/>
      </w:pPr>
      <w:r w:rsidRPr="00C7472C">
        <w:t>Jennifer Lauber Patterson (until May 2020)</w:t>
      </w:r>
    </w:p>
    <w:p w14:paraId="0B84F236" w14:textId="4D3A9662" w:rsidR="00C23742" w:rsidRPr="00D07781" w:rsidRDefault="00C23742" w:rsidP="00F51716">
      <w:r w:rsidRPr="00D07781">
        <w:t>Jennifer Lauber Patterson is Managing Director</w:t>
      </w:r>
      <w:r w:rsidRPr="00D07781" w:rsidDel="004574C4">
        <w:t xml:space="preserve"> </w:t>
      </w:r>
      <w:r w:rsidR="004574C4">
        <w:t>of</w:t>
      </w:r>
      <w:r w:rsidR="004574C4" w:rsidRPr="00D07781">
        <w:t xml:space="preserve"> </w:t>
      </w:r>
      <w:r w:rsidRPr="00D07781">
        <w:t xml:space="preserve">Frontier Impact </w:t>
      </w:r>
      <w:r w:rsidR="00664133">
        <w:t>G</w:t>
      </w:r>
      <w:r w:rsidRPr="00D07781">
        <w:t xml:space="preserve">roup with a 30-year track record in energy and banking with a focus on achieving carbon reduction solutions that help businesses and the economy to move to a net carbon zero community. Jennifer is </w:t>
      </w:r>
      <w:r w:rsidR="00D33E2B">
        <w:t xml:space="preserve">also leading the global landscape regenerative initiative for Climate Crisis Capital (3C) supporting the Ark2030 to restore 500 M hectares of land globally by 2030. </w:t>
      </w:r>
      <w:r w:rsidR="00D33E2B" w:rsidRPr="00B9286D">
        <w:t xml:space="preserve"> Jennifer is</w:t>
      </w:r>
      <w:r w:rsidR="00D33E2B">
        <w:t xml:space="preserve"> a non-executive director of </w:t>
      </w:r>
      <w:r w:rsidRPr="00D07781">
        <w:t>Chair</w:t>
      </w:r>
      <w:r w:rsidR="00DA2256">
        <w:t>,</w:t>
      </w:r>
      <w:r w:rsidR="00664133">
        <w:t xml:space="preserve"> of</w:t>
      </w:r>
      <w:r w:rsidRPr="00D07781">
        <w:t xml:space="preserve"> Carbon8, a social fundraising platform that focuses on regenerative agriculture</w:t>
      </w:r>
      <w:r w:rsidR="00B00711">
        <w:t xml:space="preserve"> and an advisor to the Southern Cross Regenerative Agriculture working group</w:t>
      </w:r>
      <w:r w:rsidR="00B00711" w:rsidRPr="00B7347B">
        <w:t>.</w:t>
      </w:r>
      <w:r w:rsidR="00DB3A6B">
        <w:t xml:space="preserve"> </w:t>
      </w:r>
      <w:r w:rsidRPr="00D07781">
        <w:t xml:space="preserve">Jennifer was ANZ’s </w:t>
      </w:r>
      <w:r w:rsidR="00664133" w:rsidRPr="00D07781">
        <w:t>director of electricity, renewables and emission</w:t>
      </w:r>
      <w:r w:rsidRPr="00D07781">
        <w:t xml:space="preserve"> in the early 2000s and later in 2010 she </w:t>
      </w:r>
      <w:r w:rsidR="00664133">
        <w:t>worked</w:t>
      </w:r>
      <w:r w:rsidRPr="00D07781">
        <w:t xml:space="preserve"> with NAB as </w:t>
      </w:r>
      <w:r w:rsidR="00664133">
        <w:t xml:space="preserve">the </w:t>
      </w:r>
      <w:r w:rsidR="00664133" w:rsidRPr="00D07781">
        <w:t>head of environmental treasury solutions</w:t>
      </w:r>
      <w:r w:rsidRPr="00D07781">
        <w:t xml:space="preserve">. Jennifer also served on the </w:t>
      </w:r>
      <w:r w:rsidR="00C65C26">
        <w:t>B</w:t>
      </w:r>
      <w:r w:rsidRPr="00D07781">
        <w:t xml:space="preserve">oard of Yarra Energy Foundation for 10 years (with </w:t>
      </w:r>
      <w:r>
        <w:t>four</w:t>
      </w:r>
      <w:r w:rsidRPr="00D07781">
        <w:t xml:space="preserve"> years as Chair), the </w:t>
      </w:r>
      <w:r w:rsidR="00664133">
        <w:t>h</w:t>
      </w:r>
      <w:r w:rsidRPr="00D07781">
        <w:t>ead of the Climate Markets Investment Association and as an advisor to the Carbon Market Institution and the Asia</w:t>
      </w:r>
      <w:r w:rsidR="000729FA">
        <w:t>–</w:t>
      </w:r>
      <w:r w:rsidRPr="00D07781">
        <w:t>Pacific Emission Trading Forum.</w:t>
      </w:r>
    </w:p>
    <w:p w14:paraId="064CA7D6" w14:textId="4AB5A4C5" w:rsidR="00C23742" w:rsidRDefault="00C23742" w:rsidP="00F51716">
      <w:r w:rsidRPr="00D07781">
        <w:t xml:space="preserve">Jennifer is a </w:t>
      </w:r>
      <w:r w:rsidR="00664133" w:rsidRPr="00D07781">
        <w:t xml:space="preserve">certified practicing accountant </w:t>
      </w:r>
      <w:r w:rsidRPr="00D07781">
        <w:t>and member of the Australian Institute of Company Directors.</w:t>
      </w:r>
    </w:p>
    <w:p w14:paraId="4E7F2A6A" w14:textId="77777777" w:rsidR="00205952" w:rsidRPr="008C2E04" w:rsidRDefault="00205952" w:rsidP="00205952">
      <w:pPr>
        <w:pStyle w:val="Heading4"/>
      </w:pPr>
      <w:r w:rsidRPr="008C2E04">
        <w:t>Kerry Osborne</w:t>
      </w:r>
    </w:p>
    <w:p w14:paraId="7F8B12F3" w14:textId="240703E8" w:rsidR="00205952" w:rsidRPr="0096385E" w:rsidRDefault="00205952" w:rsidP="00205952">
      <w:r w:rsidRPr="008C2E04">
        <w:t xml:space="preserve">Kerry’s strengths lie in strategic leadership, financial sustainability and positive organisational change. Kerry is the </w:t>
      </w:r>
      <w:r w:rsidR="00664133" w:rsidRPr="008C2E04">
        <w:t xml:space="preserve">managing partner </w:t>
      </w:r>
      <w:r w:rsidRPr="008C2E04">
        <w:t xml:space="preserve">of </w:t>
      </w:r>
      <w:r>
        <w:t>the</w:t>
      </w:r>
      <w:r w:rsidRPr="008C2E04">
        <w:t xml:space="preserve"> mentoring consultancy, The Leader’s Mentor. He has had significant leadershi</w:t>
      </w:r>
      <w:r w:rsidRPr="0096385E">
        <w:t>p roles across both government and corporate sectors.</w:t>
      </w:r>
    </w:p>
    <w:p w14:paraId="1562EA71" w14:textId="64540BD0" w:rsidR="00205952" w:rsidRPr="008C2E04" w:rsidRDefault="00205952" w:rsidP="00205952">
      <w:r w:rsidRPr="0096385E">
        <w:t xml:space="preserve">Prior roles include </w:t>
      </w:r>
      <w:r w:rsidR="00664133" w:rsidRPr="0096385E">
        <w:t xml:space="preserve">chief </w:t>
      </w:r>
      <w:r w:rsidR="00664133" w:rsidRPr="008C2E04">
        <w:t>executive</w:t>
      </w:r>
      <w:r w:rsidRPr="008C2E04">
        <w:t xml:space="preserve"> of the Courts of Victoria and </w:t>
      </w:r>
      <w:r w:rsidR="00664133" w:rsidRPr="008C2E04">
        <w:t xml:space="preserve">managing director </w:t>
      </w:r>
      <w:r w:rsidRPr="008C2E04">
        <w:t xml:space="preserve">of CityWide Services, an environmental, engineering and recycling business, owned by the City of Melbourne. Earlier he was the founding </w:t>
      </w:r>
      <w:r w:rsidR="007536F1">
        <w:t xml:space="preserve">CEO </w:t>
      </w:r>
      <w:r w:rsidRPr="008C2E04">
        <w:t xml:space="preserve">of Excell Corporation delivering environmental, facilities management and engineering services to local government, across </w:t>
      </w:r>
      <w:r w:rsidR="00664133">
        <w:t>e</w:t>
      </w:r>
      <w:r w:rsidRPr="008C2E04">
        <w:t>astern Australia.</w:t>
      </w:r>
    </w:p>
    <w:p w14:paraId="0EC8B5C3" w14:textId="235F7C56" w:rsidR="00205952" w:rsidRPr="00C7472C" w:rsidRDefault="00205952" w:rsidP="00205952">
      <w:r w:rsidRPr="008C2E04">
        <w:t xml:space="preserve">Kerry holds a Master of Business Administration (Chicago Booth Business School), is a </w:t>
      </w:r>
      <w:r w:rsidR="00664133" w:rsidRPr="008C2E04">
        <w:t xml:space="preserve">civil engineer </w:t>
      </w:r>
      <w:r w:rsidRPr="008C2E04">
        <w:t>and is also a Fellow of the Australian Institute of Company Directors. Kerry chairs the Board’s Audit, Risk and Finance Committee.</w:t>
      </w:r>
    </w:p>
    <w:p w14:paraId="45CF6248" w14:textId="77777777" w:rsidR="00C23742" w:rsidRPr="002A2535" w:rsidRDefault="00C23742" w:rsidP="00205952">
      <w:pPr>
        <w:pStyle w:val="Heading4"/>
      </w:pPr>
      <w:r w:rsidRPr="002A2535">
        <w:t>Neil Pharaoh</w:t>
      </w:r>
    </w:p>
    <w:p w14:paraId="3FFA3E12" w14:textId="14E02EC4" w:rsidR="00C23742" w:rsidRPr="0014216D" w:rsidRDefault="00C23742" w:rsidP="00F51716">
      <w:r w:rsidRPr="0014216D">
        <w:t xml:space="preserve">Neil Pharaoh has more than </w:t>
      </w:r>
      <w:r w:rsidR="00664133">
        <w:t>15</w:t>
      </w:r>
      <w:r w:rsidRPr="0014216D">
        <w:t xml:space="preserve"> years of domestic and international experience in campaigning, advocacy and stakeholder engagement. He is an experienced Senior Consulting Executive, advising and consulting to improve strategy, impact, outcomes and engagement across the social purpose and business sectors.</w:t>
      </w:r>
    </w:p>
    <w:p w14:paraId="7E2C112D" w14:textId="77777777" w:rsidR="00C23742" w:rsidRPr="0014216D" w:rsidRDefault="00C23742" w:rsidP="00F51716">
      <w:r w:rsidRPr="0014216D">
        <w:t>Before consulting, Neil worked in various senior fundraising, marketing, communications, campaigns and government relations roles including education and child welfare and, internationally, in geopolitical risk and international aid and development organisations.</w:t>
      </w:r>
    </w:p>
    <w:p w14:paraId="7B9BE6FA" w14:textId="0EA0BEA4" w:rsidR="00C23742" w:rsidRPr="006F5413" w:rsidRDefault="00C23742" w:rsidP="00F51716">
      <w:r w:rsidRPr="0014216D">
        <w:t xml:space="preserve">Neil currently serves as director for a number of philanthropic, health and education organisations. He has a Bachelor of Commerce (Accounting and Marketing) and Bachelor of Laws from the Australian National University and is a </w:t>
      </w:r>
      <w:r w:rsidR="00664133">
        <w:t>g</w:t>
      </w:r>
      <w:r w:rsidRPr="0014216D">
        <w:t>raduate of the Australia</w:t>
      </w:r>
      <w:r w:rsidR="00664133">
        <w:t>n</w:t>
      </w:r>
      <w:r w:rsidRPr="0014216D">
        <w:t xml:space="preserve"> Institute of Company Directors. Neil is a member of the Audit, Risk and Finance Committee</w:t>
      </w:r>
      <w:r w:rsidRPr="00857E54">
        <w:t>.</w:t>
      </w:r>
    </w:p>
    <w:p w14:paraId="26F8F9EF" w14:textId="77777777" w:rsidR="00C23742" w:rsidRDefault="00C23742" w:rsidP="00F51716">
      <w:r w:rsidRPr="006F5413">
        <w:br w:type="page"/>
      </w:r>
    </w:p>
    <w:p w14:paraId="64D694A3" w14:textId="77777777" w:rsidR="00C23742" w:rsidRPr="001F0478" w:rsidRDefault="00C23742" w:rsidP="00205952">
      <w:pPr>
        <w:pStyle w:val="Heading2"/>
      </w:pPr>
      <w:bookmarkStart w:id="60" w:name="_Toc59624204"/>
      <w:r w:rsidRPr="00F1713B">
        <w:t>Board committees</w:t>
      </w:r>
      <w:bookmarkEnd w:id="60"/>
      <w:r>
        <w:t xml:space="preserve"> </w:t>
      </w:r>
    </w:p>
    <w:p w14:paraId="530DD1C2" w14:textId="0B536770" w:rsidR="003A2096" w:rsidRDefault="00C23742" w:rsidP="00F51716">
      <w:r w:rsidRPr="008D2656">
        <w:t>The Board has two standing committees, the Audit</w:t>
      </w:r>
      <w:r>
        <w:t>,</w:t>
      </w:r>
      <w:r w:rsidRPr="008D2656">
        <w:t xml:space="preserve"> Risk and Finance Committee and the People Culture and Remuneration Committee. Both committees have governance and oversight responsibilities under legislation</w:t>
      </w:r>
      <w:r w:rsidRPr="0082001A">
        <w:t xml:space="preserve">. </w:t>
      </w:r>
    </w:p>
    <w:p w14:paraId="1711109A" w14:textId="4C824A57" w:rsidR="00C23742" w:rsidRPr="008815EA" w:rsidRDefault="00C23742" w:rsidP="00F51716">
      <w:r w:rsidRPr="00C767BA">
        <w:t xml:space="preserve">The Board reviewed its committee memberships in September 2019, reappointing Vicky Darling to the </w:t>
      </w:r>
      <w:r w:rsidR="003A2096" w:rsidRPr="008D2656">
        <w:t>Audit</w:t>
      </w:r>
      <w:r w:rsidR="003A2096">
        <w:t>,</w:t>
      </w:r>
      <w:r w:rsidR="003A2096" w:rsidRPr="008D2656">
        <w:t xml:space="preserve"> Risk and Finance Committee</w:t>
      </w:r>
      <w:r w:rsidRPr="00C767BA">
        <w:t xml:space="preserve"> following the cessation of the Solar Victoria Steering Committee and appointing Peter Castellas as chair of the People Culture and Remuneration Committee, succeeding Megan Flynn who remained a member of the committee.</w:t>
      </w:r>
    </w:p>
    <w:p w14:paraId="04B6A031" w14:textId="77777777" w:rsidR="00C23742" w:rsidRPr="001F0478" w:rsidRDefault="00C23742" w:rsidP="0075013C">
      <w:pPr>
        <w:pStyle w:val="Heading3"/>
        <w:rPr>
          <w:b/>
        </w:rPr>
      </w:pPr>
      <w:r w:rsidRPr="00F1713B">
        <w:t>Audit, Risk and Finance Committee</w:t>
      </w:r>
    </w:p>
    <w:p w14:paraId="6D2C2CC6" w14:textId="54E5F883" w:rsidR="00C23742" w:rsidRPr="0082001A" w:rsidRDefault="00C23742" w:rsidP="00F51716">
      <w:r w:rsidRPr="008D2656">
        <w:t>The Audit, Risk and Finance Committee comprised the following members in 2019</w:t>
      </w:r>
      <w:r w:rsidR="00980424">
        <w:t>–</w:t>
      </w:r>
      <w:r w:rsidRPr="008D2656">
        <w:t>20</w:t>
      </w:r>
      <w:r w:rsidR="0075013C">
        <w:t>:</w:t>
      </w:r>
      <w:r w:rsidRPr="008D2656">
        <w:t xml:space="preserve"> </w:t>
      </w:r>
    </w:p>
    <w:p w14:paraId="52BE91E1" w14:textId="7102F9D7" w:rsidR="00C23742" w:rsidRPr="00AF6B06" w:rsidRDefault="00C23742" w:rsidP="00F51716">
      <w:pPr>
        <w:pStyle w:val="ListBullet"/>
      </w:pPr>
      <w:r w:rsidRPr="00EA6B9F">
        <w:t>Ker</w:t>
      </w:r>
      <w:r w:rsidRPr="008815EA">
        <w:t>ry Osborne, Committee Chair</w:t>
      </w:r>
      <w:r w:rsidR="00C65C26">
        <w:t>person</w:t>
      </w:r>
      <w:r w:rsidRPr="008815EA">
        <w:t xml:space="preserve"> from Sep</w:t>
      </w:r>
      <w:r w:rsidRPr="001F0478">
        <w:t>tember 2019</w:t>
      </w:r>
    </w:p>
    <w:p w14:paraId="73EF3895" w14:textId="0B0E3182" w:rsidR="00C23742" w:rsidRDefault="00C23742" w:rsidP="00F51716">
      <w:pPr>
        <w:pStyle w:val="ListBullet"/>
      </w:pPr>
      <w:r w:rsidRPr="00AF6B06">
        <w:t xml:space="preserve">Jennifer Lauber Patterson, </w:t>
      </w:r>
      <w:r w:rsidR="00C65C26" w:rsidRPr="00AF6B06">
        <w:t>board memb</w:t>
      </w:r>
      <w:r w:rsidRPr="00AF6B06">
        <w:t xml:space="preserve">er </w:t>
      </w:r>
      <w:r>
        <w:t>(until May 2020)</w:t>
      </w:r>
    </w:p>
    <w:p w14:paraId="3B5A8FC9" w14:textId="2B586C2F" w:rsidR="00C23742" w:rsidRDefault="00C23742" w:rsidP="00F51716">
      <w:pPr>
        <w:pStyle w:val="ListBullet"/>
      </w:pPr>
      <w:r>
        <w:t xml:space="preserve">Neil Pharaoh, </w:t>
      </w:r>
      <w:r w:rsidR="00C65C26">
        <w:t>board me</w:t>
      </w:r>
      <w:r>
        <w:t>mber (from September 2019)</w:t>
      </w:r>
    </w:p>
    <w:p w14:paraId="1C4ADBFA" w14:textId="484525CF" w:rsidR="00C23742" w:rsidRPr="008E4798" w:rsidRDefault="00C23742" w:rsidP="00F51716">
      <w:pPr>
        <w:pStyle w:val="ListBullet"/>
      </w:pPr>
      <w:r w:rsidRPr="008E4798">
        <w:t>Vicky Darling,</w:t>
      </w:r>
      <w:r w:rsidR="00C65C26" w:rsidRPr="008E4798">
        <w:t xml:space="preserve"> board me</w:t>
      </w:r>
      <w:r w:rsidRPr="008E4798">
        <w:t>mber (from September 2019)</w:t>
      </w:r>
    </w:p>
    <w:p w14:paraId="7EE5C402" w14:textId="5D18C2BA" w:rsidR="00C23742" w:rsidRDefault="00C23742" w:rsidP="00F51716">
      <w:pPr>
        <w:pStyle w:val="ListBullet"/>
      </w:pPr>
      <w:r>
        <w:t xml:space="preserve">Judi Harris, </w:t>
      </w:r>
      <w:r w:rsidR="00C65C26">
        <w:t>board me</w:t>
      </w:r>
      <w:r>
        <w:t>mber (from June 2020)</w:t>
      </w:r>
    </w:p>
    <w:p w14:paraId="4F9D77C9" w14:textId="30D38577" w:rsidR="00C23742" w:rsidRPr="00AF6B06" w:rsidRDefault="00C23742" w:rsidP="00F51716">
      <w:pPr>
        <w:pStyle w:val="ListBullet"/>
      </w:pPr>
      <w:r w:rsidRPr="00AF6B06">
        <w:t xml:space="preserve">Lee Wapling, </w:t>
      </w:r>
      <w:r w:rsidR="00C65C26" w:rsidRPr="00AF6B06">
        <w:t>external me</w:t>
      </w:r>
      <w:r w:rsidRPr="00AF6B06">
        <w:t xml:space="preserve">mber (acting Chair </w:t>
      </w:r>
      <w:r>
        <w:t>until September 2019; resigned December 2019)</w:t>
      </w:r>
    </w:p>
    <w:p w14:paraId="67094BFC" w14:textId="397F7FB6" w:rsidR="00C23742" w:rsidRPr="00AF6B06" w:rsidRDefault="00C23742" w:rsidP="00F51716">
      <w:pPr>
        <w:pStyle w:val="ListBullet"/>
      </w:pPr>
      <w:r w:rsidRPr="00AF6B06">
        <w:t xml:space="preserve">Liza Maimone, </w:t>
      </w:r>
      <w:r w:rsidR="00C65C26" w:rsidRPr="00AF6B06">
        <w:t>external mem</w:t>
      </w:r>
      <w:r w:rsidRPr="00AF6B06">
        <w:t>ber</w:t>
      </w:r>
    </w:p>
    <w:p w14:paraId="390CE167" w14:textId="78E0B24E" w:rsidR="00C23742" w:rsidRPr="00AF6B06" w:rsidRDefault="00C23742" w:rsidP="00205952">
      <w:r w:rsidRPr="00AF6B06">
        <w:t xml:space="preserve">The Chair of the Board Heather Campbell attends </w:t>
      </w:r>
      <w:r>
        <w:t>c</w:t>
      </w:r>
      <w:r w:rsidRPr="00AF6B06">
        <w:t>ommittee meetings as an observer.</w:t>
      </w:r>
    </w:p>
    <w:p w14:paraId="52840E1F" w14:textId="7401321F" w:rsidR="00C23742" w:rsidRPr="00AF6B06" w:rsidRDefault="00C23742" w:rsidP="00F51716">
      <w:r w:rsidRPr="00AF6B06">
        <w:t>The Audit</w:t>
      </w:r>
      <w:r>
        <w:t>,</w:t>
      </w:r>
      <w:r w:rsidRPr="00AF6B06">
        <w:t xml:space="preserve"> Risk and Finance Committee is established in accordance with the requirements of </w:t>
      </w:r>
      <w:r w:rsidRPr="00AF6B06">
        <w:rPr>
          <w:i/>
        </w:rPr>
        <w:t>Standing Direction of the Minister for Finance</w:t>
      </w:r>
      <w:r w:rsidRPr="00AF6B06">
        <w:t xml:space="preserve"> 3.2.1 – Audit Committees. All members of the </w:t>
      </w:r>
      <w:r>
        <w:t>c</w:t>
      </w:r>
      <w:r w:rsidRPr="00AF6B06">
        <w:t>ommittee are independent within the definition of the guidance on the Standing Direction and are not involved in the day</w:t>
      </w:r>
      <w:r w:rsidR="0075013C">
        <w:t>-</w:t>
      </w:r>
      <w:r w:rsidRPr="00AF6B06">
        <w:t>to</w:t>
      </w:r>
      <w:r w:rsidR="0075013C">
        <w:t>-</w:t>
      </w:r>
      <w:r w:rsidRPr="00AF6B06">
        <w:t xml:space="preserve">day management of SV. There </w:t>
      </w:r>
      <w:r w:rsidR="0075013C">
        <w:t>we</w:t>
      </w:r>
      <w:r w:rsidRPr="00AF6B06">
        <w:t>re two external members</w:t>
      </w:r>
      <w:r w:rsidR="0075013C">
        <w:t xml:space="preserve"> in 2019–20</w:t>
      </w:r>
      <w:r w:rsidRPr="00AF6B06">
        <w:t>: Lee Wapling, CEO of FMD Financial, and Liza Maimone, Managing Director PwC Australia Consulting.</w:t>
      </w:r>
      <w:r>
        <w:t xml:space="preserve"> Lee Wapling resigned from the committee in December 2019.</w:t>
      </w:r>
    </w:p>
    <w:p w14:paraId="2F1EAF8D" w14:textId="2A9A957B" w:rsidR="00C23742" w:rsidRPr="00AF6B06" w:rsidRDefault="00C23742" w:rsidP="00F51716">
      <w:r w:rsidRPr="00AF6B06">
        <w:t xml:space="preserve">When Kane Thornton took leave from the </w:t>
      </w:r>
      <w:r w:rsidR="00C65C26">
        <w:t>Board</w:t>
      </w:r>
      <w:r w:rsidRPr="00AF6B06">
        <w:t xml:space="preserve"> in October 2018, Lee Wapling became acting Chair and continued in that role until </w:t>
      </w:r>
      <w:r>
        <w:t>September 2019</w:t>
      </w:r>
      <w:r w:rsidRPr="00AF6B06">
        <w:t xml:space="preserve">. </w:t>
      </w:r>
    </w:p>
    <w:p w14:paraId="47418A77" w14:textId="397DBEC6" w:rsidR="00C23742" w:rsidRDefault="00C23742" w:rsidP="00F51716">
      <w:r w:rsidRPr="00AF6B06">
        <w:t xml:space="preserve">The </w:t>
      </w:r>
      <w:r>
        <w:t>c</w:t>
      </w:r>
      <w:r w:rsidRPr="00AF6B06">
        <w:t>ommittee has adopted terms of reference that set out its roles and responsibilities under Standing Direction 3.2.1.1. Key responsibilities of the Audit</w:t>
      </w:r>
      <w:r>
        <w:t>,</w:t>
      </w:r>
      <w:r w:rsidRPr="00AF6B06">
        <w:t xml:space="preserve"> Risk and Finance Committee are to: </w:t>
      </w:r>
    </w:p>
    <w:p w14:paraId="3869D3B1" w14:textId="58C29CB6" w:rsidR="00C23742" w:rsidRPr="003974CA" w:rsidRDefault="00C23742" w:rsidP="00F51716">
      <w:pPr>
        <w:pStyle w:val="ListBullet"/>
      </w:pPr>
      <w:r w:rsidRPr="003974CA">
        <w:t xml:space="preserve">review and report independently to the </w:t>
      </w:r>
      <w:r w:rsidR="007D09AA">
        <w:t>B</w:t>
      </w:r>
      <w:r w:rsidR="007D09AA" w:rsidRPr="003974CA">
        <w:t xml:space="preserve">oard </w:t>
      </w:r>
      <w:r w:rsidRPr="003974CA">
        <w:t>on the annual report and all other financial information</w:t>
      </w:r>
      <w:r>
        <w:t xml:space="preserve"> </w:t>
      </w:r>
      <w:r w:rsidRPr="003974CA">
        <w:t>published by SV</w:t>
      </w:r>
    </w:p>
    <w:p w14:paraId="4EEB0CAF" w14:textId="46167E09" w:rsidR="00C23742" w:rsidRPr="003974CA" w:rsidRDefault="00C23742" w:rsidP="00F51716">
      <w:pPr>
        <w:pStyle w:val="ListBullet"/>
      </w:pPr>
      <w:r w:rsidRPr="003974CA">
        <w:t xml:space="preserve">assist the </w:t>
      </w:r>
      <w:r w:rsidR="00C65C26">
        <w:t>Board</w:t>
      </w:r>
      <w:r w:rsidR="007D09AA" w:rsidRPr="003974CA">
        <w:t xml:space="preserve"> </w:t>
      </w:r>
      <w:r w:rsidRPr="003974CA">
        <w:t xml:space="preserve">in reviewing the effectiveness of SV’s internal control environment covering: </w:t>
      </w:r>
    </w:p>
    <w:p w14:paraId="2A52782E" w14:textId="3D02D10D" w:rsidR="00C23742" w:rsidRPr="003974CA" w:rsidRDefault="00C23742" w:rsidP="00F51716">
      <w:pPr>
        <w:pStyle w:val="ListBullet2"/>
      </w:pPr>
      <w:r w:rsidRPr="003974CA">
        <w:t xml:space="preserve">effectiveness and efficiency of operations </w:t>
      </w:r>
    </w:p>
    <w:p w14:paraId="38D9580D" w14:textId="301ABEE2" w:rsidR="00C23742" w:rsidRPr="003974CA" w:rsidRDefault="00C23742" w:rsidP="00F51716">
      <w:pPr>
        <w:pStyle w:val="ListBullet2"/>
      </w:pPr>
      <w:r w:rsidRPr="003974CA">
        <w:t>reliability of financial reporting</w:t>
      </w:r>
    </w:p>
    <w:p w14:paraId="0513AE50" w14:textId="0D19B1CE" w:rsidR="00C23742" w:rsidRPr="003974CA" w:rsidRDefault="00C23742" w:rsidP="00F51716">
      <w:pPr>
        <w:pStyle w:val="ListBullet2"/>
      </w:pPr>
      <w:r w:rsidRPr="003974CA">
        <w:t xml:space="preserve">compliance with applicable laws and regulations </w:t>
      </w:r>
    </w:p>
    <w:p w14:paraId="5F12E064" w14:textId="32E39CC7" w:rsidR="00C23742" w:rsidRPr="003974CA" w:rsidRDefault="00C23742" w:rsidP="00F51716">
      <w:pPr>
        <w:pStyle w:val="ListBullet"/>
      </w:pPr>
      <w:r w:rsidRPr="003974CA">
        <w:t xml:space="preserve">determine the scope of the internal audit function and ensure its resources are adequate and used effectively, including coordination with the external auditors </w:t>
      </w:r>
    </w:p>
    <w:p w14:paraId="72375868" w14:textId="77777777" w:rsidR="00C23742" w:rsidRPr="003974CA" w:rsidRDefault="00C23742" w:rsidP="00F51716">
      <w:pPr>
        <w:pStyle w:val="ListBullet"/>
      </w:pPr>
      <w:r w:rsidRPr="003974CA">
        <w:t xml:space="preserve">oversee the effective operation of the risk management framework. </w:t>
      </w:r>
    </w:p>
    <w:p w14:paraId="62F3DBBE" w14:textId="5F7795A5" w:rsidR="00C23742" w:rsidRPr="003974CA" w:rsidRDefault="00C23742" w:rsidP="00F51716">
      <w:r w:rsidRPr="003974CA">
        <w:t xml:space="preserve">Members are appointed by the </w:t>
      </w:r>
      <w:r w:rsidR="00C65C26">
        <w:t>Board</w:t>
      </w:r>
      <w:r w:rsidRPr="003974CA">
        <w:t xml:space="preserve">, usually for a three-year term, and are subject to the committee’s terms of reference. </w:t>
      </w:r>
    </w:p>
    <w:p w14:paraId="4041EEFA" w14:textId="26468EAD" w:rsidR="00C23742" w:rsidRDefault="00C23742" w:rsidP="00F51716">
      <w:r w:rsidRPr="003974CA">
        <w:t xml:space="preserve">The </w:t>
      </w:r>
      <w:r w:rsidR="007D09AA">
        <w:t>c</w:t>
      </w:r>
      <w:r w:rsidR="007D09AA" w:rsidRPr="003974CA">
        <w:t xml:space="preserve">ommittee </w:t>
      </w:r>
      <w:r w:rsidRPr="003974CA">
        <w:t xml:space="preserve">met </w:t>
      </w:r>
      <w:r>
        <w:t>seven</w:t>
      </w:r>
      <w:r w:rsidRPr="003974CA">
        <w:t xml:space="preserve"> times in </w:t>
      </w:r>
      <w:r w:rsidRPr="001F0478">
        <w:t>2019</w:t>
      </w:r>
      <w:r w:rsidR="00980424">
        <w:t>–</w:t>
      </w:r>
      <w:r>
        <w:t>20</w:t>
      </w:r>
      <w:r w:rsidR="00CF3851">
        <w:t>. Attendance is</w:t>
      </w:r>
      <w:r w:rsidR="0075013C">
        <w:t xml:space="preserve"> listed</w:t>
      </w:r>
      <w:r w:rsidR="00CF3851">
        <w:t xml:space="preserve"> in</w:t>
      </w:r>
      <w:r w:rsidR="0075013C">
        <w:t xml:space="preserve"> </w:t>
      </w:r>
      <w:r w:rsidR="007B2077">
        <w:fldChar w:fldCharType="begin"/>
      </w:r>
      <w:r w:rsidR="007B2077">
        <w:instrText xml:space="preserve"> REF _Ref57272694 \h </w:instrText>
      </w:r>
      <w:r w:rsidR="007B2077">
        <w:fldChar w:fldCharType="separate"/>
      </w:r>
      <w:r w:rsidR="00205952" w:rsidRPr="007B2077">
        <w:t xml:space="preserve">Table </w:t>
      </w:r>
      <w:r w:rsidR="00205952">
        <w:rPr>
          <w:noProof/>
        </w:rPr>
        <w:t>23</w:t>
      </w:r>
      <w:r w:rsidR="007B2077">
        <w:fldChar w:fldCharType="end"/>
      </w:r>
    </w:p>
    <w:p w14:paraId="139ACFBC" w14:textId="6FF17842" w:rsidR="00110DB9" w:rsidRPr="007B2077" w:rsidRDefault="00110DB9" w:rsidP="00F51716">
      <w:pPr>
        <w:pStyle w:val="Caption"/>
      </w:pPr>
      <w:bookmarkStart w:id="61" w:name="_Ref57272694"/>
      <w:r w:rsidRPr="007B2077">
        <w:t xml:space="preserve">Table </w:t>
      </w:r>
      <w:fldSimple w:instr=" SEQ Table \* ARABIC ">
        <w:r w:rsidR="003F15CC">
          <w:rPr>
            <w:noProof/>
          </w:rPr>
          <w:t>23</w:t>
        </w:r>
      </w:fldSimple>
      <w:bookmarkEnd w:id="61"/>
      <w:r w:rsidRPr="007B2077">
        <w:t>: Audit, Risk and Finance Committee attendance in 2019–20</w:t>
      </w:r>
    </w:p>
    <w:tbl>
      <w:tblPr>
        <w:tblW w:w="8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693"/>
        <w:gridCol w:w="1701"/>
        <w:gridCol w:w="1170"/>
      </w:tblGrid>
      <w:tr w:rsidR="00C23742" w:rsidRPr="00E230C9" w14:paraId="5B56173A" w14:textId="77777777" w:rsidTr="0075013C">
        <w:trPr>
          <w:trHeight w:val="255"/>
          <w:tblHeader/>
        </w:trPr>
        <w:tc>
          <w:tcPr>
            <w:tcW w:w="3114" w:type="dxa"/>
            <w:shd w:val="clear" w:color="auto" w:fill="82C341" w:themeFill="accent1"/>
            <w:noWrap/>
            <w:vAlign w:val="center"/>
          </w:tcPr>
          <w:p w14:paraId="3C79B653" w14:textId="36983072" w:rsidR="00C23742" w:rsidRPr="007B2FFA" w:rsidRDefault="0070473F" w:rsidP="00F51716">
            <w:pPr>
              <w:pStyle w:val="TableHeading"/>
            </w:pPr>
            <w:r>
              <w:t xml:space="preserve">Committee </w:t>
            </w:r>
            <w:r w:rsidR="007B2077">
              <w:t xml:space="preserve">Member </w:t>
            </w:r>
          </w:p>
        </w:tc>
        <w:tc>
          <w:tcPr>
            <w:tcW w:w="2693" w:type="dxa"/>
            <w:shd w:val="clear" w:color="auto" w:fill="82C341" w:themeFill="accent1"/>
            <w:noWrap/>
            <w:vAlign w:val="center"/>
            <w:hideMark/>
          </w:tcPr>
          <w:p w14:paraId="24546F43" w14:textId="77777777" w:rsidR="00C23742" w:rsidRPr="007B2FFA" w:rsidRDefault="00C23742" w:rsidP="00F51716">
            <w:pPr>
              <w:pStyle w:val="TableHeading"/>
            </w:pPr>
            <w:r w:rsidRPr="007B2FFA">
              <w:t>Position</w:t>
            </w:r>
          </w:p>
        </w:tc>
        <w:tc>
          <w:tcPr>
            <w:tcW w:w="1701" w:type="dxa"/>
            <w:shd w:val="clear" w:color="auto" w:fill="82C341" w:themeFill="accent1"/>
            <w:noWrap/>
            <w:vAlign w:val="center"/>
            <w:hideMark/>
          </w:tcPr>
          <w:p w14:paraId="563D2066" w14:textId="77777777" w:rsidR="00C23742" w:rsidRPr="007B2FFA" w:rsidRDefault="00C23742" w:rsidP="00F51716">
            <w:pPr>
              <w:pStyle w:val="TableHeading"/>
            </w:pPr>
            <w:r w:rsidRPr="007B2FFA">
              <w:t>Meetings attended</w:t>
            </w:r>
          </w:p>
        </w:tc>
        <w:tc>
          <w:tcPr>
            <w:tcW w:w="1170" w:type="dxa"/>
            <w:shd w:val="clear" w:color="auto" w:fill="82C341" w:themeFill="accent1"/>
            <w:vAlign w:val="center"/>
          </w:tcPr>
          <w:p w14:paraId="0210D8B4" w14:textId="77777777" w:rsidR="00C23742" w:rsidRPr="007B2FFA" w:rsidRDefault="00C23742" w:rsidP="00F51716">
            <w:pPr>
              <w:pStyle w:val="TableHeading"/>
            </w:pPr>
            <w:r>
              <w:t>Meetings eligible to attend</w:t>
            </w:r>
          </w:p>
        </w:tc>
      </w:tr>
      <w:tr w:rsidR="00C23742" w:rsidRPr="00E230C9" w14:paraId="16A8AC19" w14:textId="77777777" w:rsidTr="0075013C">
        <w:trPr>
          <w:trHeight w:val="255"/>
        </w:trPr>
        <w:tc>
          <w:tcPr>
            <w:tcW w:w="3114" w:type="dxa"/>
            <w:shd w:val="clear" w:color="auto" w:fill="auto"/>
            <w:noWrap/>
            <w:vAlign w:val="center"/>
          </w:tcPr>
          <w:p w14:paraId="10C601DD" w14:textId="77777777" w:rsidR="00C23742" w:rsidRDefault="00C23742" w:rsidP="00F51716">
            <w:pPr>
              <w:pStyle w:val="Tabletext0"/>
            </w:pPr>
            <w:r>
              <w:t>Kerry Osborne</w:t>
            </w:r>
          </w:p>
          <w:p w14:paraId="17423415" w14:textId="77777777" w:rsidR="00C23742" w:rsidRDefault="00C23742" w:rsidP="00F51716">
            <w:pPr>
              <w:pStyle w:val="Tabletext0"/>
            </w:pPr>
            <w:r>
              <w:t>(Chair from September 2019)</w:t>
            </w:r>
          </w:p>
        </w:tc>
        <w:tc>
          <w:tcPr>
            <w:tcW w:w="2693" w:type="dxa"/>
            <w:shd w:val="clear" w:color="auto" w:fill="auto"/>
            <w:noWrap/>
            <w:vAlign w:val="center"/>
          </w:tcPr>
          <w:p w14:paraId="61D4D754" w14:textId="77777777" w:rsidR="00C23742" w:rsidRDefault="00C23742" w:rsidP="00F51716">
            <w:pPr>
              <w:pStyle w:val="Tabletext0"/>
            </w:pPr>
            <w:r>
              <w:t>Chair</w:t>
            </w:r>
          </w:p>
        </w:tc>
        <w:tc>
          <w:tcPr>
            <w:tcW w:w="1701" w:type="dxa"/>
            <w:shd w:val="clear" w:color="auto" w:fill="auto"/>
            <w:noWrap/>
            <w:vAlign w:val="center"/>
          </w:tcPr>
          <w:p w14:paraId="3D559938" w14:textId="77777777" w:rsidR="00C23742" w:rsidRDefault="00C23742" w:rsidP="00F51716">
            <w:pPr>
              <w:pStyle w:val="tableright"/>
            </w:pPr>
            <w:r>
              <w:t>7</w:t>
            </w:r>
          </w:p>
        </w:tc>
        <w:tc>
          <w:tcPr>
            <w:tcW w:w="1170" w:type="dxa"/>
            <w:vAlign w:val="center"/>
          </w:tcPr>
          <w:p w14:paraId="17E3BBCF" w14:textId="77777777" w:rsidR="00C23742" w:rsidRDefault="00C23742" w:rsidP="00F51716">
            <w:pPr>
              <w:pStyle w:val="tableright"/>
            </w:pPr>
            <w:r>
              <w:t>7</w:t>
            </w:r>
          </w:p>
        </w:tc>
      </w:tr>
      <w:tr w:rsidR="00C23742" w:rsidRPr="00E230C9" w14:paraId="41314141" w14:textId="77777777" w:rsidTr="0075013C">
        <w:trPr>
          <w:trHeight w:val="255"/>
        </w:trPr>
        <w:tc>
          <w:tcPr>
            <w:tcW w:w="3114" w:type="dxa"/>
            <w:shd w:val="clear" w:color="auto" w:fill="auto"/>
            <w:noWrap/>
            <w:vAlign w:val="center"/>
            <w:hideMark/>
          </w:tcPr>
          <w:p w14:paraId="5FDF01E3" w14:textId="77777777" w:rsidR="00C23742" w:rsidRPr="003974CA" w:rsidRDefault="00C23742" w:rsidP="00F51716">
            <w:pPr>
              <w:pStyle w:val="Tabletext0"/>
            </w:pPr>
            <w:r w:rsidRPr="003974CA">
              <w:t>Lee</w:t>
            </w:r>
            <w:r>
              <w:t xml:space="preserve"> </w:t>
            </w:r>
            <w:r w:rsidRPr="003974CA">
              <w:t>Wapling</w:t>
            </w:r>
          </w:p>
          <w:p w14:paraId="09585442" w14:textId="5C5AFBD9" w:rsidR="00C23742" w:rsidRPr="003974CA" w:rsidRDefault="00C23742" w:rsidP="00F51716">
            <w:pPr>
              <w:pStyle w:val="Tabletext0"/>
            </w:pPr>
            <w:r w:rsidRPr="003974CA">
              <w:t xml:space="preserve">(Acting Chair </w:t>
            </w:r>
            <w:r w:rsidRPr="001F0478">
              <w:t>until</w:t>
            </w:r>
            <w:r>
              <w:t xml:space="preserve"> September 2019</w:t>
            </w:r>
            <w:r w:rsidR="0075013C">
              <w:t>; r</w:t>
            </w:r>
            <w:r>
              <w:t>esigned December 2019</w:t>
            </w:r>
            <w:r w:rsidR="0075013C">
              <w:t>)</w:t>
            </w:r>
          </w:p>
        </w:tc>
        <w:tc>
          <w:tcPr>
            <w:tcW w:w="2693" w:type="dxa"/>
            <w:shd w:val="clear" w:color="auto" w:fill="auto"/>
            <w:noWrap/>
            <w:vAlign w:val="center"/>
            <w:hideMark/>
          </w:tcPr>
          <w:p w14:paraId="1CA525F2" w14:textId="77777777" w:rsidR="00C23742" w:rsidRPr="003974CA" w:rsidRDefault="00C23742" w:rsidP="00F51716">
            <w:pPr>
              <w:pStyle w:val="Tabletext0"/>
            </w:pPr>
            <w:r w:rsidRPr="003974CA">
              <w:t>Independent Member/Acting Chair</w:t>
            </w:r>
          </w:p>
        </w:tc>
        <w:tc>
          <w:tcPr>
            <w:tcW w:w="1701" w:type="dxa"/>
            <w:shd w:val="clear" w:color="auto" w:fill="auto"/>
            <w:noWrap/>
            <w:vAlign w:val="center"/>
            <w:hideMark/>
          </w:tcPr>
          <w:p w14:paraId="06AD70B6" w14:textId="77777777" w:rsidR="00C23742" w:rsidRPr="003974CA" w:rsidRDefault="00C23742" w:rsidP="00F51716">
            <w:pPr>
              <w:pStyle w:val="tableright"/>
            </w:pPr>
            <w:r w:rsidRPr="001F0478">
              <w:t>4</w:t>
            </w:r>
          </w:p>
        </w:tc>
        <w:tc>
          <w:tcPr>
            <w:tcW w:w="1170" w:type="dxa"/>
            <w:vAlign w:val="center"/>
          </w:tcPr>
          <w:p w14:paraId="46C9A7A5" w14:textId="77777777" w:rsidR="00C23742" w:rsidRPr="003974CA" w:rsidRDefault="00C23742" w:rsidP="00F51716">
            <w:pPr>
              <w:pStyle w:val="tableright"/>
            </w:pPr>
            <w:r>
              <w:t>4</w:t>
            </w:r>
          </w:p>
        </w:tc>
      </w:tr>
      <w:tr w:rsidR="00C23742" w:rsidRPr="00E230C9" w14:paraId="68396EDF" w14:textId="77777777" w:rsidTr="0075013C">
        <w:trPr>
          <w:trHeight w:val="255"/>
        </w:trPr>
        <w:tc>
          <w:tcPr>
            <w:tcW w:w="3114" w:type="dxa"/>
            <w:shd w:val="clear" w:color="auto" w:fill="auto"/>
            <w:noWrap/>
            <w:vAlign w:val="center"/>
            <w:hideMark/>
          </w:tcPr>
          <w:p w14:paraId="19A12C10" w14:textId="77777777" w:rsidR="00C23742" w:rsidRDefault="00C23742" w:rsidP="00F51716">
            <w:pPr>
              <w:pStyle w:val="Tabletext0"/>
            </w:pPr>
            <w:r w:rsidRPr="003974CA">
              <w:t>Jennifer Lauber Patterson</w:t>
            </w:r>
          </w:p>
          <w:p w14:paraId="5724264C" w14:textId="77777777" w:rsidR="00C23742" w:rsidRPr="003974CA" w:rsidRDefault="00C23742" w:rsidP="00F51716">
            <w:pPr>
              <w:pStyle w:val="Tabletext0"/>
            </w:pPr>
            <w:r>
              <w:t>(Resigned May 2020)</w:t>
            </w:r>
          </w:p>
        </w:tc>
        <w:tc>
          <w:tcPr>
            <w:tcW w:w="2693" w:type="dxa"/>
            <w:shd w:val="clear" w:color="auto" w:fill="auto"/>
            <w:noWrap/>
            <w:vAlign w:val="center"/>
            <w:hideMark/>
          </w:tcPr>
          <w:p w14:paraId="20DE0C33" w14:textId="77777777" w:rsidR="00C23742" w:rsidRPr="003974CA" w:rsidRDefault="00C23742" w:rsidP="00F51716">
            <w:pPr>
              <w:pStyle w:val="Tabletext0"/>
            </w:pPr>
            <w:r w:rsidRPr="003974CA">
              <w:t>Board Member</w:t>
            </w:r>
          </w:p>
        </w:tc>
        <w:tc>
          <w:tcPr>
            <w:tcW w:w="1701" w:type="dxa"/>
            <w:shd w:val="clear" w:color="auto" w:fill="auto"/>
            <w:noWrap/>
            <w:vAlign w:val="center"/>
            <w:hideMark/>
          </w:tcPr>
          <w:p w14:paraId="0186CB29" w14:textId="77777777" w:rsidR="00C23742" w:rsidRPr="003974CA" w:rsidRDefault="00C23742" w:rsidP="00F51716">
            <w:pPr>
              <w:pStyle w:val="tableright"/>
            </w:pPr>
            <w:r w:rsidRPr="001F0478">
              <w:t>6</w:t>
            </w:r>
          </w:p>
        </w:tc>
        <w:tc>
          <w:tcPr>
            <w:tcW w:w="1170" w:type="dxa"/>
            <w:vAlign w:val="center"/>
          </w:tcPr>
          <w:p w14:paraId="2B2C9413" w14:textId="77777777" w:rsidR="00C23742" w:rsidRPr="003974CA" w:rsidRDefault="00C23742" w:rsidP="00F51716">
            <w:pPr>
              <w:pStyle w:val="tableright"/>
            </w:pPr>
            <w:r>
              <w:t>6</w:t>
            </w:r>
          </w:p>
        </w:tc>
      </w:tr>
      <w:tr w:rsidR="00C23742" w:rsidRPr="00E230C9" w14:paraId="0A0C44F9" w14:textId="77777777" w:rsidTr="0075013C">
        <w:trPr>
          <w:trHeight w:val="255"/>
        </w:trPr>
        <w:tc>
          <w:tcPr>
            <w:tcW w:w="3114" w:type="dxa"/>
            <w:shd w:val="clear" w:color="auto" w:fill="auto"/>
            <w:noWrap/>
            <w:vAlign w:val="center"/>
            <w:hideMark/>
          </w:tcPr>
          <w:p w14:paraId="7E5F61C6" w14:textId="77777777" w:rsidR="00C23742" w:rsidRPr="003974CA" w:rsidRDefault="00C23742" w:rsidP="00F51716">
            <w:pPr>
              <w:pStyle w:val="Tabletext0"/>
            </w:pPr>
            <w:r w:rsidRPr="003974CA">
              <w:t>Liza Maimone</w:t>
            </w:r>
          </w:p>
        </w:tc>
        <w:tc>
          <w:tcPr>
            <w:tcW w:w="2693" w:type="dxa"/>
            <w:shd w:val="clear" w:color="auto" w:fill="auto"/>
            <w:noWrap/>
            <w:vAlign w:val="center"/>
            <w:hideMark/>
          </w:tcPr>
          <w:p w14:paraId="2C36DBB9" w14:textId="77777777" w:rsidR="00C23742" w:rsidRPr="003974CA" w:rsidRDefault="00C23742" w:rsidP="00F51716">
            <w:pPr>
              <w:pStyle w:val="Tabletext0"/>
            </w:pPr>
            <w:r w:rsidRPr="003974CA">
              <w:t>Independent Member</w:t>
            </w:r>
          </w:p>
        </w:tc>
        <w:tc>
          <w:tcPr>
            <w:tcW w:w="1701" w:type="dxa"/>
            <w:shd w:val="clear" w:color="auto" w:fill="auto"/>
            <w:noWrap/>
            <w:vAlign w:val="center"/>
            <w:hideMark/>
          </w:tcPr>
          <w:p w14:paraId="4F98062C" w14:textId="77777777" w:rsidR="00C23742" w:rsidRPr="003974CA" w:rsidRDefault="00C23742" w:rsidP="00F51716">
            <w:pPr>
              <w:pStyle w:val="tableright"/>
            </w:pPr>
            <w:r w:rsidRPr="001F0478">
              <w:t>4</w:t>
            </w:r>
          </w:p>
        </w:tc>
        <w:tc>
          <w:tcPr>
            <w:tcW w:w="1170" w:type="dxa"/>
            <w:vAlign w:val="center"/>
          </w:tcPr>
          <w:p w14:paraId="1631A825" w14:textId="77777777" w:rsidR="00C23742" w:rsidRPr="003974CA" w:rsidRDefault="00C23742" w:rsidP="00F51716">
            <w:pPr>
              <w:pStyle w:val="tableright"/>
            </w:pPr>
            <w:r>
              <w:t>7</w:t>
            </w:r>
          </w:p>
        </w:tc>
      </w:tr>
      <w:tr w:rsidR="00C23742" w:rsidRPr="00E230C9" w14:paraId="332564FF" w14:textId="77777777" w:rsidTr="0075013C">
        <w:trPr>
          <w:trHeight w:val="255"/>
        </w:trPr>
        <w:tc>
          <w:tcPr>
            <w:tcW w:w="3114" w:type="dxa"/>
            <w:shd w:val="clear" w:color="auto" w:fill="auto"/>
            <w:noWrap/>
            <w:vAlign w:val="center"/>
            <w:hideMark/>
          </w:tcPr>
          <w:p w14:paraId="13BEBA69" w14:textId="77777777" w:rsidR="00C23742" w:rsidRPr="003974CA" w:rsidRDefault="00C23742" w:rsidP="00F51716">
            <w:pPr>
              <w:pStyle w:val="Tabletext0"/>
            </w:pPr>
            <w:r w:rsidRPr="003974CA">
              <w:t>Heather Campbell</w:t>
            </w:r>
          </w:p>
        </w:tc>
        <w:tc>
          <w:tcPr>
            <w:tcW w:w="2693" w:type="dxa"/>
            <w:shd w:val="clear" w:color="auto" w:fill="auto"/>
            <w:noWrap/>
            <w:vAlign w:val="center"/>
            <w:hideMark/>
          </w:tcPr>
          <w:p w14:paraId="1701F93B" w14:textId="77777777" w:rsidR="00C23742" w:rsidRPr="003974CA" w:rsidRDefault="00C23742" w:rsidP="00F51716">
            <w:pPr>
              <w:pStyle w:val="Tabletext0"/>
            </w:pPr>
            <w:r w:rsidRPr="003974CA">
              <w:t>Board Chair (ex officio)</w:t>
            </w:r>
          </w:p>
        </w:tc>
        <w:tc>
          <w:tcPr>
            <w:tcW w:w="1701" w:type="dxa"/>
            <w:shd w:val="clear" w:color="auto" w:fill="auto"/>
            <w:noWrap/>
            <w:vAlign w:val="center"/>
            <w:hideMark/>
          </w:tcPr>
          <w:p w14:paraId="41C310EB" w14:textId="77777777" w:rsidR="00C23742" w:rsidRPr="003974CA" w:rsidRDefault="00C23742" w:rsidP="00F51716">
            <w:pPr>
              <w:pStyle w:val="tableright"/>
            </w:pPr>
            <w:r w:rsidRPr="001F0478">
              <w:t>5</w:t>
            </w:r>
          </w:p>
        </w:tc>
        <w:tc>
          <w:tcPr>
            <w:tcW w:w="1170" w:type="dxa"/>
            <w:vAlign w:val="center"/>
          </w:tcPr>
          <w:p w14:paraId="736CE1F5" w14:textId="77777777" w:rsidR="00C23742" w:rsidRPr="003974CA" w:rsidRDefault="00C23742" w:rsidP="00F51716">
            <w:pPr>
              <w:pStyle w:val="tableright"/>
            </w:pPr>
            <w:r>
              <w:t>7</w:t>
            </w:r>
          </w:p>
        </w:tc>
      </w:tr>
      <w:tr w:rsidR="00C23742" w:rsidRPr="00E230C9" w14:paraId="405147EF" w14:textId="77777777" w:rsidTr="0075013C">
        <w:trPr>
          <w:trHeight w:val="255"/>
        </w:trPr>
        <w:tc>
          <w:tcPr>
            <w:tcW w:w="3114" w:type="dxa"/>
            <w:shd w:val="clear" w:color="auto" w:fill="auto"/>
            <w:noWrap/>
            <w:vAlign w:val="center"/>
          </w:tcPr>
          <w:p w14:paraId="3CA0612E" w14:textId="77777777" w:rsidR="00C23742" w:rsidRPr="003974CA" w:rsidRDefault="00C23742" w:rsidP="00F51716">
            <w:pPr>
              <w:pStyle w:val="Tabletext0"/>
            </w:pPr>
            <w:r>
              <w:t>Neil Pharaoh</w:t>
            </w:r>
          </w:p>
        </w:tc>
        <w:tc>
          <w:tcPr>
            <w:tcW w:w="2693" w:type="dxa"/>
            <w:shd w:val="clear" w:color="auto" w:fill="auto"/>
            <w:noWrap/>
            <w:vAlign w:val="center"/>
          </w:tcPr>
          <w:p w14:paraId="6FBCF3AE" w14:textId="77777777" w:rsidR="00C23742" w:rsidRPr="003974CA" w:rsidRDefault="00C23742" w:rsidP="00F51716">
            <w:pPr>
              <w:pStyle w:val="Tabletext0"/>
            </w:pPr>
            <w:r>
              <w:t>Board Member</w:t>
            </w:r>
          </w:p>
        </w:tc>
        <w:tc>
          <w:tcPr>
            <w:tcW w:w="1701" w:type="dxa"/>
            <w:shd w:val="clear" w:color="auto" w:fill="auto"/>
            <w:noWrap/>
            <w:vAlign w:val="center"/>
          </w:tcPr>
          <w:p w14:paraId="3EDD4F79" w14:textId="77777777" w:rsidR="00C23742" w:rsidRPr="001F0478" w:rsidRDefault="00C23742" w:rsidP="00F51716">
            <w:pPr>
              <w:pStyle w:val="tableright"/>
            </w:pPr>
            <w:r>
              <w:t>5</w:t>
            </w:r>
          </w:p>
        </w:tc>
        <w:tc>
          <w:tcPr>
            <w:tcW w:w="1170" w:type="dxa"/>
            <w:vAlign w:val="center"/>
          </w:tcPr>
          <w:p w14:paraId="4B3EB923" w14:textId="77777777" w:rsidR="00C23742" w:rsidRDefault="00C23742" w:rsidP="00F51716">
            <w:pPr>
              <w:pStyle w:val="tableright"/>
            </w:pPr>
            <w:r>
              <w:t>6</w:t>
            </w:r>
          </w:p>
        </w:tc>
      </w:tr>
      <w:tr w:rsidR="00C23742" w:rsidRPr="00E230C9" w14:paraId="2C236F7C" w14:textId="77777777" w:rsidTr="0075013C">
        <w:trPr>
          <w:trHeight w:val="255"/>
        </w:trPr>
        <w:tc>
          <w:tcPr>
            <w:tcW w:w="3114" w:type="dxa"/>
            <w:shd w:val="clear" w:color="auto" w:fill="auto"/>
            <w:noWrap/>
            <w:vAlign w:val="center"/>
          </w:tcPr>
          <w:p w14:paraId="09417BF6" w14:textId="77777777" w:rsidR="00C23742" w:rsidRDefault="00C23742" w:rsidP="00F51716">
            <w:pPr>
              <w:pStyle w:val="Tabletext0"/>
            </w:pPr>
            <w:r w:rsidRPr="008E4798">
              <w:t>Vicky Darling</w:t>
            </w:r>
          </w:p>
        </w:tc>
        <w:tc>
          <w:tcPr>
            <w:tcW w:w="2693" w:type="dxa"/>
            <w:shd w:val="clear" w:color="auto" w:fill="auto"/>
            <w:noWrap/>
            <w:vAlign w:val="center"/>
          </w:tcPr>
          <w:p w14:paraId="303D4191" w14:textId="77777777" w:rsidR="00C23742" w:rsidRDefault="00C23742" w:rsidP="00F51716">
            <w:pPr>
              <w:pStyle w:val="Tabletext0"/>
            </w:pPr>
            <w:r w:rsidRPr="008E4798">
              <w:t>Board Member</w:t>
            </w:r>
          </w:p>
        </w:tc>
        <w:tc>
          <w:tcPr>
            <w:tcW w:w="1701" w:type="dxa"/>
            <w:shd w:val="clear" w:color="auto" w:fill="auto"/>
            <w:noWrap/>
            <w:vAlign w:val="center"/>
          </w:tcPr>
          <w:p w14:paraId="3909302B" w14:textId="77777777" w:rsidR="00C23742" w:rsidRDefault="00C23742" w:rsidP="00F51716">
            <w:pPr>
              <w:pStyle w:val="tableright"/>
            </w:pPr>
            <w:r>
              <w:t>5</w:t>
            </w:r>
          </w:p>
        </w:tc>
        <w:tc>
          <w:tcPr>
            <w:tcW w:w="1170" w:type="dxa"/>
            <w:vAlign w:val="center"/>
          </w:tcPr>
          <w:p w14:paraId="3089A8F4" w14:textId="77777777" w:rsidR="00C23742" w:rsidRDefault="00C23742" w:rsidP="00F51716">
            <w:pPr>
              <w:pStyle w:val="tableright"/>
            </w:pPr>
            <w:r>
              <w:t>6</w:t>
            </w:r>
          </w:p>
        </w:tc>
      </w:tr>
      <w:tr w:rsidR="00C23742" w:rsidRPr="00E230C9" w14:paraId="7CDED0B1" w14:textId="77777777" w:rsidTr="0075013C">
        <w:trPr>
          <w:trHeight w:val="255"/>
        </w:trPr>
        <w:tc>
          <w:tcPr>
            <w:tcW w:w="3114" w:type="dxa"/>
            <w:shd w:val="clear" w:color="auto" w:fill="auto"/>
            <w:noWrap/>
            <w:vAlign w:val="center"/>
          </w:tcPr>
          <w:p w14:paraId="6678AF87" w14:textId="77777777" w:rsidR="00C23742" w:rsidRDefault="00C23742" w:rsidP="00F51716">
            <w:pPr>
              <w:pStyle w:val="Tabletext0"/>
            </w:pPr>
            <w:r>
              <w:t>Judi Harris</w:t>
            </w:r>
          </w:p>
        </w:tc>
        <w:tc>
          <w:tcPr>
            <w:tcW w:w="2693" w:type="dxa"/>
            <w:shd w:val="clear" w:color="auto" w:fill="auto"/>
            <w:noWrap/>
            <w:vAlign w:val="center"/>
          </w:tcPr>
          <w:p w14:paraId="3EF2B2D2" w14:textId="77777777" w:rsidR="00C23742" w:rsidRDefault="00C23742" w:rsidP="00F51716">
            <w:pPr>
              <w:pStyle w:val="Tabletext0"/>
            </w:pPr>
            <w:r>
              <w:t>Board Member</w:t>
            </w:r>
          </w:p>
        </w:tc>
        <w:tc>
          <w:tcPr>
            <w:tcW w:w="1701" w:type="dxa"/>
            <w:shd w:val="clear" w:color="auto" w:fill="auto"/>
            <w:noWrap/>
            <w:vAlign w:val="center"/>
          </w:tcPr>
          <w:p w14:paraId="7FC307E3" w14:textId="77777777" w:rsidR="00C23742" w:rsidRPr="001F0478" w:rsidRDefault="00C23742" w:rsidP="00F51716">
            <w:pPr>
              <w:pStyle w:val="tableright"/>
            </w:pPr>
            <w:r>
              <w:t>1</w:t>
            </w:r>
          </w:p>
        </w:tc>
        <w:tc>
          <w:tcPr>
            <w:tcW w:w="1170" w:type="dxa"/>
            <w:vAlign w:val="center"/>
          </w:tcPr>
          <w:p w14:paraId="78129B5A" w14:textId="77777777" w:rsidR="00C23742" w:rsidRDefault="00C23742" w:rsidP="00F51716">
            <w:pPr>
              <w:pStyle w:val="tableright"/>
            </w:pPr>
            <w:r>
              <w:t>1</w:t>
            </w:r>
          </w:p>
        </w:tc>
      </w:tr>
    </w:tbl>
    <w:p w14:paraId="0D82CB69" w14:textId="77777777" w:rsidR="00C23742" w:rsidRPr="001F0478" w:rsidRDefault="00C23742" w:rsidP="0075013C">
      <w:pPr>
        <w:pStyle w:val="Heading3"/>
      </w:pPr>
      <w:r w:rsidRPr="00C9256F">
        <w:t>People, Culture and Remuneration Committee</w:t>
      </w:r>
      <w:r>
        <w:t xml:space="preserve"> </w:t>
      </w:r>
    </w:p>
    <w:p w14:paraId="4FCAE12E" w14:textId="05E292EB" w:rsidR="00C23742" w:rsidRPr="00EA6B9F" w:rsidRDefault="00C23742" w:rsidP="00F51716">
      <w:r w:rsidRPr="0082001A">
        <w:t>The primary role of the People</w:t>
      </w:r>
      <w:r>
        <w:t>, Culture and Remuneration</w:t>
      </w:r>
      <w:r w:rsidRPr="0082001A">
        <w:t xml:space="preserve"> Committee is to assist the </w:t>
      </w:r>
      <w:r w:rsidR="00C65C26">
        <w:t>Board</w:t>
      </w:r>
      <w:r w:rsidRPr="0082001A">
        <w:t xml:space="preserve"> in fulfilling its corporate governance responsibilities by:</w:t>
      </w:r>
    </w:p>
    <w:p w14:paraId="352D8298" w14:textId="27BD5E15" w:rsidR="00C23742" w:rsidRPr="00AF6B06" w:rsidRDefault="00C23742" w:rsidP="00F51716">
      <w:pPr>
        <w:pStyle w:val="ListParagraph"/>
        <w:numPr>
          <w:ilvl w:val="0"/>
          <w:numId w:val="22"/>
        </w:numPr>
      </w:pPr>
      <w:r w:rsidRPr="008815EA">
        <w:t>setting strategic direction and framework</w:t>
      </w:r>
    </w:p>
    <w:p w14:paraId="2DF7D5BD" w14:textId="59064488" w:rsidR="00C23742" w:rsidRPr="00AF6B06" w:rsidRDefault="00C23742" w:rsidP="00F51716">
      <w:pPr>
        <w:pStyle w:val="ListParagraph"/>
        <w:numPr>
          <w:ilvl w:val="0"/>
          <w:numId w:val="22"/>
        </w:numPr>
      </w:pPr>
      <w:r w:rsidRPr="00AF6B06">
        <w:t>reviewing effectiveness of people strategies and policies</w:t>
      </w:r>
    </w:p>
    <w:p w14:paraId="17CF894E" w14:textId="5E26383B" w:rsidR="00C23742" w:rsidRPr="00AF6B06" w:rsidRDefault="00C23742" w:rsidP="00F51716">
      <w:pPr>
        <w:pStyle w:val="ListParagraph"/>
        <w:numPr>
          <w:ilvl w:val="0"/>
          <w:numId w:val="22"/>
        </w:numPr>
      </w:pPr>
      <w:r>
        <w:t>e</w:t>
      </w:r>
      <w:r w:rsidRPr="00AF6B06">
        <w:t>xecutive performance and succession planning</w:t>
      </w:r>
    </w:p>
    <w:p w14:paraId="0FD3406B" w14:textId="0F779A3E" w:rsidR="00C23742" w:rsidRPr="00AF6B06" w:rsidRDefault="007D09AA" w:rsidP="00F51716">
      <w:pPr>
        <w:pStyle w:val="ListParagraph"/>
        <w:numPr>
          <w:ilvl w:val="0"/>
          <w:numId w:val="22"/>
        </w:numPr>
      </w:pPr>
      <w:r>
        <w:t>CEO</w:t>
      </w:r>
      <w:r w:rsidR="00C23742" w:rsidRPr="00AF6B06">
        <w:t xml:space="preserve"> recruitment, selection, performance and succession</w:t>
      </w:r>
    </w:p>
    <w:p w14:paraId="365AFC7F" w14:textId="77777777" w:rsidR="00C23742" w:rsidRPr="00AF6B06" w:rsidRDefault="00C23742" w:rsidP="00F51716">
      <w:pPr>
        <w:pStyle w:val="ListParagraph"/>
        <w:numPr>
          <w:ilvl w:val="0"/>
          <w:numId w:val="22"/>
        </w:numPr>
      </w:pPr>
      <w:r>
        <w:t>m</w:t>
      </w:r>
      <w:r w:rsidRPr="00AF6B06">
        <w:t xml:space="preserve">onitoring and </w:t>
      </w:r>
      <w:r w:rsidRPr="001F0478">
        <w:t>compliance</w:t>
      </w:r>
      <w:r>
        <w:t>.</w:t>
      </w:r>
    </w:p>
    <w:p w14:paraId="5B9573BE" w14:textId="46562C53" w:rsidR="00C23742" w:rsidRDefault="00C23742" w:rsidP="00F51716">
      <w:r>
        <w:t xml:space="preserve">The </w:t>
      </w:r>
      <w:r w:rsidR="007D09AA">
        <w:t xml:space="preserve">committee </w:t>
      </w:r>
      <w:r>
        <w:t>met three times in 2019</w:t>
      </w:r>
      <w:r w:rsidR="00980424">
        <w:t>–</w:t>
      </w:r>
      <w:r>
        <w:t xml:space="preserve">20. Attendance is </w:t>
      </w:r>
      <w:r w:rsidR="00205952">
        <w:t xml:space="preserve">listed in </w:t>
      </w:r>
      <w:r w:rsidR="00205952">
        <w:fldChar w:fldCharType="begin"/>
      </w:r>
      <w:r w:rsidR="00205952">
        <w:instrText xml:space="preserve"> REF _Ref57476479 \h </w:instrText>
      </w:r>
      <w:r w:rsidR="00205952">
        <w:fldChar w:fldCharType="separate"/>
      </w:r>
      <w:r w:rsidR="00205952">
        <w:t xml:space="preserve">Table </w:t>
      </w:r>
      <w:r w:rsidR="00205952">
        <w:rPr>
          <w:noProof/>
        </w:rPr>
        <w:t>24</w:t>
      </w:r>
      <w:r w:rsidR="00205952">
        <w:fldChar w:fldCharType="end"/>
      </w:r>
      <w:r>
        <w:t>.</w:t>
      </w:r>
    </w:p>
    <w:p w14:paraId="7A350684" w14:textId="67E4A2B8" w:rsidR="007B2077" w:rsidRPr="00AF6B06" w:rsidRDefault="007B2077" w:rsidP="00F51716">
      <w:pPr>
        <w:pStyle w:val="Caption"/>
        <w:rPr>
          <w:rFonts w:cstheme="minorHAnsi"/>
          <w:szCs w:val="19"/>
        </w:rPr>
      </w:pPr>
      <w:bookmarkStart w:id="62" w:name="_Ref57476479"/>
      <w:r>
        <w:t xml:space="preserve">Table </w:t>
      </w:r>
      <w:fldSimple w:instr=" SEQ Table \* ARABIC ">
        <w:r w:rsidR="003F15CC">
          <w:rPr>
            <w:noProof/>
          </w:rPr>
          <w:t>24</w:t>
        </w:r>
      </w:fldSimple>
      <w:bookmarkEnd w:id="62"/>
      <w:r>
        <w:t xml:space="preserve">: </w:t>
      </w:r>
      <w:r w:rsidRPr="0082001A">
        <w:t>People</w:t>
      </w:r>
      <w:r>
        <w:t>, Culture and Remuneration</w:t>
      </w:r>
      <w:r w:rsidRPr="0082001A">
        <w:t xml:space="preserve"> Committee</w:t>
      </w:r>
    </w:p>
    <w:tbl>
      <w:tblPr>
        <w:tblW w:w="8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686"/>
        <w:gridCol w:w="1418"/>
      </w:tblGrid>
      <w:tr w:rsidR="00C23742" w:rsidRPr="00AF6B06" w14:paraId="2F337537" w14:textId="77777777" w:rsidTr="00043B1F">
        <w:trPr>
          <w:trHeight w:val="300"/>
        </w:trPr>
        <w:tc>
          <w:tcPr>
            <w:tcW w:w="3539" w:type="dxa"/>
            <w:shd w:val="clear" w:color="auto" w:fill="82C341" w:themeFill="accent1"/>
            <w:noWrap/>
            <w:vAlign w:val="bottom"/>
          </w:tcPr>
          <w:p w14:paraId="0F86378A" w14:textId="03E01E97" w:rsidR="00C23742" w:rsidRPr="007B2FFA" w:rsidRDefault="00C23742" w:rsidP="00F51716">
            <w:pPr>
              <w:pStyle w:val="TableHeading"/>
            </w:pPr>
            <w:r w:rsidRPr="007B2FFA">
              <w:t xml:space="preserve">Committee </w:t>
            </w:r>
            <w:r w:rsidR="000C681A">
              <w:t>M</w:t>
            </w:r>
            <w:r w:rsidR="000C681A" w:rsidRPr="007B2FFA">
              <w:t>ember</w:t>
            </w:r>
          </w:p>
        </w:tc>
        <w:tc>
          <w:tcPr>
            <w:tcW w:w="3686" w:type="dxa"/>
            <w:shd w:val="clear" w:color="auto" w:fill="82C341" w:themeFill="accent1"/>
          </w:tcPr>
          <w:p w14:paraId="2B0D51BF" w14:textId="77777777" w:rsidR="00C23742" w:rsidRPr="007B2FFA" w:rsidRDefault="00C23742" w:rsidP="00F51716">
            <w:pPr>
              <w:pStyle w:val="TableHeading"/>
            </w:pPr>
            <w:r>
              <w:t>Position</w:t>
            </w:r>
          </w:p>
        </w:tc>
        <w:tc>
          <w:tcPr>
            <w:tcW w:w="1418" w:type="dxa"/>
            <w:shd w:val="clear" w:color="auto" w:fill="82C341" w:themeFill="accent1"/>
            <w:noWrap/>
            <w:vAlign w:val="bottom"/>
          </w:tcPr>
          <w:p w14:paraId="3905D119" w14:textId="77777777" w:rsidR="00C23742" w:rsidRPr="007B2FFA" w:rsidRDefault="00C23742" w:rsidP="00F51716">
            <w:pPr>
              <w:pStyle w:val="TableHeading"/>
            </w:pPr>
            <w:r w:rsidRPr="007B2FFA">
              <w:t>Meetings attended</w:t>
            </w:r>
          </w:p>
        </w:tc>
      </w:tr>
      <w:tr w:rsidR="00C23742" w:rsidRPr="00AF6B06" w14:paraId="71AAFD15" w14:textId="77777777" w:rsidTr="00043B1F">
        <w:trPr>
          <w:trHeight w:val="300"/>
        </w:trPr>
        <w:tc>
          <w:tcPr>
            <w:tcW w:w="3539" w:type="dxa"/>
            <w:shd w:val="clear" w:color="auto" w:fill="auto"/>
            <w:noWrap/>
            <w:vAlign w:val="bottom"/>
            <w:hideMark/>
          </w:tcPr>
          <w:p w14:paraId="64247D3E" w14:textId="77777777" w:rsidR="00C23742" w:rsidRPr="00AF6B06" w:rsidRDefault="00C23742" w:rsidP="00F51716">
            <w:pPr>
              <w:pStyle w:val="Tabletext0"/>
            </w:pPr>
            <w:r w:rsidRPr="001F0478">
              <w:t>Peter</w:t>
            </w:r>
            <w:r>
              <w:t xml:space="preserve"> Castellas</w:t>
            </w:r>
          </w:p>
        </w:tc>
        <w:tc>
          <w:tcPr>
            <w:tcW w:w="3686" w:type="dxa"/>
          </w:tcPr>
          <w:p w14:paraId="66E5B18D" w14:textId="77777777" w:rsidR="00C23742" w:rsidRPr="00AF6B06" w:rsidRDefault="00C23742" w:rsidP="00F51716">
            <w:pPr>
              <w:pStyle w:val="Tabletext0"/>
            </w:pPr>
            <w:r>
              <w:t>Chair (from September 2019)</w:t>
            </w:r>
          </w:p>
        </w:tc>
        <w:tc>
          <w:tcPr>
            <w:tcW w:w="1418" w:type="dxa"/>
            <w:shd w:val="clear" w:color="auto" w:fill="auto"/>
            <w:noWrap/>
            <w:vAlign w:val="bottom"/>
          </w:tcPr>
          <w:p w14:paraId="14D95BFF" w14:textId="77777777" w:rsidR="00C23742" w:rsidRPr="00C7472C" w:rsidRDefault="00C23742" w:rsidP="00F51716">
            <w:pPr>
              <w:pStyle w:val="tableright"/>
            </w:pPr>
            <w:r w:rsidRPr="00C7472C">
              <w:t>3</w:t>
            </w:r>
          </w:p>
        </w:tc>
      </w:tr>
      <w:tr w:rsidR="00C23742" w:rsidRPr="00AF6B06" w14:paraId="56C40B2C" w14:textId="77777777" w:rsidTr="00043B1F">
        <w:trPr>
          <w:trHeight w:val="300"/>
        </w:trPr>
        <w:tc>
          <w:tcPr>
            <w:tcW w:w="3539" w:type="dxa"/>
            <w:shd w:val="clear" w:color="auto" w:fill="auto"/>
            <w:noWrap/>
            <w:vAlign w:val="bottom"/>
            <w:hideMark/>
          </w:tcPr>
          <w:p w14:paraId="113379ED" w14:textId="207BA9D3" w:rsidR="00C23742" w:rsidRPr="00AF6B06" w:rsidRDefault="00C23742" w:rsidP="00F51716">
            <w:pPr>
              <w:pStyle w:val="Tabletext0"/>
            </w:pPr>
            <w:r w:rsidRPr="00AF6B06">
              <w:t>Heather Campbell</w:t>
            </w:r>
            <w:r w:rsidR="007B2077">
              <w:t xml:space="preserve"> (</w:t>
            </w:r>
            <w:r>
              <w:t>Board Chairperson</w:t>
            </w:r>
            <w:r w:rsidR="007B2077">
              <w:t>)</w:t>
            </w:r>
          </w:p>
        </w:tc>
        <w:tc>
          <w:tcPr>
            <w:tcW w:w="3686" w:type="dxa"/>
          </w:tcPr>
          <w:p w14:paraId="7ED93BC8" w14:textId="77777777" w:rsidR="00C23742" w:rsidRPr="00AF6B06" w:rsidRDefault="00C23742" w:rsidP="00F51716">
            <w:pPr>
              <w:pStyle w:val="Tabletext0"/>
            </w:pPr>
            <w:r>
              <w:t>Member</w:t>
            </w:r>
          </w:p>
        </w:tc>
        <w:tc>
          <w:tcPr>
            <w:tcW w:w="1418" w:type="dxa"/>
            <w:shd w:val="clear" w:color="auto" w:fill="auto"/>
            <w:noWrap/>
            <w:vAlign w:val="bottom"/>
          </w:tcPr>
          <w:p w14:paraId="6ED75AD2" w14:textId="77777777" w:rsidR="00C23742" w:rsidRPr="00C7472C" w:rsidRDefault="00C23742" w:rsidP="00F51716">
            <w:pPr>
              <w:pStyle w:val="tableright"/>
            </w:pPr>
            <w:r w:rsidRPr="00C7472C">
              <w:t>2</w:t>
            </w:r>
          </w:p>
        </w:tc>
      </w:tr>
      <w:tr w:rsidR="00C23742" w:rsidRPr="00AF6B06" w14:paraId="6F776C21" w14:textId="77777777" w:rsidTr="00043B1F">
        <w:trPr>
          <w:trHeight w:val="300"/>
        </w:trPr>
        <w:tc>
          <w:tcPr>
            <w:tcW w:w="3539" w:type="dxa"/>
            <w:shd w:val="clear" w:color="auto" w:fill="auto"/>
            <w:noWrap/>
            <w:vAlign w:val="bottom"/>
            <w:hideMark/>
          </w:tcPr>
          <w:p w14:paraId="39ED6B94" w14:textId="77777777" w:rsidR="00C23742" w:rsidRDefault="00C23742" w:rsidP="00F51716">
            <w:pPr>
              <w:pStyle w:val="Tabletext0"/>
            </w:pPr>
            <w:r w:rsidRPr="00AF6B06">
              <w:t>Sarah Clarke</w:t>
            </w:r>
          </w:p>
          <w:p w14:paraId="6444E960" w14:textId="6060394D" w:rsidR="00C23742" w:rsidRPr="00AF6B06" w:rsidRDefault="007B2077" w:rsidP="00F51716">
            <w:pPr>
              <w:pStyle w:val="Tabletext0"/>
            </w:pPr>
            <w:r>
              <w:t>(</w:t>
            </w:r>
            <w:r w:rsidR="00C23742">
              <w:t>Board Deputy Chairperson</w:t>
            </w:r>
            <w:r>
              <w:t>)</w:t>
            </w:r>
          </w:p>
        </w:tc>
        <w:tc>
          <w:tcPr>
            <w:tcW w:w="3686" w:type="dxa"/>
          </w:tcPr>
          <w:p w14:paraId="42B9F532" w14:textId="77777777" w:rsidR="00C23742" w:rsidRPr="00AF6B06" w:rsidRDefault="00C23742" w:rsidP="00F51716">
            <w:pPr>
              <w:pStyle w:val="Tabletext0"/>
            </w:pPr>
            <w:r>
              <w:t>Member</w:t>
            </w:r>
          </w:p>
        </w:tc>
        <w:tc>
          <w:tcPr>
            <w:tcW w:w="1418" w:type="dxa"/>
            <w:shd w:val="clear" w:color="auto" w:fill="auto"/>
            <w:noWrap/>
            <w:vAlign w:val="bottom"/>
          </w:tcPr>
          <w:p w14:paraId="73005986" w14:textId="77777777" w:rsidR="00C23742" w:rsidRPr="00C7472C" w:rsidRDefault="00C23742" w:rsidP="00F51716">
            <w:pPr>
              <w:pStyle w:val="tableright"/>
            </w:pPr>
            <w:r w:rsidRPr="00C7472C">
              <w:t>3</w:t>
            </w:r>
          </w:p>
        </w:tc>
      </w:tr>
      <w:tr w:rsidR="00C23742" w:rsidRPr="00AF6B06" w14:paraId="4217A55E" w14:textId="77777777" w:rsidTr="00043B1F">
        <w:trPr>
          <w:trHeight w:val="300"/>
        </w:trPr>
        <w:tc>
          <w:tcPr>
            <w:tcW w:w="3539" w:type="dxa"/>
            <w:shd w:val="clear" w:color="auto" w:fill="auto"/>
            <w:noWrap/>
            <w:vAlign w:val="bottom"/>
          </w:tcPr>
          <w:p w14:paraId="537C10F8" w14:textId="77777777" w:rsidR="00C23742" w:rsidRPr="00AF6B06" w:rsidRDefault="00C23742" w:rsidP="00F51716">
            <w:pPr>
              <w:pStyle w:val="Tabletext0"/>
            </w:pPr>
            <w:r>
              <w:t>Megan Flynn</w:t>
            </w:r>
          </w:p>
        </w:tc>
        <w:tc>
          <w:tcPr>
            <w:tcW w:w="3686" w:type="dxa"/>
          </w:tcPr>
          <w:p w14:paraId="59A3D1FC" w14:textId="77777777" w:rsidR="00C23742" w:rsidRDefault="00C23742" w:rsidP="00F51716">
            <w:pPr>
              <w:pStyle w:val="Tabletext0"/>
            </w:pPr>
            <w:r>
              <w:t>Member (Chair until September 2019)</w:t>
            </w:r>
          </w:p>
        </w:tc>
        <w:tc>
          <w:tcPr>
            <w:tcW w:w="1418" w:type="dxa"/>
            <w:shd w:val="clear" w:color="auto" w:fill="auto"/>
            <w:noWrap/>
            <w:vAlign w:val="bottom"/>
          </w:tcPr>
          <w:p w14:paraId="7CBB8CDB" w14:textId="77777777" w:rsidR="00C23742" w:rsidRPr="00C7472C" w:rsidRDefault="00C23742" w:rsidP="00F51716">
            <w:pPr>
              <w:pStyle w:val="tableright"/>
            </w:pPr>
            <w:r>
              <w:t>2</w:t>
            </w:r>
          </w:p>
        </w:tc>
      </w:tr>
      <w:tr w:rsidR="00C23742" w:rsidRPr="00AF6B06" w14:paraId="1B60B6C6" w14:textId="77777777" w:rsidTr="00043B1F">
        <w:trPr>
          <w:trHeight w:val="300"/>
        </w:trPr>
        <w:tc>
          <w:tcPr>
            <w:tcW w:w="3539" w:type="dxa"/>
            <w:shd w:val="clear" w:color="auto" w:fill="auto"/>
            <w:noWrap/>
            <w:vAlign w:val="bottom"/>
            <w:hideMark/>
          </w:tcPr>
          <w:p w14:paraId="202FF213" w14:textId="77777777" w:rsidR="00C23742" w:rsidRPr="00AF6B06" w:rsidRDefault="00C23742" w:rsidP="00F51716">
            <w:pPr>
              <w:pStyle w:val="Tabletext0"/>
            </w:pPr>
            <w:r w:rsidRPr="00AF6B06">
              <w:t>Judith Harris</w:t>
            </w:r>
          </w:p>
        </w:tc>
        <w:tc>
          <w:tcPr>
            <w:tcW w:w="3686" w:type="dxa"/>
          </w:tcPr>
          <w:p w14:paraId="6A667E18" w14:textId="77777777" w:rsidR="00C23742" w:rsidRPr="00AF6B06" w:rsidRDefault="00C23742" w:rsidP="00F51716">
            <w:pPr>
              <w:pStyle w:val="Tabletext0"/>
            </w:pPr>
            <w:r>
              <w:t>Member</w:t>
            </w:r>
          </w:p>
        </w:tc>
        <w:tc>
          <w:tcPr>
            <w:tcW w:w="1418" w:type="dxa"/>
            <w:shd w:val="clear" w:color="auto" w:fill="auto"/>
            <w:noWrap/>
            <w:vAlign w:val="bottom"/>
          </w:tcPr>
          <w:p w14:paraId="79004B96" w14:textId="77777777" w:rsidR="00C23742" w:rsidRPr="00C7472C" w:rsidRDefault="00C23742" w:rsidP="00F51716">
            <w:pPr>
              <w:pStyle w:val="tableright"/>
            </w:pPr>
            <w:r w:rsidRPr="00C7472C">
              <w:t>3</w:t>
            </w:r>
          </w:p>
        </w:tc>
      </w:tr>
    </w:tbl>
    <w:p w14:paraId="68509861" w14:textId="77777777" w:rsidR="00C23742" w:rsidRPr="00AF6B06" w:rsidRDefault="00C23742" w:rsidP="00F51716"/>
    <w:p w14:paraId="2FC1E5BF" w14:textId="77777777" w:rsidR="00B35C2B" w:rsidRPr="008F24DF" w:rsidRDefault="00B35C2B" w:rsidP="00B35C2B">
      <w:pPr>
        <w:pStyle w:val="Heading2"/>
      </w:pPr>
      <w:bookmarkStart w:id="63" w:name="_Toc59624205"/>
      <w:r w:rsidRPr="008F24DF">
        <w:t>Board Working Groups</w:t>
      </w:r>
      <w:bookmarkEnd w:id="63"/>
      <w:r w:rsidRPr="008F24DF">
        <w:t xml:space="preserve"> </w:t>
      </w:r>
    </w:p>
    <w:p w14:paraId="76F2A1E5" w14:textId="3B51379A" w:rsidR="00C23742" w:rsidRDefault="00B35C2B" w:rsidP="00F51716">
      <w:r>
        <w:t xml:space="preserve">In addition to formal committees, the Board establishes working groups to provide additional support and guidance to the SV Executive Leadership Team on matters of strategic importance.  </w:t>
      </w:r>
      <w:r w:rsidR="00C23742">
        <w:br w:type="page"/>
      </w:r>
    </w:p>
    <w:p w14:paraId="21C1B7B4" w14:textId="38F4A00D" w:rsidR="00C23742" w:rsidRDefault="00C23742" w:rsidP="00F51716">
      <w:pPr>
        <w:pStyle w:val="Heading2"/>
      </w:pPr>
      <w:bookmarkStart w:id="64" w:name="_Toc59624206"/>
      <w:r w:rsidRPr="00E75DCC">
        <w:t>Organisational structure and corporate governance arrangements</w:t>
      </w:r>
      <w:bookmarkEnd w:id="64"/>
      <w:r>
        <w:t xml:space="preserve"> </w:t>
      </w:r>
    </w:p>
    <w:p w14:paraId="2BBD9ECF" w14:textId="13F157C9" w:rsidR="007B2077" w:rsidRPr="00584484" w:rsidRDefault="007B2077" w:rsidP="00F51716">
      <w:r>
        <w:fldChar w:fldCharType="begin"/>
      </w:r>
      <w:r>
        <w:instrText xml:space="preserve"> REF _Ref57272968 \h  \* MERGEFORMAT </w:instrText>
      </w:r>
      <w:r>
        <w:fldChar w:fldCharType="separate"/>
      </w:r>
      <w:r w:rsidR="00205952">
        <w:t xml:space="preserve">Figure </w:t>
      </w:r>
      <w:r w:rsidR="00205952">
        <w:rPr>
          <w:noProof/>
        </w:rPr>
        <w:t>1</w:t>
      </w:r>
      <w:r>
        <w:fldChar w:fldCharType="end"/>
      </w:r>
      <w:r>
        <w:t xml:space="preserve"> shows SV’s organisational structure a</w:t>
      </w:r>
      <w:r w:rsidR="00C23742">
        <w:t>s at 30</w:t>
      </w:r>
      <w:r w:rsidR="007536F1">
        <w:t> </w:t>
      </w:r>
      <w:r w:rsidR="00C23742">
        <w:t>June</w:t>
      </w:r>
      <w:r w:rsidR="007536F1">
        <w:t> </w:t>
      </w:r>
      <w:r w:rsidR="00C23742">
        <w:t>2020</w:t>
      </w:r>
      <w:r>
        <w:t xml:space="preserve">. </w:t>
      </w:r>
      <w:r w:rsidRPr="00584484">
        <w:t xml:space="preserve">In the report </w:t>
      </w:r>
      <w:r>
        <w:t>p</w:t>
      </w:r>
      <w:r w:rsidRPr="00584484">
        <w:t>eriod for 2019</w:t>
      </w:r>
      <w:r w:rsidR="00980424">
        <w:t>–</w:t>
      </w:r>
      <w:r w:rsidRPr="00584484">
        <w:t>20, we also acknowledge the significant contributions of:</w:t>
      </w:r>
    </w:p>
    <w:p w14:paraId="248233F5" w14:textId="77777777" w:rsidR="007B2077" w:rsidRPr="00584484" w:rsidRDefault="007B2077" w:rsidP="00F51716">
      <w:pPr>
        <w:pStyle w:val="ListBullet"/>
      </w:pPr>
      <w:r w:rsidRPr="00584484">
        <w:t>Tony Toaldo, Director Corporate Services</w:t>
      </w:r>
    </w:p>
    <w:p w14:paraId="320FFFCB" w14:textId="77777777" w:rsidR="007B2077" w:rsidRPr="00584484" w:rsidRDefault="007B2077" w:rsidP="00F51716">
      <w:pPr>
        <w:pStyle w:val="ListBullet"/>
      </w:pPr>
      <w:r w:rsidRPr="00584484">
        <w:t>Stephanie Ziersch, Director Climate Change and Communities</w:t>
      </w:r>
    </w:p>
    <w:p w14:paraId="2AD4D4A8" w14:textId="77777777" w:rsidR="007B2077" w:rsidRPr="00584484" w:rsidRDefault="007B2077" w:rsidP="00F51716">
      <w:pPr>
        <w:pStyle w:val="ListBullet"/>
      </w:pPr>
      <w:r w:rsidRPr="00584484">
        <w:t>Steven Lynch, Acting Director Business &amp; Built Environment</w:t>
      </w:r>
    </w:p>
    <w:p w14:paraId="6EBCEE7E" w14:textId="41EEF691" w:rsidR="00C23742" w:rsidRDefault="007B2077" w:rsidP="00F51716">
      <w:r>
        <w:t xml:space="preserve"> </w:t>
      </w:r>
    </w:p>
    <w:p w14:paraId="61164F35" w14:textId="77777777" w:rsidR="00C23742" w:rsidRDefault="00C23742" w:rsidP="00F51716">
      <w:r>
        <w:object w:dxaOrig="15466" w:dyaOrig="10306" w14:anchorId="6C51AB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05pt;height:300.95pt" o:ole="">
            <v:imagedata r:id="rId34" o:title=""/>
          </v:shape>
          <o:OLEObject Type="Embed" ProgID="Visio.Drawing.15" ShapeID="_x0000_i1025" DrawAspect="Content" ObjectID="_1682945983" r:id="rId35"/>
        </w:object>
      </w:r>
    </w:p>
    <w:p w14:paraId="2FE992C6" w14:textId="77777777" w:rsidR="00C23742" w:rsidRDefault="00C23742" w:rsidP="00F51716"/>
    <w:p w14:paraId="0F436EEF" w14:textId="5C7C10EF" w:rsidR="007B2077" w:rsidRDefault="007B2077" w:rsidP="00F51716">
      <w:pPr>
        <w:pStyle w:val="Caption"/>
      </w:pPr>
      <w:bookmarkStart w:id="65" w:name="_Ref57272968"/>
      <w:r>
        <w:t xml:space="preserve">Figure </w:t>
      </w:r>
      <w:fldSimple w:instr=" SEQ Figure \* ARABIC ">
        <w:r w:rsidR="00205952">
          <w:rPr>
            <w:noProof/>
          </w:rPr>
          <w:t>1</w:t>
        </w:r>
      </w:fldSimple>
      <w:bookmarkEnd w:id="65"/>
      <w:r>
        <w:t>: SV’s organisational structure at as 30</w:t>
      </w:r>
      <w:r w:rsidR="007536F1">
        <w:t> </w:t>
      </w:r>
      <w:r>
        <w:t>June</w:t>
      </w:r>
      <w:r w:rsidR="007536F1">
        <w:t> </w:t>
      </w:r>
      <w:r>
        <w:t>2020</w:t>
      </w:r>
    </w:p>
    <w:p w14:paraId="15CD767E" w14:textId="77777777" w:rsidR="007B2077" w:rsidRPr="00043B1F" w:rsidRDefault="007B2077" w:rsidP="00F51716"/>
    <w:p w14:paraId="0BAF7368" w14:textId="77777777" w:rsidR="00C23742" w:rsidRPr="00930342" w:rsidRDefault="00C23742" w:rsidP="00F51716">
      <w:r w:rsidRPr="00930342">
        <w:br w:type="page"/>
      </w:r>
    </w:p>
    <w:p w14:paraId="38743FD5" w14:textId="57E76002" w:rsidR="00E75DCC" w:rsidRDefault="00E75DCC" w:rsidP="009C0026">
      <w:pPr>
        <w:pStyle w:val="Heading3"/>
      </w:pPr>
      <w:bookmarkStart w:id="66" w:name="_Toc56627335"/>
      <w:bookmarkStart w:id="67" w:name="_Toc57039870"/>
      <w:bookmarkEnd w:id="57"/>
      <w:bookmarkEnd w:id="58"/>
      <w:r w:rsidRPr="00E75DCC">
        <w:t>Social and sustainable procurement</w:t>
      </w:r>
      <w:bookmarkEnd w:id="66"/>
      <w:bookmarkEnd w:id="67"/>
    </w:p>
    <w:p w14:paraId="6F2624C0" w14:textId="6DA30734" w:rsidR="00A43E12" w:rsidRPr="00A43E12" w:rsidRDefault="00A43E12" w:rsidP="00F51716">
      <w:r w:rsidRPr="00A43E12">
        <w:t>S</w:t>
      </w:r>
      <w:r w:rsidR="00801DD3">
        <w:t>V</w:t>
      </w:r>
      <w:r w:rsidRPr="00A43E12">
        <w:t xml:space="preserve"> is fully committed to supporting the Government’s directions under the Social Procurement Framework</w:t>
      </w:r>
      <w:r w:rsidR="00810968">
        <w:t>. W</w:t>
      </w:r>
      <w:r w:rsidRPr="00A43E12">
        <w:t>e recognise that we play a key role in advancing social and sustainable outcomes for Victorians.</w:t>
      </w:r>
    </w:p>
    <w:p w14:paraId="255CCC18" w14:textId="576DCA0F" w:rsidR="00A43E12" w:rsidRPr="00A43E12" w:rsidRDefault="00A43E12" w:rsidP="00F51716">
      <w:r w:rsidRPr="00A43E12">
        <w:t>In 2019, SV developed a Social Procurement Strategy to enable a strategic, agency-wide approach to deliver</w:t>
      </w:r>
      <w:r w:rsidR="00810968">
        <w:t>ing</w:t>
      </w:r>
      <w:r w:rsidRPr="00A43E12">
        <w:t xml:space="preserve"> social and sustainable outcomes through our procurement in accordance with the </w:t>
      </w:r>
      <w:r w:rsidR="00801DD3">
        <w:t>f</w:t>
      </w:r>
      <w:r w:rsidRPr="00A43E12">
        <w:t>ramework and beyond.</w:t>
      </w:r>
    </w:p>
    <w:p w14:paraId="62CDF2C5" w14:textId="59B1911E" w:rsidR="00810968" w:rsidRDefault="00A43E12" w:rsidP="00F51716">
      <w:r w:rsidRPr="00A43E12">
        <w:t>Based on th</w:t>
      </w:r>
      <w:r w:rsidR="00810968">
        <w:t xml:space="preserve">is </w:t>
      </w:r>
      <w:r w:rsidRPr="00A43E12">
        <w:t xml:space="preserve">work, </w:t>
      </w:r>
      <w:r w:rsidR="00810968">
        <w:t xml:space="preserve">SV identified </w:t>
      </w:r>
      <w:r w:rsidRPr="00A43E12">
        <w:t>the following priority objectives</w:t>
      </w:r>
      <w:r w:rsidR="00810968">
        <w:t>:</w:t>
      </w:r>
    </w:p>
    <w:p w14:paraId="68D40B6B" w14:textId="77777777" w:rsidR="00A43E12" w:rsidRPr="00A43E12" w:rsidRDefault="00A43E12" w:rsidP="00F51716">
      <w:pPr>
        <w:pStyle w:val="ListBullet"/>
      </w:pPr>
      <w:r w:rsidRPr="00A43E12">
        <w:rPr>
          <w:b/>
          <w:bCs/>
        </w:rPr>
        <w:t>Sustainable Victorian social enterprises and Aboriginal business sectors</w:t>
      </w:r>
      <w:r w:rsidRPr="00A43E12">
        <w:rPr>
          <w:b/>
          <w:bCs/>
        </w:rPr>
        <w:br/>
      </w:r>
      <w:r w:rsidRPr="00A43E12">
        <w:t>Outcome sought: purchasing form Victorian social enterprises and Aboriginal businesses</w:t>
      </w:r>
    </w:p>
    <w:p w14:paraId="29C6FBC9" w14:textId="1989A78B" w:rsidR="00A43E12" w:rsidRPr="00A43E12" w:rsidRDefault="00A43E12" w:rsidP="00F51716">
      <w:pPr>
        <w:pStyle w:val="ListBullet"/>
      </w:pPr>
      <w:r w:rsidRPr="00A43E12">
        <w:rPr>
          <w:b/>
          <w:bCs/>
        </w:rPr>
        <w:t>Women's equality and safety</w:t>
      </w:r>
      <w:r w:rsidRPr="00A43E12">
        <w:rPr>
          <w:b/>
          <w:bCs/>
        </w:rPr>
        <w:br/>
      </w:r>
      <w:r w:rsidRPr="00A43E12">
        <w:t xml:space="preserve">Outcome sought: </w:t>
      </w:r>
      <w:r w:rsidR="00810968">
        <w:t>g</w:t>
      </w:r>
      <w:r w:rsidRPr="00A43E12">
        <w:t>ender equality within Victorian government suppliers</w:t>
      </w:r>
    </w:p>
    <w:p w14:paraId="542114B9" w14:textId="6A0336A0" w:rsidR="00A43E12" w:rsidRPr="00264034" w:rsidRDefault="00A43E12" w:rsidP="00F51716">
      <w:pPr>
        <w:pStyle w:val="ListBullet"/>
        <w:rPr>
          <w:rFonts w:eastAsiaTheme="minorHAnsi"/>
        </w:rPr>
      </w:pPr>
      <w:r w:rsidRPr="00A43E12">
        <w:rPr>
          <w:b/>
          <w:bCs/>
        </w:rPr>
        <w:t>Environmentally sustainable business practices</w:t>
      </w:r>
      <w:r w:rsidRPr="00A43E12">
        <w:rPr>
          <w:b/>
          <w:bCs/>
        </w:rPr>
        <w:br/>
      </w:r>
      <w:r w:rsidRPr="00A43E12">
        <w:t>Outcome sought: adoption of sustainable business practices by suppliers to the Victorian Government</w:t>
      </w:r>
      <w:r w:rsidR="00810968">
        <w:t xml:space="preserve">. </w:t>
      </w:r>
    </w:p>
    <w:p w14:paraId="18539AA7" w14:textId="1F6AF272" w:rsidR="00810968" w:rsidRPr="004103AA" w:rsidRDefault="00810968" w:rsidP="00F51716">
      <w:pPr>
        <w:rPr>
          <w:rFonts w:eastAsiaTheme="minorHAnsi"/>
        </w:rPr>
      </w:pPr>
      <w:r w:rsidRPr="00A43E12">
        <w:t>The</w:t>
      </w:r>
      <w:r w:rsidRPr="00810968">
        <w:t>se objectives</w:t>
      </w:r>
      <w:r w:rsidRPr="00A43E12">
        <w:t xml:space="preserve"> </w:t>
      </w:r>
      <w:r>
        <w:t>were</w:t>
      </w:r>
      <w:r w:rsidRPr="00A43E12">
        <w:t xml:space="preserve"> chosen based on their high degree of alignment with SV’s strategic direction and values as well as being best positioned to advance our identified social procurement opportunities</w:t>
      </w:r>
      <w:r>
        <w:t>.</w:t>
      </w:r>
    </w:p>
    <w:p w14:paraId="1424DAB8" w14:textId="77777777" w:rsidR="00A43E12" w:rsidRPr="00A43E12" w:rsidRDefault="00A43E12" w:rsidP="00F51716">
      <w:r w:rsidRPr="00A43E12">
        <w:t>While these priority social and sustainable objectives guide our procurement delivery, SV is committed to pursuing any opportunities to advance social and sustainable outcomes for Victorians.</w:t>
      </w:r>
    </w:p>
    <w:p w14:paraId="64E792B1" w14:textId="77777777" w:rsidR="00A43E12" w:rsidRPr="00A43E12" w:rsidRDefault="00A43E12" w:rsidP="00F51716">
      <w:r w:rsidRPr="00A43E12">
        <w:t>This year, SV updated its procurement documentation, which mandates potential suppliers to outline:</w:t>
      </w:r>
    </w:p>
    <w:p w14:paraId="22F385F1" w14:textId="2646F722" w:rsidR="00A43E12" w:rsidRPr="00A43E12" w:rsidRDefault="00A43E12" w:rsidP="00F51716">
      <w:pPr>
        <w:pStyle w:val="ListBullet"/>
      </w:pPr>
      <w:r w:rsidRPr="00A43E12">
        <w:t xml:space="preserve">their </w:t>
      </w:r>
      <w:r w:rsidR="00810968">
        <w:t>Environmental Management System</w:t>
      </w:r>
      <w:r w:rsidR="00810968" w:rsidRPr="00A43E12">
        <w:t xml:space="preserve"> </w:t>
      </w:r>
      <w:r w:rsidR="00810968">
        <w:t>(</w:t>
      </w:r>
      <w:r w:rsidRPr="00A43E12">
        <w:t>EMS</w:t>
      </w:r>
      <w:r w:rsidR="00810968">
        <w:t>)</w:t>
      </w:r>
      <w:r w:rsidRPr="00A43E12">
        <w:t xml:space="preserve"> polices, practices and targets</w:t>
      </w:r>
    </w:p>
    <w:p w14:paraId="736628C4" w14:textId="77777777" w:rsidR="00A43E12" w:rsidRPr="00A43E12" w:rsidRDefault="00A43E12" w:rsidP="00F51716">
      <w:pPr>
        <w:pStyle w:val="ListBullet"/>
      </w:pPr>
      <w:r w:rsidRPr="00A43E12">
        <w:t>social procurement policy and practices (where applicable).</w:t>
      </w:r>
    </w:p>
    <w:p w14:paraId="231EA988" w14:textId="24F1FB79" w:rsidR="00A43E12" w:rsidRPr="00A43E12" w:rsidRDefault="00A43E12" w:rsidP="00F51716">
      <w:r w:rsidRPr="00A43E12">
        <w:t>At a minimum, 10</w:t>
      </w:r>
      <w:r w:rsidR="007B2077">
        <w:t xml:space="preserve"> per cent</w:t>
      </w:r>
      <w:r w:rsidRPr="00A43E12">
        <w:t xml:space="preserve"> of the total weighted evaluation criteria is assigned t</w:t>
      </w:r>
      <w:r w:rsidR="00810968" w:rsidRPr="00A43E12">
        <w:t>o social value and/or environmentally sustainable business practices.</w:t>
      </w:r>
    </w:p>
    <w:p w14:paraId="2F529EA0" w14:textId="3609B002" w:rsidR="00A43E12" w:rsidRPr="00A43E12" w:rsidRDefault="00A43E12" w:rsidP="00F51716">
      <w:r w:rsidRPr="00A43E12">
        <w:t xml:space="preserve">As represented in </w:t>
      </w:r>
      <w:r w:rsidR="007B2077">
        <w:fldChar w:fldCharType="begin"/>
      </w:r>
      <w:r w:rsidR="007B2077">
        <w:instrText xml:space="preserve"> REF _Ref57273105 \h </w:instrText>
      </w:r>
      <w:r w:rsidR="007B2077">
        <w:fldChar w:fldCharType="separate"/>
      </w:r>
      <w:r w:rsidR="00205952">
        <w:t xml:space="preserve">Figure </w:t>
      </w:r>
      <w:r w:rsidR="00205952">
        <w:rPr>
          <w:noProof/>
        </w:rPr>
        <w:t>2</w:t>
      </w:r>
      <w:r w:rsidR="007B2077">
        <w:fldChar w:fldCharType="end"/>
      </w:r>
      <w:r w:rsidR="00810968">
        <w:t>,</w:t>
      </w:r>
      <w:r w:rsidRPr="00A43E12">
        <w:t xml:space="preserve"> (</w:t>
      </w:r>
      <w:r>
        <w:t>EMS performance of contractors)</w:t>
      </w:r>
      <w:r w:rsidRPr="00A43E12">
        <w:t xml:space="preserve"> the introduction of mandatory weighted criteria has resulted in a higher engagement of contractors with well-established environmentally sustainable business practices. Additionally, 64</w:t>
      </w:r>
      <w:r w:rsidR="00810968">
        <w:t xml:space="preserve"> per cent</w:t>
      </w:r>
      <w:r w:rsidRPr="00A43E12">
        <w:t xml:space="preserve"> of potential suppliers committed their willingness to work with SV to improve their practices as a result of being awarded a contract.</w:t>
      </w:r>
    </w:p>
    <w:p w14:paraId="0F9C1F11" w14:textId="77777777" w:rsidR="00A43E12" w:rsidRPr="00A43E12" w:rsidRDefault="00A43E12" w:rsidP="009C0026">
      <w:pPr>
        <w:pStyle w:val="Heading4"/>
      </w:pPr>
      <w:r w:rsidRPr="00A43E12">
        <w:t>Sustainable Victorian social enterprises and Aboriginal business sectors</w:t>
      </w:r>
    </w:p>
    <w:p w14:paraId="736098D4" w14:textId="77777777" w:rsidR="00A43E12" w:rsidRPr="00A43E12" w:rsidRDefault="00A43E12" w:rsidP="00F51716">
      <w:r w:rsidRPr="00A43E12">
        <w:t>SV has commenced tracking expenditure with Victorian social enterprises and Aboriginal business sectors and introduced a mandatory social procurement opportunity assessment as part of all procurement planning.</w:t>
      </w:r>
    </w:p>
    <w:p w14:paraId="5BD3EC0F" w14:textId="3A9081B1" w:rsidR="00A43E12" w:rsidRPr="00A43E12" w:rsidRDefault="00A43E12" w:rsidP="00F51716">
      <w:r w:rsidRPr="00A43E12">
        <w:t>SV’s procurement policy has been u</w:t>
      </w:r>
      <w:r w:rsidR="007B2077" w:rsidRPr="00A43E12">
        <w:t xml:space="preserve">pdated to mandate all catering be sourced from a social benefit supplier where possible. </w:t>
      </w:r>
      <w:r w:rsidR="00810968">
        <w:t>V</w:t>
      </w:r>
      <w:r w:rsidR="007B2077" w:rsidRPr="00A43E12">
        <w:t>enue hire, gifts</w:t>
      </w:r>
      <w:r w:rsidR="007B2077">
        <w:t xml:space="preserve"> and</w:t>
      </w:r>
      <w:r w:rsidR="007B2077" w:rsidRPr="00A43E12">
        <w:t xml:space="preserve"> stationery are also strongly encouraged to be sourced from social benefit suppliers.</w:t>
      </w:r>
    </w:p>
    <w:p w14:paraId="17172D00" w14:textId="77777777" w:rsidR="00A43E12" w:rsidRDefault="00A43E12" w:rsidP="00F51716">
      <w:pPr>
        <w:rPr>
          <w:highlight w:val="cyan"/>
        </w:rPr>
      </w:pPr>
    </w:p>
    <w:p w14:paraId="39DAF4E2" w14:textId="1FF1459D" w:rsidR="00A43E12" w:rsidRDefault="00A43E12" w:rsidP="00F51716">
      <w:pPr>
        <w:rPr>
          <w:highlight w:val="cyan"/>
        </w:rPr>
      </w:pPr>
    </w:p>
    <w:p w14:paraId="4285F2E2" w14:textId="77777777" w:rsidR="00A43E12" w:rsidRDefault="00A43E12" w:rsidP="00F51716">
      <w:pPr>
        <w:rPr>
          <w:highlight w:val="cyan"/>
        </w:rPr>
      </w:pPr>
    </w:p>
    <w:p w14:paraId="4B0F1428" w14:textId="24A3651E" w:rsidR="006B4938" w:rsidRPr="00DD086B" w:rsidRDefault="006B4938" w:rsidP="00F51716">
      <w:pPr>
        <w:rPr>
          <w:sz w:val="28"/>
          <w:szCs w:val="28"/>
          <w:highlight w:val="cyan"/>
        </w:rPr>
      </w:pPr>
      <w:r>
        <w:rPr>
          <w:noProof/>
          <w:lang w:eastAsia="en-AU"/>
        </w:rPr>
        <w:drawing>
          <wp:inline distT="0" distB="0" distL="0" distR="0" wp14:anchorId="2B6AF3EF" wp14:editId="23CB1EC2">
            <wp:extent cx="5731510" cy="3712845"/>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731510" cy="3712845"/>
                    </a:xfrm>
                    <a:prstGeom prst="rect">
                      <a:avLst/>
                    </a:prstGeom>
                  </pic:spPr>
                </pic:pic>
              </a:graphicData>
            </a:graphic>
          </wp:inline>
        </w:drawing>
      </w:r>
    </w:p>
    <w:p w14:paraId="2767E5E9" w14:textId="5E9D9C3E" w:rsidR="003618C0" w:rsidRDefault="007B2077" w:rsidP="00F51716">
      <w:pPr>
        <w:pStyle w:val="Caption"/>
        <w:rPr>
          <w:rFonts w:asciiTheme="majorHAnsi" w:hAnsiTheme="majorHAnsi" w:cstheme="majorHAnsi"/>
        </w:rPr>
      </w:pPr>
      <w:bookmarkStart w:id="68" w:name="_Ref57273105"/>
      <w:r>
        <w:t xml:space="preserve">Figure </w:t>
      </w:r>
      <w:fldSimple w:instr=" SEQ Figure \* ARABIC ">
        <w:r w:rsidR="00205952">
          <w:rPr>
            <w:noProof/>
          </w:rPr>
          <w:t>2</w:t>
        </w:r>
      </w:fldSimple>
      <w:bookmarkEnd w:id="68"/>
      <w:r>
        <w:t>: EMS performance of contractors from 2014–15 to 2019–20</w:t>
      </w:r>
    </w:p>
    <w:p w14:paraId="58F3A9BC" w14:textId="0352ECDD" w:rsidR="0009270C" w:rsidRDefault="0009270C" w:rsidP="009C0026">
      <w:pPr>
        <w:pStyle w:val="Heading3"/>
      </w:pPr>
      <w:bookmarkStart w:id="69" w:name="_Toc56627336"/>
      <w:bookmarkStart w:id="70" w:name="_Toc57039871"/>
      <w:r w:rsidRPr="00AF6B06">
        <w:t>Occupational health and safety</w:t>
      </w:r>
      <w:bookmarkEnd w:id="69"/>
      <w:bookmarkEnd w:id="70"/>
    </w:p>
    <w:p w14:paraId="0ED35170" w14:textId="1056B097" w:rsidR="003C7FBE" w:rsidRDefault="003C7FBE" w:rsidP="00F51716">
      <w:r>
        <w:t xml:space="preserve">Our people are fundamental to our success. We strive to integrate health, safety and wellbeing into everything we do to provide a positive, healthy and safe working environment. Our Board, CEO, Directors and leaders are committed to providing and promoting a healthy workplace and safe systems of work. This commitment is outlined in the SV Health, Safety and Welfare (HS&amp;W) policy which applies to all SV employees, contractors, agency temps, </w:t>
      </w:r>
      <w:r w:rsidR="00C65C26">
        <w:t>b</w:t>
      </w:r>
      <w:r>
        <w:t>oard members and volunteers (workers) as well as visitors.</w:t>
      </w:r>
    </w:p>
    <w:p w14:paraId="35EEEA00" w14:textId="30742048" w:rsidR="00FB4CC6" w:rsidRDefault="003C7FBE" w:rsidP="00F51716">
      <w:r>
        <w:t xml:space="preserve">In </w:t>
      </w:r>
      <w:r w:rsidR="005D5DBE">
        <w:t>2019–20</w:t>
      </w:r>
      <w:r>
        <w:t>, we recorded:</w:t>
      </w:r>
    </w:p>
    <w:p w14:paraId="35E84AF7" w14:textId="7207403F" w:rsidR="00FB4CC6" w:rsidRDefault="006A39E2" w:rsidP="00F51716">
      <w:pPr>
        <w:pStyle w:val="ListBullet"/>
      </w:pPr>
      <w:r>
        <w:t>zero</w:t>
      </w:r>
      <w:r w:rsidR="003C7FBE">
        <w:t xml:space="preserve"> worker’s injury claims</w:t>
      </w:r>
    </w:p>
    <w:p w14:paraId="6BCA0D6F" w14:textId="1B38A5C7" w:rsidR="00FB4CC6" w:rsidRDefault="003C7FBE" w:rsidP="00F51716">
      <w:pPr>
        <w:pStyle w:val="ListBullet"/>
      </w:pPr>
      <w:r>
        <w:t>no formal written complaints</w:t>
      </w:r>
    </w:p>
    <w:p w14:paraId="56151681" w14:textId="673C848E" w:rsidR="00FB4CC6" w:rsidRDefault="003C7FBE" w:rsidP="00F51716">
      <w:pPr>
        <w:pStyle w:val="ListBullet"/>
      </w:pPr>
      <w:r>
        <w:t>no equal opportunity, bullying or harassment complaints</w:t>
      </w:r>
    </w:p>
    <w:p w14:paraId="4E1FAB12" w14:textId="6919E980" w:rsidR="00FB4CC6" w:rsidRDefault="006A39E2" w:rsidP="00F51716">
      <w:pPr>
        <w:pStyle w:val="ListBullet"/>
      </w:pPr>
      <w:r>
        <w:t>zero</w:t>
      </w:r>
      <w:r w:rsidR="003C7FBE">
        <w:t xml:space="preserve"> days of lost time due to injury</w:t>
      </w:r>
      <w:r>
        <w:t xml:space="preserve">. </w:t>
      </w:r>
    </w:p>
    <w:p w14:paraId="053D3F4E" w14:textId="37052A99" w:rsidR="00205952" w:rsidRDefault="00205952" w:rsidP="00205952">
      <w:r>
        <w:fldChar w:fldCharType="begin"/>
      </w:r>
      <w:r>
        <w:instrText xml:space="preserve"> REF _Ref57476636 \h </w:instrText>
      </w:r>
      <w:r>
        <w:fldChar w:fldCharType="separate"/>
      </w:r>
      <w:r>
        <w:t xml:space="preserve">Table </w:t>
      </w:r>
      <w:r>
        <w:rPr>
          <w:noProof/>
        </w:rPr>
        <w:t>25</w:t>
      </w:r>
      <w:r>
        <w:fldChar w:fldCharType="end"/>
      </w:r>
      <w:r>
        <w:t xml:space="preserve"> lists performance against health, safety and wellbeing management measures. </w:t>
      </w:r>
    </w:p>
    <w:p w14:paraId="7D2AF3C1" w14:textId="3CC43825" w:rsidR="00205952" w:rsidRDefault="00205952">
      <w:pPr>
        <w:spacing w:line="264" w:lineRule="auto"/>
      </w:pPr>
      <w:r>
        <w:br w:type="page"/>
      </w:r>
    </w:p>
    <w:p w14:paraId="4EAAB33D" w14:textId="77777777" w:rsidR="00205952" w:rsidRDefault="00205952" w:rsidP="00205952">
      <w:pPr>
        <w:pStyle w:val="ListBullet"/>
        <w:numPr>
          <w:ilvl w:val="0"/>
          <w:numId w:val="0"/>
        </w:numPr>
        <w:ind w:left="227" w:hanging="227"/>
      </w:pPr>
    </w:p>
    <w:p w14:paraId="3C0F0AAE" w14:textId="5E32357A" w:rsidR="00205952" w:rsidRDefault="00205952" w:rsidP="00205952">
      <w:pPr>
        <w:pStyle w:val="Caption"/>
      </w:pPr>
      <w:bookmarkStart w:id="71" w:name="_Ref57476636"/>
      <w:r>
        <w:t xml:space="preserve">Table </w:t>
      </w:r>
      <w:fldSimple w:instr=" SEQ Table \* ARABIC ">
        <w:r w:rsidR="003F15CC">
          <w:rPr>
            <w:noProof/>
          </w:rPr>
          <w:t>25</w:t>
        </w:r>
      </w:fldSimple>
      <w:bookmarkEnd w:id="71"/>
      <w:r>
        <w:t xml:space="preserve">: </w:t>
      </w:r>
      <w:r w:rsidRPr="008954BC">
        <w:t>Performance against health,</w:t>
      </w:r>
      <w:r>
        <w:t xml:space="preserve"> </w:t>
      </w:r>
      <w:r w:rsidRPr="008954BC">
        <w:t>safety and wellbeing management measures</w:t>
      </w:r>
      <w:r>
        <w:t xml:space="preserve"> from 2014–15 to 2019–20</w:t>
      </w:r>
    </w:p>
    <w:tbl>
      <w:tblPr>
        <w:tblStyle w:val="LightList-Accent4"/>
        <w:tblW w:w="10705" w:type="dxa"/>
        <w:tblInd w:w="-436" w:type="dxa"/>
        <w:tblLook w:val="04A0" w:firstRow="1" w:lastRow="0" w:firstColumn="1" w:lastColumn="0" w:noHBand="0" w:noVBand="1"/>
      </w:tblPr>
      <w:tblGrid>
        <w:gridCol w:w="1571"/>
        <w:gridCol w:w="2024"/>
        <w:gridCol w:w="1138"/>
        <w:gridCol w:w="1138"/>
        <w:gridCol w:w="1138"/>
        <w:gridCol w:w="1138"/>
        <w:gridCol w:w="1138"/>
        <w:gridCol w:w="14"/>
        <w:gridCol w:w="1124"/>
        <w:gridCol w:w="106"/>
        <w:gridCol w:w="70"/>
        <w:gridCol w:w="106"/>
      </w:tblGrid>
      <w:tr w:rsidR="00801DD3" w:rsidRPr="008954BC" w14:paraId="438B4476" w14:textId="77777777" w:rsidTr="003A2096">
        <w:trPr>
          <w:cnfStyle w:val="100000000000" w:firstRow="1" w:lastRow="0" w:firstColumn="0" w:lastColumn="0" w:oddVBand="0" w:evenVBand="0" w:oddHBand="0"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1571" w:type="dxa"/>
            <w:shd w:val="clear" w:color="auto" w:fill="82C341" w:themeFill="background1"/>
            <w:hideMark/>
          </w:tcPr>
          <w:p w14:paraId="5813DE8C" w14:textId="22563088" w:rsidR="008954BC" w:rsidRPr="008954BC" w:rsidRDefault="008954BC" w:rsidP="00F51716">
            <w:pPr>
              <w:pStyle w:val="TableHeading"/>
            </w:pPr>
            <w:r w:rsidRPr="008954BC">
              <w:t>Measure</w:t>
            </w:r>
          </w:p>
        </w:tc>
        <w:tc>
          <w:tcPr>
            <w:tcW w:w="2024" w:type="dxa"/>
            <w:shd w:val="clear" w:color="auto" w:fill="82C341" w:themeFill="background1"/>
            <w:hideMark/>
          </w:tcPr>
          <w:p w14:paraId="0D4D941A" w14:textId="77777777" w:rsidR="008954BC" w:rsidRPr="008954BC" w:rsidRDefault="008954BC" w:rsidP="00F51716">
            <w:pPr>
              <w:pStyle w:val="TableHeading"/>
              <w:cnfStyle w:val="100000000000" w:firstRow="1" w:lastRow="0" w:firstColumn="0" w:lastColumn="0" w:oddVBand="0" w:evenVBand="0" w:oddHBand="0" w:evenHBand="0" w:firstRowFirstColumn="0" w:firstRowLastColumn="0" w:lastRowFirstColumn="0" w:lastRowLastColumn="0"/>
            </w:pPr>
            <w:r w:rsidRPr="008954BC">
              <w:t>KPI</w:t>
            </w:r>
          </w:p>
        </w:tc>
        <w:tc>
          <w:tcPr>
            <w:tcW w:w="1138" w:type="dxa"/>
            <w:shd w:val="clear" w:color="auto" w:fill="82C341" w:themeFill="background1"/>
            <w:noWrap/>
            <w:hideMark/>
          </w:tcPr>
          <w:p w14:paraId="74376ADB" w14:textId="6D77D871" w:rsidR="008954BC" w:rsidRPr="008954BC" w:rsidRDefault="005D5DBE" w:rsidP="00205952">
            <w:pPr>
              <w:pStyle w:val="tableheadright"/>
              <w:cnfStyle w:val="100000000000" w:firstRow="1" w:lastRow="0" w:firstColumn="0" w:lastColumn="0" w:oddVBand="0" w:evenVBand="0" w:oddHBand="0" w:evenHBand="0" w:firstRowFirstColumn="0" w:firstRowLastColumn="0" w:lastRowFirstColumn="0" w:lastRowLastColumn="0"/>
            </w:pPr>
            <w:r>
              <w:t>2019–20</w:t>
            </w:r>
          </w:p>
        </w:tc>
        <w:tc>
          <w:tcPr>
            <w:tcW w:w="1138" w:type="dxa"/>
            <w:shd w:val="clear" w:color="auto" w:fill="82C341" w:themeFill="background1"/>
            <w:noWrap/>
            <w:hideMark/>
          </w:tcPr>
          <w:p w14:paraId="0D0B435B" w14:textId="04D35900" w:rsidR="008954BC" w:rsidRPr="008954BC" w:rsidRDefault="00801DD3" w:rsidP="00205952">
            <w:pPr>
              <w:pStyle w:val="tableheadright"/>
              <w:cnfStyle w:val="100000000000" w:firstRow="1" w:lastRow="0" w:firstColumn="0" w:lastColumn="0" w:oddVBand="0" w:evenVBand="0" w:oddHBand="0" w:evenHBand="0" w:firstRowFirstColumn="0" w:firstRowLastColumn="0" w:lastRowFirstColumn="0" w:lastRowLastColumn="0"/>
            </w:pPr>
            <w:r>
              <w:t>2018–19</w:t>
            </w:r>
          </w:p>
        </w:tc>
        <w:tc>
          <w:tcPr>
            <w:tcW w:w="1138" w:type="dxa"/>
            <w:shd w:val="clear" w:color="auto" w:fill="82C341" w:themeFill="background1"/>
            <w:noWrap/>
            <w:hideMark/>
          </w:tcPr>
          <w:p w14:paraId="0423ADD7" w14:textId="47D70B61" w:rsidR="008954BC" w:rsidRPr="008954BC" w:rsidRDefault="00801DD3" w:rsidP="00205952">
            <w:pPr>
              <w:pStyle w:val="tableheadright"/>
              <w:cnfStyle w:val="100000000000" w:firstRow="1" w:lastRow="0" w:firstColumn="0" w:lastColumn="0" w:oddVBand="0" w:evenVBand="0" w:oddHBand="0" w:evenHBand="0" w:firstRowFirstColumn="0" w:firstRowLastColumn="0" w:lastRowFirstColumn="0" w:lastRowLastColumn="0"/>
            </w:pPr>
            <w:r>
              <w:t>2017–18</w:t>
            </w:r>
          </w:p>
        </w:tc>
        <w:tc>
          <w:tcPr>
            <w:tcW w:w="1138" w:type="dxa"/>
            <w:shd w:val="clear" w:color="auto" w:fill="82C341" w:themeFill="background1"/>
            <w:noWrap/>
            <w:hideMark/>
          </w:tcPr>
          <w:p w14:paraId="67D0B1EC" w14:textId="312251AA" w:rsidR="008954BC" w:rsidRPr="008954BC" w:rsidRDefault="00801DD3" w:rsidP="00205952">
            <w:pPr>
              <w:pStyle w:val="tableheadright"/>
              <w:cnfStyle w:val="100000000000" w:firstRow="1" w:lastRow="0" w:firstColumn="0" w:lastColumn="0" w:oddVBand="0" w:evenVBand="0" w:oddHBand="0" w:evenHBand="0" w:firstRowFirstColumn="0" w:firstRowLastColumn="0" w:lastRowFirstColumn="0" w:lastRowLastColumn="0"/>
            </w:pPr>
            <w:r>
              <w:t>2016–17</w:t>
            </w:r>
          </w:p>
        </w:tc>
        <w:tc>
          <w:tcPr>
            <w:tcW w:w="1152" w:type="dxa"/>
            <w:gridSpan w:val="2"/>
            <w:shd w:val="clear" w:color="auto" w:fill="82C341" w:themeFill="background1"/>
            <w:noWrap/>
            <w:hideMark/>
          </w:tcPr>
          <w:p w14:paraId="4C469A01" w14:textId="401A8C9B" w:rsidR="008954BC" w:rsidRPr="008954BC" w:rsidRDefault="00801DD3" w:rsidP="00205952">
            <w:pPr>
              <w:pStyle w:val="tableheadright"/>
              <w:cnfStyle w:val="100000000000" w:firstRow="1" w:lastRow="0" w:firstColumn="0" w:lastColumn="0" w:oddVBand="0" w:evenVBand="0" w:oddHBand="0" w:evenHBand="0" w:firstRowFirstColumn="0" w:firstRowLastColumn="0" w:lastRowFirstColumn="0" w:lastRowLastColumn="0"/>
            </w:pPr>
            <w:r>
              <w:t>2015–16</w:t>
            </w:r>
          </w:p>
        </w:tc>
        <w:tc>
          <w:tcPr>
            <w:tcW w:w="1230" w:type="dxa"/>
            <w:gridSpan w:val="2"/>
            <w:shd w:val="clear" w:color="auto" w:fill="82C341" w:themeFill="background1"/>
            <w:noWrap/>
            <w:hideMark/>
          </w:tcPr>
          <w:p w14:paraId="4B8EE816" w14:textId="444FD2C6" w:rsidR="008954BC" w:rsidRPr="008954BC" w:rsidRDefault="008954BC" w:rsidP="00205952">
            <w:pPr>
              <w:pStyle w:val="tableheadright"/>
              <w:cnfStyle w:val="100000000000" w:firstRow="1" w:lastRow="0" w:firstColumn="0" w:lastColumn="0" w:oddVBand="0" w:evenVBand="0" w:oddHBand="0" w:evenHBand="0" w:firstRowFirstColumn="0" w:firstRowLastColumn="0" w:lastRowFirstColumn="0" w:lastRowLastColumn="0"/>
            </w:pPr>
            <w:r w:rsidRPr="008954BC">
              <w:t>2014</w:t>
            </w:r>
            <w:r w:rsidR="00801DD3">
              <w:t>–</w:t>
            </w:r>
            <w:r w:rsidRPr="008954BC">
              <w:t>15</w:t>
            </w:r>
          </w:p>
        </w:tc>
        <w:tc>
          <w:tcPr>
            <w:tcW w:w="176" w:type="dxa"/>
            <w:gridSpan w:val="2"/>
            <w:hideMark/>
          </w:tcPr>
          <w:p w14:paraId="446A7806" w14:textId="77777777" w:rsidR="008954BC" w:rsidRPr="008954BC" w:rsidRDefault="008954BC" w:rsidP="00F51716">
            <w:pPr>
              <w:pStyle w:val="TableHeading"/>
              <w:cnfStyle w:val="100000000000" w:firstRow="1" w:lastRow="0" w:firstColumn="0" w:lastColumn="0" w:oddVBand="0" w:evenVBand="0" w:oddHBand="0" w:evenHBand="0" w:firstRowFirstColumn="0" w:firstRowLastColumn="0" w:lastRowFirstColumn="0" w:lastRowLastColumn="0"/>
            </w:pPr>
          </w:p>
        </w:tc>
      </w:tr>
      <w:tr w:rsidR="00801DD3" w:rsidRPr="008954BC" w14:paraId="0332E789" w14:textId="77777777" w:rsidTr="003A2096">
        <w:trPr>
          <w:gridAfter w:val="1"/>
          <w:cnfStyle w:val="000000100000" w:firstRow="0" w:lastRow="0" w:firstColumn="0" w:lastColumn="0" w:oddVBand="0" w:evenVBand="0" w:oddHBand="1" w:evenHBand="0" w:firstRowFirstColumn="0" w:firstRowLastColumn="0" w:lastRowFirstColumn="0" w:lastRowLastColumn="0"/>
          <w:wAfter w:w="106" w:type="dxa"/>
          <w:trHeight w:val="572"/>
        </w:trPr>
        <w:tc>
          <w:tcPr>
            <w:cnfStyle w:val="001000000000" w:firstRow="0" w:lastRow="0" w:firstColumn="1" w:lastColumn="0" w:oddVBand="0" w:evenVBand="0" w:oddHBand="0" w:evenHBand="0" w:firstRowFirstColumn="0" w:firstRowLastColumn="0" w:lastRowFirstColumn="0" w:lastRowLastColumn="0"/>
            <w:tcW w:w="1571" w:type="dxa"/>
            <w:vMerge w:val="restart"/>
            <w:tcBorders>
              <w:top w:val="none" w:sz="0" w:space="0" w:color="auto"/>
              <w:left w:val="none" w:sz="0" w:space="0" w:color="auto"/>
              <w:bottom w:val="none" w:sz="0" w:space="0" w:color="auto"/>
            </w:tcBorders>
            <w:hideMark/>
          </w:tcPr>
          <w:p w14:paraId="50CE4B3E" w14:textId="77777777" w:rsidR="008954BC" w:rsidRPr="008954BC" w:rsidRDefault="008954BC" w:rsidP="00F51716">
            <w:pPr>
              <w:pStyle w:val="Tabletext0"/>
            </w:pPr>
            <w:r w:rsidRPr="008954BC">
              <w:t>Incidents</w:t>
            </w:r>
          </w:p>
        </w:tc>
        <w:tc>
          <w:tcPr>
            <w:tcW w:w="2024" w:type="dxa"/>
            <w:tcBorders>
              <w:top w:val="none" w:sz="0" w:space="0" w:color="auto"/>
              <w:bottom w:val="none" w:sz="0" w:space="0" w:color="auto"/>
            </w:tcBorders>
            <w:hideMark/>
          </w:tcPr>
          <w:p w14:paraId="15296457" w14:textId="7198A226" w:rsidR="008954BC" w:rsidRPr="008954BC" w:rsidRDefault="008954BC" w:rsidP="00F51716">
            <w:pPr>
              <w:pStyle w:val="Tabletext0"/>
              <w:cnfStyle w:val="000000100000" w:firstRow="0" w:lastRow="0" w:firstColumn="0" w:lastColumn="0" w:oddVBand="0" w:evenVBand="0" w:oddHBand="1" w:evenHBand="0" w:firstRowFirstColumn="0" w:firstRowLastColumn="0" w:lastRowFirstColumn="0" w:lastRowLastColumn="0"/>
            </w:pPr>
            <w:r w:rsidRPr="008954BC">
              <w:t>No</w:t>
            </w:r>
            <w:r w:rsidR="005404C3">
              <w:t>.</w:t>
            </w:r>
            <w:r w:rsidR="00105AEC">
              <w:t xml:space="preserve"> </w:t>
            </w:r>
            <w:r w:rsidRPr="008954BC">
              <w:t xml:space="preserve">of </w:t>
            </w:r>
            <w:r w:rsidR="005404C3">
              <w:t>i</w:t>
            </w:r>
            <w:r w:rsidRPr="008954BC">
              <w:t>ncidents</w:t>
            </w:r>
          </w:p>
        </w:tc>
        <w:tc>
          <w:tcPr>
            <w:tcW w:w="1138" w:type="dxa"/>
            <w:tcBorders>
              <w:top w:val="none" w:sz="0" w:space="0" w:color="auto"/>
              <w:bottom w:val="none" w:sz="0" w:space="0" w:color="auto"/>
            </w:tcBorders>
            <w:noWrap/>
            <w:hideMark/>
          </w:tcPr>
          <w:p w14:paraId="6FFB16C6" w14:textId="77777777" w:rsidR="008954BC" w:rsidRPr="008954BC" w:rsidRDefault="008954BC" w:rsidP="00205952">
            <w:pPr>
              <w:pStyle w:val="tableright"/>
              <w:cnfStyle w:val="000000100000" w:firstRow="0" w:lastRow="0" w:firstColumn="0" w:lastColumn="0" w:oddVBand="0" w:evenVBand="0" w:oddHBand="1" w:evenHBand="0" w:firstRowFirstColumn="0" w:firstRowLastColumn="0" w:lastRowFirstColumn="0" w:lastRowLastColumn="0"/>
            </w:pPr>
            <w:r w:rsidRPr="008954BC">
              <w:t>5</w:t>
            </w:r>
          </w:p>
        </w:tc>
        <w:tc>
          <w:tcPr>
            <w:tcW w:w="1138" w:type="dxa"/>
            <w:tcBorders>
              <w:top w:val="none" w:sz="0" w:space="0" w:color="auto"/>
              <w:bottom w:val="none" w:sz="0" w:space="0" w:color="auto"/>
            </w:tcBorders>
            <w:noWrap/>
            <w:hideMark/>
          </w:tcPr>
          <w:p w14:paraId="0EA59A7A" w14:textId="77777777" w:rsidR="008954BC" w:rsidRPr="008954BC" w:rsidRDefault="008954BC" w:rsidP="00205952">
            <w:pPr>
              <w:pStyle w:val="tableright"/>
              <w:cnfStyle w:val="000000100000" w:firstRow="0" w:lastRow="0" w:firstColumn="0" w:lastColumn="0" w:oddVBand="0" w:evenVBand="0" w:oddHBand="1" w:evenHBand="0" w:firstRowFirstColumn="0" w:firstRowLastColumn="0" w:lastRowFirstColumn="0" w:lastRowLastColumn="0"/>
            </w:pPr>
            <w:r w:rsidRPr="008954BC">
              <w:t>4</w:t>
            </w:r>
          </w:p>
        </w:tc>
        <w:tc>
          <w:tcPr>
            <w:tcW w:w="1138" w:type="dxa"/>
            <w:tcBorders>
              <w:top w:val="none" w:sz="0" w:space="0" w:color="auto"/>
              <w:bottom w:val="none" w:sz="0" w:space="0" w:color="auto"/>
            </w:tcBorders>
            <w:noWrap/>
            <w:hideMark/>
          </w:tcPr>
          <w:p w14:paraId="0223E735" w14:textId="77777777" w:rsidR="008954BC" w:rsidRPr="008954BC" w:rsidRDefault="008954BC" w:rsidP="00205952">
            <w:pPr>
              <w:pStyle w:val="tableright"/>
              <w:cnfStyle w:val="000000100000" w:firstRow="0" w:lastRow="0" w:firstColumn="0" w:lastColumn="0" w:oddVBand="0" w:evenVBand="0" w:oddHBand="1" w:evenHBand="0" w:firstRowFirstColumn="0" w:firstRowLastColumn="0" w:lastRowFirstColumn="0" w:lastRowLastColumn="0"/>
            </w:pPr>
            <w:r w:rsidRPr="008954BC">
              <w:t>6</w:t>
            </w:r>
          </w:p>
        </w:tc>
        <w:tc>
          <w:tcPr>
            <w:tcW w:w="1138" w:type="dxa"/>
            <w:tcBorders>
              <w:top w:val="none" w:sz="0" w:space="0" w:color="auto"/>
              <w:bottom w:val="none" w:sz="0" w:space="0" w:color="auto"/>
            </w:tcBorders>
            <w:noWrap/>
            <w:hideMark/>
          </w:tcPr>
          <w:p w14:paraId="3669882A" w14:textId="77777777" w:rsidR="008954BC" w:rsidRPr="008954BC" w:rsidRDefault="008954BC" w:rsidP="00205952">
            <w:pPr>
              <w:pStyle w:val="tableright"/>
              <w:cnfStyle w:val="000000100000" w:firstRow="0" w:lastRow="0" w:firstColumn="0" w:lastColumn="0" w:oddVBand="0" w:evenVBand="0" w:oddHBand="1" w:evenHBand="0" w:firstRowFirstColumn="0" w:firstRowLastColumn="0" w:lastRowFirstColumn="0" w:lastRowLastColumn="0"/>
            </w:pPr>
            <w:r w:rsidRPr="008954BC">
              <w:t>7</w:t>
            </w:r>
          </w:p>
        </w:tc>
        <w:tc>
          <w:tcPr>
            <w:tcW w:w="1138" w:type="dxa"/>
            <w:tcBorders>
              <w:top w:val="none" w:sz="0" w:space="0" w:color="auto"/>
              <w:bottom w:val="none" w:sz="0" w:space="0" w:color="auto"/>
            </w:tcBorders>
            <w:noWrap/>
            <w:hideMark/>
          </w:tcPr>
          <w:p w14:paraId="099977AC" w14:textId="77777777" w:rsidR="008954BC" w:rsidRPr="008954BC" w:rsidRDefault="008954BC" w:rsidP="00205952">
            <w:pPr>
              <w:pStyle w:val="tableright"/>
              <w:cnfStyle w:val="000000100000" w:firstRow="0" w:lastRow="0" w:firstColumn="0" w:lastColumn="0" w:oddVBand="0" w:evenVBand="0" w:oddHBand="1" w:evenHBand="0" w:firstRowFirstColumn="0" w:firstRowLastColumn="0" w:lastRowFirstColumn="0" w:lastRowLastColumn="0"/>
            </w:pPr>
            <w:r w:rsidRPr="008954BC">
              <w:t>11</w:t>
            </w:r>
          </w:p>
        </w:tc>
        <w:tc>
          <w:tcPr>
            <w:tcW w:w="1138" w:type="dxa"/>
            <w:gridSpan w:val="2"/>
            <w:tcBorders>
              <w:top w:val="none" w:sz="0" w:space="0" w:color="auto"/>
              <w:bottom w:val="none" w:sz="0" w:space="0" w:color="auto"/>
            </w:tcBorders>
            <w:noWrap/>
            <w:hideMark/>
          </w:tcPr>
          <w:p w14:paraId="5F90C5BE" w14:textId="77777777" w:rsidR="008954BC" w:rsidRPr="008954BC" w:rsidRDefault="008954BC" w:rsidP="00205952">
            <w:pPr>
              <w:pStyle w:val="tableright"/>
              <w:cnfStyle w:val="000000100000" w:firstRow="0" w:lastRow="0" w:firstColumn="0" w:lastColumn="0" w:oddVBand="0" w:evenVBand="0" w:oddHBand="1" w:evenHBand="0" w:firstRowFirstColumn="0" w:firstRowLastColumn="0" w:lastRowFirstColumn="0" w:lastRowLastColumn="0"/>
            </w:pPr>
            <w:r w:rsidRPr="008954BC">
              <w:t>7</w:t>
            </w:r>
          </w:p>
        </w:tc>
        <w:tc>
          <w:tcPr>
            <w:tcW w:w="176" w:type="dxa"/>
            <w:gridSpan w:val="2"/>
            <w:tcBorders>
              <w:top w:val="none" w:sz="0" w:space="0" w:color="auto"/>
              <w:bottom w:val="none" w:sz="0" w:space="0" w:color="auto"/>
              <w:right w:val="none" w:sz="0" w:space="0" w:color="auto"/>
            </w:tcBorders>
            <w:hideMark/>
          </w:tcPr>
          <w:p w14:paraId="4FFEF612" w14:textId="77777777" w:rsidR="008954BC" w:rsidRPr="008954BC" w:rsidRDefault="008954BC" w:rsidP="00F51716">
            <w:pPr>
              <w:cnfStyle w:val="000000100000" w:firstRow="0" w:lastRow="0" w:firstColumn="0" w:lastColumn="0" w:oddVBand="0" w:evenVBand="0" w:oddHBand="1" w:evenHBand="0" w:firstRowFirstColumn="0" w:firstRowLastColumn="0" w:lastRowFirstColumn="0" w:lastRowLastColumn="0"/>
            </w:pPr>
          </w:p>
        </w:tc>
      </w:tr>
      <w:tr w:rsidR="00801DD3" w:rsidRPr="008954BC" w14:paraId="33C4A8C8" w14:textId="77777777" w:rsidTr="003A2096">
        <w:trPr>
          <w:gridAfter w:val="1"/>
          <w:wAfter w:w="106" w:type="dxa"/>
          <w:trHeight w:val="572"/>
        </w:trPr>
        <w:tc>
          <w:tcPr>
            <w:cnfStyle w:val="001000000000" w:firstRow="0" w:lastRow="0" w:firstColumn="1" w:lastColumn="0" w:oddVBand="0" w:evenVBand="0" w:oddHBand="0" w:evenHBand="0" w:firstRowFirstColumn="0" w:firstRowLastColumn="0" w:lastRowFirstColumn="0" w:lastRowLastColumn="0"/>
            <w:tcW w:w="1571" w:type="dxa"/>
            <w:vMerge/>
            <w:hideMark/>
          </w:tcPr>
          <w:p w14:paraId="52E921D3" w14:textId="77777777" w:rsidR="008954BC" w:rsidRPr="008954BC" w:rsidRDefault="008954BC" w:rsidP="00F51716">
            <w:pPr>
              <w:pStyle w:val="Tabletext0"/>
            </w:pPr>
          </w:p>
        </w:tc>
        <w:tc>
          <w:tcPr>
            <w:tcW w:w="2024" w:type="dxa"/>
            <w:hideMark/>
          </w:tcPr>
          <w:p w14:paraId="54C37831" w14:textId="77777777" w:rsidR="008954BC" w:rsidRPr="008954BC" w:rsidRDefault="008954BC" w:rsidP="00F51716">
            <w:pPr>
              <w:pStyle w:val="Tabletext0"/>
              <w:cnfStyle w:val="000000000000" w:firstRow="0" w:lastRow="0" w:firstColumn="0" w:lastColumn="0" w:oddVBand="0" w:evenVBand="0" w:oddHBand="0" w:evenHBand="0" w:firstRowFirstColumn="0" w:firstRowLastColumn="0" w:lastRowFirstColumn="0" w:lastRowLastColumn="0"/>
            </w:pPr>
            <w:r w:rsidRPr="008954BC">
              <w:t>Rate per 100 FTE</w:t>
            </w:r>
          </w:p>
        </w:tc>
        <w:tc>
          <w:tcPr>
            <w:tcW w:w="1138" w:type="dxa"/>
            <w:noWrap/>
            <w:hideMark/>
          </w:tcPr>
          <w:p w14:paraId="69E6C6CA" w14:textId="77777777" w:rsidR="008954BC" w:rsidRPr="008954BC" w:rsidRDefault="008954BC" w:rsidP="00205952">
            <w:pPr>
              <w:pStyle w:val="tableright"/>
              <w:cnfStyle w:val="000000000000" w:firstRow="0" w:lastRow="0" w:firstColumn="0" w:lastColumn="0" w:oddVBand="0" w:evenVBand="0" w:oddHBand="0" w:evenHBand="0" w:firstRowFirstColumn="0" w:firstRowLastColumn="0" w:lastRowFirstColumn="0" w:lastRowLastColumn="0"/>
            </w:pPr>
            <w:r w:rsidRPr="008954BC">
              <w:t>4.6</w:t>
            </w:r>
          </w:p>
        </w:tc>
        <w:tc>
          <w:tcPr>
            <w:tcW w:w="1138" w:type="dxa"/>
            <w:noWrap/>
            <w:hideMark/>
          </w:tcPr>
          <w:p w14:paraId="55652F2A" w14:textId="77777777" w:rsidR="008954BC" w:rsidRPr="008954BC" w:rsidRDefault="008954BC" w:rsidP="00205952">
            <w:pPr>
              <w:pStyle w:val="tableright"/>
              <w:cnfStyle w:val="000000000000" w:firstRow="0" w:lastRow="0" w:firstColumn="0" w:lastColumn="0" w:oddVBand="0" w:evenVBand="0" w:oddHBand="0" w:evenHBand="0" w:firstRowFirstColumn="0" w:firstRowLastColumn="0" w:lastRowFirstColumn="0" w:lastRowLastColumn="0"/>
            </w:pPr>
            <w:r w:rsidRPr="008954BC">
              <w:t>2.3</w:t>
            </w:r>
          </w:p>
        </w:tc>
        <w:tc>
          <w:tcPr>
            <w:tcW w:w="1138" w:type="dxa"/>
            <w:noWrap/>
            <w:hideMark/>
          </w:tcPr>
          <w:p w14:paraId="25CF3ACC" w14:textId="77777777" w:rsidR="008954BC" w:rsidRPr="008954BC" w:rsidRDefault="008954BC" w:rsidP="00205952">
            <w:pPr>
              <w:pStyle w:val="tableright"/>
              <w:cnfStyle w:val="000000000000" w:firstRow="0" w:lastRow="0" w:firstColumn="0" w:lastColumn="0" w:oddVBand="0" w:evenVBand="0" w:oddHBand="0" w:evenHBand="0" w:firstRowFirstColumn="0" w:firstRowLastColumn="0" w:lastRowFirstColumn="0" w:lastRowLastColumn="0"/>
            </w:pPr>
            <w:r w:rsidRPr="008954BC">
              <w:t>5.2</w:t>
            </w:r>
          </w:p>
        </w:tc>
        <w:tc>
          <w:tcPr>
            <w:tcW w:w="1138" w:type="dxa"/>
            <w:noWrap/>
            <w:hideMark/>
          </w:tcPr>
          <w:p w14:paraId="1A0F641A" w14:textId="77777777" w:rsidR="008954BC" w:rsidRPr="008954BC" w:rsidRDefault="008954BC" w:rsidP="00205952">
            <w:pPr>
              <w:pStyle w:val="tableright"/>
              <w:cnfStyle w:val="000000000000" w:firstRow="0" w:lastRow="0" w:firstColumn="0" w:lastColumn="0" w:oddVBand="0" w:evenVBand="0" w:oddHBand="0" w:evenHBand="0" w:firstRowFirstColumn="0" w:firstRowLastColumn="0" w:lastRowFirstColumn="0" w:lastRowLastColumn="0"/>
            </w:pPr>
            <w:r w:rsidRPr="008954BC">
              <w:t>6.4</w:t>
            </w:r>
          </w:p>
        </w:tc>
        <w:tc>
          <w:tcPr>
            <w:tcW w:w="1138" w:type="dxa"/>
            <w:noWrap/>
            <w:hideMark/>
          </w:tcPr>
          <w:p w14:paraId="5B7FF191" w14:textId="77777777" w:rsidR="008954BC" w:rsidRPr="008954BC" w:rsidRDefault="008954BC" w:rsidP="00205952">
            <w:pPr>
              <w:pStyle w:val="tableright"/>
              <w:cnfStyle w:val="000000000000" w:firstRow="0" w:lastRow="0" w:firstColumn="0" w:lastColumn="0" w:oddVBand="0" w:evenVBand="0" w:oddHBand="0" w:evenHBand="0" w:firstRowFirstColumn="0" w:firstRowLastColumn="0" w:lastRowFirstColumn="0" w:lastRowLastColumn="0"/>
            </w:pPr>
            <w:r w:rsidRPr="008954BC">
              <w:t>10.17</w:t>
            </w:r>
          </w:p>
        </w:tc>
        <w:tc>
          <w:tcPr>
            <w:tcW w:w="1138" w:type="dxa"/>
            <w:gridSpan w:val="2"/>
            <w:noWrap/>
            <w:hideMark/>
          </w:tcPr>
          <w:p w14:paraId="56632363" w14:textId="77777777" w:rsidR="008954BC" w:rsidRPr="008954BC" w:rsidRDefault="008954BC" w:rsidP="00205952">
            <w:pPr>
              <w:pStyle w:val="tableright"/>
              <w:cnfStyle w:val="000000000000" w:firstRow="0" w:lastRow="0" w:firstColumn="0" w:lastColumn="0" w:oddVBand="0" w:evenVBand="0" w:oddHBand="0" w:evenHBand="0" w:firstRowFirstColumn="0" w:firstRowLastColumn="0" w:lastRowFirstColumn="0" w:lastRowLastColumn="0"/>
            </w:pPr>
            <w:r w:rsidRPr="008954BC">
              <w:t>6.5</w:t>
            </w:r>
          </w:p>
        </w:tc>
        <w:tc>
          <w:tcPr>
            <w:tcW w:w="176" w:type="dxa"/>
            <w:gridSpan w:val="2"/>
            <w:hideMark/>
          </w:tcPr>
          <w:p w14:paraId="34517365" w14:textId="77777777" w:rsidR="008954BC" w:rsidRPr="008954BC" w:rsidRDefault="008954BC" w:rsidP="00F51716">
            <w:pPr>
              <w:cnfStyle w:val="000000000000" w:firstRow="0" w:lastRow="0" w:firstColumn="0" w:lastColumn="0" w:oddVBand="0" w:evenVBand="0" w:oddHBand="0" w:evenHBand="0" w:firstRowFirstColumn="0" w:firstRowLastColumn="0" w:lastRowFirstColumn="0" w:lastRowLastColumn="0"/>
            </w:pPr>
          </w:p>
        </w:tc>
      </w:tr>
      <w:tr w:rsidR="00801DD3" w:rsidRPr="008954BC" w14:paraId="6919D892" w14:textId="77777777" w:rsidTr="003A2096">
        <w:trPr>
          <w:gridAfter w:val="1"/>
          <w:cnfStyle w:val="000000100000" w:firstRow="0" w:lastRow="0" w:firstColumn="0" w:lastColumn="0" w:oddVBand="0" w:evenVBand="0" w:oddHBand="1" w:evenHBand="0" w:firstRowFirstColumn="0" w:firstRowLastColumn="0" w:lastRowFirstColumn="0" w:lastRowLastColumn="0"/>
          <w:wAfter w:w="106" w:type="dxa"/>
          <w:trHeight w:val="870"/>
        </w:trPr>
        <w:tc>
          <w:tcPr>
            <w:cnfStyle w:val="001000000000" w:firstRow="0" w:lastRow="0" w:firstColumn="1" w:lastColumn="0" w:oddVBand="0" w:evenVBand="0" w:oddHBand="0" w:evenHBand="0" w:firstRowFirstColumn="0" w:firstRowLastColumn="0" w:lastRowFirstColumn="0" w:lastRowLastColumn="0"/>
            <w:tcW w:w="1571" w:type="dxa"/>
            <w:vMerge/>
            <w:tcBorders>
              <w:top w:val="none" w:sz="0" w:space="0" w:color="auto"/>
              <w:left w:val="none" w:sz="0" w:space="0" w:color="auto"/>
              <w:bottom w:val="none" w:sz="0" w:space="0" w:color="auto"/>
            </w:tcBorders>
            <w:hideMark/>
          </w:tcPr>
          <w:p w14:paraId="1A8BD840" w14:textId="77777777" w:rsidR="008954BC" w:rsidRPr="008954BC" w:rsidRDefault="008954BC" w:rsidP="00F51716">
            <w:pPr>
              <w:pStyle w:val="Tabletext0"/>
            </w:pPr>
          </w:p>
        </w:tc>
        <w:tc>
          <w:tcPr>
            <w:tcW w:w="2024" w:type="dxa"/>
            <w:tcBorders>
              <w:top w:val="none" w:sz="0" w:space="0" w:color="auto"/>
              <w:bottom w:val="none" w:sz="0" w:space="0" w:color="auto"/>
            </w:tcBorders>
            <w:hideMark/>
          </w:tcPr>
          <w:p w14:paraId="01F3CFB1" w14:textId="62073AC9" w:rsidR="008954BC" w:rsidRPr="008954BC" w:rsidRDefault="007727A3" w:rsidP="00F51716">
            <w:pPr>
              <w:pStyle w:val="Tabletext0"/>
              <w:cnfStyle w:val="000000100000" w:firstRow="0" w:lastRow="0" w:firstColumn="0" w:lastColumn="0" w:oddVBand="0" w:evenVBand="0" w:oddHBand="1" w:evenHBand="0" w:firstRowFirstColumn="0" w:firstRowLastColumn="0" w:lastRowFirstColumn="0" w:lastRowLastColumn="0"/>
            </w:pPr>
            <w:r w:rsidRPr="008954BC">
              <w:t>Average</w:t>
            </w:r>
            <w:r w:rsidR="008954BC" w:rsidRPr="008954BC">
              <w:t xml:space="preserve"> time lost per </w:t>
            </w:r>
            <w:r w:rsidRPr="008954BC">
              <w:t>occurrence</w:t>
            </w:r>
            <w:r w:rsidR="008954BC" w:rsidRPr="008954BC">
              <w:t xml:space="preserve"> (in days)</w:t>
            </w:r>
          </w:p>
        </w:tc>
        <w:tc>
          <w:tcPr>
            <w:tcW w:w="1138" w:type="dxa"/>
            <w:tcBorders>
              <w:top w:val="none" w:sz="0" w:space="0" w:color="auto"/>
              <w:bottom w:val="none" w:sz="0" w:space="0" w:color="auto"/>
            </w:tcBorders>
            <w:noWrap/>
            <w:hideMark/>
          </w:tcPr>
          <w:p w14:paraId="017374DF" w14:textId="77777777" w:rsidR="008954BC" w:rsidRPr="008954BC" w:rsidRDefault="008954BC" w:rsidP="00205952">
            <w:pPr>
              <w:pStyle w:val="tableright"/>
              <w:cnfStyle w:val="000000100000" w:firstRow="0" w:lastRow="0" w:firstColumn="0" w:lastColumn="0" w:oddVBand="0" w:evenVBand="0" w:oddHBand="1" w:evenHBand="0" w:firstRowFirstColumn="0" w:firstRowLastColumn="0" w:lastRowFirstColumn="0" w:lastRowLastColumn="0"/>
            </w:pPr>
            <w:r w:rsidRPr="008954BC">
              <w:t>0</w:t>
            </w:r>
          </w:p>
        </w:tc>
        <w:tc>
          <w:tcPr>
            <w:tcW w:w="1138" w:type="dxa"/>
            <w:tcBorders>
              <w:top w:val="none" w:sz="0" w:space="0" w:color="auto"/>
              <w:bottom w:val="none" w:sz="0" w:space="0" w:color="auto"/>
            </w:tcBorders>
            <w:noWrap/>
            <w:hideMark/>
          </w:tcPr>
          <w:p w14:paraId="45575200" w14:textId="77777777" w:rsidR="008954BC" w:rsidRPr="008954BC" w:rsidRDefault="008954BC" w:rsidP="00205952">
            <w:pPr>
              <w:pStyle w:val="tableright"/>
              <w:cnfStyle w:val="000000100000" w:firstRow="0" w:lastRow="0" w:firstColumn="0" w:lastColumn="0" w:oddVBand="0" w:evenVBand="0" w:oddHBand="1" w:evenHBand="0" w:firstRowFirstColumn="0" w:firstRowLastColumn="0" w:lastRowFirstColumn="0" w:lastRowLastColumn="0"/>
            </w:pPr>
            <w:r w:rsidRPr="008954BC">
              <w:t>0</w:t>
            </w:r>
          </w:p>
        </w:tc>
        <w:tc>
          <w:tcPr>
            <w:tcW w:w="1138" w:type="dxa"/>
            <w:tcBorders>
              <w:top w:val="none" w:sz="0" w:space="0" w:color="auto"/>
              <w:bottom w:val="none" w:sz="0" w:space="0" w:color="auto"/>
            </w:tcBorders>
            <w:noWrap/>
            <w:hideMark/>
          </w:tcPr>
          <w:p w14:paraId="41F1A34F" w14:textId="77777777" w:rsidR="008954BC" w:rsidRPr="008954BC" w:rsidRDefault="008954BC" w:rsidP="00205952">
            <w:pPr>
              <w:pStyle w:val="tableright"/>
              <w:cnfStyle w:val="000000100000" w:firstRow="0" w:lastRow="0" w:firstColumn="0" w:lastColumn="0" w:oddVBand="0" w:evenVBand="0" w:oddHBand="1" w:evenHBand="0" w:firstRowFirstColumn="0" w:firstRowLastColumn="0" w:lastRowFirstColumn="0" w:lastRowLastColumn="0"/>
            </w:pPr>
            <w:r w:rsidRPr="008954BC">
              <w:t>0</w:t>
            </w:r>
          </w:p>
        </w:tc>
        <w:tc>
          <w:tcPr>
            <w:tcW w:w="1138" w:type="dxa"/>
            <w:tcBorders>
              <w:top w:val="none" w:sz="0" w:space="0" w:color="auto"/>
              <w:bottom w:val="none" w:sz="0" w:space="0" w:color="auto"/>
            </w:tcBorders>
            <w:noWrap/>
            <w:hideMark/>
          </w:tcPr>
          <w:p w14:paraId="6E12E836" w14:textId="77777777" w:rsidR="008954BC" w:rsidRPr="008954BC" w:rsidRDefault="008954BC" w:rsidP="00205952">
            <w:pPr>
              <w:pStyle w:val="tableright"/>
              <w:cnfStyle w:val="000000100000" w:firstRow="0" w:lastRow="0" w:firstColumn="0" w:lastColumn="0" w:oddVBand="0" w:evenVBand="0" w:oddHBand="1" w:evenHBand="0" w:firstRowFirstColumn="0" w:firstRowLastColumn="0" w:lastRowFirstColumn="0" w:lastRowLastColumn="0"/>
            </w:pPr>
            <w:r w:rsidRPr="008954BC">
              <w:t>2</w:t>
            </w:r>
          </w:p>
        </w:tc>
        <w:tc>
          <w:tcPr>
            <w:tcW w:w="1138" w:type="dxa"/>
            <w:tcBorders>
              <w:top w:val="none" w:sz="0" w:space="0" w:color="auto"/>
              <w:bottom w:val="none" w:sz="0" w:space="0" w:color="auto"/>
            </w:tcBorders>
            <w:noWrap/>
            <w:hideMark/>
          </w:tcPr>
          <w:p w14:paraId="666349A4" w14:textId="77777777" w:rsidR="008954BC" w:rsidRPr="008954BC" w:rsidRDefault="008954BC" w:rsidP="00205952">
            <w:pPr>
              <w:pStyle w:val="tableright"/>
              <w:cnfStyle w:val="000000100000" w:firstRow="0" w:lastRow="0" w:firstColumn="0" w:lastColumn="0" w:oddVBand="0" w:evenVBand="0" w:oddHBand="1" w:evenHBand="0" w:firstRowFirstColumn="0" w:firstRowLastColumn="0" w:lastRowFirstColumn="0" w:lastRowLastColumn="0"/>
            </w:pPr>
            <w:r w:rsidRPr="008954BC">
              <w:t>0</w:t>
            </w:r>
          </w:p>
        </w:tc>
        <w:tc>
          <w:tcPr>
            <w:tcW w:w="1138" w:type="dxa"/>
            <w:gridSpan w:val="2"/>
            <w:tcBorders>
              <w:top w:val="none" w:sz="0" w:space="0" w:color="auto"/>
              <w:bottom w:val="none" w:sz="0" w:space="0" w:color="auto"/>
            </w:tcBorders>
            <w:noWrap/>
            <w:hideMark/>
          </w:tcPr>
          <w:p w14:paraId="0A0CF352" w14:textId="77777777" w:rsidR="008954BC" w:rsidRPr="008954BC" w:rsidRDefault="008954BC" w:rsidP="00205952">
            <w:pPr>
              <w:pStyle w:val="tableright"/>
              <w:cnfStyle w:val="000000100000" w:firstRow="0" w:lastRow="0" w:firstColumn="0" w:lastColumn="0" w:oddVBand="0" w:evenVBand="0" w:oddHBand="1" w:evenHBand="0" w:firstRowFirstColumn="0" w:firstRowLastColumn="0" w:lastRowFirstColumn="0" w:lastRowLastColumn="0"/>
            </w:pPr>
            <w:r w:rsidRPr="008954BC">
              <w:t>0</w:t>
            </w:r>
          </w:p>
        </w:tc>
        <w:tc>
          <w:tcPr>
            <w:tcW w:w="176" w:type="dxa"/>
            <w:gridSpan w:val="2"/>
            <w:tcBorders>
              <w:top w:val="none" w:sz="0" w:space="0" w:color="auto"/>
              <w:bottom w:val="none" w:sz="0" w:space="0" w:color="auto"/>
              <w:right w:val="none" w:sz="0" w:space="0" w:color="auto"/>
            </w:tcBorders>
            <w:hideMark/>
          </w:tcPr>
          <w:p w14:paraId="2DDF42FE" w14:textId="77777777" w:rsidR="008954BC" w:rsidRPr="008954BC" w:rsidRDefault="008954BC" w:rsidP="00F51716">
            <w:pPr>
              <w:cnfStyle w:val="000000100000" w:firstRow="0" w:lastRow="0" w:firstColumn="0" w:lastColumn="0" w:oddVBand="0" w:evenVBand="0" w:oddHBand="1" w:evenHBand="0" w:firstRowFirstColumn="0" w:firstRowLastColumn="0" w:lastRowFirstColumn="0" w:lastRowLastColumn="0"/>
            </w:pPr>
          </w:p>
        </w:tc>
      </w:tr>
      <w:tr w:rsidR="00801DD3" w:rsidRPr="008954BC" w14:paraId="16001D12" w14:textId="77777777" w:rsidTr="003A2096">
        <w:trPr>
          <w:gridAfter w:val="1"/>
          <w:wAfter w:w="106" w:type="dxa"/>
          <w:trHeight w:val="511"/>
        </w:trPr>
        <w:tc>
          <w:tcPr>
            <w:cnfStyle w:val="001000000000" w:firstRow="0" w:lastRow="0" w:firstColumn="1" w:lastColumn="0" w:oddVBand="0" w:evenVBand="0" w:oddHBand="0" w:evenHBand="0" w:firstRowFirstColumn="0" w:firstRowLastColumn="0" w:lastRowFirstColumn="0" w:lastRowLastColumn="0"/>
            <w:tcW w:w="1571" w:type="dxa"/>
            <w:vMerge w:val="restart"/>
            <w:hideMark/>
          </w:tcPr>
          <w:p w14:paraId="1F965220" w14:textId="77777777" w:rsidR="008954BC" w:rsidRPr="008954BC" w:rsidRDefault="008954BC" w:rsidP="00F51716">
            <w:pPr>
              <w:pStyle w:val="Tabletext0"/>
            </w:pPr>
            <w:r w:rsidRPr="008954BC">
              <w:t>Claims</w:t>
            </w:r>
          </w:p>
        </w:tc>
        <w:tc>
          <w:tcPr>
            <w:tcW w:w="2024" w:type="dxa"/>
            <w:hideMark/>
          </w:tcPr>
          <w:p w14:paraId="64D95D7B" w14:textId="5F240F70" w:rsidR="008954BC" w:rsidRPr="008954BC" w:rsidRDefault="008954BC" w:rsidP="00F51716">
            <w:pPr>
              <w:pStyle w:val="Tabletext0"/>
              <w:cnfStyle w:val="000000000000" w:firstRow="0" w:lastRow="0" w:firstColumn="0" w:lastColumn="0" w:oddVBand="0" w:evenVBand="0" w:oddHBand="0" w:evenHBand="0" w:firstRowFirstColumn="0" w:firstRowLastColumn="0" w:lastRowFirstColumn="0" w:lastRowLastColumn="0"/>
            </w:pPr>
            <w:r w:rsidRPr="008954BC">
              <w:t xml:space="preserve">Number of </w:t>
            </w:r>
            <w:r w:rsidR="00CC6981" w:rsidRPr="008954BC">
              <w:t>standard claims</w:t>
            </w:r>
          </w:p>
        </w:tc>
        <w:tc>
          <w:tcPr>
            <w:tcW w:w="1138" w:type="dxa"/>
            <w:noWrap/>
            <w:hideMark/>
          </w:tcPr>
          <w:p w14:paraId="01E418F2" w14:textId="77777777" w:rsidR="008954BC" w:rsidRPr="008954BC" w:rsidRDefault="008954BC" w:rsidP="00205952">
            <w:pPr>
              <w:pStyle w:val="tableright"/>
              <w:cnfStyle w:val="000000000000" w:firstRow="0" w:lastRow="0" w:firstColumn="0" w:lastColumn="0" w:oddVBand="0" w:evenVBand="0" w:oddHBand="0" w:evenHBand="0" w:firstRowFirstColumn="0" w:firstRowLastColumn="0" w:lastRowFirstColumn="0" w:lastRowLastColumn="0"/>
            </w:pPr>
            <w:r w:rsidRPr="008954BC">
              <w:t>0</w:t>
            </w:r>
          </w:p>
        </w:tc>
        <w:tc>
          <w:tcPr>
            <w:tcW w:w="1138" w:type="dxa"/>
            <w:noWrap/>
            <w:hideMark/>
          </w:tcPr>
          <w:p w14:paraId="269DA68D" w14:textId="77777777" w:rsidR="008954BC" w:rsidRPr="008954BC" w:rsidRDefault="008954BC" w:rsidP="00205952">
            <w:pPr>
              <w:pStyle w:val="tableright"/>
              <w:cnfStyle w:val="000000000000" w:firstRow="0" w:lastRow="0" w:firstColumn="0" w:lastColumn="0" w:oddVBand="0" w:evenVBand="0" w:oddHBand="0" w:evenHBand="0" w:firstRowFirstColumn="0" w:firstRowLastColumn="0" w:lastRowFirstColumn="0" w:lastRowLastColumn="0"/>
            </w:pPr>
            <w:r w:rsidRPr="008954BC">
              <w:t>0</w:t>
            </w:r>
          </w:p>
        </w:tc>
        <w:tc>
          <w:tcPr>
            <w:tcW w:w="1138" w:type="dxa"/>
            <w:noWrap/>
            <w:hideMark/>
          </w:tcPr>
          <w:p w14:paraId="090B3044" w14:textId="77777777" w:rsidR="008954BC" w:rsidRPr="008954BC" w:rsidRDefault="008954BC" w:rsidP="00205952">
            <w:pPr>
              <w:pStyle w:val="tableright"/>
              <w:cnfStyle w:val="000000000000" w:firstRow="0" w:lastRow="0" w:firstColumn="0" w:lastColumn="0" w:oddVBand="0" w:evenVBand="0" w:oddHBand="0" w:evenHBand="0" w:firstRowFirstColumn="0" w:firstRowLastColumn="0" w:lastRowFirstColumn="0" w:lastRowLastColumn="0"/>
            </w:pPr>
            <w:r w:rsidRPr="008954BC">
              <w:t>0</w:t>
            </w:r>
          </w:p>
        </w:tc>
        <w:tc>
          <w:tcPr>
            <w:tcW w:w="1138" w:type="dxa"/>
            <w:noWrap/>
            <w:hideMark/>
          </w:tcPr>
          <w:p w14:paraId="0D475E4C" w14:textId="77777777" w:rsidR="008954BC" w:rsidRPr="008954BC" w:rsidRDefault="008954BC" w:rsidP="00205952">
            <w:pPr>
              <w:pStyle w:val="tableright"/>
              <w:cnfStyle w:val="000000000000" w:firstRow="0" w:lastRow="0" w:firstColumn="0" w:lastColumn="0" w:oddVBand="0" w:evenVBand="0" w:oddHBand="0" w:evenHBand="0" w:firstRowFirstColumn="0" w:firstRowLastColumn="0" w:lastRowFirstColumn="0" w:lastRowLastColumn="0"/>
            </w:pPr>
            <w:r w:rsidRPr="008954BC">
              <w:t>1</w:t>
            </w:r>
          </w:p>
        </w:tc>
        <w:tc>
          <w:tcPr>
            <w:tcW w:w="1138" w:type="dxa"/>
            <w:noWrap/>
            <w:hideMark/>
          </w:tcPr>
          <w:p w14:paraId="05F948ED" w14:textId="77777777" w:rsidR="008954BC" w:rsidRPr="008954BC" w:rsidRDefault="008954BC" w:rsidP="00205952">
            <w:pPr>
              <w:pStyle w:val="tableright"/>
              <w:cnfStyle w:val="000000000000" w:firstRow="0" w:lastRow="0" w:firstColumn="0" w:lastColumn="0" w:oddVBand="0" w:evenVBand="0" w:oddHBand="0" w:evenHBand="0" w:firstRowFirstColumn="0" w:firstRowLastColumn="0" w:lastRowFirstColumn="0" w:lastRowLastColumn="0"/>
            </w:pPr>
            <w:r w:rsidRPr="008954BC">
              <w:t>1</w:t>
            </w:r>
          </w:p>
        </w:tc>
        <w:tc>
          <w:tcPr>
            <w:tcW w:w="1138" w:type="dxa"/>
            <w:gridSpan w:val="2"/>
            <w:noWrap/>
            <w:hideMark/>
          </w:tcPr>
          <w:p w14:paraId="476F723B" w14:textId="77777777" w:rsidR="008954BC" w:rsidRPr="008954BC" w:rsidRDefault="008954BC" w:rsidP="00205952">
            <w:pPr>
              <w:pStyle w:val="tableright"/>
              <w:cnfStyle w:val="000000000000" w:firstRow="0" w:lastRow="0" w:firstColumn="0" w:lastColumn="0" w:oddVBand="0" w:evenVBand="0" w:oddHBand="0" w:evenHBand="0" w:firstRowFirstColumn="0" w:firstRowLastColumn="0" w:lastRowFirstColumn="0" w:lastRowLastColumn="0"/>
            </w:pPr>
            <w:r w:rsidRPr="008954BC">
              <w:t>2</w:t>
            </w:r>
          </w:p>
        </w:tc>
        <w:tc>
          <w:tcPr>
            <w:tcW w:w="176" w:type="dxa"/>
            <w:gridSpan w:val="2"/>
            <w:hideMark/>
          </w:tcPr>
          <w:p w14:paraId="197E1BE0" w14:textId="77777777" w:rsidR="008954BC" w:rsidRPr="008954BC" w:rsidRDefault="008954BC" w:rsidP="00F51716">
            <w:pPr>
              <w:cnfStyle w:val="000000000000" w:firstRow="0" w:lastRow="0" w:firstColumn="0" w:lastColumn="0" w:oddVBand="0" w:evenVBand="0" w:oddHBand="0" w:evenHBand="0" w:firstRowFirstColumn="0" w:firstRowLastColumn="0" w:lastRowFirstColumn="0" w:lastRowLastColumn="0"/>
            </w:pPr>
          </w:p>
        </w:tc>
      </w:tr>
      <w:tr w:rsidR="00801DD3" w:rsidRPr="008954BC" w14:paraId="020A06F8" w14:textId="77777777" w:rsidTr="003A2096">
        <w:trPr>
          <w:gridAfter w:val="1"/>
          <w:cnfStyle w:val="000000100000" w:firstRow="0" w:lastRow="0" w:firstColumn="0" w:lastColumn="0" w:oddVBand="0" w:evenVBand="0" w:oddHBand="1" w:evenHBand="0" w:firstRowFirstColumn="0" w:firstRowLastColumn="0" w:lastRowFirstColumn="0" w:lastRowLastColumn="0"/>
          <w:wAfter w:w="106" w:type="dxa"/>
          <w:trHeight w:val="465"/>
        </w:trPr>
        <w:tc>
          <w:tcPr>
            <w:cnfStyle w:val="001000000000" w:firstRow="0" w:lastRow="0" w:firstColumn="1" w:lastColumn="0" w:oddVBand="0" w:evenVBand="0" w:oddHBand="0" w:evenHBand="0" w:firstRowFirstColumn="0" w:firstRowLastColumn="0" w:lastRowFirstColumn="0" w:lastRowLastColumn="0"/>
            <w:tcW w:w="1571" w:type="dxa"/>
            <w:vMerge/>
            <w:tcBorders>
              <w:top w:val="none" w:sz="0" w:space="0" w:color="auto"/>
              <w:left w:val="none" w:sz="0" w:space="0" w:color="auto"/>
              <w:bottom w:val="none" w:sz="0" w:space="0" w:color="auto"/>
            </w:tcBorders>
            <w:hideMark/>
          </w:tcPr>
          <w:p w14:paraId="1D67F3F6" w14:textId="77777777" w:rsidR="008954BC" w:rsidRPr="008954BC" w:rsidRDefault="008954BC" w:rsidP="00F51716">
            <w:pPr>
              <w:pStyle w:val="Tabletext0"/>
            </w:pPr>
          </w:p>
        </w:tc>
        <w:tc>
          <w:tcPr>
            <w:tcW w:w="2024" w:type="dxa"/>
            <w:tcBorders>
              <w:top w:val="none" w:sz="0" w:space="0" w:color="auto"/>
              <w:bottom w:val="none" w:sz="0" w:space="0" w:color="auto"/>
            </w:tcBorders>
            <w:hideMark/>
          </w:tcPr>
          <w:p w14:paraId="3806F597" w14:textId="64E9B86C" w:rsidR="008954BC" w:rsidRPr="008954BC" w:rsidRDefault="007727A3" w:rsidP="00F51716">
            <w:pPr>
              <w:pStyle w:val="Tabletext0"/>
              <w:cnfStyle w:val="000000100000" w:firstRow="0" w:lastRow="0" w:firstColumn="0" w:lastColumn="0" w:oddVBand="0" w:evenVBand="0" w:oddHBand="1" w:evenHBand="0" w:firstRowFirstColumn="0" w:firstRowLastColumn="0" w:lastRowFirstColumn="0" w:lastRowLastColumn="0"/>
            </w:pPr>
            <w:r w:rsidRPr="008954BC">
              <w:t>Average</w:t>
            </w:r>
            <w:r w:rsidR="008954BC" w:rsidRPr="008954BC">
              <w:t xml:space="preserve"> </w:t>
            </w:r>
            <w:r w:rsidR="00CC6981">
              <w:t>c</w:t>
            </w:r>
            <w:r w:rsidR="008954BC" w:rsidRPr="008954BC">
              <w:t>ost per claim</w:t>
            </w:r>
          </w:p>
        </w:tc>
        <w:tc>
          <w:tcPr>
            <w:tcW w:w="1138" w:type="dxa"/>
            <w:tcBorders>
              <w:top w:val="none" w:sz="0" w:space="0" w:color="auto"/>
              <w:bottom w:val="none" w:sz="0" w:space="0" w:color="auto"/>
            </w:tcBorders>
            <w:noWrap/>
            <w:hideMark/>
          </w:tcPr>
          <w:p w14:paraId="7E0877CB" w14:textId="77777777" w:rsidR="008954BC" w:rsidRPr="008954BC" w:rsidRDefault="008954BC" w:rsidP="00205952">
            <w:pPr>
              <w:pStyle w:val="tableright"/>
              <w:cnfStyle w:val="000000100000" w:firstRow="0" w:lastRow="0" w:firstColumn="0" w:lastColumn="0" w:oddVBand="0" w:evenVBand="0" w:oddHBand="1" w:evenHBand="0" w:firstRowFirstColumn="0" w:firstRowLastColumn="0" w:lastRowFirstColumn="0" w:lastRowLastColumn="0"/>
            </w:pPr>
            <w:r w:rsidRPr="008954BC">
              <w:t>0</w:t>
            </w:r>
          </w:p>
        </w:tc>
        <w:tc>
          <w:tcPr>
            <w:tcW w:w="1138" w:type="dxa"/>
            <w:tcBorders>
              <w:top w:val="none" w:sz="0" w:space="0" w:color="auto"/>
              <w:bottom w:val="none" w:sz="0" w:space="0" w:color="auto"/>
            </w:tcBorders>
            <w:noWrap/>
            <w:hideMark/>
          </w:tcPr>
          <w:p w14:paraId="25E8B410" w14:textId="77777777" w:rsidR="008954BC" w:rsidRPr="008954BC" w:rsidRDefault="008954BC" w:rsidP="00205952">
            <w:pPr>
              <w:pStyle w:val="tableright"/>
              <w:cnfStyle w:val="000000100000" w:firstRow="0" w:lastRow="0" w:firstColumn="0" w:lastColumn="0" w:oddVBand="0" w:evenVBand="0" w:oddHBand="1" w:evenHBand="0" w:firstRowFirstColumn="0" w:firstRowLastColumn="0" w:lastRowFirstColumn="0" w:lastRowLastColumn="0"/>
            </w:pPr>
            <w:r w:rsidRPr="008954BC">
              <w:t>0</w:t>
            </w:r>
          </w:p>
        </w:tc>
        <w:tc>
          <w:tcPr>
            <w:tcW w:w="1138" w:type="dxa"/>
            <w:tcBorders>
              <w:top w:val="none" w:sz="0" w:space="0" w:color="auto"/>
              <w:bottom w:val="none" w:sz="0" w:space="0" w:color="auto"/>
            </w:tcBorders>
            <w:noWrap/>
            <w:hideMark/>
          </w:tcPr>
          <w:p w14:paraId="6B509377" w14:textId="77777777" w:rsidR="008954BC" w:rsidRPr="008954BC" w:rsidRDefault="008954BC" w:rsidP="00205952">
            <w:pPr>
              <w:pStyle w:val="tableright"/>
              <w:cnfStyle w:val="000000100000" w:firstRow="0" w:lastRow="0" w:firstColumn="0" w:lastColumn="0" w:oddVBand="0" w:evenVBand="0" w:oddHBand="1" w:evenHBand="0" w:firstRowFirstColumn="0" w:firstRowLastColumn="0" w:lastRowFirstColumn="0" w:lastRowLastColumn="0"/>
            </w:pPr>
            <w:r w:rsidRPr="008954BC">
              <w:t>0</w:t>
            </w:r>
          </w:p>
        </w:tc>
        <w:tc>
          <w:tcPr>
            <w:tcW w:w="1138" w:type="dxa"/>
            <w:tcBorders>
              <w:top w:val="none" w:sz="0" w:space="0" w:color="auto"/>
              <w:bottom w:val="none" w:sz="0" w:space="0" w:color="auto"/>
            </w:tcBorders>
            <w:noWrap/>
            <w:hideMark/>
          </w:tcPr>
          <w:p w14:paraId="0D362B47" w14:textId="77777777" w:rsidR="008954BC" w:rsidRPr="008954BC" w:rsidRDefault="008954BC" w:rsidP="00205952">
            <w:pPr>
              <w:pStyle w:val="tableright"/>
              <w:cnfStyle w:val="000000100000" w:firstRow="0" w:lastRow="0" w:firstColumn="0" w:lastColumn="0" w:oddVBand="0" w:evenVBand="0" w:oddHBand="1" w:evenHBand="0" w:firstRowFirstColumn="0" w:firstRowLastColumn="0" w:lastRowFirstColumn="0" w:lastRowLastColumn="0"/>
            </w:pPr>
            <w:r w:rsidRPr="008954BC">
              <w:t>0</w:t>
            </w:r>
          </w:p>
        </w:tc>
        <w:tc>
          <w:tcPr>
            <w:tcW w:w="1138" w:type="dxa"/>
            <w:tcBorders>
              <w:top w:val="none" w:sz="0" w:space="0" w:color="auto"/>
              <w:bottom w:val="none" w:sz="0" w:space="0" w:color="auto"/>
            </w:tcBorders>
            <w:noWrap/>
            <w:hideMark/>
          </w:tcPr>
          <w:p w14:paraId="7226FDC2" w14:textId="77777777" w:rsidR="008954BC" w:rsidRPr="008954BC" w:rsidRDefault="008954BC" w:rsidP="00205952">
            <w:pPr>
              <w:pStyle w:val="tableright"/>
              <w:cnfStyle w:val="000000100000" w:firstRow="0" w:lastRow="0" w:firstColumn="0" w:lastColumn="0" w:oddVBand="0" w:evenVBand="0" w:oddHBand="1" w:evenHBand="0" w:firstRowFirstColumn="0" w:firstRowLastColumn="0" w:lastRowFirstColumn="0" w:lastRowLastColumn="0"/>
            </w:pPr>
            <w:r w:rsidRPr="008954BC">
              <w:t>1357</w:t>
            </w:r>
          </w:p>
        </w:tc>
        <w:tc>
          <w:tcPr>
            <w:tcW w:w="1138" w:type="dxa"/>
            <w:gridSpan w:val="2"/>
            <w:tcBorders>
              <w:top w:val="none" w:sz="0" w:space="0" w:color="auto"/>
              <w:bottom w:val="none" w:sz="0" w:space="0" w:color="auto"/>
            </w:tcBorders>
            <w:noWrap/>
            <w:hideMark/>
          </w:tcPr>
          <w:p w14:paraId="5CE1F9CE" w14:textId="77777777" w:rsidR="008954BC" w:rsidRPr="008954BC" w:rsidRDefault="008954BC" w:rsidP="00205952">
            <w:pPr>
              <w:pStyle w:val="tableright"/>
              <w:cnfStyle w:val="000000100000" w:firstRow="0" w:lastRow="0" w:firstColumn="0" w:lastColumn="0" w:oddVBand="0" w:evenVBand="0" w:oddHBand="1" w:evenHBand="0" w:firstRowFirstColumn="0" w:firstRowLastColumn="0" w:lastRowFirstColumn="0" w:lastRowLastColumn="0"/>
            </w:pPr>
            <w:r w:rsidRPr="008954BC">
              <w:t>2348</w:t>
            </w:r>
          </w:p>
        </w:tc>
        <w:tc>
          <w:tcPr>
            <w:tcW w:w="176" w:type="dxa"/>
            <w:gridSpan w:val="2"/>
            <w:tcBorders>
              <w:top w:val="none" w:sz="0" w:space="0" w:color="auto"/>
              <w:bottom w:val="none" w:sz="0" w:space="0" w:color="auto"/>
              <w:right w:val="none" w:sz="0" w:space="0" w:color="auto"/>
            </w:tcBorders>
            <w:hideMark/>
          </w:tcPr>
          <w:p w14:paraId="64393744" w14:textId="77777777" w:rsidR="008954BC" w:rsidRPr="008954BC" w:rsidRDefault="008954BC" w:rsidP="00F51716">
            <w:pPr>
              <w:cnfStyle w:val="000000100000" w:firstRow="0" w:lastRow="0" w:firstColumn="0" w:lastColumn="0" w:oddVBand="0" w:evenVBand="0" w:oddHBand="1" w:evenHBand="0" w:firstRowFirstColumn="0" w:firstRowLastColumn="0" w:lastRowFirstColumn="0" w:lastRowLastColumn="0"/>
            </w:pPr>
          </w:p>
        </w:tc>
      </w:tr>
      <w:tr w:rsidR="00801DD3" w:rsidRPr="008954BC" w14:paraId="4A267C5B" w14:textId="77777777" w:rsidTr="003A2096">
        <w:trPr>
          <w:gridAfter w:val="1"/>
          <w:wAfter w:w="106" w:type="dxa"/>
          <w:trHeight w:val="706"/>
        </w:trPr>
        <w:tc>
          <w:tcPr>
            <w:cnfStyle w:val="001000000000" w:firstRow="0" w:lastRow="0" w:firstColumn="1" w:lastColumn="0" w:oddVBand="0" w:evenVBand="0" w:oddHBand="0" w:evenHBand="0" w:firstRowFirstColumn="0" w:firstRowLastColumn="0" w:lastRowFirstColumn="0" w:lastRowLastColumn="0"/>
            <w:tcW w:w="1571" w:type="dxa"/>
            <w:hideMark/>
          </w:tcPr>
          <w:p w14:paraId="55BA14B6" w14:textId="2F61E95F" w:rsidR="008954BC" w:rsidRPr="008954BC" w:rsidRDefault="008954BC" w:rsidP="00F51716">
            <w:pPr>
              <w:pStyle w:val="Tabletext0"/>
            </w:pPr>
            <w:r w:rsidRPr="008954BC">
              <w:t xml:space="preserve">Management </w:t>
            </w:r>
            <w:r w:rsidR="00810968">
              <w:t>c</w:t>
            </w:r>
            <w:r w:rsidRPr="008954BC">
              <w:t>ommitment</w:t>
            </w:r>
          </w:p>
        </w:tc>
        <w:tc>
          <w:tcPr>
            <w:tcW w:w="2024" w:type="dxa"/>
            <w:hideMark/>
          </w:tcPr>
          <w:p w14:paraId="5EB961EF" w14:textId="77777777" w:rsidR="008954BC" w:rsidRPr="008954BC" w:rsidRDefault="008954BC" w:rsidP="00F51716">
            <w:pPr>
              <w:pStyle w:val="Tabletext0"/>
              <w:cnfStyle w:val="000000000000" w:firstRow="0" w:lastRow="0" w:firstColumn="0" w:lastColumn="0" w:oddVBand="0" w:evenVBand="0" w:oddHBand="0" w:evenHBand="0" w:firstRowFirstColumn="0" w:firstRowLastColumn="0" w:lastRowFirstColumn="0" w:lastRowLastColumn="0"/>
            </w:pPr>
            <w:r w:rsidRPr="008954BC">
              <w:t>Evidence of OH&amp;S policy statement</w:t>
            </w:r>
          </w:p>
        </w:tc>
        <w:tc>
          <w:tcPr>
            <w:tcW w:w="1138" w:type="dxa"/>
            <w:noWrap/>
            <w:hideMark/>
          </w:tcPr>
          <w:p w14:paraId="08EEFA2D" w14:textId="734B4FB7" w:rsidR="008954BC" w:rsidRPr="008954BC" w:rsidRDefault="007727A3" w:rsidP="00205952">
            <w:pPr>
              <w:pStyle w:val="tableright"/>
              <w:cnfStyle w:val="000000000000" w:firstRow="0" w:lastRow="0" w:firstColumn="0" w:lastColumn="0" w:oddVBand="0" w:evenVBand="0" w:oddHBand="0" w:evenHBand="0" w:firstRowFirstColumn="0" w:firstRowLastColumn="0" w:lastRowFirstColumn="0" w:lastRowLastColumn="0"/>
            </w:pPr>
            <w:r>
              <w:t>C</w:t>
            </w:r>
            <w:r w:rsidRPr="008954BC">
              <w:t>ompleted</w:t>
            </w:r>
          </w:p>
        </w:tc>
        <w:tc>
          <w:tcPr>
            <w:tcW w:w="1138" w:type="dxa"/>
            <w:noWrap/>
            <w:hideMark/>
          </w:tcPr>
          <w:p w14:paraId="5300367C" w14:textId="2B3E02FD" w:rsidR="008954BC" w:rsidRPr="008954BC" w:rsidRDefault="007727A3" w:rsidP="00205952">
            <w:pPr>
              <w:pStyle w:val="tableright"/>
              <w:cnfStyle w:val="000000000000" w:firstRow="0" w:lastRow="0" w:firstColumn="0" w:lastColumn="0" w:oddVBand="0" w:evenVBand="0" w:oddHBand="0" w:evenHBand="0" w:firstRowFirstColumn="0" w:firstRowLastColumn="0" w:lastRowFirstColumn="0" w:lastRowLastColumn="0"/>
            </w:pPr>
            <w:r>
              <w:t>C</w:t>
            </w:r>
            <w:r w:rsidRPr="008954BC">
              <w:t>ompleted</w:t>
            </w:r>
          </w:p>
        </w:tc>
        <w:tc>
          <w:tcPr>
            <w:tcW w:w="1138" w:type="dxa"/>
            <w:noWrap/>
            <w:hideMark/>
          </w:tcPr>
          <w:p w14:paraId="4A371E58" w14:textId="77777777" w:rsidR="008954BC" w:rsidRPr="008954BC" w:rsidRDefault="008954BC" w:rsidP="00205952">
            <w:pPr>
              <w:pStyle w:val="tableright"/>
              <w:cnfStyle w:val="000000000000" w:firstRow="0" w:lastRow="0" w:firstColumn="0" w:lastColumn="0" w:oddVBand="0" w:evenVBand="0" w:oddHBand="0" w:evenHBand="0" w:firstRowFirstColumn="0" w:firstRowLastColumn="0" w:lastRowFirstColumn="0" w:lastRowLastColumn="0"/>
            </w:pPr>
            <w:r w:rsidRPr="008954BC">
              <w:t>Completed</w:t>
            </w:r>
          </w:p>
        </w:tc>
        <w:tc>
          <w:tcPr>
            <w:tcW w:w="1138" w:type="dxa"/>
            <w:noWrap/>
            <w:hideMark/>
          </w:tcPr>
          <w:p w14:paraId="3F93F401" w14:textId="77777777" w:rsidR="008954BC" w:rsidRPr="008954BC" w:rsidRDefault="008954BC" w:rsidP="00205952">
            <w:pPr>
              <w:pStyle w:val="tableright"/>
              <w:cnfStyle w:val="000000000000" w:firstRow="0" w:lastRow="0" w:firstColumn="0" w:lastColumn="0" w:oddVBand="0" w:evenVBand="0" w:oddHBand="0" w:evenHBand="0" w:firstRowFirstColumn="0" w:firstRowLastColumn="0" w:lastRowFirstColumn="0" w:lastRowLastColumn="0"/>
            </w:pPr>
            <w:r w:rsidRPr="008954BC">
              <w:t>Completed</w:t>
            </w:r>
          </w:p>
        </w:tc>
        <w:tc>
          <w:tcPr>
            <w:tcW w:w="1138" w:type="dxa"/>
            <w:noWrap/>
            <w:hideMark/>
          </w:tcPr>
          <w:p w14:paraId="2A04A2A1" w14:textId="77777777" w:rsidR="008954BC" w:rsidRPr="008954BC" w:rsidRDefault="008954BC" w:rsidP="00205952">
            <w:pPr>
              <w:pStyle w:val="tableright"/>
              <w:cnfStyle w:val="000000000000" w:firstRow="0" w:lastRow="0" w:firstColumn="0" w:lastColumn="0" w:oddVBand="0" w:evenVBand="0" w:oddHBand="0" w:evenHBand="0" w:firstRowFirstColumn="0" w:firstRowLastColumn="0" w:lastRowFirstColumn="0" w:lastRowLastColumn="0"/>
            </w:pPr>
            <w:r w:rsidRPr="008954BC">
              <w:t>Completed</w:t>
            </w:r>
          </w:p>
        </w:tc>
        <w:tc>
          <w:tcPr>
            <w:tcW w:w="1138" w:type="dxa"/>
            <w:gridSpan w:val="2"/>
            <w:noWrap/>
            <w:hideMark/>
          </w:tcPr>
          <w:p w14:paraId="0EDFD348" w14:textId="77777777" w:rsidR="008954BC" w:rsidRPr="008954BC" w:rsidRDefault="008954BC" w:rsidP="00205952">
            <w:pPr>
              <w:pStyle w:val="tableright"/>
              <w:cnfStyle w:val="000000000000" w:firstRow="0" w:lastRow="0" w:firstColumn="0" w:lastColumn="0" w:oddVBand="0" w:evenVBand="0" w:oddHBand="0" w:evenHBand="0" w:firstRowFirstColumn="0" w:firstRowLastColumn="0" w:lastRowFirstColumn="0" w:lastRowLastColumn="0"/>
            </w:pPr>
            <w:r w:rsidRPr="008954BC">
              <w:t>Completed</w:t>
            </w:r>
          </w:p>
        </w:tc>
        <w:tc>
          <w:tcPr>
            <w:tcW w:w="176" w:type="dxa"/>
            <w:gridSpan w:val="2"/>
            <w:hideMark/>
          </w:tcPr>
          <w:p w14:paraId="3BB92E00" w14:textId="77777777" w:rsidR="008954BC" w:rsidRPr="008954BC" w:rsidRDefault="008954BC" w:rsidP="00F51716">
            <w:pPr>
              <w:cnfStyle w:val="000000000000" w:firstRow="0" w:lastRow="0" w:firstColumn="0" w:lastColumn="0" w:oddVBand="0" w:evenVBand="0" w:oddHBand="0" w:evenHBand="0" w:firstRowFirstColumn="0" w:firstRowLastColumn="0" w:lastRowFirstColumn="0" w:lastRowLastColumn="0"/>
            </w:pPr>
          </w:p>
        </w:tc>
      </w:tr>
      <w:tr w:rsidR="00801DD3" w:rsidRPr="008954BC" w14:paraId="2CA39B58" w14:textId="77777777" w:rsidTr="003A2096">
        <w:trPr>
          <w:gridAfter w:val="1"/>
          <w:cnfStyle w:val="000000100000" w:firstRow="0" w:lastRow="0" w:firstColumn="0" w:lastColumn="0" w:oddVBand="0" w:evenVBand="0" w:oddHBand="1" w:evenHBand="0" w:firstRowFirstColumn="0" w:firstRowLastColumn="0" w:lastRowFirstColumn="0" w:lastRowLastColumn="0"/>
          <w:wAfter w:w="106" w:type="dxa"/>
          <w:trHeight w:val="1429"/>
        </w:trPr>
        <w:tc>
          <w:tcPr>
            <w:cnfStyle w:val="001000000000" w:firstRow="0" w:lastRow="0" w:firstColumn="1" w:lastColumn="0" w:oddVBand="0" w:evenVBand="0" w:oddHBand="0" w:evenHBand="0" w:firstRowFirstColumn="0" w:firstRowLastColumn="0" w:lastRowFirstColumn="0" w:lastRowLastColumn="0"/>
            <w:tcW w:w="1571" w:type="dxa"/>
            <w:tcBorders>
              <w:top w:val="none" w:sz="0" w:space="0" w:color="auto"/>
              <w:left w:val="none" w:sz="0" w:space="0" w:color="auto"/>
              <w:bottom w:val="none" w:sz="0" w:space="0" w:color="auto"/>
            </w:tcBorders>
            <w:hideMark/>
          </w:tcPr>
          <w:p w14:paraId="417D9E67" w14:textId="77777777" w:rsidR="008954BC" w:rsidRPr="008954BC" w:rsidRDefault="008954BC" w:rsidP="00F51716">
            <w:pPr>
              <w:pStyle w:val="Tabletext0"/>
            </w:pPr>
          </w:p>
        </w:tc>
        <w:tc>
          <w:tcPr>
            <w:tcW w:w="2024" w:type="dxa"/>
            <w:tcBorders>
              <w:top w:val="none" w:sz="0" w:space="0" w:color="auto"/>
              <w:bottom w:val="none" w:sz="0" w:space="0" w:color="auto"/>
            </w:tcBorders>
            <w:hideMark/>
          </w:tcPr>
          <w:p w14:paraId="0B32AC1D" w14:textId="5A42A3F9" w:rsidR="008954BC" w:rsidRPr="008954BC" w:rsidRDefault="008954BC" w:rsidP="00F51716">
            <w:pPr>
              <w:pStyle w:val="Tabletext0"/>
              <w:cnfStyle w:val="000000100000" w:firstRow="0" w:lastRow="0" w:firstColumn="0" w:lastColumn="0" w:oddVBand="0" w:evenVBand="0" w:oddHBand="1" w:evenHBand="0" w:firstRowFirstColumn="0" w:firstRowLastColumn="0" w:lastRowFirstColumn="0" w:lastRowLastColumn="0"/>
            </w:pPr>
            <w:r w:rsidRPr="008954BC">
              <w:t xml:space="preserve">OH&amp;S </w:t>
            </w:r>
            <w:r w:rsidR="005404C3" w:rsidRPr="008954BC">
              <w:t>objectives, regular</w:t>
            </w:r>
            <w:r w:rsidRPr="008954BC">
              <w:t xml:space="preserve"> reporting to senior management of OH&amp;S and OH&amp;S plans</w:t>
            </w:r>
          </w:p>
        </w:tc>
        <w:tc>
          <w:tcPr>
            <w:tcW w:w="1138" w:type="dxa"/>
            <w:tcBorders>
              <w:top w:val="none" w:sz="0" w:space="0" w:color="auto"/>
              <w:bottom w:val="none" w:sz="0" w:space="0" w:color="auto"/>
            </w:tcBorders>
            <w:noWrap/>
            <w:hideMark/>
          </w:tcPr>
          <w:p w14:paraId="32018E15" w14:textId="05055FC8" w:rsidR="008954BC" w:rsidRPr="008954BC" w:rsidRDefault="007727A3" w:rsidP="00205952">
            <w:pPr>
              <w:pStyle w:val="tableright"/>
              <w:cnfStyle w:val="000000100000" w:firstRow="0" w:lastRow="0" w:firstColumn="0" w:lastColumn="0" w:oddVBand="0" w:evenVBand="0" w:oddHBand="1" w:evenHBand="0" w:firstRowFirstColumn="0" w:firstRowLastColumn="0" w:lastRowFirstColumn="0" w:lastRowLastColumn="0"/>
            </w:pPr>
            <w:r>
              <w:t>C</w:t>
            </w:r>
            <w:r w:rsidRPr="008954BC">
              <w:t>ompleted</w:t>
            </w:r>
          </w:p>
        </w:tc>
        <w:tc>
          <w:tcPr>
            <w:tcW w:w="1138" w:type="dxa"/>
            <w:tcBorders>
              <w:top w:val="none" w:sz="0" w:space="0" w:color="auto"/>
              <w:bottom w:val="none" w:sz="0" w:space="0" w:color="auto"/>
            </w:tcBorders>
            <w:noWrap/>
            <w:hideMark/>
          </w:tcPr>
          <w:p w14:paraId="00B4824A" w14:textId="3A383427" w:rsidR="008954BC" w:rsidRPr="008954BC" w:rsidRDefault="007727A3" w:rsidP="00205952">
            <w:pPr>
              <w:pStyle w:val="tableright"/>
              <w:cnfStyle w:val="000000100000" w:firstRow="0" w:lastRow="0" w:firstColumn="0" w:lastColumn="0" w:oddVBand="0" w:evenVBand="0" w:oddHBand="1" w:evenHBand="0" w:firstRowFirstColumn="0" w:firstRowLastColumn="0" w:lastRowFirstColumn="0" w:lastRowLastColumn="0"/>
            </w:pPr>
            <w:r>
              <w:t>C</w:t>
            </w:r>
            <w:r w:rsidRPr="008954BC">
              <w:t>ompleted</w:t>
            </w:r>
          </w:p>
        </w:tc>
        <w:tc>
          <w:tcPr>
            <w:tcW w:w="1138" w:type="dxa"/>
            <w:tcBorders>
              <w:top w:val="none" w:sz="0" w:space="0" w:color="auto"/>
              <w:bottom w:val="none" w:sz="0" w:space="0" w:color="auto"/>
            </w:tcBorders>
            <w:noWrap/>
            <w:hideMark/>
          </w:tcPr>
          <w:p w14:paraId="27F70F60" w14:textId="77777777" w:rsidR="008954BC" w:rsidRPr="008954BC" w:rsidRDefault="008954BC" w:rsidP="00205952">
            <w:pPr>
              <w:pStyle w:val="tableright"/>
              <w:cnfStyle w:val="000000100000" w:firstRow="0" w:lastRow="0" w:firstColumn="0" w:lastColumn="0" w:oddVBand="0" w:evenVBand="0" w:oddHBand="1" w:evenHBand="0" w:firstRowFirstColumn="0" w:firstRowLastColumn="0" w:lastRowFirstColumn="0" w:lastRowLastColumn="0"/>
            </w:pPr>
            <w:r w:rsidRPr="008954BC">
              <w:t>Completed</w:t>
            </w:r>
          </w:p>
        </w:tc>
        <w:tc>
          <w:tcPr>
            <w:tcW w:w="1138" w:type="dxa"/>
            <w:tcBorders>
              <w:top w:val="none" w:sz="0" w:space="0" w:color="auto"/>
              <w:bottom w:val="none" w:sz="0" w:space="0" w:color="auto"/>
            </w:tcBorders>
            <w:noWrap/>
            <w:hideMark/>
          </w:tcPr>
          <w:p w14:paraId="4C159C15" w14:textId="77777777" w:rsidR="008954BC" w:rsidRPr="008954BC" w:rsidRDefault="008954BC" w:rsidP="00205952">
            <w:pPr>
              <w:pStyle w:val="tableright"/>
              <w:cnfStyle w:val="000000100000" w:firstRow="0" w:lastRow="0" w:firstColumn="0" w:lastColumn="0" w:oddVBand="0" w:evenVBand="0" w:oddHBand="1" w:evenHBand="0" w:firstRowFirstColumn="0" w:firstRowLastColumn="0" w:lastRowFirstColumn="0" w:lastRowLastColumn="0"/>
            </w:pPr>
            <w:r w:rsidRPr="008954BC">
              <w:t>Completed</w:t>
            </w:r>
          </w:p>
        </w:tc>
        <w:tc>
          <w:tcPr>
            <w:tcW w:w="1138" w:type="dxa"/>
            <w:tcBorders>
              <w:top w:val="none" w:sz="0" w:space="0" w:color="auto"/>
              <w:bottom w:val="none" w:sz="0" w:space="0" w:color="auto"/>
            </w:tcBorders>
            <w:noWrap/>
            <w:hideMark/>
          </w:tcPr>
          <w:p w14:paraId="7411BE89" w14:textId="77777777" w:rsidR="008954BC" w:rsidRPr="008954BC" w:rsidRDefault="008954BC" w:rsidP="00205952">
            <w:pPr>
              <w:pStyle w:val="tableright"/>
              <w:cnfStyle w:val="000000100000" w:firstRow="0" w:lastRow="0" w:firstColumn="0" w:lastColumn="0" w:oddVBand="0" w:evenVBand="0" w:oddHBand="1" w:evenHBand="0" w:firstRowFirstColumn="0" w:firstRowLastColumn="0" w:lastRowFirstColumn="0" w:lastRowLastColumn="0"/>
            </w:pPr>
            <w:r w:rsidRPr="008954BC">
              <w:t>Completed</w:t>
            </w:r>
          </w:p>
        </w:tc>
        <w:tc>
          <w:tcPr>
            <w:tcW w:w="1138" w:type="dxa"/>
            <w:gridSpan w:val="2"/>
            <w:tcBorders>
              <w:top w:val="none" w:sz="0" w:space="0" w:color="auto"/>
              <w:bottom w:val="none" w:sz="0" w:space="0" w:color="auto"/>
            </w:tcBorders>
            <w:noWrap/>
            <w:hideMark/>
          </w:tcPr>
          <w:p w14:paraId="67C77B50" w14:textId="77777777" w:rsidR="008954BC" w:rsidRPr="008954BC" w:rsidRDefault="008954BC" w:rsidP="00205952">
            <w:pPr>
              <w:pStyle w:val="tableright"/>
              <w:cnfStyle w:val="000000100000" w:firstRow="0" w:lastRow="0" w:firstColumn="0" w:lastColumn="0" w:oddVBand="0" w:evenVBand="0" w:oddHBand="1" w:evenHBand="0" w:firstRowFirstColumn="0" w:firstRowLastColumn="0" w:lastRowFirstColumn="0" w:lastRowLastColumn="0"/>
            </w:pPr>
            <w:r w:rsidRPr="008954BC">
              <w:t>Completed</w:t>
            </w:r>
          </w:p>
        </w:tc>
        <w:tc>
          <w:tcPr>
            <w:tcW w:w="176" w:type="dxa"/>
            <w:gridSpan w:val="2"/>
            <w:tcBorders>
              <w:top w:val="none" w:sz="0" w:space="0" w:color="auto"/>
              <w:bottom w:val="none" w:sz="0" w:space="0" w:color="auto"/>
              <w:right w:val="none" w:sz="0" w:space="0" w:color="auto"/>
            </w:tcBorders>
            <w:hideMark/>
          </w:tcPr>
          <w:p w14:paraId="6AD29B7B" w14:textId="77777777" w:rsidR="008954BC" w:rsidRPr="008954BC" w:rsidRDefault="008954BC" w:rsidP="00F51716">
            <w:pPr>
              <w:cnfStyle w:val="000000100000" w:firstRow="0" w:lastRow="0" w:firstColumn="0" w:lastColumn="0" w:oddVBand="0" w:evenVBand="0" w:oddHBand="1" w:evenHBand="0" w:firstRowFirstColumn="0" w:firstRowLastColumn="0" w:lastRowFirstColumn="0" w:lastRowLastColumn="0"/>
            </w:pPr>
          </w:p>
        </w:tc>
      </w:tr>
      <w:tr w:rsidR="00801DD3" w:rsidRPr="008954BC" w14:paraId="464F1DFE" w14:textId="77777777" w:rsidTr="003A2096">
        <w:trPr>
          <w:gridAfter w:val="1"/>
          <w:wAfter w:w="106" w:type="dxa"/>
          <w:trHeight w:val="1075"/>
        </w:trPr>
        <w:tc>
          <w:tcPr>
            <w:cnfStyle w:val="001000000000" w:firstRow="0" w:lastRow="0" w:firstColumn="1" w:lastColumn="0" w:oddVBand="0" w:evenVBand="0" w:oddHBand="0" w:evenHBand="0" w:firstRowFirstColumn="0" w:firstRowLastColumn="0" w:lastRowFirstColumn="0" w:lastRowLastColumn="0"/>
            <w:tcW w:w="1571" w:type="dxa"/>
            <w:hideMark/>
          </w:tcPr>
          <w:p w14:paraId="1B8B5AE9" w14:textId="499965B7" w:rsidR="008954BC" w:rsidRPr="008954BC" w:rsidRDefault="008954BC" w:rsidP="00F51716">
            <w:pPr>
              <w:pStyle w:val="Tabletext0"/>
            </w:pPr>
            <w:r w:rsidRPr="008954BC">
              <w:t xml:space="preserve">Risk </w:t>
            </w:r>
            <w:r w:rsidR="00810968">
              <w:t>m</w:t>
            </w:r>
            <w:r w:rsidRPr="008954BC">
              <w:t>anagement</w:t>
            </w:r>
          </w:p>
        </w:tc>
        <w:tc>
          <w:tcPr>
            <w:tcW w:w="2024" w:type="dxa"/>
            <w:hideMark/>
          </w:tcPr>
          <w:p w14:paraId="4C2B4B40" w14:textId="69535EBC" w:rsidR="008954BC" w:rsidRPr="008954BC" w:rsidRDefault="008954BC" w:rsidP="00F51716">
            <w:pPr>
              <w:pStyle w:val="Tabletext0"/>
              <w:cnfStyle w:val="000000000000" w:firstRow="0" w:lastRow="0" w:firstColumn="0" w:lastColumn="0" w:oddVBand="0" w:evenVBand="0" w:oddHBand="0" w:evenHBand="0" w:firstRowFirstColumn="0" w:firstRowLastColumn="0" w:lastRowFirstColumn="0" w:lastRowLastColumn="0"/>
            </w:pPr>
            <w:r w:rsidRPr="008954BC">
              <w:t xml:space="preserve">Percentage of internal </w:t>
            </w:r>
            <w:r w:rsidR="00CC6981">
              <w:t>a</w:t>
            </w:r>
            <w:r w:rsidRPr="008954BC">
              <w:t>udits/inspections conducted as planned</w:t>
            </w:r>
          </w:p>
        </w:tc>
        <w:tc>
          <w:tcPr>
            <w:tcW w:w="1138" w:type="dxa"/>
            <w:noWrap/>
            <w:hideMark/>
          </w:tcPr>
          <w:p w14:paraId="33F2AF57" w14:textId="77777777" w:rsidR="008954BC" w:rsidRPr="008954BC" w:rsidRDefault="008954BC" w:rsidP="00205952">
            <w:pPr>
              <w:pStyle w:val="tableright"/>
              <w:cnfStyle w:val="000000000000" w:firstRow="0" w:lastRow="0" w:firstColumn="0" w:lastColumn="0" w:oddVBand="0" w:evenVBand="0" w:oddHBand="0" w:evenHBand="0" w:firstRowFirstColumn="0" w:firstRowLastColumn="0" w:lastRowFirstColumn="0" w:lastRowLastColumn="0"/>
            </w:pPr>
            <w:r w:rsidRPr="008954BC">
              <w:t>100%</w:t>
            </w:r>
          </w:p>
        </w:tc>
        <w:tc>
          <w:tcPr>
            <w:tcW w:w="1138" w:type="dxa"/>
            <w:noWrap/>
            <w:hideMark/>
          </w:tcPr>
          <w:p w14:paraId="003D7553" w14:textId="77777777" w:rsidR="008954BC" w:rsidRPr="008954BC" w:rsidRDefault="008954BC" w:rsidP="00205952">
            <w:pPr>
              <w:pStyle w:val="tableright"/>
              <w:cnfStyle w:val="000000000000" w:firstRow="0" w:lastRow="0" w:firstColumn="0" w:lastColumn="0" w:oddVBand="0" w:evenVBand="0" w:oddHBand="0" w:evenHBand="0" w:firstRowFirstColumn="0" w:firstRowLastColumn="0" w:lastRowFirstColumn="0" w:lastRowLastColumn="0"/>
            </w:pPr>
            <w:r w:rsidRPr="008954BC">
              <w:t>100%</w:t>
            </w:r>
          </w:p>
        </w:tc>
        <w:tc>
          <w:tcPr>
            <w:tcW w:w="1138" w:type="dxa"/>
            <w:noWrap/>
            <w:hideMark/>
          </w:tcPr>
          <w:p w14:paraId="50CAA706" w14:textId="77777777" w:rsidR="008954BC" w:rsidRPr="008954BC" w:rsidRDefault="008954BC" w:rsidP="00205952">
            <w:pPr>
              <w:pStyle w:val="tableright"/>
              <w:cnfStyle w:val="000000000000" w:firstRow="0" w:lastRow="0" w:firstColumn="0" w:lastColumn="0" w:oddVBand="0" w:evenVBand="0" w:oddHBand="0" w:evenHBand="0" w:firstRowFirstColumn="0" w:firstRowLastColumn="0" w:lastRowFirstColumn="0" w:lastRowLastColumn="0"/>
            </w:pPr>
            <w:r w:rsidRPr="008954BC">
              <w:t>100%</w:t>
            </w:r>
          </w:p>
        </w:tc>
        <w:tc>
          <w:tcPr>
            <w:tcW w:w="1138" w:type="dxa"/>
            <w:noWrap/>
            <w:hideMark/>
          </w:tcPr>
          <w:p w14:paraId="09768207" w14:textId="77777777" w:rsidR="008954BC" w:rsidRPr="008954BC" w:rsidRDefault="008954BC" w:rsidP="00205952">
            <w:pPr>
              <w:pStyle w:val="tableright"/>
              <w:cnfStyle w:val="000000000000" w:firstRow="0" w:lastRow="0" w:firstColumn="0" w:lastColumn="0" w:oddVBand="0" w:evenVBand="0" w:oddHBand="0" w:evenHBand="0" w:firstRowFirstColumn="0" w:firstRowLastColumn="0" w:lastRowFirstColumn="0" w:lastRowLastColumn="0"/>
            </w:pPr>
            <w:r w:rsidRPr="008954BC">
              <w:t>100%</w:t>
            </w:r>
          </w:p>
        </w:tc>
        <w:tc>
          <w:tcPr>
            <w:tcW w:w="1138" w:type="dxa"/>
            <w:noWrap/>
            <w:hideMark/>
          </w:tcPr>
          <w:p w14:paraId="2266F72C" w14:textId="77777777" w:rsidR="008954BC" w:rsidRPr="008954BC" w:rsidRDefault="008954BC" w:rsidP="00205952">
            <w:pPr>
              <w:pStyle w:val="tableright"/>
              <w:cnfStyle w:val="000000000000" w:firstRow="0" w:lastRow="0" w:firstColumn="0" w:lastColumn="0" w:oddVBand="0" w:evenVBand="0" w:oddHBand="0" w:evenHBand="0" w:firstRowFirstColumn="0" w:firstRowLastColumn="0" w:lastRowFirstColumn="0" w:lastRowLastColumn="0"/>
            </w:pPr>
            <w:r w:rsidRPr="008954BC">
              <w:t>100%</w:t>
            </w:r>
          </w:p>
        </w:tc>
        <w:tc>
          <w:tcPr>
            <w:tcW w:w="1138" w:type="dxa"/>
            <w:gridSpan w:val="2"/>
            <w:noWrap/>
            <w:hideMark/>
          </w:tcPr>
          <w:p w14:paraId="63252867" w14:textId="77777777" w:rsidR="008954BC" w:rsidRPr="008954BC" w:rsidRDefault="008954BC" w:rsidP="00205952">
            <w:pPr>
              <w:pStyle w:val="tableright"/>
              <w:cnfStyle w:val="000000000000" w:firstRow="0" w:lastRow="0" w:firstColumn="0" w:lastColumn="0" w:oddVBand="0" w:evenVBand="0" w:oddHBand="0" w:evenHBand="0" w:firstRowFirstColumn="0" w:firstRowLastColumn="0" w:lastRowFirstColumn="0" w:lastRowLastColumn="0"/>
            </w:pPr>
            <w:r w:rsidRPr="008954BC">
              <w:t>100%</w:t>
            </w:r>
          </w:p>
        </w:tc>
        <w:tc>
          <w:tcPr>
            <w:tcW w:w="176" w:type="dxa"/>
            <w:gridSpan w:val="2"/>
            <w:hideMark/>
          </w:tcPr>
          <w:p w14:paraId="238BD3F5" w14:textId="77777777" w:rsidR="008954BC" w:rsidRPr="008954BC" w:rsidRDefault="008954BC" w:rsidP="00F51716">
            <w:pPr>
              <w:cnfStyle w:val="000000000000" w:firstRow="0" w:lastRow="0" w:firstColumn="0" w:lastColumn="0" w:oddVBand="0" w:evenVBand="0" w:oddHBand="0" w:evenHBand="0" w:firstRowFirstColumn="0" w:firstRowLastColumn="0" w:lastRowFirstColumn="0" w:lastRowLastColumn="0"/>
            </w:pPr>
          </w:p>
        </w:tc>
      </w:tr>
    </w:tbl>
    <w:p w14:paraId="43607F8C" w14:textId="490C071D" w:rsidR="008954BC" w:rsidRDefault="003A2096" w:rsidP="003A2096">
      <w:pPr>
        <w:pStyle w:val="Tablenote"/>
      </w:pPr>
      <w:r>
        <w:t>FTE = full time equivalent</w:t>
      </w:r>
    </w:p>
    <w:p w14:paraId="27D0D81D" w14:textId="68DDF009" w:rsidR="008954BC" w:rsidRDefault="008954BC" w:rsidP="00F51716"/>
    <w:p w14:paraId="254E72B2" w14:textId="4D92DFF2" w:rsidR="008954BC" w:rsidRDefault="008954BC" w:rsidP="00F51716"/>
    <w:p w14:paraId="16A6131E" w14:textId="7C383552" w:rsidR="008954BC" w:rsidRDefault="008954BC" w:rsidP="00F51716"/>
    <w:p w14:paraId="13627950" w14:textId="43D4A28B" w:rsidR="008954BC" w:rsidRDefault="008954BC" w:rsidP="00F51716"/>
    <w:p w14:paraId="4F6C75FA" w14:textId="0EF6DC9A" w:rsidR="008954BC" w:rsidRDefault="008954BC" w:rsidP="00F51716"/>
    <w:p w14:paraId="2F79BF30" w14:textId="6CA8539A" w:rsidR="008954BC" w:rsidRDefault="008954BC" w:rsidP="00F51716"/>
    <w:p w14:paraId="109C1982" w14:textId="4F8B4CB1" w:rsidR="008954BC" w:rsidRDefault="008954BC" w:rsidP="00F51716"/>
    <w:p w14:paraId="2E0A128B" w14:textId="53763C15" w:rsidR="008954BC" w:rsidRDefault="008954BC" w:rsidP="00F51716"/>
    <w:p w14:paraId="79EBC672" w14:textId="77777777" w:rsidR="008954BC" w:rsidRDefault="008954BC" w:rsidP="00F51716"/>
    <w:p w14:paraId="527D9452" w14:textId="039CF8EF" w:rsidR="009C4A23" w:rsidRPr="004972BF" w:rsidRDefault="009C4A23" w:rsidP="00F51716">
      <w:pPr>
        <w:pStyle w:val="Heading1"/>
      </w:pPr>
      <w:bookmarkStart w:id="72" w:name="_Toc56627337"/>
      <w:bookmarkStart w:id="73" w:name="_Toc57039872"/>
      <w:bookmarkStart w:id="74" w:name="_Toc59624207"/>
      <w:r w:rsidRPr="004972BF">
        <w:t>Workforce data</w:t>
      </w:r>
      <w:bookmarkEnd w:id="72"/>
      <w:bookmarkEnd w:id="73"/>
      <w:bookmarkEnd w:id="74"/>
    </w:p>
    <w:p w14:paraId="36AFDF89" w14:textId="0C9A69C3" w:rsidR="009C4A23" w:rsidRPr="00DD086B" w:rsidRDefault="009C4A23" w:rsidP="00F51716">
      <w:pPr>
        <w:pStyle w:val="Heading2"/>
        <w:rPr>
          <w:rFonts w:eastAsiaTheme="minorHAnsi" w:cs="Times New Roman"/>
          <w:highlight w:val="cyan"/>
        </w:rPr>
      </w:pPr>
      <w:bookmarkStart w:id="75" w:name="_Toc56627338"/>
      <w:bookmarkStart w:id="76" w:name="_Toc57039873"/>
      <w:bookmarkStart w:id="77" w:name="_Toc59624208"/>
      <w:r w:rsidRPr="006A1FA9">
        <w:t>Public sector values and employment principles</w:t>
      </w:r>
      <w:bookmarkEnd w:id="75"/>
      <w:bookmarkEnd w:id="76"/>
      <w:bookmarkEnd w:id="77"/>
    </w:p>
    <w:p w14:paraId="141F6B21" w14:textId="626F444D" w:rsidR="009C4A23" w:rsidRPr="00AF6B06" w:rsidRDefault="009C4A23" w:rsidP="00F51716">
      <w:r w:rsidRPr="00AF6B06">
        <w:t xml:space="preserve">SV is committed to applying merit and equity principles when appointing staff. </w:t>
      </w:r>
      <w:r w:rsidR="00C71A4B">
        <w:t>Our</w:t>
      </w:r>
      <w:r w:rsidR="00C71A4B" w:rsidRPr="00AF6B06">
        <w:t xml:space="preserve"> </w:t>
      </w:r>
      <w:r w:rsidRPr="00AF6B06">
        <w:t>selection processes ensure that applicants are assessed and evaluated fairly and equitably on the basis of the key selection criteria and other accountabilities, without discrimination. Employees have been correctly classified in workforce data collections.</w:t>
      </w:r>
    </w:p>
    <w:p w14:paraId="145D9B18" w14:textId="03B25D45" w:rsidR="009C4A23" w:rsidRPr="00AF6B06" w:rsidRDefault="009C4A23" w:rsidP="00F51716">
      <w:r w:rsidRPr="00AF6B06">
        <w:t xml:space="preserve">The </w:t>
      </w:r>
      <w:r w:rsidRPr="00AF6B06">
        <w:rPr>
          <w:i/>
        </w:rPr>
        <w:t>Public Administration Act 2004</w:t>
      </w:r>
      <w:r w:rsidRPr="00AF6B06">
        <w:t xml:space="preserve"> established the Victorian Public Sector Commission (VPSC). The VPSC’s role is to strengthen public sector efficiency, effectiveness and capability</w:t>
      </w:r>
      <w:r w:rsidR="00801DD3">
        <w:t xml:space="preserve"> and</w:t>
      </w:r>
      <w:r w:rsidRPr="00AF6B06">
        <w:t xml:space="preserve"> advocate for public sector professionalism and integrity.</w:t>
      </w:r>
    </w:p>
    <w:p w14:paraId="6613B3D8" w14:textId="6CB0D1BE" w:rsidR="009C4A23" w:rsidRPr="00AF6B06" w:rsidRDefault="00A739D8" w:rsidP="00F51716">
      <w:r>
        <w:t>SV</w:t>
      </w:r>
      <w:r w:rsidR="009C4A23" w:rsidRPr="00AF6B06">
        <w:t xml:space="preserve"> has introduced policies and practices that are consistent with the VPSC’s employment standards and provide for fair treatment, career opportunities and the early resolution of workplace issues. </w:t>
      </w:r>
      <w:r>
        <w:t>SV</w:t>
      </w:r>
      <w:r w:rsidR="009C4A23" w:rsidRPr="00AF6B06">
        <w:t xml:space="preserve"> has advised its employees on how to avoid conflicts of interest, how to respond to offers of gifts and how it deals with misconduct.</w:t>
      </w:r>
    </w:p>
    <w:p w14:paraId="1CE7544A" w14:textId="619C187C" w:rsidR="009C4A23" w:rsidRPr="00AF6B06" w:rsidRDefault="009C4A23" w:rsidP="00F51716">
      <w:r w:rsidRPr="00AF6B06">
        <w:t>The public</w:t>
      </w:r>
      <w:r w:rsidR="007727A3">
        <w:t xml:space="preserve"> </w:t>
      </w:r>
      <w:r w:rsidRPr="00AF6B06">
        <w:t>sector values are</w:t>
      </w:r>
      <w:r w:rsidR="00C71A4B">
        <w:t xml:space="preserve"> </w:t>
      </w:r>
      <w:r w:rsidRPr="00AF6B06">
        <w:t>responsiveness, integrity, impartiality, accountability, respect, leadership and human rights.</w:t>
      </w:r>
    </w:p>
    <w:p w14:paraId="71996728" w14:textId="77777777" w:rsidR="009C4A23" w:rsidRPr="00AF6B06" w:rsidRDefault="009C4A23" w:rsidP="00F51716">
      <w:r w:rsidRPr="00AF6B06">
        <w:t>Public entities are required to have in place employment processes to ensure that:</w:t>
      </w:r>
    </w:p>
    <w:p w14:paraId="2517664A" w14:textId="6DF356C8" w:rsidR="009C4A23" w:rsidRPr="00AF6B06" w:rsidRDefault="009C4A23" w:rsidP="00F51716">
      <w:pPr>
        <w:pStyle w:val="ListBullet"/>
      </w:pPr>
      <w:r w:rsidRPr="00AF6B06">
        <w:t>employment decisions are based on merit</w:t>
      </w:r>
    </w:p>
    <w:p w14:paraId="0DBBE8FF" w14:textId="7E269340" w:rsidR="009C4A23" w:rsidRPr="00AF6B06" w:rsidRDefault="009C4A23" w:rsidP="00F51716">
      <w:pPr>
        <w:pStyle w:val="ListBullet"/>
      </w:pPr>
      <w:r w:rsidRPr="00AF6B06">
        <w:t>public sector employees are treated fairly and reasonably</w:t>
      </w:r>
    </w:p>
    <w:p w14:paraId="7CE63661" w14:textId="000C1FC9" w:rsidR="009C4A23" w:rsidRPr="00AF6B06" w:rsidRDefault="009C4A23" w:rsidP="00F51716">
      <w:pPr>
        <w:pStyle w:val="ListBullet"/>
      </w:pPr>
      <w:r w:rsidRPr="00AF6B06">
        <w:t>equal employment opportunity is provided</w:t>
      </w:r>
    </w:p>
    <w:p w14:paraId="26C12CD6" w14:textId="73528E85" w:rsidR="009C4A23" w:rsidRPr="00AF6B06" w:rsidRDefault="009C4A23" w:rsidP="00F51716">
      <w:pPr>
        <w:pStyle w:val="ListBullet"/>
      </w:pPr>
      <w:r w:rsidRPr="00AF6B06">
        <w:t>human rights as set out in the Charter of Human Rights and Responsibilities are upheld</w:t>
      </w:r>
    </w:p>
    <w:p w14:paraId="5BE1E27C" w14:textId="4AE1AAC0" w:rsidR="009C4A23" w:rsidRPr="00AF6B06" w:rsidRDefault="009C4A23" w:rsidP="00F51716">
      <w:pPr>
        <w:pStyle w:val="ListBullet"/>
      </w:pPr>
      <w:r w:rsidRPr="00AF6B06">
        <w:t>public sector employees have a reasonable avenue of redress against unfair or unreasonable treatment.</w:t>
      </w:r>
    </w:p>
    <w:p w14:paraId="03BA9999" w14:textId="3C643712" w:rsidR="009C4A23" w:rsidRPr="00AF6B06" w:rsidRDefault="009C4A23" w:rsidP="00F51716">
      <w:r w:rsidRPr="00AF6B06">
        <w:t>Codes of conduct and standards issued by the VPSC include:</w:t>
      </w:r>
    </w:p>
    <w:p w14:paraId="28A3414C" w14:textId="50C35743" w:rsidR="009C4A23" w:rsidRPr="00AF6B06" w:rsidRDefault="009C4A23" w:rsidP="00F51716">
      <w:pPr>
        <w:pStyle w:val="ListBullet"/>
      </w:pPr>
      <w:r w:rsidRPr="00AF6B06">
        <w:t>the Code of Conduct for VPS employees</w:t>
      </w:r>
    </w:p>
    <w:p w14:paraId="1A0CDBBA" w14:textId="7BDC3FB0" w:rsidR="009C4A23" w:rsidRDefault="009C4A23" w:rsidP="00F51716">
      <w:pPr>
        <w:pStyle w:val="ListBullet"/>
      </w:pPr>
      <w:r w:rsidRPr="00AF6B06">
        <w:t>the Conflict of Interest policy framework and the Gifts Benefits and Hospitality policy framework.</w:t>
      </w:r>
    </w:p>
    <w:p w14:paraId="442FEAA9" w14:textId="73BBCA43" w:rsidR="009C4A23" w:rsidRDefault="009C4A23" w:rsidP="00F51716">
      <w:pPr>
        <w:pStyle w:val="Heading2"/>
      </w:pPr>
      <w:bookmarkStart w:id="78" w:name="_Toc56627339"/>
      <w:bookmarkStart w:id="79" w:name="_Toc57039874"/>
      <w:bookmarkStart w:id="80" w:name="_Toc59624209"/>
      <w:r w:rsidRPr="00BB2D66">
        <w:t>Comparative workforce data</w:t>
      </w:r>
      <w:bookmarkEnd w:id="78"/>
      <w:bookmarkEnd w:id="79"/>
      <w:bookmarkEnd w:id="80"/>
    </w:p>
    <w:p w14:paraId="3663F733" w14:textId="13FCB8D3" w:rsidR="009C4A23" w:rsidRPr="00447BEB" w:rsidRDefault="009C4A23" w:rsidP="00F51716">
      <w:r w:rsidRPr="00447BEB">
        <w:t>At 30</w:t>
      </w:r>
      <w:r w:rsidR="007536F1">
        <w:t> </w:t>
      </w:r>
      <w:r w:rsidRPr="00447BEB">
        <w:t>June</w:t>
      </w:r>
      <w:r w:rsidR="007536F1">
        <w:t> </w:t>
      </w:r>
      <w:r w:rsidR="007727A3" w:rsidRPr="00447BEB">
        <w:t>20</w:t>
      </w:r>
      <w:r w:rsidR="007727A3">
        <w:t>20</w:t>
      </w:r>
      <w:r w:rsidR="00DA4493">
        <w:t xml:space="preserve">, </w:t>
      </w:r>
      <w:r w:rsidRPr="00447BEB">
        <w:t xml:space="preserve">SV employed </w:t>
      </w:r>
      <w:r w:rsidR="00447BEB" w:rsidRPr="00447BEB">
        <w:t xml:space="preserve">147 </w:t>
      </w:r>
      <w:r w:rsidRPr="00447BEB">
        <w:t>ongoing staff (</w:t>
      </w:r>
      <w:r w:rsidR="00447BEB" w:rsidRPr="00447BEB">
        <w:t xml:space="preserve">140.7 </w:t>
      </w:r>
      <w:r w:rsidRPr="00447BEB">
        <w:t xml:space="preserve">full time equivalent) compared to </w:t>
      </w:r>
      <w:r w:rsidR="00A743FC" w:rsidRPr="00447BEB">
        <w:t xml:space="preserve">182 </w:t>
      </w:r>
      <w:r w:rsidRPr="00447BEB">
        <w:t>staff (</w:t>
      </w:r>
      <w:r w:rsidR="00A743FC" w:rsidRPr="00447BEB">
        <w:t>172.</w:t>
      </w:r>
      <w:r w:rsidR="001C7BBD">
        <w:t>6</w:t>
      </w:r>
      <w:r w:rsidR="00A743FC" w:rsidRPr="00447BEB">
        <w:t xml:space="preserve"> </w:t>
      </w:r>
      <w:r w:rsidRPr="00447BEB">
        <w:t xml:space="preserve">full time equivalent) </w:t>
      </w:r>
      <w:r w:rsidR="00DA4493">
        <w:t>a</w:t>
      </w:r>
      <w:r w:rsidRPr="00447BEB">
        <w:t>t 30</w:t>
      </w:r>
      <w:r w:rsidR="007536F1">
        <w:t> </w:t>
      </w:r>
      <w:r w:rsidRPr="00447BEB">
        <w:t>June</w:t>
      </w:r>
      <w:r w:rsidR="007536F1">
        <w:t> </w:t>
      </w:r>
      <w:r w:rsidRPr="00447BEB">
        <w:t>201</w:t>
      </w:r>
      <w:r w:rsidR="00C71A4B">
        <w:t>9</w:t>
      </w:r>
      <w:r w:rsidR="00DA4493">
        <w:t>. T</w:t>
      </w:r>
      <w:r w:rsidRPr="00447BEB">
        <w:t>he proportion of women was</w:t>
      </w:r>
      <w:r w:rsidR="21E70B98" w:rsidRPr="00447BEB">
        <w:t xml:space="preserve"> </w:t>
      </w:r>
      <w:r w:rsidR="00447BEB" w:rsidRPr="00447BEB">
        <w:t>69</w:t>
      </w:r>
      <w:r w:rsidR="00C71A4B">
        <w:t> </w:t>
      </w:r>
      <w:r w:rsidRPr="00447BEB">
        <w:t>per</w:t>
      </w:r>
      <w:r w:rsidR="00C71A4B">
        <w:t> </w:t>
      </w:r>
      <w:r w:rsidRPr="00447BEB">
        <w:t>cent</w:t>
      </w:r>
      <w:r w:rsidR="00DA4493">
        <w:t xml:space="preserve">, </w:t>
      </w:r>
      <w:r w:rsidRPr="00447BEB">
        <w:t xml:space="preserve">compared to </w:t>
      </w:r>
      <w:r w:rsidR="00447BEB" w:rsidRPr="00447BEB">
        <w:t xml:space="preserve">62 </w:t>
      </w:r>
      <w:r w:rsidRPr="00447BEB">
        <w:t>per cent at 30</w:t>
      </w:r>
      <w:r w:rsidR="007536F1">
        <w:t> </w:t>
      </w:r>
      <w:r w:rsidRPr="00447BEB">
        <w:t>June</w:t>
      </w:r>
      <w:r w:rsidR="007536F1">
        <w:t> </w:t>
      </w:r>
      <w:r w:rsidRPr="00447BEB">
        <w:t>201</w:t>
      </w:r>
      <w:r w:rsidR="00C71A4B">
        <w:t>9</w:t>
      </w:r>
      <w:r w:rsidR="00DA4493">
        <w:t xml:space="preserve">. </w:t>
      </w:r>
    </w:p>
    <w:p w14:paraId="33F63193" w14:textId="3A804767" w:rsidR="0009270C" w:rsidRDefault="0009270C" w:rsidP="00F51716">
      <w:r w:rsidRPr="00447BEB">
        <w:t>The tables below show data on our workforce composition, average salaries by gender and VPS classification.</w:t>
      </w:r>
    </w:p>
    <w:p w14:paraId="663FFB61" w14:textId="11676B63" w:rsidR="007B2077" w:rsidRPr="00447BEB" w:rsidRDefault="007B2077" w:rsidP="00F51716">
      <w:pPr>
        <w:pStyle w:val="Caption"/>
      </w:pPr>
      <w:r>
        <w:t xml:space="preserve">Table </w:t>
      </w:r>
      <w:fldSimple w:instr=" SEQ Table \* ARABIC ">
        <w:r w:rsidR="003F15CC">
          <w:rPr>
            <w:noProof/>
          </w:rPr>
          <w:t>26</w:t>
        </w:r>
      </w:fldSimple>
      <w:r>
        <w:t xml:space="preserve">: </w:t>
      </w:r>
      <w:r w:rsidR="00DA4493">
        <w:t>Number of f</w:t>
      </w:r>
      <w:r w:rsidR="00DA4493" w:rsidRPr="00A133BE">
        <w:t>ull</w:t>
      </w:r>
      <w:r w:rsidR="00C71A4B">
        <w:t xml:space="preserve"> </w:t>
      </w:r>
      <w:r w:rsidR="00DA4493">
        <w:t>t</w:t>
      </w:r>
      <w:r w:rsidR="00DA4493" w:rsidRPr="00A133BE">
        <w:t xml:space="preserve">ime equivalent </w:t>
      </w:r>
      <w:r w:rsidR="00DA4493">
        <w:t xml:space="preserve">staff </w:t>
      </w:r>
      <w:r w:rsidR="00DA4493" w:rsidRPr="00A133BE">
        <w:t>f</w:t>
      </w:r>
      <w:r w:rsidR="00DA4493">
        <w:t>rom 2013 to 2020</w:t>
      </w:r>
    </w:p>
    <w:tbl>
      <w:tblPr>
        <w:tblStyle w:val="TableGrid"/>
        <w:tblW w:w="0" w:type="auto"/>
        <w:tblInd w:w="155" w:type="dxa"/>
        <w:tblLook w:val="04A0" w:firstRow="1" w:lastRow="0" w:firstColumn="1" w:lastColumn="0" w:noHBand="0" w:noVBand="1"/>
      </w:tblPr>
      <w:tblGrid>
        <w:gridCol w:w="1107"/>
        <w:gridCol w:w="1107"/>
        <w:gridCol w:w="1107"/>
        <w:gridCol w:w="1108"/>
        <w:gridCol w:w="1108"/>
        <w:gridCol w:w="1108"/>
        <w:gridCol w:w="1108"/>
        <w:gridCol w:w="1108"/>
      </w:tblGrid>
      <w:tr w:rsidR="00DD086B" w:rsidRPr="00447BEB" w14:paraId="23D60D19" w14:textId="77777777" w:rsidTr="00A926B8">
        <w:tc>
          <w:tcPr>
            <w:tcW w:w="1107" w:type="dxa"/>
            <w:shd w:val="clear" w:color="auto" w:fill="7EB93D" w:themeFill="accent5" w:themeFillShade="BF"/>
          </w:tcPr>
          <w:p w14:paraId="7A5BC025" w14:textId="5A07144F" w:rsidR="00DD086B" w:rsidRPr="00447BEB" w:rsidRDefault="00C71A4B" w:rsidP="003A2096">
            <w:pPr>
              <w:pStyle w:val="tableheadright"/>
            </w:pPr>
            <w:r>
              <w:t>2019–</w:t>
            </w:r>
            <w:r w:rsidR="00DD086B" w:rsidRPr="00447BEB">
              <w:t>20</w:t>
            </w:r>
          </w:p>
        </w:tc>
        <w:tc>
          <w:tcPr>
            <w:tcW w:w="1107" w:type="dxa"/>
            <w:shd w:val="clear" w:color="auto" w:fill="7EB93D" w:themeFill="accent5" w:themeFillShade="BF"/>
          </w:tcPr>
          <w:p w14:paraId="2CE74BA5" w14:textId="0A61177C" w:rsidR="00DD086B" w:rsidRPr="00447BEB" w:rsidRDefault="00DD086B" w:rsidP="003A2096">
            <w:pPr>
              <w:pStyle w:val="tableheadright"/>
            </w:pPr>
            <w:r w:rsidRPr="00447BEB">
              <w:t>20</w:t>
            </w:r>
            <w:r w:rsidR="00C71A4B">
              <w:t>18–</w:t>
            </w:r>
            <w:r w:rsidRPr="00447BEB">
              <w:t>19</w:t>
            </w:r>
          </w:p>
        </w:tc>
        <w:tc>
          <w:tcPr>
            <w:tcW w:w="1107" w:type="dxa"/>
            <w:shd w:val="clear" w:color="auto" w:fill="7EB93D" w:themeFill="accent5" w:themeFillShade="BF"/>
          </w:tcPr>
          <w:p w14:paraId="404DCAB0" w14:textId="4548C7C7" w:rsidR="00DD086B" w:rsidRPr="00447BEB" w:rsidRDefault="00DD086B" w:rsidP="003A2096">
            <w:pPr>
              <w:pStyle w:val="tableheadright"/>
            </w:pPr>
            <w:r w:rsidRPr="00447BEB">
              <w:t>20</w:t>
            </w:r>
            <w:r w:rsidR="00C71A4B">
              <w:t>17–</w:t>
            </w:r>
            <w:r w:rsidRPr="00447BEB">
              <w:t>18</w:t>
            </w:r>
          </w:p>
        </w:tc>
        <w:tc>
          <w:tcPr>
            <w:tcW w:w="1108" w:type="dxa"/>
            <w:shd w:val="clear" w:color="auto" w:fill="7EB93D" w:themeFill="accent5" w:themeFillShade="BF"/>
          </w:tcPr>
          <w:p w14:paraId="0365A24D" w14:textId="34C056F6" w:rsidR="00DD086B" w:rsidRPr="00447BEB" w:rsidRDefault="00DD086B" w:rsidP="003A2096">
            <w:pPr>
              <w:pStyle w:val="tableheadright"/>
            </w:pPr>
            <w:r w:rsidRPr="00447BEB">
              <w:t>20</w:t>
            </w:r>
            <w:r w:rsidR="00C71A4B">
              <w:t>16–</w:t>
            </w:r>
            <w:r w:rsidRPr="00447BEB">
              <w:t>17</w:t>
            </w:r>
          </w:p>
        </w:tc>
        <w:tc>
          <w:tcPr>
            <w:tcW w:w="1108" w:type="dxa"/>
            <w:shd w:val="clear" w:color="auto" w:fill="7EB93D" w:themeFill="accent5" w:themeFillShade="BF"/>
          </w:tcPr>
          <w:p w14:paraId="6D1007B6" w14:textId="195C5765" w:rsidR="00DD086B" w:rsidRPr="00447BEB" w:rsidRDefault="00DD086B" w:rsidP="003A2096">
            <w:pPr>
              <w:pStyle w:val="tableheadright"/>
            </w:pPr>
            <w:r w:rsidRPr="00447BEB">
              <w:t>20</w:t>
            </w:r>
            <w:r w:rsidR="00C71A4B">
              <w:t>15–</w:t>
            </w:r>
            <w:r w:rsidRPr="00447BEB">
              <w:t>16</w:t>
            </w:r>
          </w:p>
        </w:tc>
        <w:tc>
          <w:tcPr>
            <w:tcW w:w="1108" w:type="dxa"/>
            <w:shd w:val="clear" w:color="auto" w:fill="7EB93D" w:themeFill="accent5" w:themeFillShade="BF"/>
          </w:tcPr>
          <w:p w14:paraId="1B04C39C" w14:textId="64E0EA06" w:rsidR="00DD086B" w:rsidRPr="00447BEB" w:rsidRDefault="00DD086B" w:rsidP="003A2096">
            <w:pPr>
              <w:pStyle w:val="tableheadright"/>
            </w:pPr>
            <w:r w:rsidRPr="00447BEB">
              <w:t>20</w:t>
            </w:r>
            <w:r w:rsidR="00C71A4B">
              <w:t>14–</w:t>
            </w:r>
            <w:r w:rsidRPr="00447BEB">
              <w:t>15</w:t>
            </w:r>
          </w:p>
        </w:tc>
        <w:tc>
          <w:tcPr>
            <w:tcW w:w="1108" w:type="dxa"/>
            <w:shd w:val="clear" w:color="auto" w:fill="7EB93D" w:themeFill="accent5" w:themeFillShade="BF"/>
          </w:tcPr>
          <w:p w14:paraId="20D10021" w14:textId="7A51EFA3" w:rsidR="00DD086B" w:rsidRPr="00447BEB" w:rsidRDefault="00DD086B" w:rsidP="003A2096">
            <w:pPr>
              <w:pStyle w:val="tableheadright"/>
            </w:pPr>
            <w:r w:rsidRPr="00447BEB">
              <w:t>20</w:t>
            </w:r>
            <w:r w:rsidR="00C71A4B">
              <w:t>13–</w:t>
            </w:r>
            <w:r w:rsidRPr="00447BEB">
              <w:t>14</w:t>
            </w:r>
          </w:p>
        </w:tc>
        <w:tc>
          <w:tcPr>
            <w:tcW w:w="1108" w:type="dxa"/>
            <w:shd w:val="clear" w:color="auto" w:fill="7EB93D" w:themeFill="accent5" w:themeFillShade="BF"/>
          </w:tcPr>
          <w:p w14:paraId="0CFEBE45" w14:textId="280355DB" w:rsidR="00DD086B" w:rsidRPr="00447BEB" w:rsidRDefault="00DD086B" w:rsidP="003A2096">
            <w:pPr>
              <w:pStyle w:val="tableheadright"/>
            </w:pPr>
            <w:r w:rsidRPr="00447BEB">
              <w:t>20</w:t>
            </w:r>
            <w:r w:rsidR="00C71A4B">
              <w:t>12–</w:t>
            </w:r>
            <w:r w:rsidRPr="00447BEB">
              <w:t>13</w:t>
            </w:r>
          </w:p>
        </w:tc>
      </w:tr>
      <w:tr w:rsidR="00DD086B" w14:paraId="17B1807E" w14:textId="77777777" w:rsidTr="21E70B98">
        <w:tc>
          <w:tcPr>
            <w:tcW w:w="1107" w:type="dxa"/>
          </w:tcPr>
          <w:p w14:paraId="3619D1AA" w14:textId="614B29D4" w:rsidR="00DD086B" w:rsidRPr="00447BEB" w:rsidRDefault="00447BEB" w:rsidP="00F51716">
            <w:pPr>
              <w:pStyle w:val="tableright"/>
            </w:pPr>
            <w:r w:rsidRPr="00447BEB">
              <w:t>140</w:t>
            </w:r>
            <w:r w:rsidR="21E70B98" w:rsidRPr="00447BEB">
              <w:t>.</w:t>
            </w:r>
            <w:r w:rsidRPr="00447BEB">
              <w:t>7</w:t>
            </w:r>
          </w:p>
        </w:tc>
        <w:tc>
          <w:tcPr>
            <w:tcW w:w="1107" w:type="dxa"/>
          </w:tcPr>
          <w:p w14:paraId="178D367C" w14:textId="1B90862E" w:rsidR="00DD086B" w:rsidRPr="00447BEB" w:rsidRDefault="00DD086B" w:rsidP="00F51716">
            <w:pPr>
              <w:pStyle w:val="tableright"/>
            </w:pPr>
            <w:r w:rsidRPr="00447BEB">
              <w:t>172.</w:t>
            </w:r>
            <w:r w:rsidR="007B3EBC">
              <w:t>6</w:t>
            </w:r>
          </w:p>
        </w:tc>
        <w:tc>
          <w:tcPr>
            <w:tcW w:w="1107" w:type="dxa"/>
          </w:tcPr>
          <w:p w14:paraId="1F6FF0B7" w14:textId="2B2D959A" w:rsidR="00DD086B" w:rsidRPr="00447BEB" w:rsidRDefault="00DD086B" w:rsidP="00F51716">
            <w:pPr>
              <w:pStyle w:val="tableright"/>
            </w:pPr>
            <w:r w:rsidRPr="00447BEB">
              <w:t>114.8</w:t>
            </w:r>
          </w:p>
        </w:tc>
        <w:tc>
          <w:tcPr>
            <w:tcW w:w="1108" w:type="dxa"/>
          </w:tcPr>
          <w:p w14:paraId="247262C4" w14:textId="0450D0C8" w:rsidR="00DD086B" w:rsidRPr="00447BEB" w:rsidRDefault="00DD086B" w:rsidP="00F51716">
            <w:pPr>
              <w:pStyle w:val="tableright"/>
            </w:pPr>
            <w:r w:rsidRPr="00447BEB">
              <w:t>108.8</w:t>
            </w:r>
          </w:p>
        </w:tc>
        <w:tc>
          <w:tcPr>
            <w:tcW w:w="1108" w:type="dxa"/>
          </w:tcPr>
          <w:p w14:paraId="5343BB37" w14:textId="0E3A1DB7" w:rsidR="00DD086B" w:rsidRPr="00447BEB" w:rsidRDefault="00DD086B" w:rsidP="00F51716">
            <w:pPr>
              <w:pStyle w:val="tableright"/>
            </w:pPr>
            <w:r w:rsidRPr="00447BEB">
              <w:t>108.2</w:t>
            </w:r>
          </w:p>
        </w:tc>
        <w:tc>
          <w:tcPr>
            <w:tcW w:w="1108" w:type="dxa"/>
          </w:tcPr>
          <w:p w14:paraId="687207CB" w14:textId="2237DE63" w:rsidR="00DD086B" w:rsidRPr="00447BEB" w:rsidRDefault="00DD086B" w:rsidP="00F51716">
            <w:pPr>
              <w:pStyle w:val="tableright"/>
            </w:pPr>
            <w:r w:rsidRPr="00447BEB">
              <w:t>112</w:t>
            </w:r>
          </w:p>
        </w:tc>
        <w:tc>
          <w:tcPr>
            <w:tcW w:w="1108" w:type="dxa"/>
          </w:tcPr>
          <w:p w14:paraId="79A1D647" w14:textId="4B5FBAE4" w:rsidR="00DD086B" w:rsidRPr="00447BEB" w:rsidRDefault="00DD086B" w:rsidP="00F51716">
            <w:pPr>
              <w:pStyle w:val="tableright"/>
            </w:pPr>
            <w:r w:rsidRPr="00447BEB">
              <w:t>110.7</w:t>
            </w:r>
          </w:p>
        </w:tc>
        <w:tc>
          <w:tcPr>
            <w:tcW w:w="1108" w:type="dxa"/>
          </w:tcPr>
          <w:p w14:paraId="50A65256" w14:textId="3291A49B" w:rsidR="00DD086B" w:rsidRPr="00447BEB" w:rsidRDefault="00DD086B" w:rsidP="00F51716">
            <w:pPr>
              <w:pStyle w:val="tableright"/>
            </w:pPr>
            <w:r w:rsidRPr="00447BEB">
              <w:t>105.7</w:t>
            </w:r>
          </w:p>
        </w:tc>
      </w:tr>
    </w:tbl>
    <w:p w14:paraId="340F3B17" w14:textId="4519A78D" w:rsidR="009C4A23" w:rsidRDefault="00205952" w:rsidP="00F51716">
      <w:pPr>
        <w:rPr>
          <w:szCs w:val="19"/>
        </w:rPr>
      </w:pPr>
      <w:r>
        <w:fldChar w:fldCharType="begin"/>
      </w:r>
      <w:r>
        <w:instrText xml:space="preserve"> REF _Ref57476715 \h </w:instrText>
      </w:r>
      <w:r>
        <w:fldChar w:fldCharType="separate"/>
      </w:r>
      <w:r>
        <w:t xml:space="preserve">Table </w:t>
      </w:r>
      <w:r>
        <w:rPr>
          <w:noProof/>
        </w:rPr>
        <w:t>27</w:t>
      </w:r>
      <w:r>
        <w:fldChar w:fldCharType="end"/>
      </w:r>
      <w:r w:rsidR="009C4A23" w:rsidRPr="005404C3">
        <w:t xml:space="preserve"> discloses the head count and full-time equivalent </w:t>
      </w:r>
      <w:r w:rsidR="00105AEC" w:rsidRPr="005404C3">
        <w:t xml:space="preserve">staff </w:t>
      </w:r>
      <w:r w:rsidR="009C4A23" w:rsidRPr="005404C3">
        <w:t xml:space="preserve">(FTE) of all active public service employees </w:t>
      </w:r>
      <w:r w:rsidR="00DA4493">
        <w:t>at SV</w:t>
      </w:r>
      <w:r w:rsidR="009C4A23" w:rsidRPr="005404C3">
        <w:t>, employed in the last full pay period in June of the current reporting period, and in the last full pay period in June of th</w:t>
      </w:r>
      <w:r w:rsidR="009C4A23" w:rsidRPr="00AF6B06">
        <w:rPr>
          <w:szCs w:val="19"/>
        </w:rPr>
        <w:t xml:space="preserve">e previous </w:t>
      </w:r>
      <w:r w:rsidR="009C4A23" w:rsidRPr="008C258D">
        <w:rPr>
          <w:szCs w:val="19"/>
        </w:rPr>
        <w:t>reporting period (201</w:t>
      </w:r>
      <w:r w:rsidR="00DD086B" w:rsidRPr="008C258D">
        <w:rPr>
          <w:szCs w:val="19"/>
        </w:rPr>
        <w:t>9</w:t>
      </w:r>
      <w:r w:rsidR="009C4A23" w:rsidRPr="008C258D">
        <w:rPr>
          <w:szCs w:val="19"/>
        </w:rPr>
        <w:t>).</w:t>
      </w:r>
    </w:p>
    <w:p w14:paraId="043DB773" w14:textId="77777777" w:rsidR="00CF3851" w:rsidRDefault="00CF3851" w:rsidP="00F51716">
      <w:pPr>
        <w:rPr>
          <w:szCs w:val="19"/>
          <w:highlight w:val="yellow"/>
        </w:rPr>
      </w:pPr>
    </w:p>
    <w:p w14:paraId="548A5033" w14:textId="7290C278" w:rsidR="009244B2" w:rsidRDefault="009244B2" w:rsidP="00F51716">
      <w:pPr>
        <w:pStyle w:val="Caption"/>
        <w:rPr>
          <w:szCs w:val="19"/>
          <w:highlight w:val="yellow"/>
        </w:rPr>
      </w:pPr>
      <w:bookmarkStart w:id="81" w:name="_Ref57476715"/>
      <w:r>
        <w:t xml:space="preserve">Table </w:t>
      </w:r>
      <w:fldSimple w:instr=" SEQ Table \* ARABIC ">
        <w:r w:rsidR="003F15CC">
          <w:rPr>
            <w:noProof/>
          </w:rPr>
          <w:t>27</w:t>
        </w:r>
      </w:fldSimple>
      <w:bookmarkEnd w:id="81"/>
      <w:r>
        <w:t xml:space="preserve">: </w:t>
      </w:r>
      <w:r w:rsidRPr="009244B2">
        <w:t>Details of employment levels in June 201</w:t>
      </w:r>
      <w:r>
        <w:t>9</w:t>
      </w:r>
      <w:r w:rsidRPr="009244B2">
        <w:t xml:space="preserve"> and 20</w:t>
      </w:r>
      <w:r>
        <w:t>20</w:t>
      </w:r>
    </w:p>
    <w:tbl>
      <w:tblPr>
        <w:tblStyle w:val="TableGrid"/>
        <w:tblW w:w="11908" w:type="dxa"/>
        <w:tblInd w:w="-431" w:type="dxa"/>
        <w:tblLook w:val="04A0" w:firstRow="1" w:lastRow="0" w:firstColumn="1" w:lastColumn="0" w:noHBand="0" w:noVBand="1"/>
      </w:tblPr>
      <w:tblGrid>
        <w:gridCol w:w="1547"/>
        <w:gridCol w:w="784"/>
        <w:gridCol w:w="782"/>
        <w:gridCol w:w="707"/>
        <w:gridCol w:w="708"/>
        <w:gridCol w:w="713"/>
        <w:gridCol w:w="736"/>
        <w:gridCol w:w="730"/>
        <w:gridCol w:w="726"/>
        <w:gridCol w:w="782"/>
        <w:gridCol w:w="12"/>
        <w:gridCol w:w="713"/>
        <w:gridCol w:w="725"/>
        <w:gridCol w:w="730"/>
        <w:gridCol w:w="726"/>
        <w:gridCol w:w="787"/>
      </w:tblGrid>
      <w:tr w:rsidR="009244B2" w:rsidRPr="009244B2" w14:paraId="32A2739A" w14:textId="5A95CEED" w:rsidTr="009244B2">
        <w:tc>
          <w:tcPr>
            <w:tcW w:w="1557" w:type="dxa"/>
            <w:shd w:val="clear" w:color="auto" w:fill="7EB93D" w:themeFill="accent5" w:themeFillShade="BF"/>
          </w:tcPr>
          <w:p w14:paraId="3717AF20" w14:textId="77777777" w:rsidR="009244B2" w:rsidRPr="009244B2" w:rsidRDefault="009244B2" w:rsidP="00F51716">
            <w:pPr>
              <w:pStyle w:val="Tabletext0"/>
            </w:pPr>
          </w:p>
        </w:tc>
        <w:tc>
          <w:tcPr>
            <w:tcW w:w="5156" w:type="dxa"/>
            <w:gridSpan w:val="7"/>
            <w:shd w:val="clear" w:color="auto" w:fill="7EB93D" w:themeFill="accent5" w:themeFillShade="BF"/>
          </w:tcPr>
          <w:p w14:paraId="31C2B070" w14:textId="667735C8" w:rsidR="009244B2" w:rsidRPr="009244B2" w:rsidRDefault="009244B2" w:rsidP="00F51716">
            <w:pPr>
              <w:pStyle w:val="Tabletext0"/>
            </w:pPr>
            <w:r w:rsidRPr="009244B2">
              <w:t>2019–20</w:t>
            </w:r>
          </w:p>
        </w:tc>
        <w:tc>
          <w:tcPr>
            <w:tcW w:w="5195" w:type="dxa"/>
            <w:gridSpan w:val="8"/>
            <w:shd w:val="clear" w:color="auto" w:fill="7EB93D" w:themeFill="accent5" w:themeFillShade="BF"/>
          </w:tcPr>
          <w:p w14:paraId="577E42D7" w14:textId="74D619BF" w:rsidR="009244B2" w:rsidRPr="009244B2" w:rsidRDefault="009244B2" w:rsidP="00F51716">
            <w:pPr>
              <w:pStyle w:val="Tabletext0"/>
            </w:pPr>
            <w:r w:rsidRPr="009244B2">
              <w:t>2018–19</w:t>
            </w:r>
          </w:p>
        </w:tc>
      </w:tr>
      <w:tr w:rsidR="00CC6981" w:rsidRPr="009244B2" w14:paraId="2C9AA3BD" w14:textId="21D7202D" w:rsidTr="009244B2">
        <w:tc>
          <w:tcPr>
            <w:tcW w:w="1557" w:type="dxa"/>
            <w:shd w:val="clear" w:color="auto" w:fill="7EB93D" w:themeFill="accent5" w:themeFillShade="BF"/>
          </w:tcPr>
          <w:p w14:paraId="1D39AE31" w14:textId="77777777" w:rsidR="00CC6981" w:rsidRPr="009244B2" w:rsidRDefault="00CC6981" w:rsidP="00F51716">
            <w:pPr>
              <w:pStyle w:val="Tabletext0"/>
            </w:pPr>
          </w:p>
        </w:tc>
        <w:tc>
          <w:tcPr>
            <w:tcW w:w="1544" w:type="dxa"/>
            <w:gridSpan w:val="2"/>
            <w:shd w:val="clear" w:color="auto" w:fill="7EB93D" w:themeFill="accent5" w:themeFillShade="BF"/>
          </w:tcPr>
          <w:p w14:paraId="495E7D50" w14:textId="38745D2B" w:rsidR="00CC6981" w:rsidRPr="009244B2" w:rsidRDefault="00CC6981" w:rsidP="00F51716">
            <w:pPr>
              <w:pStyle w:val="Tabletext0"/>
            </w:pPr>
            <w:r w:rsidRPr="009244B2">
              <w:t>All employees</w:t>
            </w:r>
          </w:p>
        </w:tc>
        <w:tc>
          <w:tcPr>
            <w:tcW w:w="2139" w:type="dxa"/>
            <w:gridSpan w:val="3"/>
            <w:shd w:val="clear" w:color="auto" w:fill="7EB93D" w:themeFill="accent5" w:themeFillShade="BF"/>
          </w:tcPr>
          <w:p w14:paraId="5302EF52" w14:textId="5221E026" w:rsidR="00CC6981" w:rsidRPr="009244B2" w:rsidRDefault="00CC6981" w:rsidP="00F51716">
            <w:pPr>
              <w:pStyle w:val="Tabletext0"/>
            </w:pPr>
            <w:r w:rsidRPr="009244B2">
              <w:t>Ongoing</w:t>
            </w:r>
          </w:p>
        </w:tc>
        <w:tc>
          <w:tcPr>
            <w:tcW w:w="1473" w:type="dxa"/>
            <w:gridSpan w:val="2"/>
            <w:shd w:val="clear" w:color="auto" w:fill="7EB93D" w:themeFill="accent5" w:themeFillShade="BF"/>
          </w:tcPr>
          <w:p w14:paraId="569297A9" w14:textId="0A5B7B61" w:rsidR="00CC6981" w:rsidRPr="009244B2" w:rsidRDefault="00CC6981" w:rsidP="00F51716">
            <w:pPr>
              <w:pStyle w:val="Tabletext0"/>
            </w:pPr>
            <w:r w:rsidRPr="009244B2">
              <w:t xml:space="preserve">Fixed term and casual </w:t>
            </w:r>
          </w:p>
        </w:tc>
        <w:tc>
          <w:tcPr>
            <w:tcW w:w="1495" w:type="dxa"/>
            <w:gridSpan w:val="3"/>
            <w:shd w:val="clear" w:color="auto" w:fill="7EB93D" w:themeFill="accent5" w:themeFillShade="BF"/>
          </w:tcPr>
          <w:p w14:paraId="54FA31AB" w14:textId="217387E5" w:rsidR="00CC6981" w:rsidRPr="009244B2" w:rsidRDefault="00CC6981" w:rsidP="00F51716">
            <w:pPr>
              <w:pStyle w:val="Tabletext0"/>
            </w:pPr>
            <w:r w:rsidRPr="009244B2">
              <w:t>All employees</w:t>
            </w:r>
          </w:p>
        </w:tc>
        <w:tc>
          <w:tcPr>
            <w:tcW w:w="2179" w:type="dxa"/>
            <w:gridSpan w:val="3"/>
            <w:shd w:val="clear" w:color="auto" w:fill="7EB93D" w:themeFill="accent5" w:themeFillShade="BF"/>
          </w:tcPr>
          <w:p w14:paraId="333D8A92" w14:textId="41A3CC01" w:rsidR="00CC6981" w:rsidRPr="009244B2" w:rsidRDefault="00CC6981" w:rsidP="00F51716">
            <w:pPr>
              <w:pStyle w:val="Tabletext0"/>
            </w:pPr>
            <w:r w:rsidRPr="009244B2">
              <w:t>Ongoing</w:t>
            </w:r>
          </w:p>
        </w:tc>
        <w:tc>
          <w:tcPr>
            <w:tcW w:w="1521" w:type="dxa"/>
            <w:gridSpan w:val="2"/>
            <w:shd w:val="clear" w:color="auto" w:fill="7EB93D" w:themeFill="accent5" w:themeFillShade="BF"/>
          </w:tcPr>
          <w:p w14:paraId="10247C96" w14:textId="7298F1B5" w:rsidR="00CC6981" w:rsidRPr="009244B2" w:rsidRDefault="00CC6981" w:rsidP="00F51716">
            <w:pPr>
              <w:pStyle w:val="Tabletext0"/>
            </w:pPr>
            <w:r w:rsidRPr="009244B2">
              <w:t xml:space="preserve">Fixed term and casual </w:t>
            </w:r>
          </w:p>
        </w:tc>
      </w:tr>
      <w:tr w:rsidR="006344AF" w:rsidRPr="009244B2" w14:paraId="5EC3BFAF" w14:textId="58611FAF" w:rsidTr="009244B2">
        <w:trPr>
          <w:cantSplit/>
          <w:trHeight w:val="1134"/>
        </w:trPr>
        <w:tc>
          <w:tcPr>
            <w:tcW w:w="1557" w:type="dxa"/>
            <w:shd w:val="clear" w:color="auto" w:fill="7EB93D" w:themeFill="accent5" w:themeFillShade="BF"/>
          </w:tcPr>
          <w:p w14:paraId="43885B8F" w14:textId="77777777" w:rsidR="00CC6981" w:rsidRPr="009244B2" w:rsidRDefault="00CC6981" w:rsidP="00F51716">
            <w:pPr>
              <w:pStyle w:val="Tabletext0"/>
            </w:pPr>
          </w:p>
        </w:tc>
        <w:tc>
          <w:tcPr>
            <w:tcW w:w="790" w:type="dxa"/>
            <w:shd w:val="clear" w:color="auto" w:fill="7EB93D" w:themeFill="accent5" w:themeFillShade="BF"/>
            <w:textDirection w:val="btLr"/>
          </w:tcPr>
          <w:p w14:paraId="612D44E1" w14:textId="36C22ADB" w:rsidR="00CC6981" w:rsidRPr="009244B2" w:rsidRDefault="00CC6981" w:rsidP="00F51716">
            <w:pPr>
              <w:pStyle w:val="Tabletext0"/>
            </w:pPr>
            <w:r w:rsidRPr="009244B2">
              <w:t>No. (headcount)</w:t>
            </w:r>
          </w:p>
        </w:tc>
        <w:tc>
          <w:tcPr>
            <w:tcW w:w="754" w:type="dxa"/>
            <w:shd w:val="clear" w:color="auto" w:fill="7EB93D" w:themeFill="accent5" w:themeFillShade="BF"/>
            <w:textDirection w:val="btLr"/>
          </w:tcPr>
          <w:p w14:paraId="20B853F7" w14:textId="51F2D33F" w:rsidR="00CC6981" w:rsidRPr="009244B2" w:rsidRDefault="00CC6981" w:rsidP="00F51716">
            <w:pPr>
              <w:pStyle w:val="Tabletext0"/>
            </w:pPr>
            <w:r w:rsidRPr="009244B2">
              <w:t>FTE</w:t>
            </w:r>
          </w:p>
        </w:tc>
        <w:tc>
          <w:tcPr>
            <w:tcW w:w="712" w:type="dxa"/>
            <w:shd w:val="clear" w:color="auto" w:fill="7EB93D" w:themeFill="accent5" w:themeFillShade="BF"/>
            <w:textDirection w:val="btLr"/>
          </w:tcPr>
          <w:p w14:paraId="5A79F79B" w14:textId="263BB16B" w:rsidR="00CC6981" w:rsidRPr="009244B2" w:rsidRDefault="00CC6981" w:rsidP="00F51716">
            <w:pPr>
              <w:pStyle w:val="Tabletext0"/>
            </w:pPr>
            <w:r w:rsidRPr="009244B2">
              <w:t>Full-time (headcount)</w:t>
            </w:r>
          </w:p>
        </w:tc>
        <w:tc>
          <w:tcPr>
            <w:tcW w:w="713" w:type="dxa"/>
            <w:shd w:val="clear" w:color="auto" w:fill="7EB93D" w:themeFill="accent5" w:themeFillShade="BF"/>
            <w:textDirection w:val="btLr"/>
          </w:tcPr>
          <w:p w14:paraId="141CDD16" w14:textId="77F646C9" w:rsidR="00CC6981" w:rsidRPr="009244B2" w:rsidRDefault="00CC6981" w:rsidP="00F51716">
            <w:pPr>
              <w:pStyle w:val="Tabletext0"/>
            </w:pPr>
            <w:r w:rsidRPr="009244B2">
              <w:t>Part-time (headcount)</w:t>
            </w:r>
          </w:p>
        </w:tc>
        <w:tc>
          <w:tcPr>
            <w:tcW w:w="714" w:type="dxa"/>
            <w:shd w:val="clear" w:color="auto" w:fill="7EB93D" w:themeFill="accent5" w:themeFillShade="BF"/>
            <w:textDirection w:val="btLr"/>
          </w:tcPr>
          <w:p w14:paraId="325A5E6C" w14:textId="6D47C090" w:rsidR="00CC6981" w:rsidRPr="009244B2" w:rsidRDefault="00CC6981" w:rsidP="00F51716">
            <w:pPr>
              <w:pStyle w:val="Tabletext0"/>
            </w:pPr>
            <w:r w:rsidRPr="009244B2">
              <w:t>FTE</w:t>
            </w:r>
          </w:p>
        </w:tc>
        <w:tc>
          <w:tcPr>
            <w:tcW w:w="742" w:type="dxa"/>
            <w:shd w:val="clear" w:color="auto" w:fill="7EB93D" w:themeFill="accent5" w:themeFillShade="BF"/>
            <w:textDirection w:val="btLr"/>
          </w:tcPr>
          <w:p w14:paraId="4FE52F5F" w14:textId="7D825427" w:rsidR="00CC6981" w:rsidRPr="009244B2" w:rsidRDefault="00CC6981" w:rsidP="00F51716">
            <w:pPr>
              <w:pStyle w:val="Tabletext0"/>
            </w:pPr>
            <w:r w:rsidRPr="009244B2">
              <w:t>No. (headcount)</w:t>
            </w:r>
          </w:p>
        </w:tc>
        <w:tc>
          <w:tcPr>
            <w:tcW w:w="731" w:type="dxa"/>
            <w:shd w:val="clear" w:color="auto" w:fill="7EB93D" w:themeFill="accent5" w:themeFillShade="BF"/>
            <w:textDirection w:val="btLr"/>
          </w:tcPr>
          <w:p w14:paraId="26573D0F" w14:textId="63DF3881" w:rsidR="00CC6981" w:rsidRPr="009244B2" w:rsidRDefault="00CC6981" w:rsidP="00F51716">
            <w:pPr>
              <w:pStyle w:val="Tabletext0"/>
            </w:pPr>
            <w:r w:rsidRPr="009244B2">
              <w:t>FTE</w:t>
            </w:r>
          </w:p>
        </w:tc>
        <w:tc>
          <w:tcPr>
            <w:tcW w:w="731" w:type="dxa"/>
            <w:shd w:val="clear" w:color="auto" w:fill="7EB93D" w:themeFill="accent5" w:themeFillShade="BF"/>
            <w:textDirection w:val="btLr"/>
          </w:tcPr>
          <w:p w14:paraId="21096C5F" w14:textId="030D1EBA" w:rsidR="00CC6981" w:rsidRPr="009244B2" w:rsidRDefault="00CC6981" w:rsidP="00F51716">
            <w:pPr>
              <w:pStyle w:val="Tabletext0"/>
            </w:pPr>
            <w:r w:rsidRPr="009244B2">
              <w:t>No. (headcount)</w:t>
            </w:r>
          </w:p>
        </w:tc>
        <w:tc>
          <w:tcPr>
            <w:tcW w:w="752" w:type="dxa"/>
            <w:shd w:val="clear" w:color="auto" w:fill="7EB93D" w:themeFill="accent5" w:themeFillShade="BF"/>
            <w:textDirection w:val="btLr"/>
          </w:tcPr>
          <w:p w14:paraId="018F2C4B" w14:textId="2960650B" w:rsidR="00CC6981" w:rsidRPr="009244B2" w:rsidRDefault="00CC6981" w:rsidP="00F51716">
            <w:pPr>
              <w:pStyle w:val="Tabletext0"/>
            </w:pPr>
            <w:r w:rsidRPr="009244B2">
              <w:t>FTE</w:t>
            </w:r>
          </w:p>
        </w:tc>
        <w:tc>
          <w:tcPr>
            <w:tcW w:w="730" w:type="dxa"/>
            <w:gridSpan w:val="2"/>
            <w:shd w:val="clear" w:color="auto" w:fill="7EB93D" w:themeFill="accent5" w:themeFillShade="BF"/>
            <w:textDirection w:val="btLr"/>
          </w:tcPr>
          <w:p w14:paraId="6CA2DA10" w14:textId="72111590" w:rsidR="00CC6981" w:rsidRPr="009244B2" w:rsidRDefault="00CC6981" w:rsidP="00F51716">
            <w:pPr>
              <w:pStyle w:val="Tabletext0"/>
            </w:pPr>
            <w:r w:rsidRPr="009244B2">
              <w:t>Full-time (headcount)</w:t>
            </w:r>
          </w:p>
        </w:tc>
        <w:tc>
          <w:tcPr>
            <w:tcW w:w="730" w:type="dxa"/>
            <w:shd w:val="clear" w:color="auto" w:fill="7EB93D" w:themeFill="accent5" w:themeFillShade="BF"/>
            <w:textDirection w:val="btLr"/>
          </w:tcPr>
          <w:p w14:paraId="3E948715" w14:textId="1475197F" w:rsidR="00CC6981" w:rsidRPr="009244B2" w:rsidRDefault="00CC6981" w:rsidP="00F51716">
            <w:pPr>
              <w:pStyle w:val="Tabletext0"/>
            </w:pPr>
            <w:r w:rsidRPr="009244B2">
              <w:t>Part-time (headcount)</w:t>
            </w:r>
          </w:p>
        </w:tc>
        <w:tc>
          <w:tcPr>
            <w:tcW w:w="731" w:type="dxa"/>
            <w:shd w:val="clear" w:color="auto" w:fill="7EB93D" w:themeFill="accent5" w:themeFillShade="BF"/>
            <w:textDirection w:val="btLr"/>
          </w:tcPr>
          <w:p w14:paraId="630F0BF7" w14:textId="6B5FCB11" w:rsidR="00CC6981" w:rsidRPr="009244B2" w:rsidRDefault="00CC6981" w:rsidP="00F51716">
            <w:pPr>
              <w:pStyle w:val="Tabletext0"/>
            </w:pPr>
            <w:r w:rsidRPr="009244B2">
              <w:t>FTE</w:t>
            </w:r>
          </w:p>
        </w:tc>
        <w:tc>
          <w:tcPr>
            <w:tcW w:w="731" w:type="dxa"/>
            <w:shd w:val="clear" w:color="auto" w:fill="7EB93D" w:themeFill="accent5" w:themeFillShade="BF"/>
            <w:textDirection w:val="btLr"/>
          </w:tcPr>
          <w:p w14:paraId="534AECAE" w14:textId="54FE3247" w:rsidR="00CC6981" w:rsidRPr="009244B2" w:rsidRDefault="00CC6981" w:rsidP="00F51716">
            <w:pPr>
              <w:pStyle w:val="Tabletext0"/>
            </w:pPr>
            <w:r w:rsidRPr="009244B2">
              <w:t>No. (headcount)</w:t>
            </w:r>
          </w:p>
        </w:tc>
        <w:tc>
          <w:tcPr>
            <w:tcW w:w="790" w:type="dxa"/>
            <w:shd w:val="clear" w:color="auto" w:fill="7EB93D" w:themeFill="accent5" w:themeFillShade="BF"/>
            <w:textDirection w:val="btLr"/>
          </w:tcPr>
          <w:p w14:paraId="7C66A2E7" w14:textId="36DBA53C" w:rsidR="00CC6981" w:rsidRPr="009244B2" w:rsidRDefault="00CC6981" w:rsidP="00F51716">
            <w:pPr>
              <w:pStyle w:val="Tabletext0"/>
            </w:pPr>
            <w:r w:rsidRPr="009244B2">
              <w:t>FTE</w:t>
            </w:r>
          </w:p>
        </w:tc>
      </w:tr>
      <w:tr w:rsidR="009244B2" w:rsidRPr="009244B2" w14:paraId="0D2E28C0" w14:textId="08847401" w:rsidTr="009244B2">
        <w:tc>
          <w:tcPr>
            <w:tcW w:w="11908" w:type="dxa"/>
            <w:gridSpan w:val="16"/>
            <w:shd w:val="clear" w:color="auto" w:fill="D9D9D9" w:themeFill="background2" w:themeFillShade="D9"/>
          </w:tcPr>
          <w:p w14:paraId="5404521F" w14:textId="28663E81" w:rsidR="009244B2" w:rsidRPr="009244B2" w:rsidRDefault="009244B2" w:rsidP="00F51716">
            <w:pPr>
              <w:pStyle w:val="Tabletext0"/>
            </w:pPr>
            <w:r w:rsidRPr="009244B2">
              <w:t>Gender</w:t>
            </w:r>
          </w:p>
        </w:tc>
      </w:tr>
      <w:tr w:rsidR="009244B2" w:rsidRPr="009244B2" w14:paraId="4BA30A11" w14:textId="44CF62CD" w:rsidTr="009244B2">
        <w:tc>
          <w:tcPr>
            <w:tcW w:w="1557" w:type="dxa"/>
          </w:tcPr>
          <w:p w14:paraId="3EDDF982" w14:textId="56129B6B" w:rsidR="009244B2" w:rsidRPr="009244B2" w:rsidRDefault="009244B2" w:rsidP="00F51716">
            <w:pPr>
              <w:pStyle w:val="Tabletext0"/>
            </w:pPr>
            <w:r w:rsidRPr="009244B2">
              <w:t>Women</w:t>
            </w:r>
          </w:p>
        </w:tc>
        <w:tc>
          <w:tcPr>
            <w:tcW w:w="790" w:type="dxa"/>
          </w:tcPr>
          <w:p w14:paraId="64B9CD10" w14:textId="6B000C25" w:rsidR="009244B2" w:rsidRPr="009244B2" w:rsidRDefault="009244B2" w:rsidP="00F51716">
            <w:pPr>
              <w:pStyle w:val="tableright"/>
            </w:pPr>
            <w:r>
              <w:t>101</w:t>
            </w:r>
          </w:p>
        </w:tc>
        <w:tc>
          <w:tcPr>
            <w:tcW w:w="754" w:type="dxa"/>
          </w:tcPr>
          <w:p w14:paraId="46FCBAAD" w14:textId="7BDED07D" w:rsidR="009244B2" w:rsidRPr="009244B2" w:rsidRDefault="009244B2" w:rsidP="00F51716">
            <w:pPr>
              <w:pStyle w:val="tableright"/>
            </w:pPr>
            <w:r>
              <w:t>95.51</w:t>
            </w:r>
          </w:p>
        </w:tc>
        <w:tc>
          <w:tcPr>
            <w:tcW w:w="712" w:type="dxa"/>
          </w:tcPr>
          <w:p w14:paraId="68924CD9" w14:textId="2DF13EBA" w:rsidR="009244B2" w:rsidRPr="009244B2" w:rsidRDefault="009244B2" w:rsidP="00F51716">
            <w:pPr>
              <w:pStyle w:val="tableright"/>
            </w:pPr>
            <w:r>
              <w:t>27</w:t>
            </w:r>
          </w:p>
        </w:tc>
        <w:tc>
          <w:tcPr>
            <w:tcW w:w="713" w:type="dxa"/>
          </w:tcPr>
          <w:p w14:paraId="4F9AFE0B" w14:textId="1B002E07" w:rsidR="009244B2" w:rsidRPr="009244B2" w:rsidRDefault="009244B2" w:rsidP="00F51716">
            <w:pPr>
              <w:pStyle w:val="tableright"/>
            </w:pPr>
            <w:r>
              <w:t>12</w:t>
            </w:r>
          </w:p>
        </w:tc>
        <w:tc>
          <w:tcPr>
            <w:tcW w:w="714" w:type="dxa"/>
          </w:tcPr>
          <w:p w14:paraId="0810C457" w14:textId="70F28ED1" w:rsidR="009244B2" w:rsidRPr="009244B2" w:rsidRDefault="009244B2" w:rsidP="00F51716">
            <w:pPr>
              <w:pStyle w:val="tableright"/>
            </w:pPr>
            <w:r>
              <w:t>35.25</w:t>
            </w:r>
          </w:p>
        </w:tc>
        <w:tc>
          <w:tcPr>
            <w:tcW w:w="742" w:type="dxa"/>
          </w:tcPr>
          <w:p w14:paraId="0648F701" w14:textId="245DE4AF" w:rsidR="009244B2" w:rsidRPr="009244B2" w:rsidRDefault="009244B2" w:rsidP="00F51716">
            <w:pPr>
              <w:pStyle w:val="tableright"/>
            </w:pPr>
            <w:r>
              <w:t>62</w:t>
            </w:r>
          </w:p>
        </w:tc>
        <w:tc>
          <w:tcPr>
            <w:tcW w:w="731" w:type="dxa"/>
          </w:tcPr>
          <w:p w14:paraId="38389A16" w14:textId="411AD1AF" w:rsidR="009244B2" w:rsidRPr="009244B2" w:rsidRDefault="009244B2" w:rsidP="00F51716">
            <w:pPr>
              <w:pStyle w:val="tableright"/>
            </w:pPr>
            <w:r>
              <w:t>60.25</w:t>
            </w:r>
          </w:p>
        </w:tc>
        <w:tc>
          <w:tcPr>
            <w:tcW w:w="731" w:type="dxa"/>
          </w:tcPr>
          <w:p w14:paraId="630E2FC2" w14:textId="3CEB04AF" w:rsidR="009244B2" w:rsidRPr="009244B2" w:rsidRDefault="009244B2" w:rsidP="00F51716">
            <w:pPr>
              <w:pStyle w:val="tableright"/>
            </w:pPr>
            <w:r>
              <w:t>112</w:t>
            </w:r>
          </w:p>
        </w:tc>
        <w:tc>
          <w:tcPr>
            <w:tcW w:w="752" w:type="dxa"/>
          </w:tcPr>
          <w:p w14:paraId="324B04C9" w14:textId="1F1F8CCF" w:rsidR="009244B2" w:rsidRPr="009244B2" w:rsidRDefault="009244B2" w:rsidP="00F51716">
            <w:pPr>
              <w:pStyle w:val="tableright"/>
            </w:pPr>
            <w:r>
              <w:t>103.95</w:t>
            </w:r>
          </w:p>
        </w:tc>
        <w:tc>
          <w:tcPr>
            <w:tcW w:w="730" w:type="dxa"/>
            <w:gridSpan w:val="2"/>
          </w:tcPr>
          <w:p w14:paraId="03036EA9" w14:textId="1869B5DF" w:rsidR="009244B2" w:rsidRPr="009244B2" w:rsidRDefault="009244B2" w:rsidP="00F51716">
            <w:pPr>
              <w:pStyle w:val="tableright"/>
            </w:pPr>
            <w:r>
              <w:t>31</w:t>
            </w:r>
          </w:p>
        </w:tc>
        <w:tc>
          <w:tcPr>
            <w:tcW w:w="730" w:type="dxa"/>
          </w:tcPr>
          <w:p w14:paraId="35B9027E" w14:textId="2A72E93B" w:rsidR="009244B2" w:rsidRPr="009244B2" w:rsidRDefault="009244B2" w:rsidP="00F51716">
            <w:pPr>
              <w:pStyle w:val="tableright"/>
            </w:pPr>
            <w:r>
              <w:t>14</w:t>
            </w:r>
          </w:p>
        </w:tc>
        <w:tc>
          <w:tcPr>
            <w:tcW w:w="731" w:type="dxa"/>
          </w:tcPr>
          <w:p w14:paraId="15A15EFD" w14:textId="156A3F46" w:rsidR="009244B2" w:rsidRPr="009244B2" w:rsidRDefault="009244B2" w:rsidP="00F51716">
            <w:pPr>
              <w:pStyle w:val="tableright"/>
            </w:pPr>
            <w:r>
              <w:t>40.35</w:t>
            </w:r>
          </w:p>
        </w:tc>
        <w:tc>
          <w:tcPr>
            <w:tcW w:w="731" w:type="dxa"/>
          </w:tcPr>
          <w:p w14:paraId="6AC5D7C4" w14:textId="280A14CE" w:rsidR="009244B2" w:rsidRPr="009244B2" w:rsidRDefault="009244B2" w:rsidP="00F51716">
            <w:pPr>
              <w:pStyle w:val="tableright"/>
            </w:pPr>
            <w:r>
              <w:t>67</w:t>
            </w:r>
          </w:p>
        </w:tc>
        <w:tc>
          <w:tcPr>
            <w:tcW w:w="790" w:type="dxa"/>
          </w:tcPr>
          <w:p w14:paraId="42F35B76" w14:textId="25CCFB67" w:rsidR="009244B2" w:rsidRPr="009244B2" w:rsidRDefault="009244B2" w:rsidP="00F51716">
            <w:pPr>
              <w:pStyle w:val="tableright"/>
            </w:pPr>
            <w:r>
              <w:t>63.6</w:t>
            </w:r>
          </w:p>
        </w:tc>
      </w:tr>
      <w:tr w:rsidR="009244B2" w:rsidRPr="009244B2" w14:paraId="41DA30BA" w14:textId="0D088F05" w:rsidTr="009244B2">
        <w:tc>
          <w:tcPr>
            <w:tcW w:w="1557" w:type="dxa"/>
          </w:tcPr>
          <w:p w14:paraId="48C616ED" w14:textId="7D5D4DD5" w:rsidR="009244B2" w:rsidRPr="009244B2" w:rsidRDefault="009244B2" w:rsidP="00F51716">
            <w:pPr>
              <w:pStyle w:val="Tabletext0"/>
            </w:pPr>
            <w:r w:rsidRPr="009244B2">
              <w:t>Men</w:t>
            </w:r>
          </w:p>
        </w:tc>
        <w:tc>
          <w:tcPr>
            <w:tcW w:w="790" w:type="dxa"/>
          </w:tcPr>
          <w:p w14:paraId="726A5963" w14:textId="43D56CB8" w:rsidR="009244B2" w:rsidRPr="009244B2" w:rsidRDefault="009244B2" w:rsidP="00F51716">
            <w:pPr>
              <w:pStyle w:val="tableright"/>
            </w:pPr>
            <w:r>
              <w:t>45</w:t>
            </w:r>
          </w:p>
        </w:tc>
        <w:tc>
          <w:tcPr>
            <w:tcW w:w="754" w:type="dxa"/>
          </w:tcPr>
          <w:p w14:paraId="74F41C41" w14:textId="6DB8A190" w:rsidR="009244B2" w:rsidRPr="009244B2" w:rsidRDefault="009244B2" w:rsidP="00F51716">
            <w:pPr>
              <w:pStyle w:val="tableright"/>
            </w:pPr>
            <w:r>
              <w:t>44.2</w:t>
            </w:r>
          </w:p>
        </w:tc>
        <w:tc>
          <w:tcPr>
            <w:tcW w:w="712" w:type="dxa"/>
          </w:tcPr>
          <w:p w14:paraId="53ECDC07" w14:textId="5F1AFF88" w:rsidR="009244B2" w:rsidRPr="009244B2" w:rsidRDefault="009244B2" w:rsidP="00F51716">
            <w:pPr>
              <w:pStyle w:val="tableright"/>
            </w:pPr>
            <w:r>
              <w:t>19</w:t>
            </w:r>
          </w:p>
        </w:tc>
        <w:tc>
          <w:tcPr>
            <w:tcW w:w="713" w:type="dxa"/>
          </w:tcPr>
          <w:p w14:paraId="40C1E078" w14:textId="29C9E5BD" w:rsidR="009244B2" w:rsidRPr="009244B2" w:rsidRDefault="009244B2" w:rsidP="00F51716">
            <w:pPr>
              <w:pStyle w:val="tableright"/>
            </w:pPr>
            <w:r>
              <w:t>2</w:t>
            </w:r>
          </w:p>
        </w:tc>
        <w:tc>
          <w:tcPr>
            <w:tcW w:w="714" w:type="dxa"/>
          </w:tcPr>
          <w:p w14:paraId="68CD32F5" w14:textId="417F5BA0" w:rsidR="009244B2" w:rsidRPr="009244B2" w:rsidRDefault="009244B2" w:rsidP="00F51716">
            <w:pPr>
              <w:pStyle w:val="tableright"/>
            </w:pPr>
            <w:r>
              <w:t>20.6</w:t>
            </w:r>
          </w:p>
        </w:tc>
        <w:tc>
          <w:tcPr>
            <w:tcW w:w="742" w:type="dxa"/>
          </w:tcPr>
          <w:p w14:paraId="2328D944" w14:textId="4DEAEC68" w:rsidR="009244B2" w:rsidRPr="009244B2" w:rsidRDefault="009244B2" w:rsidP="00F51716">
            <w:pPr>
              <w:pStyle w:val="tableright"/>
            </w:pPr>
            <w:r>
              <w:t>24</w:t>
            </w:r>
          </w:p>
        </w:tc>
        <w:tc>
          <w:tcPr>
            <w:tcW w:w="731" w:type="dxa"/>
          </w:tcPr>
          <w:p w14:paraId="7123CDA2" w14:textId="487C1F1B" w:rsidR="009244B2" w:rsidRPr="009244B2" w:rsidRDefault="009244B2" w:rsidP="00F51716">
            <w:pPr>
              <w:pStyle w:val="tableright"/>
            </w:pPr>
            <w:r>
              <w:t>23.6</w:t>
            </w:r>
          </w:p>
        </w:tc>
        <w:tc>
          <w:tcPr>
            <w:tcW w:w="731" w:type="dxa"/>
          </w:tcPr>
          <w:p w14:paraId="1C635B6E" w14:textId="5CC23A08" w:rsidR="009244B2" w:rsidRPr="009244B2" w:rsidRDefault="009244B2" w:rsidP="00F51716">
            <w:pPr>
              <w:pStyle w:val="tableright"/>
            </w:pPr>
            <w:r>
              <w:t>69</w:t>
            </w:r>
          </w:p>
        </w:tc>
        <w:tc>
          <w:tcPr>
            <w:tcW w:w="752" w:type="dxa"/>
          </w:tcPr>
          <w:p w14:paraId="2AB74FAC" w14:textId="22391BFA" w:rsidR="009244B2" w:rsidRPr="009244B2" w:rsidRDefault="009244B2" w:rsidP="00F51716">
            <w:pPr>
              <w:pStyle w:val="tableright"/>
            </w:pPr>
            <w:r>
              <w:t>67.6</w:t>
            </w:r>
          </w:p>
        </w:tc>
        <w:tc>
          <w:tcPr>
            <w:tcW w:w="730" w:type="dxa"/>
            <w:gridSpan w:val="2"/>
          </w:tcPr>
          <w:p w14:paraId="5578429D" w14:textId="03F2FBD9" w:rsidR="009244B2" w:rsidRPr="009244B2" w:rsidRDefault="009244B2" w:rsidP="00F51716">
            <w:pPr>
              <w:pStyle w:val="tableright"/>
            </w:pPr>
            <w:r>
              <w:t>22</w:t>
            </w:r>
          </w:p>
        </w:tc>
        <w:tc>
          <w:tcPr>
            <w:tcW w:w="730" w:type="dxa"/>
          </w:tcPr>
          <w:p w14:paraId="01A065AB" w14:textId="1BB465E3" w:rsidR="009244B2" w:rsidRPr="009244B2" w:rsidRDefault="009244B2" w:rsidP="00F51716">
            <w:pPr>
              <w:pStyle w:val="tableright"/>
            </w:pPr>
            <w:r>
              <w:t>2</w:t>
            </w:r>
          </w:p>
        </w:tc>
        <w:tc>
          <w:tcPr>
            <w:tcW w:w="731" w:type="dxa"/>
          </w:tcPr>
          <w:p w14:paraId="0169026E" w14:textId="72B575D3" w:rsidR="009244B2" w:rsidRPr="009244B2" w:rsidRDefault="009244B2" w:rsidP="00F51716">
            <w:pPr>
              <w:pStyle w:val="tableright"/>
            </w:pPr>
            <w:r>
              <w:t>23.6</w:t>
            </w:r>
          </w:p>
        </w:tc>
        <w:tc>
          <w:tcPr>
            <w:tcW w:w="731" w:type="dxa"/>
          </w:tcPr>
          <w:p w14:paraId="348ED702" w14:textId="367620FB" w:rsidR="009244B2" w:rsidRPr="009244B2" w:rsidRDefault="009244B2" w:rsidP="00F51716">
            <w:pPr>
              <w:pStyle w:val="tableright"/>
            </w:pPr>
            <w:r>
              <w:t>45</w:t>
            </w:r>
          </w:p>
        </w:tc>
        <w:tc>
          <w:tcPr>
            <w:tcW w:w="790" w:type="dxa"/>
          </w:tcPr>
          <w:p w14:paraId="66DB2AAC" w14:textId="6CDC0470" w:rsidR="009244B2" w:rsidRPr="009244B2" w:rsidRDefault="009244B2" w:rsidP="00F51716">
            <w:pPr>
              <w:pStyle w:val="tableright"/>
            </w:pPr>
            <w:r>
              <w:t>44</w:t>
            </w:r>
          </w:p>
        </w:tc>
      </w:tr>
      <w:tr w:rsidR="009244B2" w:rsidRPr="009244B2" w14:paraId="143DB0DF" w14:textId="0100E9DC" w:rsidTr="009244B2">
        <w:tc>
          <w:tcPr>
            <w:tcW w:w="1557" w:type="dxa"/>
          </w:tcPr>
          <w:p w14:paraId="6A8C14E0" w14:textId="301F77ED" w:rsidR="009244B2" w:rsidRPr="009244B2" w:rsidRDefault="009244B2" w:rsidP="00F51716">
            <w:pPr>
              <w:pStyle w:val="Tabletext0"/>
            </w:pPr>
            <w:r w:rsidRPr="009244B2">
              <w:t>Self-described</w:t>
            </w:r>
          </w:p>
        </w:tc>
        <w:tc>
          <w:tcPr>
            <w:tcW w:w="790" w:type="dxa"/>
          </w:tcPr>
          <w:p w14:paraId="1B09D641" w14:textId="4FA332EC" w:rsidR="009244B2" w:rsidRPr="009244B2" w:rsidRDefault="009244B2" w:rsidP="00F51716">
            <w:pPr>
              <w:pStyle w:val="tableright"/>
            </w:pPr>
            <w:r>
              <w:t>1</w:t>
            </w:r>
          </w:p>
        </w:tc>
        <w:tc>
          <w:tcPr>
            <w:tcW w:w="754" w:type="dxa"/>
          </w:tcPr>
          <w:p w14:paraId="636D3F46" w14:textId="42E579DA" w:rsidR="009244B2" w:rsidRPr="009244B2" w:rsidRDefault="009244B2" w:rsidP="00F51716">
            <w:pPr>
              <w:pStyle w:val="tableright"/>
            </w:pPr>
            <w:r>
              <w:t>1</w:t>
            </w:r>
          </w:p>
        </w:tc>
        <w:tc>
          <w:tcPr>
            <w:tcW w:w="712" w:type="dxa"/>
          </w:tcPr>
          <w:p w14:paraId="71213B17" w14:textId="78806C2B" w:rsidR="009244B2" w:rsidRPr="009244B2" w:rsidRDefault="009244B2" w:rsidP="00F51716">
            <w:pPr>
              <w:pStyle w:val="tableright"/>
            </w:pPr>
            <w:r>
              <w:t>1</w:t>
            </w:r>
          </w:p>
        </w:tc>
        <w:tc>
          <w:tcPr>
            <w:tcW w:w="713" w:type="dxa"/>
          </w:tcPr>
          <w:p w14:paraId="22E4D951" w14:textId="71C2B4DD" w:rsidR="009244B2" w:rsidRPr="009244B2" w:rsidRDefault="009244B2" w:rsidP="00F51716">
            <w:pPr>
              <w:pStyle w:val="tableright"/>
            </w:pPr>
            <w:r>
              <w:t>0</w:t>
            </w:r>
          </w:p>
        </w:tc>
        <w:tc>
          <w:tcPr>
            <w:tcW w:w="714" w:type="dxa"/>
          </w:tcPr>
          <w:p w14:paraId="4071CAEC" w14:textId="55A17D3E" w:rsidR="009244B2" w:rsidRPr="009244B2" w:rsidRDefault="009244B2" w:rsidP="00F51716">
            <w:pPr>
              <w:pStyle w:val="tableright"/>
            </w:pPr>
            <w:r>
              <w:t>1</w:t>
            </w:r>
          </w:p>
        </w:tc>
        <w:tc>
          <w:tcPr>
            <w:tcW w:w="742" w:type="dxa"/>
          </w:tcPr>
          <w:p w14:paraId="6882990C" w14:textId="2F4E9036" w:rsidR="009244B2" w:rsidRPr="009244B2" w:rsidRDefault="009244B2" w:rsidP="00F51716">
            <w:pPr>
              <w:pStyle w:val="tableright"/>
            </w:pPr>
            <w:r>
              <w:t>0</w:t>
            </w:r>
          </w:p>
        </w:tc>
        <w:tc>
          <w:tcPr>
            <w:tcW w:w="731" w:type="dxa"/>
          </w:tcPr>
          <w:p w14:paraId="75364EFA" w14:textId="73FF358A" w:rsidR="009244B2" w:rsidRPr="009244B2" w:rsidRDefault="009244B2" w:rsidP="00F51716">
            <w:pPr>
              <w:pStyle w:val="tableright"/>
            </w:pPr>
            <w:r>
              <w:t>0</w:t>
            </w:r>
          </w:p>
        </w:tc>
        <w:tc>
          <w:tcPr>
            <w:tcW w:w="731" w:type="dxa"/>
          </w:tcPr>
          <w:p w14:paraId="1B183ECB" w14:textId="20B5EBBE" w:rsidR="009244B2" w:rsidRPr="009244B2" w:rsidRDefault="009244B2" w:rsidP="00F51716">
            <w:pPr>
              <w:pStyle w:val="tableright"/>
            </w:pPr>
            <w:r>
              <w:t>1</w:t>
            </w:r>
          </w:p>
        </w:tc>
        <w:tc>
          <w:tcPr>
            <w:tcW w:w="752" w:type="dxa"/>
          </w:tcPr>
          <w:p w14:paraId="0C2DA91F" w14:textId="7E218E31" w:rsidR="009244B2" w:rsidRPr="009244B2" w:rsidRDefault="009244B2" w:rsidP="00F51716">
            <w:pPr>
              <w:pStyle w:val="tableright"/>
            </w:pPr>
            <w:r>
              <w:t>1</w:t>
            </w:r>
          </w:p>
        </w:tc>
        <w:tc>
          <w:tcPr>
            <w:tcW w:w="730" w:type="dxa"/>
            <w:gridSpan w:val="2"/>
          </w:tcPr>
          <w:p w14:paraId="4EBDD228" w14:textId="6858FA84" w:rsidR="009244B2" w:rsidRPr="009244B2" w:rsidRDefault="009244B2" w:rsidP="00F51716">
            <w:pPr>
              <w:pStyle w:val="tableright"/>
            </w:pPr>
            <w:r>
              <w:t>1</w:t>
            </w:r>
          </w:p>
        </w:tc>
        <w:tc>
          <w:tcPr>
            <w:tcW w:w="730" w:type="dxa"/>
          </w:tcPr>
          <w:p w14:paraId="63341A17" w14:textId="14213BEB" w:rsidR="009244B2" w:rsidRPr="009244B2" w:rsidRDefault="009244B2" w:rsidP="00F51716">
            <w:pPr>
              <w:pStyle w:val="tableright"/>
            </w:pPr>
            <w:r>
              <w:t> 0</w:t>
            </w:r>
          </w:p>
        </w:tc>
        <w:tc>
          <w:tcPr>
            <w:tcW w:w="731" w:type="dxa"/>
          </w:tcPr>
          <w:p w14:paraId="60D9C683" w14:textId="7311FC23" w:rsidR="009244B2" w:rsidRPr="009244B2" w:rsidRDefault="009244B2" w:rsidP="00F51716">
            <w:pPr>
              <w:pStyle w:val="tableright"/>
            </w:pPr>
            <w:r>
              <w:t>1</w:t>
            </w:r>
          </w:p>
        </w:tc>
        <w:tc>
          <w:tcPr>
            <w:tcW w:w="731" w:type="dxa"/>
          </w:tcPr>
          <w:p w14:paraId="1DA1677C" w14:textId="5A045FD7" w:rsidR="009244B2" w:rsidRPr="009244B2" w:rsidRDefault="009244B2" w:rsidP="00F51716">
            <w:pPr>
              <w:pStyle w:val="tableright"/>
            </w:pPr>
            <w:r>
              <w:t> 0</w:t>
            </w:r>
          </w:p>
        </w:tc>
        <w:tc>
          <w:tcPr>
            <w:tcW w:w="790" w:type="dxa"/>
          </w:tcPr>
          <w:p w14:paraId="540BB5FF" w14:textId="74DDA128" w:rsidR="009244B2" w:rsidRPr="009244B2" w:rsidRDefault="009244B2" w:rsidP="00F51716">
            <w:pPr>
              <w:pStyle w:val="tableright"/>
            </w:pPr>
            <w:r>
              <w:t> 0</w:t>
            </w:r>
          </w:p>
        </w:tc>
      </w:tr>
      <w:tr w:rsidR="009244B2" w:rsidRPr="009244B2" w14:paraId="71F1D496" w14:textId="6051C915" w:rsidTr="009244B2">
        <w:tc>
          <w:tcPr>
            <w:tcW w:w="11908" w:type="dxa"/>
            <w:gridSpan w:val="16"/>
            <w:shd w:val="clear" w:color="auto" w:fill="D9D9D9" w:themeFill="background2" w:themeFillShade="D9"/>
          </w:tcPr>
          <w:p w14:paraId="706F5B06" w14:textId="70B4D9D0" w:rsidR="009244B2" w:rsidRPr="009244B2" w:rsidRDefault="009244B2" w:rsidP="00F51716">
            <w:pPr>
              <w:pStyle w:val="Tabletext0"/>
            </w:pPr>
            <w:r w:rsidRPr="009244B2">
              <w:t>Age</w:t>
            </w:r>
          </w:p>
        </w:tc>
      </w:tr>
      <w:tr w:rsidR="009244B2" w14:paraId="346C005F" w14:textId="77777777" w:rsidTr="009244B2">
        <w:tc>
          <w:tcPr>
            <w:tcW w:w="1557" w:type="dxa"/>
          </w:tcPr>
          <w:p w14:paraId="66395606" w14:textId="6B03A3AC" w:rsidR="009244B2" w:rsidRPr="009244B2" w:rsidRDefault="009244B2" w:rsidP="00F51716">
            <w:pPr>
              <w:pStyle w:val="Tabletext0"/>
            </w:pPr>
            <w:r>
              <w:t>15–24</w:t>
            </w:r>
          </w:p>
        </w:tc>
        <w:tc>
          <w:tcPr>
            <w:tcW w:w="790" w:type="dxa"/>
          </w:tcPr>
          <w:p w14:paraId="40A60776" w14:textId="1A2841D1" w:rsidR="009244B2" w:rsidRPr="009244B2" w:rsidRDefault="009244B2" w:rsidP="00F51716">
            <w:pPr>
              <w:pStyle w:val="tableright"/>
            </w:pPr>
            <w:r>
              <w:t>1</w:t>
            </w:r>
          </w:p>
        </w:tc>
        <w:tc>
          <w:tcPr>
            <w:tcW w:w="754" w:type="dxa"/>
          </w:tcPr>
          <w:p w14:paraId="3C791E32" w14:textId="1571AE8B" w:rsidR="009244B2" w:rsidRPr="009244B2" w:rsidRDefault="009244B2" w:rsidP="00F51716">
            <w:pPr>
              <w:pStyle w:val="tableright"/>
            </w:pPr>
            <w:r>
              <w:t>1</w:t>
            </w:r>
          </w:p>
        </w:tc>
        <w:tc>
          <w:tcPr>
            <w:tcW w:w="712" w:type="dxa"/>
          </w:tcPr>
          <w:p w14:paraId="0D884653" w14:textId="4541C624" w:rsidR="009244B2" w:rsidRPr="009244B2" w:rsidRDefault="009244B2" w:rsidP="00F51716">
            <w:pPr>
              <w:pStyle w:val="tableright"/>
            </w:pPr>
            <w:r>
              <w:t>0</w:t>
            </w:r>
          </w:p>
        </w:tc>
        <w:tc>
          <w:tcPr>
            <w:tcW w:w="713" w:type="dxa"/>
          </w:tcPr>
          <w:p w14:paraId="3FFE8FAE" w14:textId="075B1D09" w:rsidR="009244B2" w:rsidRPr="009244B2" w:rsidRDefault="009244B2" w:rsidP="00F51716">
            <w:pPr>
              <w:pStyle w:val="tableright"/>
            </w:pPr>
            <w:r>
              <w:t>0</w:t>
            </w:r>
          </w:p>
        </w:tc>
        <w:tc>
          <w:tcPr>
            <w:tcW w:w="714" w:type="dxa"/>
          </w:tcPr>
          <w:p w14:paraId="23DAE286" w14:textId="4D75A076" w:rsidR="009244B2" w:rsidRPr="009244B2" w:rsidRDefault="009244B2" w:rsidP="00F51716">
            <w:pPr>
              <w:pStyle w:val="tableright"/>
            </w:pPr>
            <w:r>
              <w:t>0</w:t>
            </w:r>
          </w:p>
        </w:tc>
        <w:tc>
          <w:tcPr>
            <w:tcW w:w="742" w:type="dxa"/>
          </w:tcPr>
          <w:p w14:paraId="1F310021" w14:textId="34999F91" w:rsidR="009244B2" w:rsidRPr="009244B2" w:rsidRDefault="009244B2" w:rsidP="00F51716">
            <w:pPr>
              <w:pStyle w:val="tableright"/>
            </w:pPr>
            <w:r>
              <w:t>1</w:t>
            </w:r>
          </w:p>
        </w:tc>
        <w:tc>
          <w:tcPr>
            <w:tcW w:w="731" w:type="dxa"/>
          </w:tcPr>
          <w:p w14:paraId="35DEB679" w14:textId="048B4935" w:rsidR="009244B2" w:rsidRPr="009244B2" w:rsidRDefault="009244B2" w:rsidP="00F51716">
            <w:pPr>
              <w:pStyle w:val="tableright"/>
            </w:pPr>
            <w:r>
              <w:t>1</w:t>
            </w:r>
          </w:p>
        </w:tc>
        <w:tc>
          <w:tcPr>
            <w:tcW w:w="731" w:type="dxa"/>
          </w:tcPr>
          <w:p w14:paraId="3C0B1A8C" w14:textId="6E842D53" w:rsidR="009244B2" w:rsidRPr="009244B2" w:rsidRDefault="009244B2" w:rsidP="00F51716">
            <w:pPr>
              <w:pStyle w:val="tableright"/>
            </w:pPr>
            <w:r>
              <w:t>0</w:t>
            </w:r>
          </w:p>
        </w:tc>
        <w:tc>
          <w:tcPr>
            <w:tcW w:w="752" w:type="dxa"/>
          </w:tcPr>
          <w:p w14:paraId="1106377E" w14:textId="5FCBB665" w:rsidR="009244B2" w:rsidRPr="009244B2" w:rsidRDefault="009244B2" w:rsidP="00F51716">
            <w:pPr>
              <w:pStyle w:val="tableright"/>
            </w:pPr>
            <w:r>
              <w:t>0</w:t>
            </w:r>
          </w:p>
        </w:tc>
        <w:tc>
          <w:tcPr>
            <w:tcW w:w="730" w:type="dxa"/>
            <w:gridSpan w:val="2"/>
          </w:tcPr>
          <w:p w14:paraId="368B8CF4" w14:textId="25213A9A" w:rsidR="009244B2" w:rsidRPr="009244B2" w:rsidRDefault="009244B2" w:rsidP="00F51716">
            <w:pPr>
              <w:pStyle w:val="tableright"/>
            </w:pPr>
            <w:r>
              <w:t>0</w:t>
            </w:r>
          </w:p>
        </w:tc>
        <w:tc>
          <w:tcPr>
            <w:tcW w:w="730" w:type="dxa"/>
          </w:tcPr>
          <w:p w14:paraId="22AB3E9D" w14:textId="06D1EDBB" w:rsidR="009244B2" w:rsidRPr="009244B2" w:rsidRDefault="009244B2" w:rsidP="00F51716">
            <w:pPr>
              <w:pStyle w:val="tableright"/>
            </w:pPr>
            <w:r>
              <w:t>0</w:t>
            </w:r>
          </w:p>
        </w:tc>
        <w:tc>
          <w:tcPr>
            <w:tcW w:w="731" w:type="dxa"/>
          </w:tcPr>
          <w:p w14:paraId="1E8DDBF0" w14:textId="3E99D2DC" w:rsidR="009244B2" w:rsidRPr="009244B2" w:rsidRDefault="009244B2" w:rsidP="00F51716">
            <w:pPr>
              <w:pStyle w:val="tableright"/>
            </w:pPr>
            <w:r>
              <w:t>0</w:t>
            </w:r>
          </w:p>
        </w:tc>
        <w:tc>
          <w:tcPr>
            <w:tcW w:w="731" w:type="dxa"/>
          </w:tcPr>
          <w:p w14:paraId="433B43EE" w14:textId="2E3B170B" w:rsidR="009244B2" w:rsidRPr="009244B2" w:rsidRDefault="009244B2" w:rsidP="00F51716">
            <w:pPr>
              <w:pStyle w:val="tableright"/>
            </w:pPr>
            <w:r>
              <w:t>0</w:t>
            </w:r>
          </w:p>
        </w:tc>
        <w:tc>
          <w:tcPr>
            <w:tcW w:w="790" w:type="dxa"/>
          </w:tcPr>
          <w:p w14:paraId="53A9CEB6" w14:textId="2BEFC1A9" w:rsidR="009244B2" w:rsidRPr="009244B2" w:rsidRDefault="009244B2" w:rsidP="00F51716">
            <w:pPr>
              <w:pStyle w:val="tableright"/>
            </w:pPr>
            <w:r>
              <w:t>0</w:t>
            </w:r>
          </w:p>
        </w:tc>
      </w:tr>
      <w:tr w:rsidR="009244B2" w14:paraId="4068E566" w14:textId="77777777" w:rsidTr="009244B2">
        <w:tc>
          <w:tcPr>
            <w:tcW w:w="1557" w:type="dxa"/>
          </w:tcPr>
          <w:p w14:paraId="04C46719" w14:textId="24C86DF0" w:rsidR="009244B2" w:rsidRPr="009244B2" w:rsidRDefault="009244B2" w:rsidP="00F51716">
            <w:pPr>
              <w:pStyle w:val="Tabletext0"/>
            </w:pPr>
            <w:r>
              <w:t>25–34</w:t>
            </w:r>
          </w:p>
        </w:tc>
        <w:tc>
          <w:tcPr>
            <w:tcW w:w="790" w:type="dxa"/>
          </w:tcPr>
          <w:p w14:paraId="7DB3E905" w14:textId="27E540DF" w:rsidR="009244B2" w:rsidRPr="009244B2" w:rsidRDefault="009244B2" w:rsidP="00F51716">
            <w:pPr>
              <w:pStyle w:val="tableright"/>
            </w:pPr>
            <w:r>
              <w:t>37</w:t>
            </w:r>
          </w:p>
        </w:tc>
        <w:tc>
          <w:tcPr>
            <w:tcW w:w="754" w:type="dxa"/>
          </w:tcPr>
          <w:p w14:paraId="79FF54D5" w14:textId="20F661A3" w:rsidR="009244B2" w:rsidRPr="009244B2" w:rsidRDefault="009244B2" w:rsidP="00F51716">
            <w:pPr>
              <w:pStyle w:val="tableright"/>
            </w:pPr>
            <w:r>
              <w:t>36.4</w:t>
            </w:r>
          </w:p>
        </w:tc>
        <w:tc>
          <w:tcPr>
            <w:tcW w:w="712" w:type="dxa"/>
          </w:tcPr>
          <w:p w14:paraId="53665E7F" w14:textId="270C6DA7" w:rsidR="009244B2" w:rsidRPr="009244B2" w:rsidRDefault="009244B2" w:rsidP="00F51716">
            <w:pPr>
              <w:pStyle w:val="tableright"/>
            </w:pPr>
            <w:r>
              <w:t>7</w:t>
            </w:r>
          </w:p>
        </w:tc>
        <w:tc>
          <w:tcPr>
            <w:tcW w:w="713" w:type="dxa"/>
          </w:tcPr>
          <w:p w14:paraId="1944165D" w14:textId="22D7656E" w:rsidR="009244B2" w:rsidRPr="009244B2" w:rsidRDefault="009244B2" w:rsidP="00F51716">
            <w:pPr>
              <w:pStyle w:val="tableright"/>
            </w:pPr>
            <w:r>
              <w:t>0</w:t>
            </w:r>
          </w:p>
        </w:tc>
        <w:tc>
          <w:tcPr>
            <w:tcW w:w="714" w:type="dxa"/>
          </w:tcPr>
          <w:p w14:paraId="641ABAA9" w14:textId="3C5AE48F" w:rsidR="009244B2" w:rsidRPr="009244B2" w:rsidRDefault="009244B2" w:rsidP="00F51716">
            <w:pPr>
              <w:pStyle w:val="tableright"/>
            </w:pPr>
            <w:r>
              <w:t>7</w:t>
            </w:r>
          </w:p>
        </w:tc>
        <w:tc>
          <w:tcPr>
            <w:tcW w:w="742" w:type="dxa"/>
          </w:tcPr>
          <w:p w14:paraId="7077CD2B" w14:textId="05FF1340" w:rsidR="009244B2" w:rsidRPr="009244B2" w:rsidRDefault="009244B2" w:rsidP="00F51716">
            <w:pPr>
              <w:pStyle w:val="tableright"/>
            </w:pPr>
            <w:r>
              <w:t>30</w:t>
            </w:r>
          </w:p>
        </w:tc>
        <w:tc>
          <w:tcPr>
            <w:tcW w:w="731" w:type="dxa"/>
          </w:tcPr>
          <w:p w14:paraId="3F06DA6A" w14:textId="259234CD" w:rsidR="009244B2" w:rsidRPr="009244B2" w:rsidRDefault="009244B2" w:rsidP="00F51716">
            <w:pPr>
              <w:pStyle w:val="tableright"/>
            </w:pPr>
            <w:r>
              <w:t>29.5</w:t>
            </w:r>
          </w:p>
        </w:tc>
        <w:tc>
          <w:tcPr>
            <w:tcW w:w="731" w:type="dxa"/>
          </w:tcPr>
          <w:p w14:paraId="04F5EEA7" w14:textId="750058F0" w:rsidR="009244B2" w:rsidRPr="009244B2" w:rsidRDefault="009244B2" w:rsidP="00F51716">
            <w:pPr>
              <w:pStyle w:val="tableright"/>
            </w:pPr>
            <w:r>
              <w:t>44</w:t>
            </w:r>
          </w:p>
        </w:tc>
        <w:tc>
          <w:tcPr>
            <w:tcW w:w="752" w:type="dxa"/>
          </w:tcPr>
          <w:p w14:paraId="69D11D7C" w14:textId="2960DF6F" w:rsidR="009244B2" w:rsidRPr="009244B2" w:rsidRDefault="009244B2" w:rsidP="00F51716">
            <w:pPr>
              <w:pStyle w:val="tableright"/>
            </w:pPr>
            <w:r>
              <w:t>43.2</w:t>
            </w:r>
          </w:p>
        </w:tc>
        <w:tc>
          <w:tcPr>
            <w:tcW w:w="730" w:type="dxa"/>
            <w:gridSpan w:val="2"/>
          </w:tcPr>
          <w:p w14:paraId="16650D51" w14:textId="04685CB3" w:rsidR="009244B2" w:rsidRPr="009244B2" w:rsidRDefault="009244B2" w:rsidP="00F51716">
            <w:pPr>
              <w:pStyle w:val="tableright"/>
            </w:pPr>
            <w:r>
              <w:t>9</w:t>
            </w:r>
          </w:p>
        </w:tc>
        <w:tc>
          <w:tcPr>
            <w:tcW w:w="730" w:type="dxa"/>
          </w:tcPr>
          <w:p w14:paraId="3DBCAC26" w14:textId="32B8FB6C" w:rsidR="009244B2" w:rsidRPr="009244B2" w:rsidRDefault="009244B2" w:rsidP="00F51716">
            <w:pPr>
              <w:pStyle w:val="tableright"/>
            </w:pPr>
            <w:r>
              <w:t>2</w:t>
            </w:r>
          </w:p>
        </w:tc>
        <w:tc>
          <w:tcPr>
            <w:tcW w:w="731" w:type="dxa"/>
          </w:tcPr>
          <w:p w14:paraId="0A2511D6" w14:textId="7D922124" w:rsidR="009244B2" w:rsidRPr="009244B2" w:rsidRDefault="009244B2" w:rsidP="00F51716">
            <w:pPr>
              <w:pStyle w:val="tableright"/>
            </w:pPr>
            <w:r>
              <w:t>10.4</w:t>
            </w:r>
          </w:p>
        </w:tc>
        <w:tc>
          <w:tcPr>
            <w:tcW w:w="731" w:type="dxa"/>
          </w:tcPr>
          <w:p w14:paraId="4B2A0506" w14:textId="6A0E6A25" w:rsidR="009244B2" w:rsidRPr="009244B2" w:rsidRDefault="009244B2" w:rsidP="00F51716">
            <w:pPr>
              <w:pStyle w:val="tableright"/>
            </w:pPr>
            <w:r>
              <w:t>33</w:t>
            </w:r>
          </w:p>
        </w:tc>
        <w:tc>
          <w:tcPr>
            <w:tcW w:w="790" w:type="dxa"/>
          </w:tcPr>
          <w:p w14:paraId="260F9F8F" w14:textId="460B0840" w:rsidR="009244B2" w:rsidRPr="009244B2" w:rsidRDefault="009244B2" w:rsidP="00F51716">
            <w:pPr>
              <w:pStyle w:val="tableright"/>
            </w:pPr>
            <w:r>
              <w:t>32.8</w:t>
            </w:r>
          </w:p>
        </w:tc>
      </w:tr>
      <w:tr w:rsidR="009244B2" w14:paraId="28B60068" w14:textId="77777777" w:rsidTr="009244B2">
        <w:tc>
          <w:tcPr>
            <w:tcW w:w="1557" w:type="dxa"/>
          </w:tcPr>
          <w:p w14:paraId="6151A096" w14:textId="47B796FC" w:rsidR="009244B2" w:rsidRPr="009244B2" w:rsidRDefault="009244B2" w:rsidP="00F51716">
            <w:pPr>
              <w:pStyle w:val="Tabletext0"/>
            </w:pPr>
            <w:r>
              <w:t>34–44</w:t>
            </w:r>
          </w:p>
        </w:tc>
        <w:tc>
          <w:tcPr>
            <w:tcW w:w="790" w:type="dxa"/>
          </w:tcPr>
          <w:p w14:paraId="138A8C63" w14:textId="29C544DC" w:rsidR="009244B2" w:rsidRPr="009244B2" w:rsidRDefault="009244B2" w:rsidP="00F51716">
            <w:pPr>
              <w:pStyle w:val="tableright"/>
            </w:pPr>
            <w:r>
              <w:t>50</w:t>
            </w:r>
          </w:p>
        </w:tc>
        <w:tc>
          <w:tcPr>
            <w:tcW w:w="754" w:type="dxa"/>
          </w:tcPr>
          <w:p w14:paraId="4538690A" w14:textId="0FEF62FF" w:rsidR="009244B2" w:rsidRPr="009244B2" w:rsidRDefault="009244B2" w:rsidP="00F51716">
            <w:pPr>
              <w:pStyle w:val="tableright"/>
            </w:pPr>
            <w:r>
              <w:t>47</w:t>
            </w:r>
          </w:p>
        </w:tc>
        <w:tc>
          <w:tcPr>
            <w:tcW w:w="712" w:type="dxa"/>
          </w:tcPr>
          <w:p w14:paraId="20226B84" w14:textId="6DB59784" w:rsidR="009244B2" w:rsidRPr="009244B2" w:rsidRDefault="009244B2" w:rsidP="00F51716">
            <w:pPr>
              <w:pStyle w:val="tableright"/>
            </w:pPr>
            <w:r>
              <w:t>12</w:t>
            </w:r>
          </w:p>
        </w:tc>
        <w:tc>
          <w:tcPr>
            <w:tcW w:w="713" w:type="dxa"/>
          </w:tcPr>
          <w:p w14:paraId="63837A59" w14:textId="6A829CB6" w:rsidR="009244B2" w:rsidRPr="009244B2" w:rsidRDefault="009244B2" w:rsidP="00F51716">
            <w:pPr>
              <w:pStyle w:val="tableright"/>
            </w:pPr>
            <w:r>
              <w:t>7</w:t>
            </w:r>
          </w:p>
        </w:tc>
        <w:tc>
          <w:tcPr>
            <w:tcW w:w="714" w:type="dxa"/>
          </w:tcPr>
          <w:p w14:paraId="45F9888A" w14:textId="2FC2D267" w:rsidR="009244B2" w:rsidRPr="009244B2" w:rsidRDefault="009244B2" w:rsidP="00F51716">
            <w:pPr>
              <w:pStyle w:val="tableright"/>
            </w:pPr>
            <w:r>
              <w:t>17</w:t>
            </w:r>
          </w:p>
        </w:tc>
        <w:tc>
          <w:tcPr>
            <w:tcW w:w="742" w:type="dxa"/>
          </w:tcPr>
          <w:p w14:paraId="10F7F8AB" w14:textId="600E7C8D" w:rsidR="009244B2" w:rsidRPr="009244B2" w:rsidRDefault="009244B2" w:rsidP="00F51716">
            <w:pPr>
              <w:pStyle w:val="tableright"/>
            </w:pPr>
            <w:r>
              <w:t>31</w:t>
            </w:r>
          </w:p>
        </w:tc>
        <w:tc>
          <w:tcPr>
            <w:tcW w:w="731" w:type="dxa"/>
          </w:tcPr>
          <w:p w14:paraId="140B6621" w14:textId="26CD23D6" w:rsidR="009244B2" w:rsidRPr="009244B2" w:rsidRDefault="009244B2" w:rsidP="00F51716">
            <w:pPr>
              <w:pStyle w:val="tableright"/>
            </w:pPr>
            <w:r>
              <w:t>30</w:t>
            </w:r>
          </w:p>
        </w:tc>
        <w:tc>
          <w:tcPr>
            <w:tcW w:w="731" w:type="dxa"/>
          </w:tcPr>
          <w:p w14:paraId="1459C7B3" w14:textId="26E490D3" w:rsidR="009244B2" w:rsidRPr="009244B2" w:rsidRDefault="009244B2" w:rsidP="00F51716">
            <w:pPr>
              <w:pStyle w:val="tableright"/>
            </w:pPr>
            <w:r>
              <w:t>74</w:t>
            </w:r>
          </w:p>
        </w:tc>
        <w:tc>
          <w:tcPr>
            <w:tcW w:w="752" w:type="dxa"/>
          </w:tcPr>
          <w:p w14:paraId="534ECAFC" w14:textId="2994BE74" w:rsidR="009244B2" w:rsidRPr="009244B2" w:rsidRDefault="009244B2" w:rsidP="00F51716">
            <w:pPr>
              <w:pStyle w:val="tableright"/>
            </w:pPr>
            <w:r>
              <w:t>68.42</w:t>
            </w:r>
          </w:p>
        </w:tc>
        <w:tc>
          <w:tcPr>
            <w:tcW w:w="730" w:type="dxa"/>
            <w:gridSpan w:val="2"/>
          </w:tcPr>
          <w:p w14:paraId="10CDFECA" w14:textId="4A5B2CC6" w:rsidR="009244B2" w:rsidRPr="009244B2" w:rsidRDefault="009244B2" w:rsidP="00F51716">
            <w:pPr>
              <w:pStyle w:val="tableright"/>
            </w:pPr>
            <w:r>
              <w:t>18</w:t>
            </w:r>
          </w:p>
        </w:tc>
        <w:tc>
          <w:tcPr>
            <w:tcW w:w="730" w:type="dxa"/>
          </w:tcPr>
          <w:p w14:paraId="49B44BAC" w14:textId="26D19075" w:rsidR="009244B2" w:rsidRPr="009244B2" w:rsidRDefault="009244B2" w:rsidP="00F51716">
            <w:pPr>
              <w:pStyle w:val="tableright"/>
            </w:pPr>
            <w:r>
              <w:t>7</w:t>
            </w:r>
          </w:p>
        </w:tc>
        <w:tc>
          <w:tcPr>
            <w:tcW w:w="731" w:type="dxa"/>
          </w:tcPr>
          <w:p w14:paraId="24C7D97B" w14:textId="509F9AE4" w:rsidR="009244B2" w:rsidRPr="009244B2" w:rsidRDefault="009244B2" w:rsidP="00F51716">
            <w:pPr>
              <w:pStyle w:val="tableright"/>
            </w:pPr>
            <w:r>
              <w:t>22.82</w:t>
            </w:r>
          </w:p>
        </w:tc>
        <w:tc>
          <w:tcPr>
            <w:tcW w:w="731" w:type="dxa"/>
          </w:tcPr>
          <w:p w14:paraId="21EF0EEA" w14:textId="1605F41F" w:rsidR="009244B2" w:rsidRPr="009244B2" w:rsidRDefault="009244B2" w:rsidP="00F51716">
            <w:pPr>
              <w:pStyle w:val="tableright"/>
            </w:pPr>
            <w:r>
              <w:t>49</w:t>
            </w:r>
          </w:p>
        </w:tc>
        <w:tc>
          <w:tcPr>
            <w:tcW w:w="790" w:type="dxa"/>
          </w:tcPr>
          <w:p w14:paraId="6B1BE891" w14:textId="7D731430" w:rsidR="009244B2" w:rsidRPr="009244B2" w:rsidRDefault="009244B2" w:rsidP="00F51716">
            <w:pPr>
              <w:pStyle w:val="tableright"/>
            </w:pPr>
            <w:r>
              <w:t>45.6</w:t>
            </w:r>
          </w:p>
        </w:tc>
      </w:tr>
      <w:tr w:rsidR="009244B2" w14:paraId="72D96679" w14:textId="77777777" w:rsidTr="009244B2">
        <w:tc>
          <w:tcPr>
            <w:tcW w:w="1557" w:type="dxa"/>
          </w:tcPr>
          <w:p w14:paraId="56D609CF" w14:textId="2FDBF401" w:rsidR="009244B2" w:rsidRDefault="009244B2" w:rsidP="00F51716">
            <w:pPr>
              <w:pStyle w:val="Tabletext0"/>
            </w:pPr>
            <w:r>
              <w:t>45–54</w:t>
            </w:r>
          </w:p>
        </w:tc>
        <w:tc>
          <w:tcPr>
            <w:tcW w:w="790" w:type="dxa"/>
          </w:tcPr>
          <w:p w14:paraId="6C431B7E" w14:textId="42DA67DA" w:rsidR="009244B2" w:rsidRPr="009244B2" w:rsidRDefault="009244B2" w:rsidP="00F51716">
            <w:pPr>
              <w:pStyle w:val="tableright"/>
            </w:pPr>
            <w:r>
              <w:t>36</w:t>
            </w:r>
          </w:p>
        </w:tc>
        <w:tc>
          <w:tcPr>
            <w:tcW w:w="754" w:type="dxa"/>
          </w:tcPr>
          <w:p w14:paraId="6582B40C" w14:textId="4FCEFE1F" w:rsidR="009244B2" w:rsidRPr="009244B2" w:rsidRDefault="009244B2" w:rsidP="00F51716">
            <w:pPr>
              <w:pStyle w:val="tableright"/>
            </w:pPr>
            <w:r>
              <w:t>33.51</w:t>
            </w:r>
          </w:p>
        </w:tc>
        <w:tc>
          <w:tcPr>
            <w:tcW w:w="712" w:type="dxa"/>
          </w:tcPr>
          <w:p w14:paraId="62421330" w14:textId="52F7C2A1" w:rsidR="009244B2" w:rsidRPr="009244B2" w:rsidRDefault="009244B2" w:rsidP="00F51716">
            <w:pPr>
              <w:pStyle w:val="tableright"/>
            </w:pPr>
            <w:r>
              <w:t>14</w:t>
            </w:r>
          </w:p>
        </w:tc>
        <w:tc>
          <w:tcPr>
            <w:tcW w:w="713" w:type="dxa"/>
          </w:tcPr>
          <w:p w14:paraId="1BE708AF" w14:textId="05F26C64" w:rsidR="009244B2" w:rsidRPr="009244B2" w:rsidRDefault="009244B2" w:rsidP="00F51716">
            <w:pPr>
              <w:pStyle w:val="tableright"/>
            </w:pPr>
            <w:r>
              <w:t>6</w:t>
            </w:r>
          </w:p>
        </w:tc>
        <w:tc>
          <w:tcPr>
            <w:tcW w:w="714" w:type="dxa"/>
          </w:tcPr>
          <w:p w14:paraId="0944D8CD" w14:textId="4034D9E5" w:rsidR="009244B2" w:rsidRPr="009244B2" w:rsidRDefault="009244B2" w:rsidP="00F51716">
            <w:pPr>
              <w:pStyle w:val="tableright"/>
            </w:pPr>
            <w:r>
              <w:t>18.05</w:t>
            </w:r>
          </w:p>
        </w:tc>
        <w:tc>
          <w:tcPr>
            <w:tcW w:w="742" w:type="dxa"/>
          </w:tcPr>
          <w:p w14:paraId="313DDEEE" w14:textId="46980E6B" w:rsidR="009244B2" w:rsidRPr="009244B2" w:rsidRDefault="009244B2" w:rsidP="00F51716">
            <w:pPr>
              <w:pStyle w:val="tableright"/>
            </w:pPr>
            <w:r>
              <w:t>16</w:t>
            </w:r>
          </w:p>
        </w:tc>
        <w:tc>
          <w:tcPr>
            <w:tcW w:w="731" w:type="dxa"/>
          </w:tcPr>
          <w:p w14:paraId="2D9E1B9E" w14:textId="526DEBBF" w:rsidR="009244B2" w:rsidRPr="009244B2" w:rsidRDefault="009244B2" w:rsidP="00F51716">
            <w:pPr>
              <w:pStyle w:val="tableright"/>
            </w:pPr>
            <w:r>
              <w:t>15.35</w:t>
            </w:r>
          </w:p>
        </w:tc>
        <w:tc>
          <w:tcPr>
            <w:tcW w:w="731" w:type="dxa"/>
          </w:tcPr>
          <w:p w14:paraId="259636FF" w14:textId="5DF9E629" w:rsidR="009244B2" w:rsidRPr="009244B2" w:rsidRDefault="009244B2" w:rsidP="00F51716">
            <w:pPr>
              <w:pStyle w:val="tableright"/>
            </w:pPr>
            <w:r>
              <w:t>37</w:t>
            </w:r>
          </w:p>
        </w:tc>
        <w:tc>
          <w:tcPr>
            <w:tcW w:w="752" w:type="dxa"/>
          </w:tcPr>
          <w:p w14:paraId="0EC889C4" w14:textId="56FFA2B0" w:rsidR="009244B2" w:rsidRPr="009244B2" w:rsidRDefault="009244B2" w:rsidP="00F51716">
            <w:pPr>
              <w:pStyle w:val="tableright"/>
            </w:pPr>
            <w:r>
              <w:t>34.13</w:t>
            </w:r>
          </w:p>
        </w:tc>
        <w:tc>
          <w:tcPr>
            <w:tcW w:w="730" w:type="dxa"/>
            <w:gridSpan w:val="2"/>
          </w:tcPr>
          <w:p w14:paraId="3E59CF5D" w14:textId="28111414" w:rsidR="009244B2" w:rsidRPr="009244B2" w:rsidRDefault="009244B2" w:rsidP="00F51716">
            <w:pPr>
              <w:pStyle w:val="tableright"/>
            </w:pPr>
            <w:r>
              <w:t>12</w:t>
            </w:r>
          </w:p>
        </w:tc>
        <w:tc>
          <w:tcPr>
            <w:tcW w:w="730" w:type="dxa"/>
          </w:tcPr>
          <w:p w14:paraId="1674EE3E" w14:textId="323C0A73" w:rsidR="009244B2" w:rsidRPr="009244B2" w:rsidRDefault="009244B2" w:rsidP="00F51716">
            <w:pPr>
              <w:pStyle w:val="tableright"/>
            </w:pPr>
            <w:r>
              <w:t>7</w:t>
            </w:r>
          </w:p>
        </w:tc>
        <w:tc>
          <w:tcPr>
            <w:tcW w:w="731" w:type="dxa"/>
          </w:tcPr>
          <w:p w14:paraId="1EE470A1" w14:textId="4469A6AF" w:rsidR="009244B2" w:rsidRPr="009244B2" w:rsidRDefault="009244B2" w:rsidP="00F51716">
            <w:pPr>
              <w:pStyle w:val="tableright"/>
            </w:pPr>
            <w:r>
              <w:t>16.73</w:t>
            </w:r>
          </w:p>
        </w:tc>
        <w:tc>
          <w:tcPr>
            <w:tcW w:w="731" w:type="dxa"/>
          </w:tcPr>
          <w:p w14:paraId="3CC19B7E" w14:textId="242C574D" w:rsidR="009244B2" w:rsidRPr="009244B2" w:rsidRDefault="009244B2" w:rsidP="00F51716">
            <w:pPr>
              <w:pStyle w:val="tableright"/>
            </w:pPr>
            <w:r>
              <w:t>18</w:t>
            </w:r>
          </w:p>
        </w:tc>
        <w:tc>
          <w:tcPr>
            <w:tcW w:w="790" w:type="dxa"/>
          </w:tcPr>
          <w:p w14:paraId="6A7703CB" w14:textId="541DE2A3" w:rsidR="009244B2" w:rsidRPr="009244B2" w:rsidRDefault="009244B2" w:rsidP="00F51716">
            <w:pPr>
              <w:pStyle w:val="tableright"/>
            </w:pPr>
            <w:r>
              <w:t>17.4</w:t>
            </w:r>
          </w:p>
        </w:tc>
      </w:tr>
      <w:tr w:rsidR="009244B2" w14:paraId="7176562B" w14:textId="77777777" w:rsidTr="009244B2">
        <w:tc>
          <w:tcPr>
            <w:tcW w:w="1557" w:type="dxa"/>
          </w:tcPr>
          <w:p w14:paraId="5ACE4AD2" w14:textId="52685DB6" w:rsidR="009244B2" w:rsidRDefault="009244B2" w:rsidP="00F51716">
            <w:pPr>
              <w:pStyle w:val="Tabletext0"/>
            </w:pPr>
            <w:r>
              <w:t>55–64</w:t>
            </w:r>
          </w:p>
        </w:tc>
        <w:tc>
          <w:tcPr>
            <w:tcW w:w="790" w:type="dxa"/>
          </w:tcPr>
          <w:p w14:paraId="37195133" w14:textId="198C73DD" w:rsidR="009244B2" w:rsidRPr="009244B2" w:rsidRDefault="009244B2" w:rsidP="00F51716">
            <w:pPr>
              <w:pStyle w:val="tableright"/>
            </w:pPr>
            <w:r>
              <w:t>20</w:t>
            </w:r>
          </w:p>
        </w:tc>
        <w:tc>
          <w:tcPr>
            <w:tcW w:w="754" w:type="dxa"/>
          </w:tcPr>
          <w:p w14:paraId="614CF57B" w14:textId="3C45A74C" w:rsidR="009244B2" w:rsidRPr="009244B2" w:rsidRDefault="009244B2" w:rsidP="00F51716">
            <w:pPr>
              <w:pStyle w:val="tableright"/>
            </w:pPr>
            <w:r>
              <w:t>19.8</w:t>
            </w:r>
          </w:p>
        </w:tc>
        <w:tc>
          <w:tcPr>
            <w:tcW w:w="712" w:type="dxa"/>
          </w:tcPr>
          <w:p w14:paraId="6072555C" w14:textId="572FE96C" w:rsidR="009244B2" w:rsidRPr="009244B2" w:rsidRDefault="009244B2" w:rsidP="00F51716">
            <w:pPr>
              <w:pStyle w:val="tableright"/>
            </w:pPr>
            <w:r>
              <w:t>11</w:t>
            </w:r>
          </w:p>
        </w:tc>
        <w:tc>
          <w:tcPr>
            <w:tcW w:w="713" w:type="dxa"/>
          </w:tcPr>
          <w:p w14:paraId="1D4196EC" w14:textId="641AB3C4" w:rsidR="009244B2" w:rsidRPr="009244B2" w:rsidRDefault="009244B2" w:rsidP="00F51716">
            <w:pPr>
              <w:pStyle w:val="tableright"/>
            </w:pPr>
            <w:r>
              <w:t>1</w:t>
            </w:r>
          </w:p>
        </w:tc>
        <w:tc>
          <w:tcPr>
            <w:tcW w:w="714" w:type="dxa"/>
          </w:tcPr>
          <w:p w14:paraId="78478FCE" w14:textId="6F6F56BE" w:rsidR="009244B2" w:rsidRPr="009244B2" w:rsidRDefault="009244B2" w:rsidP="00F51716">
            <w:pPr>
              <w:pStyle w:val="tableright"/>
            </w:pPr>
            <w:r>
              <w:t>11.8</w:t>
            </w:r>
          </w:p>
        </w:tc>
        <w:tc>
          <w:tcPr>
            <w:tcW w:w="742" w:type="dxa"/>
          </w:tcPr>
          <w:p w14:paraId="6C64DB41" w14:textId="1D5FB07C" w:rsidR="009244B2" w:rsidRPr="009244B2" w:rsidRDefault="009244B2" w:rsidP="00F51716">
            <w:pPr>
              <w:pStyle w:val="tableright"/>
            </w:pPr>
            <w:r>
              <w:t>8</w:t>
            </w:r>
          </w:p>
        </w:tc>
        <w:tc>
          <w:tcPr>
            <w:tcW w:w="731" w:type="dxa"/>
          </w:tcPr>
          <w:p w14:paraId="743C2B8B" w14:textId="7B024974" w:rsidR="009244B2" w:rsidRPr="009244B2" w:rsidRDefault="009244B2" w:rsidP="00F51716">
            <w:pPr>
              <w:pStyle w:val="tableright"/>
            </w:pPr>
            <w:r>
              <w:t>8</w:t>
            </w:r>
          </w:p>
        </w:tc>
        <w:tc>
          <w:tcPr>
            <w:tcW w:w="731" w:type="dxa"/>
          </w:tcPr>
          <w:p w14:paraId="435F7918" w14:textId="21C8E120" w:rsidR="009244B2" w:rsidRPr="009244B2" w:rsidRDefault="009244B2" w:rsidP="00F51716">
            <w:pPr>
              <w:pStyle w:val="tableright"/>
            </w:pPr>
            <w:r>
              <w:t>25</w:t>
            </w:r>
          </w:p>
        </w:tc>
        <w:tc>
          <w:tcPr>
            <w:tcW w:w="752" w:type="dxa"/>
          </w:tcPr>
          <w:p w14:paraId="40B56277" w14:textId="32715760" w:rsidR="009244B2" w:rsidRPr="009244B2" w:rsidRDefault="009244B2" w:rsidP="00F51716">
            <w:pPr>
              <w:pStyle w:val="tableright"/>
            </w:pPr>
            <w:r>
              <w:t>25</w:t>
            </w:r>
          </w:p>
        </w:tc>
        <w:tc>
          <w:tcPr>
            <w:tcW w:w="730" w:type="dxa"/>
            <w:gridSpan w:val="2"/>
          </w:tcPr>
          <w:p w14:paraId="098F336B" w14:textId="4131D40B" w:rsidR="009244B2" w:rsidRPr="009244B2" w:rsidRDefault="009244B2" w:rsidP="00F51716">
            <w:pPr>
              <w:pStyle w:val="tableright"/>
            </w:pPr>
            <w:r>
              <w:t>15</w:t>
            </w:r>
          </w:p>
        </w:tc>
        <w:tc>
          <w:tcPr>
            <w:tcW w:w="730" w:type="dxa"/>
          </w:tcPr>
          <w:p w14:paraId="55B44E96" w14:textId="2FA07F7E" w:rsidR="009244B2" w:rsidRPr="009244B2" w:rsidRDefault="009244B2" w:rsidP="00F51716">
            <w:pPr>
              <w:pStyle w:val="tableright"/>
            </w:pPr>
            <w:r>
              <w:t>0</w:t>
            </w:r>
          </w:p>
        </w:tc>
        <w:tc>
          <w:tcPr>
            <w:tcW w:w="731" w:type="dxa"/>
          </w:tcPr>
          <w:p w14:paraId="0137AB9C" w14:textId="3B47C1EA" w:rsidR="009244B2" w:rsidRPr="009244B2" w:rsidRDefault="009244B2" w:rsidP="00F51716">
            <w:pPr>
              <w:pStyle w:val="tableright"/>
            </w:pPr>
            <w:r>
              <w:t>15</w:t>
            </w:r>
          </w:p>
        </w:tc>
        <w:tc>
          <w:tcPr>
            <w:tcW w:w="731" w:type="dxa"/>
          </w:tcPr>
          <w:p w14:paraId="4FBF2E5A" w14:textId="4AE7103D" w:rsidR="009244B2" w:rsidRPr="009244B2" w:rsidRDefault="009244B2" w:rsidP="00F51716">
            <w:pPr>
              <w:pStyle w:val="tableright"/>
            </w:pPr>
            <w:r>
              <w:t>10</w:t>
            </w:r>
          </w:p>
        </w:tc>
        <w:tc>
          <w:tcPr>
            <w:tcW w:w="790" w:type="dxa"/>
          </w:tcPr>
          <w:p w14:paraId="746212C0" w14:textId="1D66D306" w:rsidR="009244B2" w:rsidRPr="009244B2" w:rsidRDefault="009244B2" w:rsidP="00F51716">
            <w:pPr>
              <w:pStyle w:val="tableright"/>
            </w:pPr>
            <w:r>
              <w:t>10</w:t>
            </w:r>
          </w:p>
        </w:tc>
      </w:tr>
      <w:tr w:rsidR="009244B2" w14:paraId="39BFA88E" w14:textId="77777777" w:rsidTr="009244B2">
        <w:tc>
          <w:tcPr>
            <w:tcW w:w="1557" w:type="dxa"/>
          </w:tcPr>
          <w:p w14:paraId="31D7AE4C" w14:textId="6CA2E2AB" w:rsidR="009244B2" w:rsidRPr="009244B2" w:rsidRDefault="009244B2" w:rsidP="00F51716">
            <w:pPr>
              <w:pStyle w:val="Tabletext0"/>
              <w:rPr>
                <w:vertAlign w:val="subscript"/>
              </w:rPr>
            </w:pPr>
            <w:r>
              <w:t>65+</w:t>
            </w:r>
          </w:p>
        </w:tc>
        <w:tc>
          <w:tcPr>
            <w:tcW w:w="790" w:type="dxa"/>
          </w:tcPr>
          <w:p w14:paraId="3A467193" w14:textId="32EE16A7" w:rsidR="009244B2" w:rsidRPr="009244B2" w:rsidRDefault="009244B2" w:rsidP="00F51716">
            <w:pPr>
              <w:pStyle w:val="tableright"/>
            </w:pPr>
            <w:r>
              <w:t>3</w:t>
            </w:r>
          </w:p>
        </w:tc>
        <w:tc>
          <w:tcPr>
            <w:tcW w:w="754" w:type="dxa"/>
          </w:tcPr>
          <w:p w14:paraId="3B7FF7AF" w14:textId="72E7DD61" w:rsidR="009244B2" w:rsidRPr="009244B2" w:rsidRDefault="009244B2" w:rsidP="00F51716">
            <w:pPr>
              <w:pStyle w:val="tableright"/>
            </w:pPr>
            <w:r>
              <w:t>3</w:t>
            </w:r>
          </w:p>
        </w:tc>
        <w:tc>
          <w:tcPr>
            <w:tcW w:w="712" w:type="dxa"/>
          </w:tcPr>
          <w:p w14:paraId="374DC1E7" w14:textId="4424D4D7" w:rsidR="009244B2" w:rsidRPr="009244B2" w:rsidRDefault="009244B2" w:rsidP="00F51716">
            <w:pPr>
              <w:pStyle w:val="tableright"/>
            </w:pPr>
            <w:r>
              <w:t>3</w:t>
            </w:r>
          </w:p>
        </w:tc>
        <w:tc>
          <w:tcPr>
            <w:tcW w:w="713" w:type="dxa"/>
          </w:tcPr>
          <w:p w14:paraId="3D147FC7" w14:textId="540606A9" w:rsidR="009244B2" w:rsidRPr="009244B2" w:rsidRDefault="009244B2" w:rsidP="00F51716">
            <w:pPr>
              <w:pStyle w:val="tableright"/>
            </w:pPr>
            <w:r>
              <w:t>0</w:t>
            </w:r>
          </w:p>
        </w:tc>
        <w:tc>
          <w:tcPr>
            <w:tcW w:w="714" w:type="dxa"/>
          </w:tcPr>
          <w:p w14:paraId="5676CC5C" w14:textId="063A50F9" w:rsidR="009244B2" w:rsidRPr="009244B2" w:rsidRDefault="009244B2" w:rsidP="00F51716">
            <w:pPr>
              <w:pStyle w:val="tableright"/>
            </w:pPr>
            <w:r>
              <w:t>3</w:t>
            </w:r>
          </w:p>
        </w:tc>
        <w:tc>
          <w:tcPr>
            <w:tcW w:w="742" w:type="dxa"/>
          </w:tcPr>
          <w:p w14:paraId="268AC1CF" w14:textId="06411031" w:rsidR="009244B2" w:rsidRPr="009244B2" w:rsidRDefault="009244B2" w:rsidP="00F51716">
            <w:pPr>
              <w:pStyle w:val="tableright"/>
            </w:pPr>
            <w:r>
              <w:t>0</w:t>
            </w:r>
          </w:p>
        </w:tc>
        <w:tc>
          <w:tcPr>
            <w:tcW w:w="731" w:type="dxa"/>
          </w:tcPr>
          <w:p w14:paraId="3439FA9E" w14:textId="0916CFF7" w:rsidR="009244B2" w:rsidRPr="009244B2" w:rsidRDefault="009244B2" w:rsidP="00F51716">
            <w:pPr>
              <w:pStyle w:val="tableright"/>
            </w:pPr>
            <w:r>
              <w:t>0</w:t>
            </w:r>
          </w:p>
        </w:tc>
        <w:tc>
          <w:tcPr>
            <w:tcW w:w="731" w:type="dxa"/>
          </w:tcPr>
          <w:p w14:paraId="2F503FC3" w14:textId="4B34F7FE" w:rsidR="009244B2" w:rsidRPr="009244B2" w:rsidRDefault="009244B2" w:rsidP="00F51716">
            <w:pPr>
              <w:pStyle w:val="tableright"/>
            </w:pPr>
            <w:r>
              <w:t>2</w:t>
            </w:r>
          </w:p>
        </w:tc>
        <w:tc>
          <w:tcPr>
            <w:tcW w:w="752" w:type="dxa"/>
          </w:tcPr>
          <w:p w14:paraId="34AAF6CE" w14:textId="4A1AAD21" w:rsidR="009244B2" w:rsidRPr="009244B2" w:rsidRDefault="009244B2" w:rsidP="00F51716">
            <w:pPr>
              <w:pStyle w:val="tableright"/>
            </w:pPr>
            <w:r>
              <w:t>1.8</w:t>
            </w:r>
          </w:p>
        </w:tc>
        <w:tc>
          <w:tcPr>
            <w:tcW w:w="730" w:type="dxa"/>
            <w:gridSpan w:val="2"/>
          </w:tcPr>
          <w:p w14:paraId="1DCB03F2" w14:textId="7C70AD5E" w:rsidR="009244B2" w:rsidRPr="009244B2" w:rsidRDefault="009244B2" w:rsidP="00F51716">
            <w:pPr>
              <w:pStyle w:val="tableright"/>
            </w:pPr>
            <w:r>
              <w:t>0</w:t>
            </w:r>
          </w:p>
        </w:tc>
        <w:tc>
          <w:tcPr>
            <w:tcW w:w="730" w:type="dxa"/>
          </w:tcPr>
          <w:p w14:paraId="10631CDB" w14:textId="09B7DBF3" w:rsidR="009244B2" w:rsidRPr="009244B2" w:rsidRDefault="009244B2" w:rsidP="00F51716">
            <w:pPr>
              <w:pStyle w:val="tableright"/>
            </w:pPr>
            <w:r>
              <w:t>0</w:t>
            </w:r>
          </w:p>
        </w:tc>
        <w:tc>
          <w:tcPr>
            <w:tcW w:w="731" w:type="dxa"/>
          </w:tcPr>
          <w:p w14:paraId="4556AB0A" w14:textId="6D7DA2DC" w:rsidR="009244B2" w:rsidRPr="009244B2" w:rsidRDefault="009244B2" w:rsidP="00F51716">
            <w:pPr>
              <w:pStyle w:val="tableright"/>
            </w:pPr>
            <w:r>
              <w:t>0</w:t>
            </w:r>
          </w:p>
        </w:tc>
        <w:tc>
          <w:tcPr>
            <w:tcW w:w="731" w:type="dxa"/>
          </w:tcPr>
          <w:p w14:paraId="28EC824A" w14:textId="07DDCADC" w:rsidR="009244B2" w:rsidRPr="009244B2" w:rsidRDefault="009244B2" w:rsidP="00F51716">
            <w:pPr>
              <w:pStyle w:val="tableright"/>
            </w:pPr>
            <w:r>
              <w:t>2</w:t>
            </w:r>
          </w:p>
        </w:tc>
        <w:tc>
          <w:tcPr>
            <w:tcW w:w="790" w:type="dxa"/>
          </w:tcPr>
          <w:p w14:paraId="144F1AB1" w14:textId="62BC13FD" w:rsidR="009244B2" w:rsidRPr="009244B2" w:rsidRDefault="009244B2" w:rsidP="00F51716">
            <w:pPr>
              <w:pStyle w:val="tableright"/>
            </w:pPr>
            <w:r>
              <w:t>1.8</w:t>
            </w:r>
          </w:p>
        </w:tc>
      </w:tr>
      <w:tr w:rsidR="009244B2" w:rsidRPr="009244B2" w14:paraId="76FF6D7B" w14:textId="77777777" w:rsidTr="009244B2">
        <w:tc>
          <w:tcPr>
            <w:tcW w:w="11908" w:type="dxa"/>
            <w:gridSpan w:val="16"/>
            <w:shd w:val="clear" w:color="auto" w:fill="E4E4E5" w:themeFill="text2" w:themeFillTint="66"/>
          </w:tcPr>
          <w:p w14:paraId="32801702" w14:textId="743A17EE" w:rsidR="009244B2" w:rsidRPr="009244B2" w:rsidRDefault="009244B2" w:rsidP="00F51716">
            <w:pPr>
              <w:pStyle w:val="Tabletext0"/>
            </w:pPr>
            <w:r w:rsidRPr="009244B2">
              <w:t>VPS 1–6 grades</w:t>
            </w:r>
          </w:p>
        </w:tc>
      </w:tr>
      <w:tr w:rsidR="009244B2" w14:paraId="6B664E7C" w14:textId="77777777" w:rsidTr="009244B2">
        <w:tc>
          <w:tcPr>
            <w:tcW w:w="1557" w:type="dxa"/>
          </w:tcPr>
          <w:p w14:paraId="71BC2632" w14:textId="35A45970" w:rsidR="009244B2" w:rsidRDefault="009244B2" w:rsidP="00F51716">
            <w:pPr>
              <w:pStyle w:val="Tabletext0"/>
            </w:pPr>
            <w:r>
              <w:t>VPS 1</w:t>
            </w:r>
          </w:p>
        </w:tc>
        <w:tc>
          <w:tcPr>
            <w:tcW w:w="790" w:type="dxa"/>
          </w:tcPr>
          <w:p w14:paraId="5A1242C6" w14:textId="6DD0A738" w:rsidR="009244B2" w:rsidRPr="009244B2" w:rsidRDefault="009244B2" w:rsidP="00F51716">
            <w:pPr>
              <w:pStyle w:val="tableright"/>
            </w:pPr>
            <w:r>
              <w:t> 0</w:t>
            </w:r>
          </w:p>
        </w:tc>
        <w:tc>
          <w:tcPr>
            <w:tcW w:w="754" w:type="dxa"/>
          </w:tcPr>
          <w:p w14:paraId="09989474" w14:textId="78AC0B32" w:rsidR="009244B2" w:rsidRPr="009244B2" w:rsidRDefault="009244B2" w:rsidP="00F51716">
            <w:pPr>
              <w:pStyle w:val="tableright"/>
            </w:pPr>
            <w:r>
              <w:t> 0</w:t>
            </w:r>
          </w:p>
        </w:tc>
        <w:tc>
          <w:tcPr>
            <w:tcW w:w="712" w:type="dxa"/>
          </w:tcPr>
          <w:p w14:paraId="3D83D68B" w14:textId="7B36871B" w:rsidR="009244B2" w:rsidRPr="009244B2" w:rsidRDefault="009244B2" w:rsidP="00F51716">
            <w:pPr>
              <w:pStyle w:val="tableright"/>
            </w:pPr>
            <w:r>
              <w:t> 0</w:t>
            </w:r>
          </w:p>
        </w:tc>
        <w:tc>
          <w:tcPr>
            <w:tcW w:w="713" w:type="dxa"/>
          </w:tcPr>
          <w:p w14:paraId="05CA7960" w14:textId="75EA0014" w:rsidR="009244B2" w:rsidRPr="009244B2" w:rsidRDefault="009244B2" w:rsidP="00F51716">
            <w:pPr>
              <w:pStyle w:val="tableright"/>
            </w:pPr>
            <w:r>
              <w:t> 0</w:t>
            </w:r>
          </w:p>
        </w:tc>
        <w:tc>
          <w:tcPr>
            <w:tcW w:w="714" w:type="dxa"/>
          </w:tcPr>
          <w:p w14:paraId="439F1A69" w14:textId="2D120769" w:rsidR="009244B2" w:rsidRPr="009244B2" w:rsidRDefault="009244B2" w:rsidP="00F51716">
            <w:pPr>
              <w:pStyle w:val="tableright"/>
            </w:pPr>
            <w:r>
              <w:t> 0</w:t>
            </w:r>
          </w:p>
        </w:tc>
        <w:tc>
          <w:tcPr>
            <w:tcW w:w="742" w:type="dxa"/>
          </w:tcPr>
          <w:p w14:paraId="49C5135F" w14:textId="27B322A2" w:rsidR="009244B2" w:rsidRPr="009244B2" w:rsidRDefault="009244B2" w:rsidP="00F51716">
            <w:pPr>
              <w:pStyle w:val="tableright"/>
            </w:pPr>
            <w:r>
              <w:t> 0</w:t>
            </w:r>
          </w:p>
        </w:tc>
        <w:tc>
          <w:tcPr>
            <w:tcW w:w="731" w:type="dxa"/>
          </w:tcPr>
          <w:p w14:paraId="28850C90" w14:textId="1E447260" w:rsidR="009244B2" w:rsidRPr="009244B2" w:rsidRDefault="009244B2" w:rsidP="00F51716">
            <w:pPr>
              <w:pStyle w:val="tableright"/>
            </w:pPr>
            <w:r>
              <w:t> 0</w:t>
            </w:r>
          </w:p>
        </w:tc>
        <w:tc>
          <w:tcPr>
            <w:tcW w:w="731" w:type="dxa"/>
          </w:tcPr>
          <w:p w14:paraId="133FBD1E" w14:textId="25DA1809" w:rsidR="009244B2" w:rsidRPr="009244B2" w:rsidRDefault="009244B2" w:rsidP="00F51716">
            <w:pPr>
              <w:pStyle w:val="tableright"/>
            </w:pPr>
            <w:r>
              <w:t>0</w:t>
            </w:r>
          </w:p>
        </w:tc>
        <w:tc>
          <w:tcPr>
            <w:tcW w:w="752" w:type="dxa"/>
          </w:tcPr>
          <w:p w14:paraId="0F46E259" w14:textId="3AD8D049" w:rsidR="009244B2" w:rsidRPr="009244B2" w:rsidRDefault="009244B2" w:rsidP="00F51716">
            <w:pPr>
              <w:pStyle w:val="tableright"/>
            </w:pPr>
            <w:r>
              <w:t>0</w:t>
            </w:r>
          </w:p>
        </w:tc>
        <w:tc>
          <w:tcPr>
            <w:tcW w:w="730" w:type="dxa"/>
            <w:gridSpan w:val="2"/>
          </w:tcPr>
          <w:p w14:paraId="2D661785" w14:textId="2ABB5125" w:rsidR="009244B2" w:rsidRPr="009244B2" w:rsidRDefault="009244B2" w:rsidP="00F51716">
            <w:pPr>
              <w:pStyle w:val="tableright"/>
            </w:pPr>
            <w:r>
              <w:t>0</w:t>
            </w:r>
          </w:p>
        </w:tc>
        <w:tc>
          <w:tcPr>
            <w:tcW w:w="730" w:type="dxa"/>
          </w:tcPr>
          <w:p w14:paraId="40A12315" w14:textId="6F24BD00" w:rsidR="009244B2" w:rsidRPr="009244B2" w:rsidRDefault="009244B2" w:rsidP="00F51716">
            <w:pPr>
              <w:pStyle w:val="tableright"/>
            </w:pPr>
            <w:r>
              <w:t>0</w:t>
            </w:r>
          </w:p>
        </w:tc>
        <w:tc>
          <w:tcPr>
            <w:tcW w:w="731" w:type="dxa"/>
          </w:tcPr>
          <w:p w14:paraId="00CBA756" w14:textId="6F738A8E" w:rsidR="009244B2" w:rsidRPr="009244B2" w:rsidRDefault="009244B2" w:rsidP="00F51716">
            <w:pPr>
              <w:pStyle w:val="tableright"/>
            </w:pPr>
            <w:r>
              <w:t>0</w:t>
            </w:r>
          </w:p>
        </w:tc>
        <w:tc>
          <w:tcPr>
            <w:tcW w:w="731" w:type="dxa"/>
          </w:tcPr>
          <w:p w14:paraId="1FDF4564" w14:textId="3E97569B" w:rsidR="009244B2" w:rsidRPr="009244B2" w:rsidRDefault="009244B2" w:rsidP="00F51716">
            <w:pPr>
              <w:pStyle w:val="tableright"/>
            </w:pPr>
            <w:r>
              <w:t>0</w:t>
            </w:r>
          </w:p>
        </w:tc>
        <w:tc>
          <w:tcPr>
            <w:tcW w:w="790" w:type="dxa"/>
          </w:tcPr>
          <w:p w14:paraId="5375DB2E" w14:textId="4EE25D3D" w:rsidR="009244B2" w:rsidRPr="009244B2" w:rsidRDefault="009244B2" w:rsidP="00F51716">
            <w:pPr>
              <w:pStyle w:val="tableright"/>
            </w:pPr>
            <w:r>
              <w:t>0</w:t>
            </w:r>
          </w:p>
        </w:tc>
      </w:tr>
      <w:tr w:rsidR="009244B2" w14:paraId="7FEC4457" w14:textId="77777777" w:rsidTr="009244B2">
        <w:tc>
          <w:tcPr>
            <w:tcW w:w="1557" w:type="dxa"/>
          </w:tcPr>
          <w:p w14:paraId="453DDE10" w14:textId="7D07EED5" w:rsidR="009244B2" w:rsidRDefault="009244B2" w:rsidP="00F51716">
            <w:pPr>
              <w:pStyle w:val="Tabletext0"/>
            </w:pPr>
            <w:r>
              <w:t>VPS 2</w:t>
            </w:r>
          </w:p>
        </w:tc>
        <w:tc>
          <w:tcPr>
            <w:tcW w:w="790" w:type="dxa"/>
          </w:tcPr>
          <w:p w14:paraId="717CE2F4" w14:textId="5D1FBA56" w:rsidR="009244B2" w:rsidRPr="009244B2" w:rsidRDefault="009244B2" w:rsidP="00F51716">
            <w:pPr>
              <w:pStyle w:val="tableright"/>
            </w:pPr>
            <w:r>
              <w:t>2</w:t>
            </w:r>
          </w:p>
        </w:tc>
        <w:tc>
          <w:tcPr>
            <w:tcW w:w="754" w:type="dxa"/>
          </w:tcPr>
          <w:p w14:paraId="5F1B8DFE" w14:textId="253C5288" w:rsidR="009244B2" w:rsidRPr="009244B2" w:rsidRDefault="009244B2" w:rsidP="00F51716">
            <w:pPr>
              <w:pStyle w:val="tableright"/>
            </w:pPr>
            <w:r>
              <w:t>2</w:t>
            </w:r>
          </w:p>
        </w:tc>
        <w:tc>
          <w:tcPr>
            <w:tcW w:w="712" w:type="dxa"/>
          </w:tcPr>
          <w:p w14:paraId="3F234415" w14:textId="1636E45B" w:rsidR="009244B2" w:rsidRPr="009244B2" w:rsidRDefault="009244B2" w:rsidP="00F51716">
            <w:pPr>
              <w:pStyle w:val="tableright"/>
            </w:pPr>
            <w:r>
              <w:t>0</w:t>
            </w:r>
          </w:p>
        </w:tc>
        <w:tc>
          <w:tcPr>
            <w:tcW w:w="713" w:type="dxa"/>
          </w:tcPr>
          <w:p w14:paraId="46F7A84E" w14:textId="52E32C55" w:rsidR="009244B2" w:rsidRPr="009244B2" w:rsidRDefault="009244B2" w:rsidP="00F51716">
            <w:pPr>
              <w:pStyle w:val="tableright"/>
            </w:pPr>
            <w:r>
              <w:t>0</w:t>
            </w:r>
          </w:p>
        </w:tc>
        <w:tc>
          <w:tcPr>
            <w:tcW w:w="714" w:type="dxa"/>
          </w:tcPr>
          <w:p w14:paraId="26008789" w14:textId="70289856" w:rsidR="009244B2" w:rsidRPr="009244B2" w:rsidRDefault="009244B2" w:rsidP="00F51716">
            <w:pPr>
              <w:pStyle w:val="tableright"/>
            </w:pPr>
            <w:r>
              <w:t>0</w:t>
            </w:r>
          </w:p>
        </w:tc>
        <w:tc>
          <w:tcPr>
            <w:tcW w:w="742" w:type="dxa"/>
          </w:tcPr>
          <w:p w14:paraId="7D5C6C61" w14:textId="606904D1" w:rsidR="009244B2" w:rsidRPr="009244B2" w:rsidRDefault="009244B2" w:rsidP="00F51716">
            <w:pPr>
              <w:pStyle w:val="tableright"/>
            </w:pPr>
            <w:r>
              <w:t>2</w:t>
            </w:r>
          </w:p>
        </w:tc>
        <w:tc>
          <w:tcPr>
            <w:tcW w:w="731" w:type="dxa"/>
          </w:tcPr>
          <w:p w14:paraId="5DB6CEBB" w14:textId="37EA9D38" w:rsidR="009244B2" w:rsidRPr="009244B2" w:rsidRDefault="009244B2" w:rsidP="00F51716">
            <w:pPr>
              <w:pStyle w:val="tableright"/>
            </w:pPr>
            <w:r>
              <w:t>2</w:t>
            </w:r>
          </w:p>
        </w:tc>
        <w:tc>
          <w:tcPr>
            <w:tcW w:w="731" w:type="dxa"/>
          </w:tcPr>
          <w:p w14:paraId="4925C1C3" w14:textId="3E9E3846" w:rsidR="009244B2" w:rsidRPr="009244B2" w:rsidRDefault="009244B2" w:rsidP="00F51716">
            <w:pPr>
              <w:pStyle w:val="tableright"/>
            </w:pPr>
            <w:r>
              <w:t>3</w:t>
            </w:r>
          </w:p>
        </w:tc>
        <w:tc>
          <w:tcPr>
            <w:tcW w:w="752" w:type="dxa"/>
          </w:tcPr>
          <w:p w14:paraId="488729E9" w14:textId="56E1A17B" w:rsidR="009244B2" w:rsidRPr="009244B2" w:rsidRDefault="009244B2" w:rsidP="00F51716">
            <w:pPr>
              <w:pStyle w:val="tableright"/>
            </w:pPr>
            <w:r>
              <w:t>3</w:t>
            </w:r>
          </w:p>
        </w:tc>
        <w:tc>
          <w:tcPr>
            <w:tcW w:w="730" w:type="dxa"/>
            <w:gridSpan w:val="2"/>
          </w:tcPr>
          <w:p w14:paraId="045FA1D8" w14:textId="28FCD389" w:rsidR="009244B2" w:rsidRPr="009244B2" w:rsidRDefault="009244B2" w:rsidP="00F51716">
            <w:pPr>
              <w:pStyle w:val="tableright"/>
            </w:pPr>
            <w:r>
              <w:t>0</w:t>
            </w:r>
          </w:p>
        </w:tc>
        <w:tc>
          <w:tcPr>
            <w:tcW w:w="730" w:type="dxa"/>
          </w:tcPr>
          <w:p w14:paraId="63D098E8" w14:textId="064BFF2C" w:rsidR="009244B2" w:rsidRPr="009244B2" w:rsidRDefault="009244B2" w:rsidP="00F51716">
            <w:pPr>
              <w:pStyle w:val="tableright"/>
            </w:pPr>
            <w:r>
              <w:t>0</w:t>
            </w:r>
          </w:p>
        </w:tc>
        <w:tc>
          <w:tcPr>
            <w:tcW w:w="731" w:type="dxa"/>
          </w:tcPr>
          <w:p w14:paraId="5486FA62" w14:textId="2C88EAA4" w:rsidR="009244B2" w:rsidRPr="009244B2" w:rsidRDefault="009244B2" w:rsidP="00F51716">
            <w:pPr>
              <w:pStyle w:val="tableright"/>
            </w:pPr>
            <w:r>
              <w:t>0</w:t>
            </w:r>
          </w:p>
        </w:tc>
        <w:tc>
          <w:tcPr>
            <w:tcW w:w="731" w:type="dxa"/>
          </w:tcPr>
          <w:p w14:paraId="59407657" w14:textId="1B9E5D23" w:rsidR="009244B2" w:rsidRPr="009244B2" w:rsidRDefault="009244B2" w:rsidP="00F51716">
            <w:pPr>
              <w:pStyle w:val="tableright"/>
            </w:pPr>
            <w:r>
              <w:t>3</w:t>
            </w:r>
          </w:p>
        </w:tc>
        <w:tc>
          <w:tcPr>
            <w:tcW w:w="790" w:type="dxa"/>
          </w:tcPr>
          <w:p w14:paraId="1908C14C" w14:textId="2567CD1A" w:rsidR="009244B2" w:rsidRPr="009244B2" w:rsidRDefault="009244B2" w:rsidP="00F51716">
            <w:pPr>
              <w:pStyle w:val="tableright"/>
            </w:pPr>
            <w:r>
              <w:t>3</w:t>
            </w:r>
          </w:p>
        </w:tc>
      </w:tr>
      <w:tr w:rsidR="009244B2" w14:paraId="13B8CB05" w14:textId="77777777" w:rsidTr="009244B2">
        <w:tc>
          <w:tcPr>
            <w:tcW w:w="1557" w:type="dxa"/>
          </w:tcPr>
          <w:p w14:paraId="6AB58697" w14:textId="346256B8" w:rsidR="009244B2" w:rsidRDefault="009244B2" w:rsidP="00F51716">
            <w:pPr>
              <w:pStyle w:val="Tabletext0"/>
            </w:pPr>
            <w:r>
              <w:t>VPS 3</w:t>
            </w:r>
          </w:p>
        </w:tc>
        <w:tc>
          <w:tcPr>
            <w:tcW w:w="790" w:type="dxa"/>
          </w:tcPr>
          <w:p w14:paraId="50F94611" w14:textId="1A341991" w:rsidR="009244B2" w:rsidRPr="009244B2" w:rsidRDefault="009244B2" w:rsidP="00F51716">
            <w:pPr>
              <w:pStyle w:val="tableright"/>
            </w:pPr>
            <w:r>
              <w:t>4</w:t>
            </w:r>
          </w:p>
        </w:tc>
        <w:tc>
          <w:tcPr>
            <w:tcW w:w="754" w:type="dxa"/>
          </w:tcPr>
          <w:p w14:paraId="0601D3A5" w14:textId="5BC58F37" w:rsidR="009244B2" w:rsidRPr="009244B2" w:rsidRDefault="009244B2" w:rsidP="00F51716">
            <w:pPr>
              <w:pStyle w:val="tableright"/>
            </w:pPr>
            <w:r>
              <w:t>4</w:t>
            </w:r>
          </w:p>
        </w:tc>
        <w:tc>
          <w:tcPr>
            <w:tcW w:w="712" w:type="dxa"/>
          </w:tcPr>
          <w:p w14:paraId="0F210FC6" w14:textId="45140C05" w:rsidR="009244B2" w:rsidRPr="009244B2" w:rsidRDefault="009244B2" w:rsidP="00F51716">
            <w:pPr>
              <w:pStyle w:val="tableright"/>
            </w:pPr>
            <w:r>
              <w:t>3</w:t>
            </w:r>
          </w:p>
        </w:tc>
        <w:tc>
          <w:tcPr>
            <w:tcW w:w="713" w:type="dxa"/>
          </w:tcPr>
          <w:p w14:paraId="0266E691" w14:textId="42E49854" w:rsidR="009244B2" w:rsidRPr="009244B2" w:rsidRDefault="009244B2" w:rsidP="00F51716">
            <w:pPr>
              <w:pStyle w:val="tableright"/>
            </w:pPr>
            <w:r>
              <w:t> 0</w:t>
            </w:r>
          </w:p>
        </w:tc>
        <w:tc>
          <w:tcPr>
            <w:tcW w:w="714" w:type="dxa"/>
          </w:tcPr>
          <w:p w14:paraId="40A7EEAA" w14:textId="6FA2B401" w:rsidR="009244B2" w:rsidRPr="009244B2" w:rsidRDefault="009244B2" w:rsidP="00F51716">
            <w:pPr>
              <w:pStyle w:val="tableright"/>
            </w:pPr>
            <w:r>
              <w:t>3</w:t>
            </w:r>
          </w:p>
        </w:tc>
        <w:tc>
          <w:tcPr>
            <w:tcW w:w="742" w:type="dxa"/>
          </w:tcPr>
          <w:p w14:paraId="057BCD20" w14:textId="4FE084F2" w:rsidR="009244B2" w:rsidRPr="009244B2" w:rsidRDefault="009244B2" w:rsidP="00F51716">
            <w:pPr>
              <w:pStyle w:val="tableright"/>
            </w:pPr>
            <w:r>
              <w:t>1</w:t>
            </w:r>
          </w:p>
        </w:tc>
        <w:tc>
          <w:tcPr>
            <w:tcW w:w="731" w:type="dxa"/>
          </w:tcPr>
          <w:p w14:paraId="7978F52D" w14:textId="7359180B" w:rsidR="009244B2" w:rsidRPr="009244B2" w:rsidRDefault="009244B2" w:rsidP="00F51716">
            <w:pPr>
              <w:pStyle w:val="tableright"/>
            </w:pPr>
            <w:r>
              <w:t>1</w:t>
            </w:r>
          </w:p>
        </w:tc>
        <w:tc>
          <w:tcPr>
            <w:tcW w:w="731" w:type="dxa"/>
          </w:tcPr>
          <w:p w14:paraId="3062B42A" w14:textId="3BFC5FEC" w:rsidR="009244B2" w:rsidRPr="009244B2" w:rsidRDefault="009244B2" w:rsidP="00F51716">
            <w:pPr>
              <w:pStyle w:val="tableright"/>
            </w:pPr>
            <w:r>
              <w:t>14</w:t>
            </w:r>
          </w:p>
        </w:tc>
        <w:tc>
          <w:tcPr>
            <w:tcW w:w="752" w:type="dxa"/>
          </w:tcPr>
          <w:p w14:paraId="55A669A0" w14:textId="5BF8B960" w:rsidR="009244B2" w:rsidRPr="009244B2" w:rsidRDefault="009244B2" w:rsidP="00F51716">
            <w:pPr>
              <w:pStyle w:val="tableright"/>
            </w:pPr>
            <w:r>
              <w:t>13.8</w:t>
            </w:r>
          </w:p>
        </w:tc>
        <w:tc>
          <w:tcPr>
            <w:tcW w:w="730" w:type="dxa"/>
            <w:gridSpan w:val="2"/>
          </w:tcPr>
          <w:p w14:paraId="6C2F0C12" w14:textId="6FEC6D24" w:rsidR="009244B2" w:rsidRPr="009244B2" w:rsidRDefault="009244B2" w:rsidP="00F51716">
            <w:pPr>
              <w:pStyle w:val="tableright"/>
            </w:pPr>
            <w:r>
              <w:t>3</w:t>
            </w:r>
          </w:p>
        </w:tc>
        <w:tc>
          <w:tcPr>
            <w:tcW w:w="730" w:type="dxa"/>
          </w:tcPr>
          <w:p w14:paraId="63EEEC6C" w14:textId="5C23F30A" w:rsidR="009244B2" w:rsidRPr="009244B2" w:rsidRDefault="009244B2" w:rsidP="00F51716">
            <w:pPr>
              <w:pStyle w:val="tableright"/>
            </w:pPr>
            <w:r>
              <w:t>0</w:t>
            </w:r>
          </w:p>
        </w:tc>
        <w:tc>
          <w:tcPr>
            <w:tcW w:w="731" w:type="dxa"/>
          </w:tcPr>
          <w:p w14:paraId="5FF0DC00" w14:textId="6A2FB54D" w:rsidR="009244B2" w:rsidRPr="009244B2" w:rsidRDefault="009244B2" w:rsidP="00F51716">
            <w:pPr>
              <w:pStyle w:val="tableright"/>
            </w:pPr>
            <w:r>
              <w:t>3</w:t>
            </w:r>
          </w:p>
        </w:tc>
        <w:tc>
          <w:tcPr>
            <w:tcW w:w="731" w:type="dxa"/>
          </w:tcPr>
          <w:p w14:paraId="3634D400" w14:textId="434B2FAD" w:rsidR="009244B2" w:rsidRPr="009244B2" w:rsidRDefault="009244B2" w:rsidP="00F51716">
            <w:pPr>
              <w:pStyle w:val="tableright"/>
            </w:pPr>
            <w:r>
              <w:t>11</w:t>
            </w:r>
          </w:p>
        </w:tc>
        <w:tc>
          <w:tcPr>
            <w:tcW w:w="790" w:type="dxa"/>
          </w:tcPr>
          <w:p w14:paraId="23B5E256" w14:textId="3670DE7C" w:rsidR="009244B2" w:rsidRPr="009244B2" w:rsidRDefault="009244B2" w:rsidP="00F51716">
            <w:pPr>
              <w:pStyle w:val="tableright"/>
            </w:pPr>
            <w:r>
              <w:t>10.8</w:t>
            </w:r>
          </w:p>
        </w:tc>
      </w:tr>
      <w:tr w:rsidR="009244B2" w14:paraId="54E1AE8F" w14:textId="77777777" w:rsidTr="009244B2">
        <w:tc>
          <w:tcPr>
            <w:tcW w:w="1557" w:type="dxa"/>
          </w:tcPr>
          <w:p w14:paraId="5AB80B52" w14:textId="3BA595B4" w:rsidR="009244B2" w:rsidRDefault="009244B2" w:rsidP="00F51716">
            <w:pPr>
              <w:pStyle w:val="Tabletext0"/>
            </w:pPr>
            <w:r>
              <w:t>VPS 4</w:t>
            </w:r>
          </w:p>
        </w:tc>
        <w:tc>
          <w:tcPr>
            <w:tcW w:w="790" w:type="dxa"/>
          </w:tcPr>
          <w:p w14:paraId="61973163" w14:textId="2313FE56" w:rsidR="009244B2" w:rsidRPr="009244B2" w:rsidRDefault="009244B2" w:rsidP="00F51716">
            <w:pPr>
              <w:pStyle w:val="tableright"/>
            </w:pPr>
            <w:r>
              <w:t>40</w:t>
            </w:r>
          </w:p>
        </w:tc>
        <w:tc>
          <w:tcPr>
            <w:tcW w:w="754" w:type="dxa"/>
          </w:tcPr>
          <w:p w14:paraId="004E92B0" w14:textId="5110E110" w:rsidR="009244B2" w:rsidRPr="009244B2" w:rsidRDefault="009244B2" w:rsidP="00F51716">
            <w:pPr>
              <w:pStyle w:val="tableright"/>
            </w:pPr>
            <w:r>
              <w:t>37.31</w:t>
            </w:r>
          </w:p>
        </w:tc>
        <w:tc>
          <w:tcPr>
            <w:tcW w:w="712" w:type="dxa"/>
          </w:tcPr>
          <w:p w14:paraId="615E16BE" w14:textId="0F970905" w:rsidR="009244B2" w:rsidRPr="009244B2" w:rsidRDefault="009244B2" w:rsidP="00F51716">
            <w:pPr>
              <w:pStyle w:val="tableright"/>
            </w:pPr>
            <w:r>
              <w:t>9</w:t>
            </w:r>
          </w:p>
        </w:tc>
        <w:tc>
          <w:tcPr>
            <w:tcW w:w="713" w:type="dxa"/>
          </w:tcPr>
          <w:p w14:paraId="719B68B0" w14:textId="3041AF01" w:rsidR="009244B2" w:rsidRPr="009244B2" w:rsidRDefault="009244B2" w:rsidP="00F51716">
            <w:pPr>
              <w:pStyle w:val="tableright"/>
            </w:pPr>
            <w:r>
              <w:t>4</w:t>
            </w:r>
          </w:p>
        </w:tc>
        <w:tc>
          <w:tcPr>
            <w:tcW w:w="714" w:type="dxa"/>
          </w:tcPr>
          <w:p w14:paraId="720C2537" w14:textId="62E376F4" w:rsidR="009244B2" w:rsidRPr="009244B2" w:rsidRDefault="009244B2" w:rsidP="00F51716">
            <w:pPr>
              <w:pStyle w:val="tableright"/>
            </w:pPr>
            <w:r>
              <w:t>11.65</w:t>
            </w:r>
          </w:p>
        </w:tc>
        <w:tc>
          <w:tcPr>
            <w:tcW w:w="742" w:type="dxa"/>
          </w:tcPr>
          <w:p w14:paraId="56FCA3CB" w14:textId="4B575451" w:rsidR="009244B2" w:rsidRPr="009244B2" w:rsidRDefault="009244B2" w:rsidP="00F51716">
            <w:pPr>
              <w:pStyle w:val="tableright"/>
            </w:pPr>
            <w:r>
              <w:t>27</w:t>
            </w:r>
          </w:p>
        </w:tc>
        <w:tc>
          <w:tcPr>
            <w:tcW w:w="731" w:type="dxa"/>
          </w:tcPr>
          <w:p w14:paraId="3524837B" w14:textId="704A93EB" w:rsidR="009244B2" w:rsidRPr="009244B2" w:rsidRDefault="009244B2" w:rsidP="00F51716">
            <w:pPr>
              <w:pStyle w:val="tableright"/>
            </w:pPr>
            <w:r>
              <w:t>25.65</w:t>
            </w:r>
          </w:p>
        </w:tc>
        <w:tc>
          <w:tcPr>
            <w:tcW w:w="731" w:type="dxa"/>
          </w:tcPr>
          <w:p w14:paraId="54D4CC44" w14:textId="78199F2B" w:rsidR="009244B2" w:rsidRPr="009244B2" w:rsidRDefault="009244B2" w:rsidP="00F51716">
            <w:pPr>
              <w:pStyle w:val="tableright"/>
            </w:pPr>
            <w:r>
              <w:t>45</w:t>
            </w:r>
          </w:p>
        </w:tc>
        <w:tc>
          <w:tcPr>
            <w:tcW w:w="752" w:type="dxa"/>
          </w:tcPr>
          <w:p w14:paraId="02AD2A98" w14:textId="09FC3E1E" w:rsidR="009244B2" w:rsidRPr="009244B2" w:rsidRDefault="009244B2" w:rsidP="00F51716">
            <w:pPr>
              <w:pStyle w:val="tableright"/>
            </w:pPr>
            <w:r>
              <w:t>39.85</w:t>
            </w:r>
          </w:p>
        </w:tc>
        <w:tc>
          <w:tcPr>
            <w:tcW w:w="730" w:type="dxa"/>
            <w:gridSpan w:val="2"/>
          </w:tcPr>
          <w:p w14:paraId="4847AD2F" w14:textId="2CE7C45D" w:rsidR="009244B2" w:rsidRPr="009244B2" w:rsidRDefault="009244B2" w:rsidP="00F51716">
            <w:pPr>
              <w:pStyle w:val="tableright"/>
            </w:pPr>
            <w:r>
              <w:t>9</w:t>
            </w:r>
          </w:p>
        </w:tc>
        <w:tc>
          <w:tcPr>
            <w:tcW w:w="730" w:type="dxa"/>
          </w:tcPr>
          <w:p w14:paraId="00CBC51D" w14:textId="5264F7DB" w:rsidR="009244B2" w:rsidRPr="009244B2" w:rsidRDefault="009244B2" w:rsidP="00F51716">
            <w:pPr>
              <w:pStyle w:val="tableright"/>
            </w:pPr>
            <w:r>
              <w:t>7</w:t>
            </w:r>
          </w:p>
        </w:tc>
        <w:tc>
          <w:tcPr>
            <w:tcW w:w="731" w:type="dxa"/>
          </w:tcPr>
          <w:p w14:paraId="24559645" w14:textId="06855EC2" w:rsidR="009244B2" w:rsidRPr="009244B2" w:rsidRDefault="009244B2" w:rsidP="00F51716">
            <w:pPr>
              <w:pStyle w:val="tableright"/>
            </w:pPr>
            <w:r>
              <w:t>13.25</w:t>
            </w:r>
          </w:p>
        </w:tc>
        <w:tc>
          <w:tcPr>
            <w:tcW w:w="731" w:type="dxa"/>
          </w:tcPr>
          <w:p w14:paraId="02729968" w14:textId="4590F5EB" w:rsidR="009244B2" w:rsidRPr="009244B2" w:rsidRDefault="009244B2" w:rsidP="00F51716">
            <w:pPr>
              <w:pStyle w:val="tableright"/>
            </w:pPr>
            <w:r>
              <w:t>29</w:t>
            </w:r>
          </w:p>
        </w:tc>
        <w:tc>
          <w:tcPr>
            <w:tcW w:w="790" w:type="dxa"/>
          </w:tcPr>
          <w:p w14:paraId="0173DC93" w14:textId="6537101C" w:rsidR="009244B2" w:rsidRPr="009244B2" w:rsidRDefault="009244B2" w:rsidP="00F51716">
            <w:pPr>
              <w:pStyle w:val="tableright"/>
            </w:pPr>
            <w:r>
              <w:t>26.6</w:t>
            </w:r>
          </w:p>
        </w:tc>
      </w:tr>
      <w:tr w:rsidR="009244B2" w14:paraId="7329F432" w14:textId="77777777" w:rsidTr="009244B2">
        <w:tc>
          <w:tcPr>
            <w:tcW w:w="1557" w:type="dxa"/>
          </w:tcPr>
          <w:p w14:paraId="7BB2CEF1" w14:textId="5A6CF175" w:rsidR="009244B2" w:rsidRDefault="009244B2" w:rsidP="00F51716">
            <w:pPr>
              <w:pStyle w:val="Tabletext0"/>
            </w:pPr>
            <w:r>
              <w:t>VPS 5</w:t>
            </w:r>
          </w:p>
        </w:tc>
        <w:tc>
          <w:tcPr>
            <w:tcW w:w="790" w:type="dxa"/>
          </w:tcPr>
          <w:p w14:paraId="15B9E179" w14:textId="0C71F6EA" w:rsidR="009244B2" w:rsidRPr="009244B2" w:rsidRDefault="009244B2" w:rsidP="00F51716">
            <w:pPr>
              <w:pStyle w:val="tableright"/>
            </w:pPr>
            <w:r>
              <w:t>74</w:t>
            </w:r>
          </w:p>
        </w:tc>
        <w:tc>
          <w:tcPr>
            <w:tcW w:w="754" w:type="dxa"/>
          </w:tcPr>
          <w:p w14:paraId="170BA46B" w14:textId="0B1A2256" w:rsidR="009244B2" w:rsidRPr="009244B2" w:rsidRDefault="009244B2" w:rsidP="00F51716">
            <w:pPr>
              <w:pStyle w:val="tableright"/>
            </w:pPr>
            <w:r>
              <w:t>70.7</w:t>
            </w:r>
          </w:p>
        </w:tc>
        <w:tc>
          <w:tcPr>
            <w:tcW w:w="712" w:type="dxa"/>
          </w:tcPr>
          <w:p w14:paraId="34AF5EF5" w14:textId="04A400FB" w:rsidR="009244B2" w:rsidRPr="009244B2" w:rsidRDefault="009244B2" w:rsidP="00F51716">
            <w:pPr>
              <w:pStyle w:val="tableright"/>
            </w:pPr>
            <w:r>
              <w:t>21</w:t>
            </w:r>
          </w:p>
        </w:tc>
        <w:tc>
          <w:tcPr>
            <w:tcW w:w="713" w:type="dxa"/>
          </w:tcPr>
          <w:p w14:paraId="46DABEC9" w14:textId="22C65874" w:rsidR="009244B2" w:rsidRPr="009244B2" w:rsidRDefault="009244B2" w:rsidP="00F51716">
            <w:pPr>
              <w:pStyle w:val="tableright"/>
            </w:pPr>
            <w:r>
              <w:t>8</w:t>
            </w:r>
          </w:p>
        </w:tc>
        <w:tc>
          <w:tcPr>
            <w:tcW w:w="714" w:type="dxa"/>
          </w:tcPr>
          <w:p w14:paraId="50D6006E" w14:textId="2E3C279E" w:rsidR="009244B2" w:rsidRPr="009244B2" w:rsidRDefault="009244B2" w:rsidP="00F51716">
            <w:pPr>
              <w:pStyle w:val="tableright"/>
            </w:pPr>
            <w:r>
              <w:t>26.5</w:t>
            </w:r>
          </w:p>
        </w:tc>
        <w:tc>
          <w:tcPr>
            <w:tcW w:w="742" w:type="dxa"/>
          </w:tcPr>
          <w:p w14:paraId="3CDB6CE1" w14:textId="54C8AB31" w:rsidR="009244B2" w:rsidRPr="009244B2" w:rsidRDefault="009244B2" w:rsidP="00F51716">
            <w:pPr>
              <w:pStyle w:val="tableright"/>
            </w:pPr>
            <w:r>
              <w:t>45</w:t>
            </w:r>
          </w:p>
        </w:tc>
        <w:tc>
          <w:tcPr>
            <w:tcW w:w="731" w:type="dxa"/>
          </w:tcPr>
          <w:p w14:paraId="48ECC350" w14:textId="315C6BFD" w:rsidR="009244B2" w:rsidRPr="009244B2" w:rsidRDefault="009244B2" w:rsidP="00F51716">
            <w:pPr>
              <w:pStyle w:val="tableright"/>
            </w:pPr>
            <w:r>
              <w:t>44.2</w:t>
            </w:r>
          </w:p>
        </w:tc>
        <w:tc>
          <w:tcPr>
            <w:tcW w:w="731" w:type="dxa"/>
          </w:tcPr>
          <w:p w14:paraId="3E0DAA28" w14:textId="41A7A60C" w:rsidR="009244B2" w:rsidRPr="009244B2" w:rsidRDefault="009244B2" w:rsidP="00F51716">
            <w:pPr>
              <w:pStyle w:val="tableright"/>
            </w:pPr>
            <w:r>
              <w:t>91</w:t>
            </w:r>
          </w:p>
        </w:tc>
        <w:tc>
          <w:tcPr>
            <w:tcW w:w="752" w:type="dxa"/>
          </w:tcPr>
          <w:p w14:paraId="2D458F0F" w14:textId="5799EBBB" w:rsidR="009244B2" w:rsidRPr="009244B2" w:rsidRDefault="009244B2" w:rsidP="00F51716">
            <w:pPr>
              <w:pStyle w:val="tableright"/>
            </w:pPr>
            <w:r>
              <w:t>87.9</w:t>
            </w:r>
          </w:p>
        </w:tc>
        <w:tc>
          <w:tcPr>
            <w:tcW w:w="730" w:type="dxa"/>
            <w:gridSpan w:val="2"/>
          </w:tcPr>
          <w:p w14:paraId="608DF3B6" w14:textId="46F548D0" w:rsidR="009244B2" w:rsidRPr="009244B2" w:rsidRDefault="009244B2" w:rsidP="00F51716">
            <w:pPr>
              <w:pStyle w:val="tableright"/>
            </w:pPr>
            <w:r>
              <w:t>31</w:t>
            </w:r>
          </w:p>
        </w:tc>
        <w:tc>
          <w:tcPr>
            <w:tcW w:w="730" w:type="dxa"/>
          </w:tcPr>
          <w:p w14:paraId="40CB6EF9" w14:textId="4AF73246" w:rsidR="009244B2" w:rsidRPr="009244B2" w:rsidRDefault="009244B2" w:rsidP="00F51716">
            <w:pPr>
              <w:pStyle w:val="tableright"/>
            </w:pPr>
            <w:r>
              <w:t>5</w:t>
            </w:r>
          </w:p>
        </w:tc>
        <w:tc>
          <w:tcPr>
            <w:tcW w:w="731" w:type="dxa"/>
          </w:tcPr>
          <w:p w14:paraId="576D28D6" w14:textId="085071B0" w:rsidR="009244B2" w:rsidRPr="009244B2" w:rsidRDefault="009244B2" w:rsidP="00F51716">
            <w:pPr>
              <w:pStyle w:val="tableright"/>
            </w:pPr>
            <w:r>
              <w:t>34.7</w:t>
            </w:r>
          </w:p>
        </w:tc>
        <w:tc>
          <w:tcPr>
            <w:tcW w:w="731" w:type="dxa"/>
          </w:tcPr>
          <w:p w14:paraId="11C4868B" w14:textId="112620A4" w:rsidR="009244B2" w:rsidRPr="009244B2" w:rsidRDefault="009244B2" w:rsidP="00F51716">
            <w:pPr>
              <w:pStyle w:val="tableright"/>
            </w:pPr>
            <w:r>
              <w:t>55</w:t>
            </w:r>
          </w:p>
        </w:tc>
        <w:tc>
          <w:tcPr>
            <w:tcW w:w="790" w:type="dxa"/>
          </w:tcPr>
          <w:p w14:paraId="3B6A2C15" w14:textId="7EBEF3CA" w:rsidR="009244B2" w:rsidRPr="009244B2" w:rsidRDefault="009244B2" w:rsidP="00F51716">
            <w:pPr>
              <w:pStyle w:val="tableright"/>
            </w:pPr>
            <w:r>
              <w:t>53.2</w:t>
            </w:r>
          </w:p>
        </w:tc>
      </w:tr>
      <w:tr w:rsidR="009244B2" w14:paraId="6DE049BB" w14:textId="77777777" w:rsidTr="009244B2">
        <w:tc>
          <w:tcPr>
            <w:tcW w:w="1557" w:type="dxa"/>
          </w:tcPr>
          <w:p w14:paraId="10BBFB9E" w14:textId="2077F1E5" w:rsidR="009244B2" w:rsidRDefault="009244B2" w:rsidP="00F51716">
            <w:pPr>
              <w:pStyle w:val="Tabletext0"/>
            </w:pPr>
            <w:r>
              <w:t>VPS 6</w:t>
            </w:r>
          </w:p>
        </w:tc>
        <w:tc>
          <w:tcPr>
            <w:tcW w:w="790" w:type="dxa"/>
          </w:tcPr>
          <w:p w14:paraId="16B09CEA" w14:textId="7E9B7FC5" w:rsidR="009244B2" w:rsidRPr="009244B2" w:rsidRDefault="009244B2" w:rsidP="00F51716">
            <w:pPr>
              <w:pStyle w:val="tableright"/>
            </w:pPr>
            <w:r>
              <w:t>21</w:t>
            </w:r>
          </w:p>
        </w:tc>
        <w:tc>
          <w:tcPr>
            <w:tcW w:w="754" w:type="dxa"/>
          </w:tcPr>
          <w:p w14:paraId="10807F8C" w14:textId="2E819E48" w:rsidR="009244B2" w:rsidRPr="009244B2" w:rsidRDefault="009244B2" w:rsidP="00F51716">
            <w:pPr>
              <w:pStyle w:val="tableright"/>
            </w:pPr>
            <w:r>
              <w:t>20.7</w:t>
            </w:r>
          </w:p>
        </w:tc>
        <w:tc>
          <w:tcPr>
            <w:tcW w:w="712" w:type="dxa"/>
          </w:tcPr>
          <w:p w14:paraId="2CA9DCBA" w14:textId="3DA1F16B" w:rsidR="009244B2" w:rsidRPr="009244B2" w:rsidRDefault="009244B2" w:rsidP="00F51716">
            <w:pPr>
              <w:pStyle w:val="tableright"/>
            </w:pPr>
            <w:r>
              <w:t>13</w:t>
            </w:r>
          </w:p>
        </w:tc>
        <w:tc>
          <w:tcPr>
            <w:tcW w:w="713" w:type="dxa"/>
          </w:tcPr>
          <w:p w14:paraId="0B858E43" w14:textId="08B777BB" w:rsidR="009244B2" w:rsidRPr="009244B2" w:rsidRDefault="009244B2" w:rsidP="00F51716">
            <w:pPr>
              <w:pStyle w:val="tableright"/>
            </w:pPr>
            <w:r>
              <w:t>2</w:t>
            </w:r>
          </w:p>
        </w:tc>
        <w:tc>
          <w:tcPr>
            <w:tcW w:w="714" w:type="dxa"/>
          </w:tcPr>
          <w:p w14:paraId="1DAF46C8" w14:textId="0178FCF5" w:rsidR="009244B2" w:rsidRPr="009244B2" w:rsidRDefault="009244B2" w:rsidP="00F51716">
            <w:pPr>
              <w:pStyle w:val="tableright"/>
            </w:pPr>
            <w:r>
              <w:t>14.7</w:t>
            </w:r>
          </w:p>
        </w:tc>
        <w:tc>
          <w:tcPr>
            <w:tcW w:w="742" w:type="dxa"/>
          </w:tcPr>
          <w:p w14:paraId="683B2119" w14:textId="198CE313" w:rsidR="009244B2" w:rsidRPr="009244B2" w:rsidRDefault="009244B2" w:rsidP="00F51716">
            <w:pPr>
              <w:pStyle w:val="tableright"/>
            </w:pPr>
            <w:r>
              <w:t>6</w:t>
            </w:r>
          </w:p>
        </w:tc>
        <w:tc>
          <w:tcPr>
            <w:tcW w:w="731" w:type="dxa"/>
          </w:tcPr>
          <w:p w14:paraId="3F71AFFF" w14:textId="4CF01FDA" w:rsidR="009244B2" w:rsidRPr="009244B2" w:rsidRDefault="009244B2" w:rsidP="00F51716">
            <w:pPr>
              <w:pStyle w:val="tableright"/>
            </w:pPr>
            <w:r>
              <w:t>6</w:t>
            </w:r>
          </w:p>
        </w:tc>
        <w:tc>
          <w:tcPr>
            <w:tcW w:w="731" w:type="dxa"/>
          </w:tcPr>
          <w:p w14:paraId="0779A368" w14:textId="3302CC45" w:rsidR="009244B2" w:rsidRPr="009244B2" w:rsidRDefault="009244B2" w:rsidP="00F51716">
            <w:pPr>
              <w:pStyle w:val="tableright"/>
            </w:pPr>
            <w:r>
              <w:t>22</w:t>
            </w:r>
          </w:p>
        </w:tc>
        <w:tc>
          <w:tcPr>
            <w:tcW w:w="752" w:type="dxa"/>
          </w:tcPr>
          <w:p w14:paraId="607E711F" w14:textId="0D633B9A" w:rsidR="009244B2" w:rsidRPr="009244B2" w:rsidRDefault="009244B2" w:rsidP="00F51716">
            <w:pPr>
              <w:pStyle w:val="tableright"/>
            </w:pPr>
            <w:r>
              <w:t>21</w:t>
            </w:r>
          </w:p>
        </w:tc>
        <w:tc>
          <w:tcPr>
            <w:tcW w:w="730" w:type="dxa"/>
            <w:gridSpan w:val="2"/>
          </w:tcPr>
          <w:p w14:paraId="6DC68FC5" w14:textId="32F22FD4" w:rsidR="009244B2" w:rsidRPr="009244B2" w:rsidRDefault="009244B2" w:rsidP="00F51716">
            <w:pPr>
              <w:pStyle w:val="tableright"/>
            </w:pPr>
            <w:r>
              <w:t>11</w:t>
            </w:r>
          </w:p>
        </w:tc>
        <w:tc>
          <w:tcPr>
            <w:tcW w:w="730" w:type="dxa"/>
          </w:tcPr>
          <w:p w14:paraId="75866CC7" w14:textId="1021AA4A" w:rsidR="009244B2" w:rsidRPr="009244B2" w:rsidRDefault="009244B2" w:rsidP="00F51716">
            <w:pPr>
              <w:pStyle w:val="tableright"/>
            </w:pPr>
            <w:r>
              <w:t>4</w:t>
            </w:r>
          </w:p>
        </w:tc>
        <w:tc>
          <w:tcPr>
            <w:tcW w:w="731" w:type="dxa"/>
          </w:tcPr>
          <w:p w14:paraId="41080401" w14:textId="768E9D4A" w:rsidR="009244B2" w:rsidRPr="009244B2" w:rsidRDefault="009244B2" w:rsidP="00F51716">
            <w:pPr>
              <w:pStyle w:val="tableright"/>
            </w:pPr>
            <w:r>
              <w:t>14</w:t>
            </w:r>
          </w:p>
        </w:tc>
        <w:tc>
          <w:tcPr>
            <w:tcW w:w="731" w:type="dxa"/>
          </w:tcPr>
          <w:p w14:paraId="6B8E81FD" w14:textId="583519DD" w:rsidR="009244B2" w:rsidRPr="009244B2" w:rsidRDefault="009244B2" w:rsidP="00F51716">
            <w:pPr>
              <w:pStyle w:val="tableright"/>
            </w:pPr>
            <w:r>
              <w:t>7</w:t>
            </w:r>
          </w:p>
        </w:tc>
        <w:tc>
          <w:tcPr>
            <w:tcW w:w="790" w:type="dxa"/>
          </w:tcPr>
          <w:p w14:paraId="551DA8C4" w14:textId="082E2867" w:rsidR="009244B2" w:rsidRPr="009244B2" w:rsidRDefault="009244B2" w:rsidP="00F51716">
            <w:pPr>
              <w:pStyle w:val="tableright"/>
            </w:pPr>
            <w:r>
              <w:t>7</w:t>
            </w:r>
          </w:p>
        </w:tc>
      </w:tr>
      <w:tr w:rsidR="009244B2" w:rsidRPr="009244B2" w14:paraId="6D6C8CAD" w14:textId="77777777" w:rsidTr="009244B2">
        <w:tc>
          <w:tcPr>
            <w:tcW w:w="11908" w:type="dxa"/>
            <w:gridSpan w:val="16"/>
            <w:shd w:val="clear" w:color="auto" w:fill="E4E4E5" w:themeFill="text2" w:themeFillTint="66"/>
          </w:tcPr>
          <w:p w14:paraId="74975A35" w14:textId="475E3604" w:rsidR="009244B2" w:rsidRPr="009244B2" w:rsidRDefault="009244B2" w:rsidP="00F51716">
            <w:pPr>
              <w:pStyle w:val="Tabletext0"/>
            </w:pPr>
            <w:r w:rsidRPr="009244B2">
              <w:t>Senior employees</w:t>
            </w:r>
          </w:p>
        </w:tc>
      </w:tr>
      <w:tr w:rsidR="00A926B8" w14:paraId="2CCFAF3A" w14:textId="77777777" w:rsidTr="009244B2">
        <w:tc>
          <w:tcPr>
            <w:tcW w:w="1557" w:type="dxa"/>
          </w:tcPr>
          <w:p w14:paraId="15399A27" w14:textId="52A19964" w:rsidR="00A926B8" w:rsidRDefault="00A926B8" w:rsidP="00F51716">
            <w:pPr>
              <w:pStyle w:val="Tabletext0"/>
            </w:pPr>
            <w:r>
              <w:t>STS</w:t>
            </w:r>
          </w:p>
        </w:tc>
        <w:tc>
          <w:tcPr>
            <w:tcW w:w="790" w:type="dxa"/>
          </w:tcPr>
          <w:p w14:paraId="5DDB831D" w14:textId="3D6D9CB4" w:rsidR="00A926B8" w:rsidRPr="009244B2" w:rsidRDefault="00A926B8" w:rsidP="00F51716">
            <w:pPr>
              <w:pStyle w:val="tableright"/>
            </w:pPr>
            <w:r>
              <w:t>0</w:t>
            </w:r>
          </w:p>
        </w:tc>
        <w:tc>
          <w:tcPr>
            <w:tcW w:w="754" w:type="dxa"/>
          </w:tcPr>
          <w:p w14:paraId="4941CB2C" w14:textId="31218081" w:rsidR="00A926B8" w:rsidRPr="009244B2" w:rsidRDefault="00A926B8" w:rsidP="00F51716">
            <w:pPr>
              <w:pStyle w:val="tableright"/>
            </w:pPr>
            <w:r>
              <w:t>0</w:t>
            </w:r>
          </w:p>
        </w:tc>
        <w:tc>
          <w:tcPr>
            <w:tcW w:w="712" w:type="dxa"/>
          </w:tcPr>
          <w:p w14:paraId="7C1C3671" w14:textId="6D8F9E83" w:rsidR="00A926B8" w:rsidRPr="009244B2" w:rsidRDefault="00A926B8" w:rsidP="00F51716">
            <w:pPr>
              <w:pStyle w:val="tableright"/>
            </w:pPr>
            <w:r>
              <w:t>0</w:t>
            </w:r>
          </w:p>
        </w:tc>
        <w:tc>
          <w:tcPr>
            <w:tcW w:w="713" w:type="dxa"/>
          </w:tcPr>
          <w:p w14:paraId="6161769F" w14:textId="39C0E673" w:rsidR="00A926B8" w:rsidRPr="009244B2" w:rsidRDefault="00A926B8" w:rsidP="00F51716">
            <w:pPr>
              <w:pStyle w:val="tableright"/>
            </w:pPr>
            <w:r>
              <w:t>0</w:t>
            </w:r>
          </w:p>
        </w:tc>
        <w:tc>
          <w:tcPr>
            <w:tcW w:w="714" w:type="dxa"/>
          </w:tcPr>
          <w:p w14:paraId="7310AF6A" w14:textId="2142A150" w:rsidR="00A926B8" w:rsidRPr="009244B2" w:rsidRDefault="00A926B8" w:rsidP="00F51716">
            <w:pPr>
              <w:pStyle w:val="tableright"/>
            </w:pPr>
            <w:r>
              <w:t>0</w:t>
            </w:r>
          </w:p>
        </w:tc>
        <w:tc>
          <w:tcPr>
            <w:tcW w:w="742" w:type="dxa"/>
          </w:tcPr>
          <w:p w14:paraId="622666CC" w14:textId="14333C27" w:rsidR="00A926B8" w:rsidRPr="009244B2" w:rsidRDefault="00A926B8" w:rsidP="00F51716">
            <w:pPr>
              <w:pStyle w:val="tableright"/>
            </w:pPr>
            <w:r>
              <w:t>0</w:t>
            </w:r>
          </w:p>
        </w:tc>
        <w:tc>
          <w:tcPr>
            <w:tcW w:w="731" w:type="dxa"/>
          </w:tcPr>
          <w:p w14:paraId="76429286" w14:textId="49DF6C85" w:rsidR="00A926B8" w:rsidRPr="009244B2" w:rsidRDefault="00A926B8" w:rsidP="00F51716">
            <w:pPr>
              <w:pStyle w:val="tableright"/>
            </w:pPr>
            <w:r>
              <w:t>0</w:t>
            </w:r>
          </w:p>
        </w:tc>
        <w:tc>
          <w:tcPr>
            <w:tcW w:w="731" w:type="dxa"/>
          </w:tcPr>
          <w:p w14:paraId="72FC0687" w14:textId="1B52F8D8" w:rsidR="00A926B8" w:rsidRPr="009244B2" w:rsidRDefault="00A926B8" w:rsidP="00F51716">
            <w:pPr>
              <w:pStyle w:val="tableright"/>
            </w:pPr>
            <w:r>
              <w:t>0</w:t>
            </w:r>
          </w:p>
        </w:tc>
        <w:tc>
          <w:tcPr>
            <w:tcW w:w="752" w:type="dxa"/>
          </w:tcPr>
          <w:p w14:paraId="49935FF4" w14:textId="6722B729" w:rsidR="00A926B8" w:rsidRPr="009244B2" w:rsidRDefault="00A926B8" w:rsidP="00F51716">
            <w:pPr>
              <w:pStyle w:val="tableright"/>
            </w:pPr>
            <w:r>
              <w:t>0</w:t>
            </w:r>
          </w:p>
        </w:tc>
        <w:tc>
          <w:tcPr>
            <w:tcW w:w="730" w:type="dxa"/>
            <w:gridSpan w:val="2"/>
          </w:tcPr>
          <w:p w14:paraId="35D4F7AC" w14:textId="39D998D4" w:rsidR="00A926B8" w:rsidRPr="009244B2" w:rsidRDefault="00A926B8" w:rsidP="00F51716">
            <w:pPr>
              <w:pStyle w:val="tableright"/>
            </w:pPr>
            <w:r>
              <w:t>0</w:t>
            </w:r>
          </w:p>
        </w:tc>
        <w:tc>
          <w:tcPr>
            <w:tcW w:w="730" w:type="dxa"/>
          </w:tcPr>
          <w:p w14:paraId="462E47C4" w14:textId="78A62E39" w:rsidR="00A926B8" w:rsidRPr="009244B2" w:rsidRDefault="00A926B8" w:rsidP="00F51716">
            <w:pPr>
              <w:pStyle w:val="tableright"/>
            </w:pPr>
            <w:r>
              <w:t>0</w:t>
            </w:r>
          </w:p>
        </w:tc>
        <w:tc>
          <w:tcPr>
            <w:tcW w:w="731" w:type="dxa"/>
          </w:tcPr>
          <w:p w14:paraId="78841293" w14:textId="1A482BB5" w:rsidR="00A926B8" w:rsidRPr="009244B2" w:rsidRDefault="00A926B8" w:rsidP="00F51716">
            <w:pPr>
              <w:pStyle w:val="tableright"/>
            </w:pPr>
            <w:r>
              <w:t>0</w:t>
            </w:r>
          </w:p>
        </w:tc>
        <w:tc>
          <w:tcPr>
            <w:tcW w:w="731" w:type="dxa"/>
          </w:tcPr>
          <w:p w14:paraId="7DC99293" w14:textId="003D3231" w:rsidR="00A926B8" w:rsidRPr="009244B2" w:rsidRDefault="00A926B8" w:rsidP="00F51716">
            <w:pPr>
              <w:pStyle w:val="tableright"/>
            </w:pPr>
            <w:r>
              <w:t>0</w:t>
            </w:r>
          </w:p>
        </w:tc>
        <w:tc>
          <w:tcPr>
            <w:tcW w:w="790" w:type="dxa"/>
          </w:tcPr>
          <w:p w14:paraId="3909174D" w14:textId="46BB434A" w:rsidR="00A926B8" w:rsidRPr="009244B2" w:rsidRDefault="00A926B8" w:rsidP="00F51716">
            <w:pPr>
              <w:pStyle w:val="tableright"/>
            </w:pPr>
            <w:r>
              <w:t>0</w:t>
            </w:r>
          </w:p>
        </w:tc>
      </w:tr>
      <w:tr w:rsidR="00A926B8" w14:paraId="438BB21E" w14:textId="77777777" w:rsidTr="009244B2">
        <w:tc>
          <w:tcPr>
            <w:tcW w:w="1557" w:type="dxa"/>
          </w:tcPr>
          <w:p w14:paraId="6FE887F7" w14:textId="6BE9C0DE" w:rsidR="00A926B8" w:rsidRDefault="00A926B8" w:rsidP="00F51716">
            <w:pPr>
              <w:pStyle w:val="Tabletext0"/>
            </w:pPr>
            <w:r>
              <w:t>PS</w:t>
            </w:r>
          </w:p>
        </w:tc>
        <w:tc>
          <w:tcPr>
            <w:tcW w:w="790" w:type="dxa"/>
          </w:tcPr>
          <w:p w14:paraId="46B4F5D5" w14:textId="0FFF509D" w:rsidR="00A926B8" w:rsidRPr="009244B2" w:rsidRDefault="00A926B8" w:rsidP="00F51716">
            <w:pPr>
              <w:pStyle w:val="tableright"/>
            </w:pPr>
            <w:r>
              <w:t>0</w:t>
            </w:r>
          </w:p>
        </w:tc>
        <w:tc>
          <w:tcPr>
            <w:tcW w:w="754" w:type="dxa"/>
          </w:tcPr>
          <w:p w14:paraId="2747C3D2" w14:textId="50C46290" w:rsidR="00A926B8" w:rsidRPr="009244B2" w:rsidRDefault="00A926B8" w:rsidP="00F51716">
            <w:pPr>
              <w:pStyle w:val="tableright"/>
            </w:pPr>
            <w:r>
              <w:t>0</w:t>
            </w:r>
          </w:p>
        </w:tc>
        <w:tc>
          <w:tcPr>
            <w:tcW w:w="712" w:type="dxa"/>
          </w:tcPr>
          <w:p w14:paraId="07302828" w14:textId="19060BC0" w:rsidR="00A926B8" w:rsidRPr="009244B2" w:rsidRDefault="00A926B8" w:rsidP="00F51716">
            <w:pPr>
              <w:pStyle w:val="tableright"/>
            </w:pPr>
            <w:r>
              <w:t>0</w:t>
            </w:r>
          </w:p>
        </w:tc>
        <w:tc>
          <w:tcPr>
            <w:tcW w:w="713" w:type="dxa"/>
          </w:tcPr>
          <w:p w14:paraId="5D814A57" w14:textId="17FD8BA3" w:rsidR="00A926B8" w:rsidRPr="009244B2" w:rsidRDefault="00A926B8" w:rsidP="00F51716">
            <w:pPr>
              <w:pStyle w:val="tableright"/>
            </w:pPr>
            <w:r>
              <w:t>0</w:t>
            </w:r>
          </w:p>
        </w:tc>
        <w:tc>
          <w:tcPr>
            <w:tcW w:w="714" w:type="dxa"/>
          </w:tcPr>
          <w:p w14:paraId="440DD435" w14:textId="74E2993E" w:rsidR="00A926B8" w:rsidRPr="009244B2" w:rsidRDefault="00A926B8" w:rsidP="00F51716">
            <w:pPr>
              <w:pStyle w:val="tableright"/>
            </w:pPr>
            <w:r>
              <w:t>0</w:t>
            </w:r>
          </w:p>
        </w:tc>
        <w:tc>
          <w:tcPr>
            <w:tcW w:w="742" w:type="dxa"/>
          </w:tcPr>
          <w:p w14:paraId="6192BE9B" w14:textId="341DE618" w:rsidR="00A926B8" w:rsidRPr="009244B2" w:rsidRDefault="00A926B8" w:rsidP="00F51716">
            <w:pPr>
              <w:pStyle w:val="tableright"/>
            </w:pPr>
            <w:r>
              <w:t>0</w:t>
            </w:r>
          </w:p>
        </w:tc>
        <w:tc>
          <w:tcPr>
            <w:tcW w:w="731" w:type="dxa"/>
          </w:tcPr>
          <w:p w14:paraId="55A739D7" w14:textId="7A11093F" w:rsidR="00A926B8" w:rsidRPr="009244B2" w:rsidRDefault="00A926B8" w:rsidP="00F51716">
            <w:pPr>
              <w:pStyle w:val="tableright"/>
            </w:pPr>
            <w:r>
              <w:t>0</w:t>
            </w:r>
          </w:p>
        </w:tc>
        <w:tc>
          <w:tcPr>
            <w:tcW w:w="731" w:type="dxa"/>
          </w:tcPr>
          <w:p w14:paraId="0B62DEC6" w14:textId="7A9CB09E" w:rsidR="00A926B8" w:rsidRPr="009244B2" w:rsidRDefault="00A926B8" w:rsidP="00F51716">
            <w:pPr>
              <w:pStyle w:val="tableright"/>
            </w:pPr>
            <w:r>
              <w:t>0</w:t>
            </w:r>
          </w:p>
        </w:tc>
        <w:tc>
          <w:tcPr>
            <w:tcW w:w="752" w:type="dxa"/>
          </w:tcPr>
          <w:p w14:paraId="6B091A75" w14:textId="68308B9E" w:rsidR="00A926B8" w:rsidRPr="009244B2" w:rsidRDefault="00A926B8" w:rsidP="00F51716">
            <w:pPr>
              <w:pStyle w:val="tableright"/>
            </w:pPr>
            <w:r>
              <w:t>0</w:t>
            </w:r>
          </w:p>
        </w:tc>
        <w:tc>
          <w:tcPr>
            <w:tcW w:w="730" w:type="dxa"/>
            <w:gridSpan w:val="2"/>
          </w:tcPr>
          <w:p w14:paraId="5748F41D" w14:textId="29690DBB" w:rsidR="00A926B8" w:rsidRPr="009244B2" w:rsidRDefault="00A926B8" w:rsidP="00F51716">
            <w:pPr>
              <w:pStyle w:val="tableright"/>
            </w:pPr>
            <w:r>
              <w:t>0</w:t>
            </w:r>
          </w:p>
        </w:tc>
        <w:tc>
          <w:tcPr>
            <w:tcW w:w="730" w:type="dxa"/>
          </w:tcPr>
          <w:p w14:paraId="24C9CEE2" w14:textId="3E4096E6" w:rsidR="00A926B8" w:rsidRPr="009244B2" w:rsidRDefault="00A926B8" w:rsidP="00F51716">
            <w:pPr>
              <w:pStyle w:val="tableright"/>
            </w:pPr>
            <w:r>
              <w:t>0</w:t>
            </w:r>
          </w:p>
        </w:tc>
        <w:tc>
          <w:tcPr>
            <w:tcW w:w="731" w:type="dxa"/>
          </w:tcPr>
          <w:p w14:paraId="6D127F7A" w14:textId="4EE9D8D6" w:rsidR="00A926B8" w:rsidRPr="009244B2" w:rsidRDefault="00A926B8" w:rsidP="00F51716">
            <w:pPr>
              <w:pStyle w:val="tableright"/>
            </w:pPr>
            <w:r>
              <w:t>0</w:t>
            </w:r>
          </w:p>
        </w:tc>
        <w:tc>
          <w:tcPr>
            <w:tcW w:w="731" w:type="dxa"/>
          </w:tcPr>
          <w:p w14:paraId="79B1612E" w14:textId="7C305711" w:rsidR="00A926B8" w:rsidRPr="009244B2" w:rsidRDefault="00A926B8" w:rsidP="00F51716">
            <w:pPr>
              <w:pStyle w:val="tableright"/>
            </w:pPr>
            <w:r>
              <w:t>0</w:t>
            </w:r>
          </w:p>
        </w:tc>
        <w:tc>
          <w:tcPr>
            <w:tcW w:w="790" w:type="dxa"/>
          </w:tcPr>
          <w:p w14:paraId="24EA1747" w14:textId="65891265" w:rsidR="00A926B8" w:rsidRPr="009244B2" w:rsidRDefault="00A926B8" w:rsidP="00F51716">
            <w:pPr>
              <w:pStyle w:val="tableright"/>
            </w:pPr>
            <w:r>
              <w:t>0</w:t>
            </w:r>
          </w:p>
        </w:tc>
      </w:tr>
      <w:tr w:rsidR="00A926B8" w14:paraId="16F3D6A3" w14:textId="77777777" w:rsidTr="009244B2">
        <w:tc>
          <w:tcPr>
            <w:tcW w:w="1557" w:type="dxa"/>
          </w:tcPr>
          <w:p w14:paraId="38EA8799" w14:textId="4AF95ADD" w:rsidR="00A926B8" w:rsidRDefault="00A926B8" w:rsidP="00F51716">
            <w:pPr>
              <w:pStyle w:val="Tabletext0"/>
            </w:pPr>
            <w:r>
              <w:t>SMA</w:t>
            </w:r>
          </w:p>
        </w:tc>
        <w:tc>
          <w:tcPr>
            <w:tcW w:w="790" w:type="dxa"/>
          </w:tcPr>
          <w:p w14:paraId="1860D0ED" w14:textId="5693AA32" w:rsidR="00A926B8" w:rsidRPr="009244B2" w:rsidRDefault="00A926B8" w:rsidP="00F51716">
            <w:pPr>
              <w:pStyle w:val="tableright"/>
            </w:pPr>
            <w:r>
              <w:t>0</w:t>
            </w:r>
          </w:p>
        </w:tc>
        <w:tc>
          <w:tcPr>
            <w:tcW w:w="754" w:type="dxa"/>
          </w:tcPr>
          <w:p w14:paraId="553BCD7E" w14:textId="79F52384" w:rsidR="00A926B8" w:rsidRPr="009244B2" w:rsidRDefault="00A926B8" w:rsidP="00F51716">
            <w:pPr>
              <w:pStyle w:val="tableright"/>
            </w:pPr>
            <w:r>
              <w:t>0</w:t>
            </w:r>
          </w:p>
        </w:tc>
        <w:tc>
          <w:tcPr>
            <w:tcW w:w="712" w:type="dxa"/>
          </w:tcPr>
          <w:p w14:paraId="724739DB" w14:textId="4C60799C" w:rsidR="00A926B8" w:rsidRPr="009244B2" w:rsidRDefault="00A926B8" w:rsidP="00F51716">
            <w:pPr>
              <w:pStyle w:val="tableright"/>
            </w:pPr>
            <w:r>
              <w:t>0</w:t>
            </w:r>
          </w:p>
        </w:tc>
        <w:tc>
          <w:tcPr>
            <w:tcW w:w="713" w:type="dxa"/>
          </w:tcPr>
          <w:p w14:paraId="318373A8" w14:textId="2C263CDA" w:rsidR="00A926B8" w:rsidRPr="009244B2" w:rsidRDefault="00A926B8" w:rsidP="00F51716">
            <w:pPr>
              <w:pStyle w:val="tableright"/>
            </w:pPr>
            <w:r>
              <w:t>0</w:t>
            </w:r>
          </w:p>
        </w:tc>
        <w:tc>
          <w:tcPr>
            <w:tcW w:w="714" w:type="dxa"/>
          </w:tcPr>
          <w:p w14:paraId="1AF8B97E" w14:textId="51F92F3E" w:rsidR="00A926B8" w:rsidRPr="009244B2" w:rsidRDefault="00A926B8" w:rsidP="00F51716">
            <w:pPr>
              <w:pStyle w:val="tableright"/>
            </w:pPr>
            <w:r>
              <w:t>0</w:t>
            </w:r>
          </w:p>
        </w:tc>
        <w:tc>
          <w:tcPr>
            <w:tcW w:w="742" w:type="dxa"/>
          </w:tcPr>
          <w:p w14:paraId="52F0D8DC" w14:textId="5F963244" w:rsidR="00A926B8" w:rsidRPr="009244B2" w:rsidRDefault="00A926B8" w:rsidP="00F51716">
            <w:pPr>
              <w:pStyle w:val="tableright"/>
            </w:pPr>
            <w:r>
              <w:t>0</w:t>
            </w:r>
          </w:p>
        </w:tc>
        <w:tc>
          <w:tcPr>
            <w:tcW w:w="731" w:type="dxa"/>
          </w:tcPr>
          <w:p w14:paraId="7CBC51B3" w14:textId="20134541" w:rsidR="00A926B8" w:rsidRPr="009244B2" w:rsidRDefault="00A926B8" w:rsidP="00F51716">
            <w:pPr>
              <w:pStyle w:val="tableright"/>
            </w:pPr>
            <w:r>
              <w:t>0</w:t>
            </w:r>
          </w:p>
        </w:tc>
        <w:tc>
          <w:tcPr>
            <w:tcW w:w="731" w:type="dxa"/>
          </w:tcPr>
          <w:p w14:paraId="5F9741CD" w14:textId="1E548D55" w:rsidR="00A926B8" w:rsidRPr="009244B2" w:rsidRDefault="00A926B8" w:rsidP="00F51716">
            <w:pPr>
              <w:pStyle w:val="tableright"/>
            </w:pPr>
            <w:r>
              <w:t>0</w:t>
            </w:r>
          </w:p>
        </w:tc>
        <w:tc>
          <w:tcPr>
            <w:tcW w:w="752" w:type="dxa"/>
          </w:tcPr>
          <w:p w14:paraId="48C44664" w14:textId="2CBEAAA1" w:rsidR="00A926B8" w:rsidRPr="009244B2" w:rsidRDefault="00A926B8" w:rsidP="00F51716">
            <w:pPr>
              <w:pStyle w:val="tableright"/>
            </w:pPr>
            <w:r>
              <w:t>0</w:t>
            </w:r>
          </w:p>
        </w:tc>
        <w:tc>
          <w:tcPr>
            <w:tcW w:w="730" w:type="dxa"/>
            <w:gridSpan w:val="2"/>
          </w:tcPr>
          <w:p w14:paraId="2CCD39E7" w14:textId="29A4B789" w:rsidR="00A926B8" w:rsidRPr="009244B2" w:rsidRDefault="00A926B8" w:rsidP="00F51716">
            <w:pPr>
              <w:pStyle w:val="tableright"/>
            </w:pPr>
            <w:r>
              <w:t>0</w:t>
            </w:r>
          </w:p>
        </w:tc>
        <w:tc>
          <w:tcPr>
            <w:tcW w:w="730" w:type="dxa"/>
          </w:tcPr>
          <w:p w14:paraId="58332902" w14:textId="2F21BC77" w:rsidR="00A926B8" w:rsidRPr="009244B2" w:rsidRDefault="00A926B8" w:rsidP="00F51716">
            <w:pPr>
              <w:pStyle w:val="tableright"/>
            </w:pPr>
            <w:r>
              <w:t>0</w:t>
            </w:r>
          </w:p>
        </w:tc>
        <w:tc>
          <w:tcPr>
            <w:tcW w:w="731" w:type="dxa"/>
          </w:tcPr>
          <w:p w14:paraId="3DB9269D" w14:textId="3C47F5D3" w:rsidR="00A926B8" w:rsidRPr="009244B2" w:rsidRDefault="00A926B8" w:rsidP="00F51716">
            <w:pPr>
              <w:pStyle w:val="tableright"/>
            </w:pPr>
            <w:r>
              <w:t>0</w:t>
            </w:r>
          </w:p>
        </w:tc>
        <w:tc>
          <w:tcPr>
            <w:tcW w:w="731" w:type="dxa"/>
          </w:tcPr>
          <w:p w14:paraId="030B3CAA" w14:textId="2FAE7C44" w:rsidR="00A926B8" w:rsidRPr="009244B2" w:rsidRDefault="00A926B8" w:rsidP="00F51716">
            <w:pPr>
              <w:pStyle w:val="tableright"/>
            </w:pPr>
            <w:r>
              <w:t>0</w:t>
            </w:r>
          </w:p>
        </w:tc>
        <w:tc>
          <w:tcPr>
            <w:tcW w:w="790" w:type="dxa"/>
          </w:tcPr>
          <w:p w14:paraId="61230140" w14:textId="53E203A9" w:rsidR="00A926B8" w:rsidRPr="009244B2" w:rsidRDefault="00A926B8" w:rsidP="00F51716">
            <w:pPr>
              <w:pStyle w:val="tableright"/>
            </w:pPr>
            <w:r>
              <w:t>0</w:t>
            </w:r>
          </w:p>
        </w:tc>
      </w:tr>
      <w:tr w:rsidR="00A926B8" w14:paraId="5C9C37D3" w14:textId="77777777" w:rsidTr="009244B2">
        <w:tc>
          <w:tcPr>
            <w:tcW w:w="1557" w:type="dxa"/>
          </w:tcPr>
          <w:p w14:paraId="61C58B7E" w14:textId="464AF45C" w:rsidR="00A926B8" w:rsidRDefault="00A926B8" w:rsidP="00F51716">
            <w:pPr>
              <w:pStyle w:val="Tabletext0"/>
            </w:pPr>
            <w:r>
              <w:t>SRA</w:t>
            </w:r>
          </w:p>
        </w:tc>
        <w:tc>
          <w:tcPr>
            <w:tcW w:w="790" w:type="dxa"/>
          </w:tcPr>
          <w:p w14:paraId="728553B6" w14:textId="20B344C3" w:rsidR="00A926B8" w:rsidRPr="009244B2" w:rsidRDefault="00A926B8" w:rsidP="00F51716">
            <w:pPr>
              <w:pStyle w:val="tableright"/>
            </w:pPr>
            <w:r>
              <w:t>0</w:t>
            </w:r>
          </w:p>
        </w:tc>
        <w:tc>
          <w:tcPr>
            <w:tcW w:w="754" w:type="dxa"/>
          </w:tcPr>
          <w:p w14:paraId="7FE95F61" w14:textId="1861A291" w:rsidR="00A926B8" w:rsidRPr="009244B2" w:rsidRDefault="00A926B8" w:rsidP="00F51716">
            <w:pPr>
              <w:pStyle w:val="tableright"/>
            </w:pPr>
            <w:r>
              <w:t>0</w:t>
            </w:r>
          </w:p>
        </w:tc>
        <w:tc>
          <w:tcPr>
            <w:tcW w:w="712" w:type="dxa"/>
          </w:tcPr>
          <w:p w14:paraId="36FD0C97" w14:textId="74A65137" w:rsidR="00A926B8" w:rsidRPr="009244B2" w:rsidRDefault="00A926B8" w:rsidP="00F51716">
            <w:pPr>
              <w:pStyle w:val="tableright"/>
            </w:pPr>
            <w:r>
              <w:t>0</w:t>
            </w:r>
          </w:p>
        </w:tc>
        <w:tc>
          <w:tcPr>
            <w:tcW w:w="713" w:type="dxa"/>
          </w:tcPr>
          <w:p w14:paraId="24D8DC8A" w14:textId="2B86A231" w:rsidR="00A926B8" w:rsidRPr="009244B2" w:rsidRDefault="00A926B8" w:rsidP="00F51716">
            <w:pPr>
              <w:pStyle w:val="tableright"/>
            </w:pPr>
            <w:r>
              <w:t>0</w:t>
            </w:r>
          </w:p>
        </w:tc>
        <w:tc>
          <w:tcPr>
            <w:tcW w:w="714" w:type="dxa"/>
          </w:tcPr>
          <w:p w14:paraId="2E917240" w14:textId="67090B57" w:rsidR="00A926B8" w:rsidRPr="009244B2" w:rsidRDefault="00A926B8" w:rsidP="00F51716">
            <w:pPr>
              <w:pStyle w:val="tableright"/>
            </w:pPr>
            <w:r>
              <w:t>0</w:t>
            </w:r>
          </w:p>
        </w:tc>
        <w:tc>
          <w:tcPr>
            <w:tcW w:w="742" w:type="dxa"/>
          </w:tcPr>
          <w:p w14:paraId="1CD8CC1B" w14:textId="6104E4C4" w:rsidR="00A926B8" w:rsidRPr="009244B2" w:rsidRDefault="00A926B8" w:rsidP="00F51716">
            <w:pPr>
              <w:pStyle w:val="tableright"/>
            </w:pPr>
            <w:r>
              <w:t>0</w:t>
            </w:r>
          </w:p>
        </w:tc>
        <w:tc>
          <w:tcPr>
            <w:tcW w:w="731" w:type="dxa"/>
          </w:tcPr>
          <w:p w14:paraId="441AECE4" w14:textId="13C91D14" w:rsidR="00A926B8" w:rsidRPr="009244B2" w:rsidRDefault="00A926B8" w:rsidP="00F51716">
            <w:pPr>
              <w:pStyle w:val="tableright"/>
            </w:pPr>
            <w:r>
              <w:t>0</w:t>
            </w:r>
          </w:p>
        </w:tc>
        <w:tc>
          <w:tcPr>
            <w:tcW w:w="731" w:type="dxa"/>
          </w:tcPr>
          <w:p w14:paraId="57FED2CC" w14:textId="256D54FF" w:rsidR="00A926B8" w:rsidRPr="009244B2" w:rsidRDefault="00A926B8" w:rsidP="00F51716">
            <w:pPr>
              <w:pStyle w:val="tableright"/>
            </w:pPr>
            <w:r>
              <w:t>0</w:t>
            </w:r>
          </w:p>
        </w:tc>
        <w:tc>
          <w:tcPr>
            <w:tcW w:w="752" w:type="dxa"/>
          </w:tcPr>
          <w:p w14:paraId="65E9D27E" w14:textId="6E626E1C" w:rsidR="00A926B8" w:rsidRPr="009244B2" w:rsidRDefault="00A926B8" w:rsidP="00F51716">
            <w:pPr>
              <w:pStyle w:val="tableright"/>
            </w:pPr>
            <w:r>
              <w:t>0</w:t>
            </w:r>
          </w:p>
        </w:tc>
        <w:tc>
          <w:tcPr>
            <w:tcW w:w="730" w:type="dxa"/>
            <w:gridSpan w:val="2"/>
          </w:tcPr>
          <w:p w14:paraId="563D2BAD" w14:textId="51272035" w:rsidR="00A926B8" w:rsidRPr="009244B2" w:rsidRDefault="00A926B8" w:rsidP="00F51716">
            <w:pPr>
              <w:pStyle w:val="tableright"/>
            </w:pPr>
            <w:r>
              <w:t>0</w:t>
            </w:r>
          </w:p>
        </w:tc>
        <w:tc>
          <w:tcPr>
            <w:tcW w:w="730" w:type="dxa"/>
          </w:tcPr>
          <w:p w14:paraId="03C16803" w14:textId="650B6ACB" w:rsidR="00A926B8" w:rsidRPr="009244B2" w:rsidRDefault="00A926B8" w:rsidP="00F51716">
            <w:pPr>
              <w:pStyle w:val="tableright"/>
            </w:pPr>
            <w:r>
              <w:t>0</w:t>
            </w:r>
          </w:p>
        </w:tc>
        <w:tc>
          <w:tcPr>
            <w:tcW w:w="731" w:type="dxa"/>
          </w:tcPr>
          <w:p w14:paraId="2DBFFE9A" w14:textId="020CC9E9" w:rsidR="00A926B8" w:rsidRPr="009244B2" w:rsidRDefault="00A926B8" w:rsidP="00F51716">
            <w:pPr>
              <w:pStyle w:val="tableright"/>
            </w:pPr>
            <w:r>
              <w:t>0</w:t>
            </w:r>
          </w:p>
        </w:tc>
        <w:tc>
          <w:tcPr>
            <w:tcW w:w="731" w:type="dxa"/>
          </w:tcPr>
          <w:p w14:paraId="399726AC" w14:textId="3FAAB328" w:rsidR="00A926B8" w:rsidRPr="009244B2" w:rsidRDefault="00A926B8" w:rsidP="00F51716">
            <w:pPr>
              <w:pStyle w:val="tableright"/>
            </w:pPr>
            <w:r>
              <w:t>0</w:t>
            </w:r>
          </w:p>
        </w:tc>
        <w:tc>
          <w:tcPr>
            <w:tcW w:w="790" w:type="dxa"/>
          </w:tcPr>
          <w:p w14:paraId="76B36E52" w14:textId="12A7D243" w:rsidR="00A926B8" w:rsidRPr="009244B2" w:rsidRDefault="00A926B8" w:rsidP="00F51716">
            <w:pPr>
              <w:pStyle w:val="tableright"/>
            </w:pPr>
            <w:r>
              <w:t>0</w:t>
            </w:r>
          </w:p>
        </w:tc>
      </w:tr>
      <w:tr w:rsidR="00A926B8" w14:paraId="5BC3F1EA" w14:textId="77777777" w:rsidTr="009244B2">
        <w:tc>
          <w:tcPr>
            <w:tcW w:w="1557" w:type="dxa"/>
          </w:tcPr>
          <w:p w14:paraId="39660C7A" w14:textId="0556056C" w:rsidR="00A926B8" w:rsidRDefault="00A926B8" w:rsidP="00F51716">
            <w:pPr>
              <w:pStyle w:val="Tabletext0"/>
            </w:pPr>
            <w:r>
              <w:t>Executives</w:t>
            </w:r>
          </w:p>
        </w:tc>
        <w:tc>
          <w:tcPr>
            <w:tcW w:w="790" w:type="dxa"/>
          </w:tcPr>
          <w:p w14:paraId="1AF9867B" w14:textId="00024D77" w:rsidR="00A926B8" w:rsidRPr="009244B2" w:rsidRDefault="00A926B8" w:rsidP="00F51716">
            <w:pPr>
              <w:pStyle w:val="tableright"/>
            </w:pPr>
            <w:r>
              <w:t>6</w:t>
            </w:r>
          </w:p>
        </w:tc>
        <w:tc>
          <w:tcPr>
            <w:tcW w:w="754" w:type="dxa"/>
          </w:tcPr>
          <w:p w14:paraId="71A8CE35" w14:textId="73626B86" w:rsidR="00A926B8" w:rsidRPr="009244B2" w:rsidRDefault="00A926B8" w:rsidP="00F51716">
            <w:pPr>
              <w:pStyle w:val="tableright"/>
            </w:pPr>
            <w:r>
              <w:t>6</w:t>
            </w:r>
          </w:p>
        </w:tc>
        <w:tc>
          <w:tcPr>
            <w:tcW w:w="712" w:type="dxa"/>
          </w:tcPr>
          <w:p w14:paraId="73FBC9ED" w14:textId="21C3F4B6" w:rsidR="00A926B8" w:rsidRPr="009244B2" w:rsidRDefault="00A926B8" w:rsidP="00F51716">
            <w:pPr>
              <w:pStyle w:val="tableright"/>
            </w:pPr>
            <w:r>
              <w:t>1</w:t>
            </w:r>
          </w:p>
        </w:tc>
        <w:tc>
          <w:tcPr>
            <w:tcW w:w="713" w:type="dxa"/>
          </w:tcPr>
          <w:p w14:paraId="1D7E80E9" w14:textId="502FFF1E" w:rsidR="00A926B8" w:rsidRPr="009244B2" w:rsidRDefault="00A926B8" w:rsidP="00F51716">
            <w:pPr>
              <w:pStyle w:val="tableright"/>
            </w:pPr>
            <w:r>
              <w:t> 0</w:t>
            </w:r>
          </w:p>
        </w:tc>
        <w:tc>
          <w:tcPr>
            <w:tcW w:w="714" w:type="dxa"/>
          </w:tcPr>
          <w:p w14:paraId="19242F35" w14:textId="22781810" w:rsidR="00A926B8" w:rsidRPr="009244B2" w:rsidRDefault="00A926B8" w:rsidP="00F51716">
            <w:pPr>
              <w:pStyle w:val="tableright"/>
            </w:pPr>
            <w:r>
              <w:t>1</w:t>
            </w:r>
          </w:p>
        </w:tc>
        <w:tc>
          <w:tcPr>
            <w:tcW w:w="742" w:type="dxa"/>
          </w:tcPr>
          <w:p w14:paraId="1C33BF73" w14:textId="743FF10E" w:rsidR="00A926B8" w:rsidRPr="009244B2" w:rsidRDefault="00A926B8" w:rsidP="00F51716">
            <w:pPr>
              <w:pStyle w:val="tableright"/>
            </w:pPr>
            <w:r>
              <w:t>5</w:t>
            </w:r>
          </w:p>
        </w:tc>
        <w:tc>
          <w:tcPr>
            <w:tcW w:w="731" w:type="dxa"/>
          </w:tcPr>
          <w:p w14:paraId="0844654A" w14:textId="540F9EB8" w:rsidR="00A926B8" w:rsidRPr="009244B2" w:rsidRDefault="00A926B8" w:rsidP="00F51716">
            <w:pPr>
              <w:pStyle w:val="tableright"/>
            </w:pPr>
            <w:r>
              <w:t>5</w:t>
            </w:r>
          </w:p>
        </w:tc>
        <w:tc>
          <w:tcPr>
            <w:tcW w:w="731" w:type="dxa"/>
          </w:tcPr>
          <w:p w14:paraId="42EE7870" w14:textId="7648E3C3" w:rsidR="00A926B8" w:rsidRPr="009244B2" w:rsidRDefault="00A926B8" w:rsidP="00F51716">
            <w:pPr>
              <w:pStyle w:val="tableright"/>
            </w:pPr>
            <w:r>
              <w:t>7</w:t>
            </w:r>
          </w:p>
        </w:tc>
        <w:tc>
          <w:tcPr>
            <w:tcW w:w="752" w:type="dxa"/>
          </w:tcPr>
          <w:p w14:paraId="518F2F23" w14:textId="6556B7C2" w:rsidR="00A926B8" w:rsidRPr="009244B2" w:rsidRDefault="00A926B8" w:rsidP="00F51716">
            <w:pPr>
              <w:pStyle w:val="tableright"/>
            </w:pPr>
            <w:r>
              <w:t>7</w:t>
            </w:r>
          </w:p>
        </w:tc>
        <w:tc>
          <w:tcPr>
            <w:tcW w:w="730" w:type="dxa"/>
            <w:gridSpan w:val="2"/>
          </w:tcPr>
          <w:p w14:paraId="7D10325E" w14:textId="28B4DC21" w:rsidR="00A926B8" w:rsidRPr="009244B2" w:rsidRDefault="00A926B8" w:rsidP="00F51716">
            <w:pPr>
              <w:pStyle w:val="tableright"/>
            </w:pPr>
            <w:r>
              <w:t>0</w:t>
            </w:r>
          </w:p>
        </w:tc>
        <w:tc>
          <w:tcPr>
            <w:tcW w:w="730" w:type="dxa"/>
          </w:tcPr>
          <w:p w14:paraId="71694C7D" w14:textId="3F5CDC94" w:rsidR="00A926B8" w:rsidRPr="009244B2" w:rsidRDefault="00A926B8" w:rsidP="00F51716">
            <w:pPr>
              <w:pStyle w:val="tableright"/>
            </w:pPr>
            <w:r>
              <w:t>0</w:t>
            </w:r>
          </w:p>
        </w:tc>
        <w:tc>
          <w:tcPr>
            <w:tcW w:w="731" w:type="dxa"/>
          </w:tcPr>
          <w:p w14:paraId="6FA8397D" w14:textId="6886EB36" w:rsidR="00A926B8" w:rsidRPr="009244B2" w:rsidRDefault="00A926B8" w:rsidP="00F51716">
            <w:pPr>
              <w:pStyle w:val="tableright"/>
            </w:pPr>
            <w:r>
              <w:t> 0</w:t>
            </w:r>
          </w:p>
        </w:tc>
        <w:tc>
          <w:tcPr>
            <w:tcW w:w="731" w:type="dxa"/>
          </w:tcPr>
          <w:p w14:paraId="23B267C6" w14:textId="7D1DBC16" w:rsidR="00A926B8" w:rsidRPr="009244B2" w:rsidRDefault="00A926B8" w:rsidP="00F51716">
            <w:pPr>
              <w:pStyle w:val="tableright"/>
            </w:pPr>
            <w:r>
              <w:t>7</w:t>
            </w:r>
          </w:p>
        </w:tc>
        <w:tc>
          <w:tcPr>
            <w:tcW w:w="790" w:type="dxa"/>
          </w:tcPr>
          <w:p w14:paraId="0E43D80C" w14:textId="78C59D49" w:rsidR="00A926B8" w:rsidRPr="009244B2" w:rsidRDefault="00A926B8" w:rsidP="00F51716">
            <w:pPr>
              <w:pStyle w:val="tableright"/>
            </w:pPr>
            <w:r>
              <w:t>7</w:t>
            </w:r>
          </w:p>
        </w:tc>
      </w:tr>
      <w:tr w:rsidR="00A926B8" w14:paraId="2A831DCC" w14:textId="77777777" w:rsidTr="009244B2">
        <w:tc>
          <w:tcPr>
            <w:tcW w:w="1557" w:type="dxa"/>
          </w:tcPr>
          <w:p w14:paraId="0411E8A5" w14:textId="7D938679" w:rsidR="00A926B8" w:rsidRPr="00A926B8" w:rsidRDefault="00A926B8" w:rsidP="00F51716">
            <w:pPr>
              <w:pStyle w:val="Tabletext0"/>
            </w:pPr>
            <w:r w:rsidRPr="00A926B8">
              <w:t>Other</w:t>
            </w:r>
          </w:p>
        </w:tc>
        <w:tc>
          <w:tcPr>
            <w:tcW w:w="790" w:type="dxa"/>
          </w:tcPr>
          <w:p w14:paraId="3E16AE60" w14:textId="515C0D9C" w:rsidR="00A926B8" w:rsidRPr="009244B2" w:rsidRDefault="00A926B8" w:rsidP="00F51716">
            <w:pPr>
              <w:pStyle w:val="tableright"/>
            </w:pPr>
            <w:r>
              <w:t>0</w:t>
            </w:r>
          </w:p>
        </w:tc>
        <w:tc>
          <w:tcPr>
            <w:tcW w:w="754" w:type="dxa"/>
          </w:tcPr>
          <w:p w14:paraId="072C67B4" w14:textId="5382E9C5" w:rsidR="00A926B8" w:rsidRPr="009244B2" w:rsidRDefault="00A926B8" w:rsidP="00F51716">
            <w:pPr>
              <w:pStyle w:val="tableright"/>
            </w:pPr>
            <w:r>
              <w:t>0</w:t>
            </w:r>
          </w:p>
        </w:tc>
        <w:tc>
          <w:tcPr>
            <w:tcW w:w="712" w:type="dxa"/>
          </w:tcPr>
          <w:p w14:paraId="4D931B2A" w14:textId="604F0B13" w:rsidR="00A926B8" w:rsidRPr="009244B2" w:rsidRDefault="00A926B8" w:rsidP="00F51716">
            <w:pPr>
              <w:pStyle w:val="tableright"/>
            </w:pPr>
            <w:r>
              <w:t>0</w:t>
            </w:r>
          </w:p>
        </w:tc>
        <w:tc>
          <w:tcPr>
            <w:tcW w:w="713" w:type="dxa"/>
          </w:tcPr>
          <w:p w14:paraId="1F85EBA2" w14:textId="5368AFF1" w:rsidR="00A926B8" w:rsidRPr="009244B2" w:rsidRDefault="00A926B8" w:rsidP="00F51716">
            <w:pPr>
              <w:pStyle w:val="tableright"/>
            </w:pPr>
            <w:r>
              <w:t>0</w:t>
            </w:r>
          </w:p>
        </w:tc>
        <w:tc>
          <w:tcPr>
            <w:tcW w:w="714" w:type="dxa"/>
          </w:tcPr>
          <w:p w14:paraId="6FAD635D" w14:textId="72329ACC" w:rsidR="00A926B8" w:rsidRPr="009244B2" w:rsidRDefault="00A926B8" w:rsidP="00F51716">
            <w:pPr>
              <w:pStyle w:val="tableright"/>
            </w:pPr>
            <w:r>
              <w:t>0</w:t>
            </w:r>
          </w:p>
        </w:tc>
        <w:tc>
          <w:tcPr>
            <w:tcW w:w="742" w:type="dxa"/>
          </w:tcPr>
          <w:p w14:paraId="69C9EBDB" w14:textId="1A6973AE" w:rsidR="00A926B8" w:rsidRPr="009244B2" w:rsidRDefault="00A926B8" w:rsidP="00F51716">
            <w:pPr>
              <w:pStyle w:val="tableright"/>
            </w:pPr>
            <w:r>
              <w:t>0</w:t>
            </w:r>
          </w:p>
        </w:tc>
        <w:tc>
          <w:tcPr>
            <w:tcW w:w="731" w:type="dxa"/>
          </w:tcPr>
          <w:p w14:paraId="026A212E" w14:textId="5A879F85" w:rsidR="00A926B8" w:rsidRPr="009244B2" w:rsidRDefault="00A926B8" w:rsidP="00F51716">
            <w:pPr>
              <w:pStyle w:val="tableright"/>
            </w:pPr>
            <w:r>
              <w:t>0</w:t>
            </w:r>
          </w:p>
        </w:tc>
        <w:tc>
          <w:tcPr>
            <w:tcW w:w="731" w:type="dxa"/>
          </w:tcPr>
          <w:p w14:paraId="3C879569" w14:textId="1FFF8BD5" w:rsidR="00A926B8" w:rsidRPr="009244B2" w:rsidRDefault="00A926B8" w:rsidP="00F51716">
            <w:pPr>
              <w:pStyle w:val="tableright"/>
            </w:pPr>
            <w:r>
              <w:t>0</w:t>
            </w:r>
          </w:p>
        </w:tc>
        <w:tc>
          <w:tcPr>
            <w:tcW w:w="752" w:type="dxa"/>
          </w:tcPr>
          <w:p w14:paraId="387BC3B9" w14:textId="29A42E0A" w:rsidR="00A926B8" w:rsidRPr="009244B2" w:rsidRDefault="00A926B8" w:rsidP="00F51716">
            <w:pPr>
              <w:pStyle w:val="tableright"/>
            </w:pPr>
            <w:r>
              <w:t>0</w:t>
            </w:r>
          </w:p>
        </w:tc>
        <w:tc>
          <w:tcPr>
            <w:tcW w:w="730" w:type="dxa"/>
            <w:gridSpan w:val="2"/>
          </w:tcPr>
          <w:p w14:paraId="7F10743C" w14:textId="1A87104C" w:rsidR="00A926B8" w:rsidRPr="009244B2" w:rsidRDefault="00A926B8" w:rsidP="00F51716">
            <w:pPr>
              <w:pStyle w:val="tableright"/>
            </w:pPr>
            <w:r>
              <w:t>0</w:t>
            </w:r>
          </w:p>
        </w:tc>
        <w:tc>
          <w:tcPr>
            <w:tcW w:w="730" w:type="dxa"/>
          </w:tcPr>
          <w:p w14:paraId="35480E72" w14:textId="4A890535" w:rsidR="00A926B8" w:rsidRPr="009244B2" w:rsidRDefault="00A926B8" w:rsidP="00F51716">
            <w:pPr>
              <w:pStyle w:val="tableright"/>
            </w:pPr>
            <w:r>
              <w:t>0</w:t>
            </w:r>
          </w:p>
        </w:tc>
        <w:tc>
          <w:tcPr>
            <w:tcW w:w="731" w:type="dxa"/>
          </w:tcPr>
          <w:p w14:paraId="285EED94" w14:textId="059994AE" w:rsidR="00A926B8" w:rsidRPr="009244B2" w:rsidRDefault="00A926B8" w:rsidP="00F51716">
            <w:pPr>
              <w:pStyle w:val="tableright"/>
            </w:pPr>
            <w:r>
              <w:t>0</w:t>
            </w:r>
          </w:p>
        </w:tc>
        <w:tc>
          <w:tcPr>
            <w:tcW w:w="731" w:type="dxa"/>
          </w:tcPr>
          <w:p w14:paraId="5CCD0927" w14:textId="6FE98331" w:rsidR="00A926B8" w:rsidRPr="009244B2" w:rsidRDefault="00A926B8" w:rsidP="00F51716">
            <w:pPr>
              <w:pStyle w:val="tableright"/>
            </w:pPr>
            <w:r>
              <w:t>0</w:t>
            </w:r>
          </w:p>
        </w:tc>
        <w:tc>
          <w:tcPr>
            <w:tcW w:w="790" w:type="dxa"/>
          </w:tcPr>
          <w:p w14:paraId="40E4F476" w14:textId="6C5AE08A" w:rsidR="00A926B8" w:rsidRPr="009244B2" w:rsidRDefault="00A926B8" w:rsidP="00F51716">
            <w:pPr>
              <w:pStyle w:val="tableright"/>
            </w:pPr>
            <w:r>
              <w:t>0</w:t>
            </w:r>
          </w:p>
        </w:tc>
      </w:tr>
      <w:tr w:rsidR="006344AF" w:rsidRPr="00A926B8" w14:paraId="1CA23484" w14:textId="77777777" w:rsidTr="00A926B8">
        <w:tc>
          <w:tcPr>
            <w:tcW w:w="1557" w:type="dxa"/>
            <w:shd w:val="clear" w:color="auto" w:fill="E4E4E5" w:themeFill="text2" w:themeFillTint="66"/>
          </w:tcPr>
          <w:p w14:paraId="3210266D" w14:textId="57854337" w:rsidR="00A926B8" w:rsidRPr="00A926B8" w:rsidRDefault="00A926B8" w:rsidP="00F51716">
            <w:pPr>
              <w:pStyle w:val="Tabletext0"/>
            </w:pPr>
            <w:r w:rsidRPr="00A926B8">
              <w:t>Total employees</w:t>
            </w:r>
          </w:p>
        </w:tc>
        <w:tc>
          <w:tcPr>
            <w:tcW w:w="790" w:type="dxa"/>
            <w:shd w:val="clear" w:color="auto" w:fill="E4E4E5" w:themeFill="text2" w:themeFillTint="66"/>
          </w:tcPr>
          <w:p w14:paraId="309EF93E" w14:textId="4671C16D" w:rsidR="00A926B8" w:rsidRPr="00A926B8" w:rsidRDefault="00A926B8" w:rsidP="00F51716">
            <w:pPr>
              <w:pStyle w:val="tableright"/>
            </w:pPr>
            <w:r w:rsidRPr="00A926B8">
              <w:t>147</w:t>
            </w:r>
          </w:p>
        </w:tc>
        <w:tc>
          <w:tcPr>
            <w:tcW w:w="754" w:type="dxa"/>
            <w:shd w:val="clear" w:color="auto" w:fill="E4E4E5" w:themeFill="text2" w:themeFillTint="66"/>
          </w:tcPr>
          <w:p w14:paraId="5DCC8A9A" w14:textId="151649F8" w:rsidR="00A926B8" w:rsidRPr="00A926B8" w:rsidRDefault="00A926B8" w:rsidP="00F51716">
            <w:pPr>
              <w:pStyle w:val="tableright"/>
            </w:pPr>
            <w:r w:rsidRPr="00A926B8">
              <w:t>140.71</w:t>
            </w:r>
          </w:p>
        </w:tc>
        <w:tc>
          <w:tcPr>
            <w:tcW w:w="712" w:type="dxa"/>
            <w:shd w:val="clear" w:color="auto" w:fill="E4E4E5" w:themeFill="text2" w:themeFillTint="66"/>
          </w:tcPr>
          <w:p w14:paraId="0AEE0FF0" w14:textId="13205AA1" w:rsidR="00A926B8" w:rsidRPr="00A926B8" w:rsidRDefault="00A926B8" w:rsidP="00F51716">
            <w:pPr>
              <w:pStyle w:val="tableright"/>
            </w:pPr>
            <w:r w:rsidRPr="00A926B8">
              <w:t>47</w:t>
            </w:r>
          </w:p>
        </w:tc>
        <w:tc>
          <w:tcPr>
            <w:tcW w:w="713" w:type="dxa"/>
            <w:shd w:val="clear" w:color="auto" w:fill="E4E4E5" w:themeFill="text2" w:themeFillTint="66"/>
          </w:tcPr>
          <w:p w14:paraId="69E6236E" w14:textId="5B419A6B" w:rsidR="00A926B8" w:rsidRPr="00A926B8" w:rsidRDefault="00A926B8" w:rsidP="00F51716">
            <w:pPr>
              <w:pStyle w:val="tableright"/>
            </w:pPr>
            <w:r w:rsidRPr="00A926B8">
              <w:t>14</w:t>
            </w:r>
          </w:p>
        </w:tc>
        <w:tc>
          <w:tcPr>
            <w:tcW w:w="714" w:type="dxa"/>
            <w:shd w:val="clear" w:color="auto" w:fill="E4E4E5" w:themeFill="text2" w:themeFillTint="66"/>
          </w:tcPr>
          <w:p w14:paraId="3CEA2A79" w14:textId="7ECDE318" w:rsidR="00A926B8" w:rsidRPr="00A926B8" w:rsidRDefault="00A926B8" w:rsidP="00F51716">
            <w:pPr>
              <w:pStyle w:val="tableright"/>
            </w:pPr>
            <w:r w:rsidRPr="00A926B8">
              <w:t>56.85</w:t>
            </w:r>
          </w:p>
        </w:tc>
        <w:tc>
          <w:tcPr>
            <w:tcW w:w="742" w:type="dxa"/>
            <w:shd w:val="clear" w:color="auto" w:fill="E4E4E5" w:themeFill="text2" w:themeFillTint="66"/>
          </w:tcPr>
          <w:p w14:paraId="7E6C32EE" w14:textId="3B8E02F6" w:rsidR="00A926B8" w:rsidRPr="00A926B8" w:rsidRDefault="00A926B8" w:rsidP="00F51716">
            <w:pPr>
              <w:pStyle w:val="tableright"/>
            </w:pPr>
            <w:r w:rsidRPr="00A926B8">
              <w:t>86</w:t>
            </w:r>
          </w:p>
        </w:tc>
        <w:tc>
          <w:tcPr>
            <w:tcW w:w="731" w:type="dxa"/>
            <w:shd w:val="clear" w:color="auto" w:fill="E4E4E5" w:themeFill="text2" w:themeFillTint="66"/>
          </w:tcPr>
          <w:p w14:paraId="17EABF89" w14:textId="521458EE" w:rsidR="00A926B8" w:rsidRPr="00A926B8" w:rsidRDefault="00A926B8" w:rsidP="00F51716">
            <w:pPr>
              <w:pStyle w:val="tableright"/>
            </w:pPr>
            <w:r w:rsidRPr="00A926B8">
              <w:t>83.85</w:t>
            </w:r>
          </w:p>
        </w:tc>
        <w:tc>
          <w:tcPr>
            <w:tcW w:w="731" w:type="dxa"/>
            <w:shd w:val="clear" w:color="auto" w:fill="E4E4E5" w:themeFill="text2" w:themeFillTint="66"/>
          </w:tcPr>
          <w:p w14:paraId="23C2B3FA" w14:textId="71A479D3" w:rsidR="00A926B8" w:rsidRPr="00A926B8" w:rsidRDefault="00A926B8" w:rsidP="00F51716">
            <w:pPr>
              <w:pStyle w:val="tableright"/>
            </w:pPr>
            <w:r w:rsidRPr="00A926B8">
              <w:t>182</w:t>
            </w:r>
          </w:p>
        </w:tc>
        <w:tc>
          <w:tcPr>
            <w:tcW w:w="752" w:type="dxa"/>
            <w:shd w:val="clear" w:color="auto" w:fill="E4E4E5" w:themeFill="text2" w:themeFillTint="66"/>
          </w:tcPr>
          <w:p w14:paraId="7F7F430D" w14:textId="4DE28BE9" w:rsidR="00A926B8" w:rsidRPr="00A926B8" w:rsidRDefault="00A926B8" w:rsidP="00F51716">
            <w:pPr>
              <w:pStyle w:val="tableright"/>
            </w:pPr>
            <w:r w:rsidRPr="00A926B8">
              <w:t>172.55</w:t>
            </w:r>
          </w:p>
        </w:tc>
        <w:tc>
          <w:tcPr>
            <w:tcW w:w="730" w:type="dxa"/>
            <w:gridSpan w:val="2"/>
            <w:shd w:val="clear" w:color="auto" w:fill="E4E4E5" w:themeFill="text2" w:themeFillTint="66"/>
          </w:tcPr>
          <w:p w14:paraId="503C43A1" w14:textId="071E5805" w:rsidR="00A926B8" w:rsidRPr="00A926B8" w:rsidRDefault="00A926B8" w:rsidP="00F51716">
            <w:pPr>
              <w:pStyle w:val="tableright"/>
            </w:pPr>
            <w:r w:rsidRPr="00A926B8">
              <w:t>54</w:t>
            </w:r>
          </w:p>
        </w:tc>
        <w:tc>
          <w:tcPr>
            <w:tcW w:w="730" w:type="dxa"/>
            <w:shd w:val="clear" w:color="auto" w:fill="E4E4E5" w:themeFill="text2" w:themeFillTint="66"/>
          </w:tcPr>
          <w:p w14:paraId="32FB65B5" w14:textId="32235A49" w:rsidR="00A926B8" w:rsidRPr="00A926B8" w:rsidRDefault="00A926B8" w:rsidP="00F51716">
            <w:pPr>
              <w:pStyle w:val="tableright"/>
            </w:pPr>
            <w:r w:rsidRPr="00A926B8">
              <w:t>16</w:t>
            </w:r>
          </w:p>
        </w:tc>
        <w:tc>
          <w:tcPr>
            <w:tcW w:w="731" w:type="dxa"/>
            <w:shd w:val="clear" w:color="auto" w:fill="E4E4E5" w:themeFill="text2" w:themeFillTint="66"/>
          </w:tcPr>
          <w:p w14:paraId="7179B202" w14:textId="114B6B47" w:rsidR="00A926B8" w:rsidRPr="00A926B8" w:rsidRDefault="00A926B8" w:rsidP="00F51716">
            <w:pPr>
              <w:pStyle w:val="tableright"/>
            </w:pPr>
            <w:r w:rsidRPr="00A926B8">
              <w:t>64.95</w:t>
            </w:r>
          </w:p>
        </w:tc>
        <w:tc>
          <w:tcPr>
            <w:tcW w:w="731" w:type="dxa"/>
            <w:shd w:val="clear" w:color="auto" w:fill="E4E4E5" w:themeFill="text2" w:themeFillTint="66"/>
          </w:tcPr>
          <w:p w14:paraId="64AEEE16" w14:textId="155F4495" w:rsidR="00A926B8" w:rsidRPr="00A926B8" w:rsidRDefault="00A926B8" w:rsidP="00F51716">
            <w:pPr>
              <w:pStyle w:val="tableright"/>
            </w:pPr>
            <w:r w:rsidRPr="00A926B8">
              <w:t>112</w:t>
            </w:r>
          </w:p>
        </w:tc>
        <w:tc>
          <w:tcPr>
            <w:tcW w:w="790" w:type="dxa"/>
            <w:shd w:val="clear" w:color="auto" w:fill="E4E4E5" w:themeFill="text2" w:themeFillTint="66"/>
          </w:tcPr>
          <w:p w14:paraId="25F0A978" w14:textId="02D6CE0B" w:rsidR="00A926B8" w:rsidRPr="00A926B8" w:rsidRDefault="00A926B8" w:rsidP="00F51716">
            <w:pPr>
              <w:pStyle w:val="tableright"/>
            </w:pPr>
            <w:r w:rsidRPr="00A926B8">
              <w:t>107.6</w:t>
            </w:r>
          </w:p>
        </w:tc>
      </w:tr>
    </w:tbl>
    <w:p w14:paraId="3A3B39B8" w14:textId="77777777" w:rsidR="00205952" w:rsidRDefault="00A926B8" w:rsidP="00F51716">
      <w:r>
        <w:fldChar w:fldCharType="begin"/>
      </w:r>
      <w:r>
        <w:instrText xml:space="preserve"> REF _Ref57366099 \h </w:instrText>
      </w:r>
      <w:r>
        <w:fldChar w:fldCharType="separate"/>
      </w:r>
    </w:p>
    <w:p w14:paraId="46EEB215" w14:textId="732514B7" w:rsidR="00A926B8" w:rsidRDefault="00205952" w:rsidP="00F51716">
      <w:r w:rsidRPr="007B2077">
        <w:t xml:space="preserve">Table </w:t>
      </w:r>
      <w:r>
        <w:rPr>
          <w:noProof/>
        </w:rPr>
        <w:t>28</w:t>
      </w:r>
      <w:r w:rsidR="00A926B8">
        <w:fldChar w:fldCharType="end"/>
      </w:r>
      <w:r w:rsidR="00A926B8">
        <w:t xml:space="preserve"> </w:t>
      </w:r>
      <w:r w:rsidR="009C4A23" w:rsidRPr="00AF6B06">
        <w:t xml:space="preserve">discloses the annualised total salary for senior </w:t>
      </w:r>
      <w:r w:rsidR="00A926B8">
        <w:t xml:space="preserve">SV </w:t>
      </w:r>
      <w:r w:rsidR="009C4A23" w:rsidRPr="00AF6B06">
        <w:t>employees, categorised by classification. The salary amount is reported as the full-time annualised salary.</w:t>
      </w:r>
      <w:bookmarkStart w:id="82" w:name="_Ref57366099"/>
    </w:p>
    <w:p w14:paraId="09BC0439" w14:textId="7B69E0FF" w:rsidR="009C4A23" w:rsidRPr="00E94CF8" w:rsidRDefault="007B2077" w:rsidP="00F51716">
      <w:pPr>
        <w:pStyle w:val="Caption"/>
      </w:pPr>
      <w:bookmarkStart w:id="83" w:name="_Ref57366660"/>
      <w:r w:rsidRPr="007B2077">
        <w:t xml:space="preserve">Table </w:t>
      </w:r>
      <w:fldSimple w:instr=" SEQ Table \* ARABIC ">
        <w:r w:rsidR="003F15CC">
          <w:rPr>
            <w:noProof/>
          </w:rPr>
          <w:t>28</w:t>
        </w:r>
      </w:fldSimple>
      <w:bookmarkEnd w:id="82"/>
      <w:bookmarkEnd w:id="83"/>
      <w:r w:rsidRPr="00E94CF8">
        <w:t xml:space="preserve">: </w:t>
      </w:r>
      <w:r w:rsidR="21E70B98" w:rsidRPr="00E94CF8">
        <w:t>Annualised total salary, by $20</w:t>
      </w:r>
      <w:r w:rsidR="005404C3" w:rsidRPr="00E94CF8">
        <w:t>,</w:t>
      </w:r>
      <w:r w:rsidR="21E70B98" w:rsidRPr="00E94CF8">
        <w:t>000 bands, for executives and other senior non</w:t>
      </w:r>
      <w:r w:rsidR="00CB17E3" w:rsidRPr="00E94CF8">
        <w:t>-</w:t>
      </w:r>
      <w:r w:rsidR="21E70B98" w:rsidRPr="00E94CF8">
        <w:t>executive staff</w:t>
      </w:r>
    </w:p>
    <w:tbl>
      <w:tblPr>
        <w:tblStyle w:val="DTFFinancialTable"/>
        <w:tblW w:w="7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1284"/>
        <w:gridCol w:w="821"/>
        <w:gridCol w:w="814"/>
        <w:gridCol w:w="827"/>
        <w:gridCol w:w="831"/>
        <w:gridCol w:w="891"/>
      </w:tblGrid>
      <w:tr w:rsidR="000909A1" w:rsidRPr="00E94CF8" w14:paraId="5941961C" w14:textId="77777777" w:rsidTr="008C258D">
        <w:trPr>
          <w:cnfStyle w:val="100000000000" w:firstRow="1" w:lastRow="0" w:firstColumn="0" w:lastColumn="0" w:oddVBand="0" w:evenVBand="0" w:oddHBand="0" w:evenHBand="0" w:firstRowFirstColumn="0" w:firstRowLastColumn="0" w:lastRowFirstColumn="0" w:lastRowLastColumn="0"/>
          <w:cantSplit/>
          <w:trHeight w:val="378"/>
        </w:trPr>
        <w:tc>
          <w:tcPr>
            <w:cnfStyle w:val="001000000000" w:firstRow="0" w:lastRow="0" w:firstColumn="1" w:lastColumn="0" w:oddVBand="0" w:evenVBand="0" w:oddHBand="0" w:evenHBand="0" w:firstRowFirstColumn="0" w:firstRowLastColumn="0" w:lastRowFirstColumn="0" w:lastRowLastColumn="0"/>
            <w:tcW w:w="2543" w:type="dxa"/>
            <w:shd w:val="clear" w:color="auto" w:fill="82C341" w:themeFill="accent1"/>
            <w:vAlign w:val="top"/>
          </w:tcPr>
          <w:p w14:paraId="0CFABFF9" w14:textId="1D655499" w:rsidR="00464A33" w:rsidRPr="00E94CF8" w:rsidRDefault="009C4A23" w:rsidP="00F51716">
            <w:pPr>
              <w:pStyle w:val="TableHeading"/>
              <w:rPr>
                <w:color w:val="auto"/>
              </w:rPr>
            </w:pPr>
            <w:r w:rsidRPr="00E94CF8">
              <w:t>Income band (salary)</w:t>
            </w:r>
          </w:p>
        </w:tc>
        <w:tc>
          <w:tcPr>
            <w:tcW w:w="1087" w:type="dxa"/>
            <w:shd w:val="clear" w:color="auto" w:fill="82C341" w:themeFill="accent1"/>
            <w:vAlign w:val="top"/>
          </w:tcPr>
          <w:p w14:paraId="0AA36EF4" w14:textId="77777777" w:rsidR="009C4A23" w:rsidRPr="00E94CF8" w:rsidRDefault="009C4A23" w:rsidP="00F51716">
            <w:pPr>
              <w:pStyle w:val="TableHeading"/>
              <w:cnfStyle w:val="100000000000" w:firstRow="1" w:lastRow="0" w:firstColumn="0" w:lastColumn="0" w:oddVBand="0" w:evenVBand="0" w:oddHBand="0" w:evenHBand="0" w:firstRowFirstColumn="0" w:firstRowLastColumn="0" w:lastRowFirstColumn="0" w:lastRowLastColumn="0"/>
              <w:rPr>
                <w:color w:val="auto"/>
              </w:rPr>
            </w:pPr>
            <w:r w:rsidRPr="00E94CF8">
              <w:t>Executives</w:t>
            </w:r>
          </w:p>
        </w:tc>
        <w:tc>
          <w:tcPr>
            <w:tcW w:w="842" w:type="dxa"/>
            <w:shd w:val="clear" w:color="auto" w:fill="82C341" w:themeFill="accent1"/>
            <w:vAlign w:val="top"/>
          </w:tcPr>
          <w:p w14:paraId="3AE442A9" w14:textId="77777777" w:rsidR="009C4A23" w:rsidRPr="00E94CF8" w:rsidRDefault="009C4A23" w:rsidP="00F51716">
            <w:pPr>
              <w:pStyle w:val="TableHeading"/>
              <w:cnfStyle w:val="100000000000" w:firstRow="1" w:lastRow="0" w:firstColumn="0" w:lastColumn="0" w:oddVBand="0" w:evenVBand="0" w:oddHBand="0" w:evenHBand="0" w:firstRowFirstColumn="0" w:firstRowLastColumn="0" w:lastRowFirstColumn="0" w:lastRowLastColumn="0"/>
              <w:rPr>
                <w:color w:val="auto"/>
              </w:rPr>
            </w:pPr>
            <w:r w:rsidRPr="00E94CF8">
              <w:t>STS</w:t>
            </w:r>
          </w:p>
        </w:tc>
        <w:tc>
          <w:tcPr>
            <w:tcW w:w="844" w:type="dxa"/>
            <w:shd w:val="clear" w:color="auto" w:fill="82C341" w:themeFill="accent1"/>
            <w:vAlign w:val="top"/>
          </w:tcPr>
          <w:p w14:paraId="61DE13D3" w14:textId="77777777" w:rsidR="009C4A23" w:rsidRPr="00E94CF8" w:rsidRDefault="009C4A23" w:rsidP="00F51716">
            <w:pPr>
              <w:pStyle w:val="TableHeading"/>
              <w:cnfStyle w:val="100000000000" w:firstRow="1" w:lastRow="0" w:firstColumn="0" w:lastColumn="0" w:oddVBand="0" w:evenVBand="0" w:oddHBand="0" w:evenHBand="0" w:firstRowFirstColumn="0" w:firstRowLastColumn="0" w:lastRowFirstColumn="0" w:lastRowLastColumn="0"/>
              <w:rPr>
                <w:color w:val="auto"/>
              </w:rPr>
            </w:pPr>
            <w:r w:rsidRPr="00E94CF8">
              <w:t>PS</w:t>
            </w:r>
          </w:p>
        </w:tc>
        <w:tc>
          <w:tcPr>
            <w:tcW w:w="843" w:type="dxa"/>
            <w:shd w:val="clear" w:color="auto" w:fill="82C341" w:themeFill="accent1"/>
            <w:vAlign w:val="top"/>
          </w:tcPr>
          <w:p w14:paraId="1FAB7BF7" w14:textId="77777777" w:rsidR="009C4A23" w:rsidRPr="00E94CF8" w:rsidRDefault="009C4A23" w:rsidP="00F51716">
            <w:pPr>
              <w:pStyle w:val="TableHeading"/>
              <w:cnfStyle w:val="100000000000" w:firstRow="1" w:lastRow="0" w:firstColumn="0" w:lastColumn="0" w:oddVBand="0" w:evenVBand="0" w:oddHBand="0" w:evenHBand="0" w:firstRowFirstColumn="0" w:firstRowLastColumn="0" w:lastRowFirstColumn="0" w:lastRowLastColumn="0"/>
              <w:rPr>
                <w:color w:val="auto"/>
              </w:rPr>
            </w:pPr>
            <w:r w:rsidRPr="00E94CF8">
              <w:t>SMA</w:t>
            </w:r>
          </w:p>
        </w:tc>
        <w:tc>
          <w:tcPr>
            <w:tcW w:w="849" w:type="dxa"/>
            <w:shd w:val="clear" w:color="auto" w:fill="82C341" w:themeFill="accent1"/>
            <w:vAlign w:val="top"/>
          </w:tcPr>
          <w:p w14:paraId="10BF854E" w14:textId="77777777" w:rsidR="009C4A23" w:rsidRPr="00E94CF8" w:rsidRDefault="009C4A23" w:rsidP="00F51716">
            <w:pPr>
              <w:pStyle w:val="TableHeading"/>
              <w:cnfStyle w:val="100000000000" w:firstRow="1" w:lastRow="0" w:firstColumn="0" w:lastColumn="0" w:oddVBand="0" w:evenVBand="0" w:oddHBand="0" w:evenHBand="0" w:firstRowFirstColumn="0" w:firstRowLastColumn="0" w:lastRowFirstColumn="0" w:lastRowLastColumn="0"/>
              <w:rPr>
                <w:color w:val="auto"/>
              </w:rPr>
            </w:pPr>
            <w:r w:rsidRPr="00E94CF8">
              <w:t>SRA</w:t>
            </w:r>
          </w:p>
        </w:tc>
        <w:tc>
          <w:tcPr>
            <w:tcW w:w="904" w:type="dxa"/>
            <w:shd w:val="clear" w:color="auto" w:fill="82C341" w:themeFill="accent1"/>
            <w:vAlign w:val="top"/>
          </w:tcPr>
          <w:p w14:paraId="1E69BB42" w14:textId="77777777" w:rsidR="009C4A23" w:rsidRPr="00E94CF8" w:rsidRDefault="009C4A23" w:rsidP="00F51716">
            <w:pPr>
              <w:pStyle w:val="TableHeading"/>
              <w:cnfStyle w:val="100000000000" w:firstRow="1" w:lastRow="0" w:firstColumn="0" w:lastColumn="0" w:oddVBand="0" w:evenVBand="0" w:oddHBand="0" w:evenHBand="0" w:firstRowFirstColumn="0" w:firstRowLastColumn="0" w:lastRowFirstColumn="0" w:lastRowLastColumn="0"/>
              <w:rPr>
                <w:color w:val="auto"/>
              </w:rPr>
            </w:pPr>
            <w:r w:rsidRPr="00E94CF8">
              <w:t>Other</w:t>
            </w:r>
          </w:p>
        </w:tc>
      </w:tr>
      <w:tr w:rsidR="009C4A23" w:rsidRPr="00E94CF8" w14:paraId="07DDCF21" w14:textId="77777777" w:rsidTr="00264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shd w:val="clear" w:color="auto" w:fill="auto"/>
          </w:tcPr>
          <w:p w14:paraId="4428A6C9" w14:textId="77777777" w:rsidR="009C4A23" w:rsidRPr="00E94CF8" w:rsidRDefault="009C4A23" w:rsidP="00F51716">
            <w:pPr>
              <w:pStyle w:val="Tabletext0"/>
            </w:pPr>
            <w:r w:rsidRPr="00E94CF8">
              <w:t>&lt; $160 000</w:t>
            </w:r>
          </w:p>
        </w:tc>
        <w:tc>
          <w:tcPr>
            <w:tcW w:w="1087" w:type="dxa"/>
            <w:shd w:val="clear" w:color="auto" w:fill="auto"/>
          </w:tcPr>
          <w:p w14:paraId="66933519" w14:textId="77777777" w:rsidR="009C4A23" w:rsidRPr="00E94CF8" w:rsidRDefault="009C4A23" w:rsidP="00F51716">
            <w:pPr>
              <w:pStyle w:val="tableright"/>
              <w:cnfStyle w:val="000000100000" w:firstRow="0" w:lastRow="0" w:firstColumn="0" w:lastColumn="0" w:oddVBand="0" w:evenVBand="0" w:oddHBand="1" w:evenHBand="0" w:firstRowFirstColumn="0" w:firstRowLastColumn="0" w:lastRowFirstColumn="0" w:lastRowLastColumn="0"/>
            </w:pPr>
          </w:p>
        </w:tc>
        <w:tc>
          <w:tcPr>
            <w:tcW w:w="842" w:type="dxa"/>
            <w:shd w:val="clear" w:color="auto" w:fill="auto"/>
          </w:tcPr>
          <w:p w14:paraId="3868F63F" w14:textId="77777777" w:rsidR="009C4A23" w:rsidRPr="00E94CF8" w:rsidRDefault="009C4A23" w:rsidP="00F51716">
            <w:pPr>
              <w:pStyle w:val="tableright"/>
              <w:cnfStyle w:val="000000100000" w:firstRow="0" w:lastRow="0" w:firstColumn="0" w:lastColumn="0" w:oddVBand="0" w:evenVBand="0" w:oddHBand="1" w:evenHBand="0" w:firstRowFirstColumn="0" w:firstRowLastColumn="0" w:lastRowFirstColumn="0" w:lastRowLastColumn="0"/>
            </w:pPr>
          </w:p>
        </w:tc>
        <w:tc>
          <w:tcPr>
            <w:tcW w:w="844" w:type="dxa"/>
            <w:shd w:val="clear" w:color="auto" w:fill="auto"/>
          </w:tcPr>
          <w:p w14:paraId="2DBB9386" w14:textId="77777777" w:rsidR="009C4A23" w:rsidRPr="00E94CF8" w:rsidRDefault="009C4A23" w:rsidP="00F51716">
            <w:pPr>
              <w:pStyle w:val="tableright"/>
              <w:cnfStyle w:val="000000100000" w:firstRow="0" w:lastRow="0" w:firstColumn="0" w:lastColumn="0" w:oddVBand="0" w:evenVBand="0" w:oddHBand="1" w:evenHBand="0" w:firstRowFirstColumn="0" w:firstRowLastColumn="0" w:lastRowFirstColumn="0" w:lastRowLastColumn="0"/>
            </w:pPr>
          </w:p>
        </w:tc>
        <w:tc>
          <w:tcPr>
            <w:tcW w:w="843" w:type="dxa"/>
            <w:shd w:val="clear" w:color="auto" w:fill="auto"/>
          </w:tcPr>
          <w:p w14:paraId="10173DD8" w14:textId="77777777" w:rsidR="009C4A23" w:rsidRPr="00E94CF8" w:rsidRDefault="009C4A23" w:rsidP="00F51716">
            <w:pPr>
              <w:pStyle w:val="tableright"/>
              <w:cnfStyle w:val="000000100000" w:firstRow="0" w:lastRow="0" w:firstColumn="0" w:lastColumn="0" w:oddVBand="0" w:evenVBand="0" w:oddHBand="1" w:evenHBand="0" w:firstRowFirstColumn="0" w:firstRowLastColumn="0" w:lastRowFirstColumn="0" w:lastRowLastColumn="0"/>
            </w:pPr>
            <w:r w:rsidRPr="00E94CF8">
              <w:t xml:space="preserve"> </w:t>
            </w:r>
          </w:p>
        </w:tc>
        <w:tc>
          <w:tcPr>
            <w:tcW w:w="849" w:type="dxa"/>
            <w:shd w:val="clear" w:color="auto" w:fill="auto"/>
          </w:tcPr>
          <w:p w14:paraId="66AC49DA" w14:textId="77777777" w:rsidR="009C4A23" w:rsidRPr="00E94CF8" w:rsidRDefault="009C4A23" w:rsidP="00F51716">
            <w:pPr>
              <w:pStyle w:val="tableright"/>
              <w:cnfStyle w:val="000000100000" w:firstRow="0" w:lastRow="0" w:firstColumn="0" w:lastColumn="0" w:oddVBand="0" w:evenVBand="0" w:oddHBand="1" w:evenHBand="0" w:firstRowFirstColumn="0" w:firstRowLastColumn="0" w:lastRowFirstColumn="0" w:lastRowLastColumn="0"/>
            </w:pPr>
          </w:p>
        </w:tc>
        <w:tc>
          <w:tcPr>
            <w:tcW w:w="904" w:type="dxa"/>
            <w:shd w:val="clear" w:color="auto" w:fill="auto"/>
          </w:tcPr>
          <w:p w14:paraId="7A9A2DD9" w14:textId="77777777" w:rsidR="009C4A23" w:rsidRPr="00E94CF8" w:rsidRDefault="009C4A23" w:rsidP="00F51716">
            <w:pPr>
              <w:pStyle w:val="tableright"/>
              <w:cnfStyle w:val="000000100000" w:firstRow="0" w:lastRow="0" w:firstColumn="0" w:lastColumn="0" w:oddVBand="0" w:evenVBand="0" w:oddHBand="1" w:evenHBand="0" w:firstRowFirstColumn="0" w:firstRowLastColumn="0" w:lastRowFirstColumn="0" w:lastRowLastColumn="0"/>
            </w:pPr>
          </w:p>
        </w:tc>
      </w:tr>
      <w:tr w:rsidR="009C4A23" w:rsidRPr="00E94CF8" w14:paraId="72764139" w14:textId="77777777" w:rsidTr="002640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shd w:val="clear" w:color="auto" w:fill="auto"/>
          </w:tcPr>
          <w:p w14:paraId="635FCAAD" w14:textId="77777777" w:rsidR="009C4A23" w:rsidRPr="00E94CF8" w:rsidRDefault="009C4A23" w:rsidP="00F51716">
            <w:pPr>
              <w:pStyle w:val="Tabletext0"/>
            </w:pPr>
            <w:r w:rsidRPr="00E94CF8">
              <w:t>$160 000 – $179 999</w:t>
            </w:r>
          </w:p>
        </w:tc>
        <w:tc>
          <w:tcPr>
            <w:tcW w:w="1087" w:type="dxa"/>
            <w:shd w:val="clear" w:color="auto" w:fill="auto"/>
          </w:tcPr>
          <w:p w14:paraId="6CEF36B2" w14:textId="701344A1" w:rsidR="009C4A23" w:rsidRPr="00E94CF8" w:rsidRDefault="009C4A23" w:rsidP="00F51716">
            <w:pPr>
              <w:pStyle w:val="tableright"/>
              <w:cnfStyle w:val="000000010000" w:firstRow="0" w:lastRow="0" w:firstColumn="0" w:lastColumn="0" w:oddVBand="0" w:evenVBand="0" w:oddHBand="0" w:evenHBand="1" w:firstRowFirstColumn="0" w:firstRowLastColumn="0" w:lastRowFirstColumn="0" w:lastRowLastColumn="0"/>
            </w:pPr>
          </w:p>
        </w:tc>
        <w:tc>
          <w:tcPr>
            <w:tcW w:w="842" w:type="dxa"/>
            <w:shd w:val="clear" w:color="auto" w:fill="auto"/>
          </w:tcPr>
          <w:p w14:paraId="3012416D" w14:textId="77777777" w:rsidR="009C4A23" w:rsidRPr="00E94CF8" w:rsidRDefault="009C4A23" w:rsidP="00F51716">
            <w:pPr>
              <w:pStyle w:val="tableright"/>
              <w:cnfStyle w:val="000000010000" w:firstRow="0" w:lastRow="0" w:firstColumn="0" w:lastColumn="0" w:oddVBand="0" w:evenVBand="0" w:oddHBand="0" w:evenHBand="1" w:firstRowFirstColumn="0" w:firstRowLastColumn="0" w:lastRowFirstColumn="0" w:lastRowLastColumn="0"/>
            </w:pPr>
          </w:p>
        </w:tc>
        <w:tc>
          <w:tcPr>
            <w:tcW w:w="844" w:type="dxa"/>
            <w:shd w:val="clear" w:color="auto" w:fill="auto"/>
          </w:tcPr>
          <w:p w14:paraId="4764C8B1" w14:textId="77777777" w:rsidR="009C4A23" w:rsidRPr="00E94CF8" w:rsidRDefault="009C4A23" w:rsidP="00F51716">
            <w:pPr>
              <w:pStyle w:val="tableright"/>
              <w:cnfStyle w:val="000000010000" w:firstRow="0" w:lastRow="0" w:firstColumn="0" w:lastColumn="0" w:oddVBand="0" w:evenVBand="0" w:oddHBand="0" w:evenHBand="1" w:firstRowFirstColumn="0" w:firstRowLastColumn="0" w:lastRowFirstColumn="0" w:lastRowLastColumn="0"/>
            </w:pPr>
          </w:p>
        </w:tc>
        <w:tc>
          <w:tcPr>
            <w:tcW w:w="843" w:type="dxa"/>
            <w:shd w:val="clear" w:color="auto" w:fill="auto"/>
          </w:tcPr>
          <w:p w14:paraId="0073FCD4" w14:textId="77777777" w:rsidR="009C4A23" w:rsidRPr="00E94CF8" w:rsidRDefault="009C4A23" w:rsidP="00F51716">
            <w:pPr>
              <w:pStyle w:val="tableright"/>
              <w:cnfStyle w:val="000000010000" w:firstRow="0" w:lastRow="0" w:firstColumn="0" w:lastColumn="0" w:oddVBand="0" w:evenVBand="0" w:oddHBand="0" w:evenHBand="1" w:firstRowFirstColumn="0" w:firstRowLastColumn="0" w:lastRowFirstColumn="0" w:lastRowLastColumn="0"/>
            </w:pPr>
          </w:p>
        </w:tc>
        <w:tc>
          <w:tcPr>
            <w:tcW w:w="849" w:type="dxa"/>
            <w:shd w:val="clear" w:color="auto" w:fill="auto"/>
          </w:tcPr>
          <w:p w14:paraId="7CB71246" w14:textId="77777777" w:rsidR="009C4A23" w:rsidRPr="00E94CF8" w:rsidRDefault="009C4A23" w:rsidP="00F51716">
            <w:pPr>
              <w:pStyle w:val="tableright"/>
              <w:cnfStyle w:val="000000010000" w:firstRow="0" w:lastRow="0" w:firstColumn="0" w:lastColumn="0" w:oddVBand="0" w:evenVBand="0" w:oddHBand="0" w:evenHBand="1" w:firstRowFirstColumn="0" w:firstRowLastColumn="0" w:lastRowFirstColumn="0" w:lastRowLastColumn="0"/>
            </w:pPr>
          </w:p>
        </w:tc>
        <w:tc>
          <w:tcPr>
            <w:tcW w:w="904" w:type="dxa"/>
            <w:shd w:val="clear" w:color="auto" w:fill="auto"/>
          </w:tcPr>
          <w:p w14:paraId="16450FA7" w14:textId="77777777" w:rsidR="009C4A23" w:rsidRPr="00E94CF8" w:rsidRDefault="009C4A23" w:rsidP="00F51716">
            <w:pPr>
              <w:pStyle w:val="tableright"/>
              <w:cnfStyle w:val="000000010000" w:firstRow="0" w:lastRow="0" w:firstColumn="0" w:lastColumn="0" w:oddVBand="0" w:evenVBand="0" w:oddHBand="0" w:evenHBand="1" w:firstRowFirstColumn="0" w:firstRowLastColumn="0" w:lastRowFirstColumn="0" w:lastRowLastColumn="0"/>
            </w:pPr>
          </w:p>
        </w:tc>
      </w:tr>
      <w:tr w:rsidR="009C4A23" w:rsidRPr="00E94CF8" w14:paraId="44BB72D2" w14:textId="77777777" w:rsidTr="00264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shd w:val="clear" w:color="auto" w:fill="auto"/>
          </w:tcPr>
          <w:p w14:paraId="3DB11374" w14:textId="77777777" w:rsidR="009C4A23" w:rsidRPr="00E94CF8" w:rsidRDefault="009C4A23" w:rsidP="00F51716">
            <w:pPr>
              <w:pStyle w:val="Tabletext0"/>
            </w:pPr>
            <w:r w:rsidRPr="00E94CF8">
              <w:t>$180 000 – $199 999</w:t>
            </w:r>
          </w:p>
        </w:tc>
        <w:tc>
          <w:tcPr>
            <w:tcW w:w="1087" w:type="dxa"/>
            <w:shd w:val="clear" w:color="auto" w:fill="auto"/>
          </w:tcPr>
          <w:p w14:paraId="4D442AC6" w14:textId="2E3CC422" w:rsidR="009C4A23" w:rsidRPr="00E94CF8" w:rsidRDefault="00ED4ED8" w:rsidP="00F51716">
            <w:pPr>
              <w:pStyle w:val="tableright"/>
              <w:cnfStyle w:val="000000100000" w:firstRow="0" w:lastRow="0" w:firstColumn="0" w:lastColumn="0" w:oddVBand="0" w:evenVBand="0" w:oddHBand="1" w:evenHBand="0" w:firstRowFirstColumn="0" w:firstRowLastColumn="0" w:lastRowFirstColumn="0" w:lastRowLastColumn="0"/>
            </w:pPr>
            <w:r w:rsidRPr="00E94CF8">
              <w:t>2</w:t>
            </w:r>
          </w:p>
        </w:tc>
        <w:tc>
          <w:tcPr>
            <w:tcW w:w="842" w:type="dxa"/>
            <w:shd w:val="clear" w:color="auto" w:fill="auto"/>
          </w:tcPr>
          <w:p w14:paraId="4B29BB68" w14:textId="77777777" w:rsidR="009C4A23" w:rsidRPr="00E94CF8" w:rsidRDefault="009C4A23" w:rsidP="00F51716">
            <w:pPr>
              <w:pStyle w:val="tableright"/>
              <w:cnfStyle w:val="000000100000" w:firstRow="0" w:lastRow="0" w:firstColumn="0" w:lastColumn="0" w:oddVBand="0" w:evenVBand="0" w:oddHBand="1" w:evenHBand="0" w:firstRowFirstColumn="0" w:firstRowLastColumn="0" w:lastRowFirstColumn="0" w:lastRowLastColumn="0"/>
            </w:pPr>
          </w:p>
        </w:tc>
        <w:tc>
          <w:tcPr>
            <w:tcW w:w="844" w:type="dxa"/>
            <w:shd w:val="clear" w:color="auto" w:fill="auto"/>
          </w:tcPr>
          <w:p w14:paraId="1B075794" w14:textId="77777777" w:rsidR="009C4A23" w:rsidRPr="00E94CF8" w:rsidRDefault="009C4A23" w:rsidP="00F51716">
            <w:pPr>
              <w:pStyle w:val="tableright"/>
              <w:cnfStyle w:val="000000100000" w:firstRow="0" w:lastRow="0" w:firstColumn="0" w:lastColumn="0" w:oddVBand="0" w:evenVBand="0" w:oddHBand="1" w:evenHBand="0" w:firstRowFirstColumn="0" w:firstRowLastColumn="0" w:lastRowFirstColumn="0" w:lastRowLastColumn="0"/>
            </w:pPr>
          </w:p>
        </w:tc>
        <w:tc>
          <w:tcPr>
            <w:tcW w:w="843" w:type="dxa"/>
            <w:shd w:val="clear" w:color="auto" w:fill="auto"/>
          </w:tcPr>
          <w:p w14:paraId="03B79798" w14:textId="77777777" w:rsidR="009C4A23" w:rsidRPr="00E94CF8" w:rsidRDefault="009C4A23" w:rsidP="00F51716">
            <w:pPr>
              <w:pStyle w:val="tableright"/>
              <w:cnfStyle w:val="000000100000" w:firstRow="0" w:lastRow="0" w:firstColumn="0" w:lastColumn="0" w:oddVBand="0" w:evenVBand="0" w:oddHBand="1" w:evenHBand="0" w:firstRowFirstColumn="0" w:firstRowLastColumn="0" w:lastRowFirstColumn="0" w:lastRowLastColumn="0"/>
            </w:pPr>
          </w:p>
        </w:tc>
        <w:tc>
          <w:tcPr>
            <w:tcW w:w="849" w:type="dxa"/>
            <w:shd w:val="clear" w:color="auto" w:fill="auto"/>
          </w:tcPr>
          <w:p w14:paraId="353F58FE" w14:textId="77777777" w:rsidR="009C4A23" w:rsidRPr="00E94CF8" w:rsidRDefault="009C4A23" w:rsidP="00F51716">
            <w:pPr>
              <w:pStyle w:val="tableright"/>
              <w:cnfStyle w:val="000000100000" w:firstRow="0" w:lastRow="0" w:firstColumn="0" w:lastColumn="0" w:oddVBand="0" w:evenVBand="0" w:oddHBand="1" w:evenHBand="0" w:firstRowFirstColumn="0" w:firstRowLastColumn="0" w:lastRowFirstColumn="0" w:lastRowLastColumn="0"/>
            </w:pPr>
          </w:p>
        </w:tc>
        <w:tc>
          <w:tcPr>
            <w:tcW w:w="904" w:type="dxa"/>
            <w:shd w:val="clear" w:color="auto" w:fill="auto"/>
          </w:tcPr>
          <w:p w14:paraId="5A45D9A5" w14:textId="77777777" w:rsidR="009C4A23" w:rsidRPr="00E94CF8" w:rsidRDefault="009C4A23" w:rsidP="00F51716">
            <w:pPr>
              <w:pStyle w:val="tableright"/>
              <w:cnfStyle w:val="000000100000" w:firstRow="0" w:lastRow="0" w:firstColumn="0" w:lastColumn="0" w:oddVBand="0" w:evenVBand="0" w:oddHBand="1" w:evenHBand="0" w:firstRowFirstColumn="0" w:firstRowLastColumn="0" w:lastRowFirstColumn="0" w:lastRowLastColumn="0"/>
            </w:pPr>
          </w:p>
        </w:tc>
      </w:tr>
      <w:tr w:rsidR="009C4A23" w:rsidRPr="00E94CF8" w14:paraId="3BBA61DA" w14:textId="77777777" w:rsidTr="002640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shd w:val="clear" w:color="auto" w:fill="auto"/>
          </w:tcPr>
          <w:p w14:paraId="6630C0FF" w14:textId="77777777" w:rsidR="009C4A23" w:rsidRPr="00E94CF8" w:rsidRDefault="009C4A23" w:rsidP="00F51716">
            <w:pPr>
              <w:pStyle w:val="Tabletext0"/>
            </w:pPr>
            <w:r w:rsidRPr="00E94CF8">
              <w:t>$200 000 – $219 999</w:t>
            </w:r>
          </w:p>
        </w:tc>
        <w:tc>
          <w:tcPr>
            <w:tcW w:w="1087" w:type="dxa"/>
            <w:shd w:val="clear" w:color="auto" w:fill="auto"/>
          </w:tcPr>
          <w:p w14:paraId="7768E740" w14:textId="34670ABA" w:rsidR="009C4A23" w:rsidRPr="00E94CF8" w:rsidRDefault="00ED4ED8" w:rsidP="00F51716">
            <w:pPr>
              <w:pStyle w:val="tableright"/>
              <w:cnfStyle w:val="000000010000" w:firstRow="0" w:lastRow="0" w:firstColumn="0" w:lastColumn="0" w:oddVBand="0" w:evenVBand="0" w:oddHBand="0" w:evenHBand="1" w:firstRowFirstColumn="0" w:firstRowLastColumn="0" w:lastRowFirstColumn="0" w:lastRowLastColumn="0"/>
            </w:pPr>
            <w:r w:rsidRPr="00E94CF8">
              <w:t>5</w:t>
            </w:r>
          </w:p>
        </w:tc>
        <w:tc>
          <w:tcPr>
            <w:tcW w:w="842" w:type="dxa"/>
            <w:shd w:val="clear" w:color="auto" w:fill="auto"/>
          </w:tcPr>
          <w:p w14:paraId="0E7C82AE" w14:textId="77777777" w:rsidR="009C4A23" w:rsidRPr="00E94CF8" w:rsidRDefault="009C4A23" w:rsidP="00F51716">
            <w:pPr>
              <w:pStyle w:val="tableright"/>
              <w:cnfStyle w:val="000000010000" w:firstRow="0" w:lastRow="0" w:firstColumn="0" w:lastColumn="0" w:oddVBand="0" w:evenVBand="0" w:oddHBand="0" w:evenHBand="1" w:firstRowFirstColumn="0" w:firstRowLastColumn="0" w:lastRowFirstColumn="0" w:lastRowLastColumn="0"/>
            </w:pPr>
            <w:r w:rsidRPr="00E94CF8">
              <w:t xml:space="preserve"> </w:t>
            </w:r>
          </w:p>
        </w:tc>
        <w:tc>
          <w:tcPr>
            <w:tcW w:w="844" w:type="dxa"/>
            <w:shd w:val="clear" w:color="auto" w:fill="auto"/>
          </w:tcPr>
          <w:p w14:paraId="59AE0D93" w14:textId="77777777" w:rsidR="009C4A23" w:rsidRPr="00E94CF8" w:rsidRDefault="009C4A23" w:rsidP="00F51716">
            <w:pPr>
              <w:pStyle w:val="tableright"/>
              <w:cnfStyle w:val="000000010000" w:firstRow="0" w:lastRow="0" w:firstColumn="0" w:lastColumn="0" w:oddVBand="0" w:evenVBand="0" w:oddHBand="0" w:evenHBand="1" w:firstRowFirstColumn="0" w:firstRowLastColumn="0" w:lastRowFirstColumn="0" w:lastRowLastColumn="0"/>
            </w:pPr>
          </w:p>
        </w:tc>
        <w:tc>
          <w:tcPr>
            <w:tcW w:w="843" w:type="dxa"/>
            <w:shd w:val="clear" w:color="auto" w:fill="auto"/>
          </w:tcPr>
          <w:p w14:paraId="054B9B5F" w14:textId="77777777" w:rsidR="009C4A23" w:rsidRPr="00E94CF8" w:rsidRDefault="009C4A23" w:rsidP="00F51716">
            <w:pPr>
              <w:pStyle w:val="tableright"/>
              <w:cnfStyle w:val="000000010000" w:firstRow="0" w:lastRow="0" w:firstColumn="0" w:lastColumn="0" w:oddVBand="0" w:evenVBand="0" w:oddHBand="0" w:evenHBand="1" w:firstRowFirstColumn="0" w:firstRowLastColumn="0" w:lastRowFirstColumn="0" w:lastRowLastColumn="0"/>
            </w:pPr>
          </w:p>
        </w:tc>
        <w:tc>
          <w:tcPr>
            <w:tcW w:w="849" w:type="dxa"/>
            <w:shd w:val="clear" w:color="auto" w:fill="auto"/>
          </w:tcPr>
          <w:p w14:paraId="40942C41" w14:textId="77777777" w:rsidR="009C4A23" w:rsidRPr="00E94CF8" w:rsidRDefault="009C4A23" w:rsidP="00F51716">
            <w:pPr>
              <w:pStyle w:val="tableright"/>
              <w:cnfStyle w:val="000000010000" w:firstRow="0" w:lastRow="0" w:firstColumn="0" w:lastColumn="0" w:oddVBand="0" w:evenVBand="0" w:oddHBand="0" w:evenHBand="1" w:firstRowFirstColumn="0" w:firstRowLastColumn="0" w:lastRowFirstColumn="0" w:lastRowLastColumn="0"/>
            </w:pPr>
          </w:p>
        </w:tc>
        <w:tc>
          <w:tcPr>
            <w:tcW w:w="904" w:type="dxa"/>
            <w:shd w:val="clear" w:color="auto" w:fill="auto"/>
          </w:tcPr>
          <w:p w14:paraId="0F72A1EB" w14:textId="77777777" w:rsidR="009C4A23" w:rsidRPr="00E94CF8" w:rsidRDefault="009C4A23" w:rsidP="00F51716">
            <w:pPr>
              <w:pStyle w:val="tableright"/>
              <w:cnfStyle w:val="000000010000" w:firstRow="0" w:lastRow="0" w:firstColumn="0" w:lastColumn="0" w:oddVBand="0" w:evenVBand="0" w:oddHBand="0" w:evenHBand="1" w:firstRowFirstColumn="0" w:firstRowLastColumn="0" w:lastRowFirstColumn="0" w:lastRowLastColumn="0"/>
            </w:pPr>
          </w:p>
        </w:tc>
      </w:tr>
      <w:tr w:rsidR="009C4A23" w:rsidRPr="00E94CF8" w14:paraId="52B49EFA" w14:textId="77777777" w:rsidTr="00264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shd w:val="clear" w:color="auto" w:fill="auto"/>
          </w:tcPr>
          <w:p w14:paraId="7848CBD9" w14:textId="77777777" w:rsidR="009C4A23" w:rsidRPr="00E94CF8" w:rsidRDefault="009C4A23" w:rsidP="00F51716">
            <w:pPr>
              <w:pStyle w:val="Tabletext0"/>
            </w:pPr>
            <w:r w:rsidRPr="00E94CF8">
              <w:t>$220 000 – $239 999</w:t>
            </w:r>
          </w:p>
        </w:tc>
        <w:tc>
          <w:tcPr>
            <w:tcW w:w="1087" w:type="dxa"/>
            <w:shd w:val="clear" w:color="auto" w:fill="auto"/>
          </w:tcPr>
          <w:p w14:paraId="1BC13401" w14:textId="77777777" w:rsidR="009C4A23" w:rsidRPr="00E94CF8" w:rsidRDefault="009C4A23" w:rsidP="00F51716">
            <w:pPr>
              <w:pStyle w:val="tableright"/>
              <w:cnfStyle w:val="000000100000" w:firstRow="0" w:lastRow="0" w:firstColumn="0" w:lastColumn="0" w:oddVBand="0" w:evenVBand="0" w:oddHBand="1" w:evenHBand="0" w:firstRowFirstColumn="0" w:firstRowLastColumn="0" w:lastRowFirstColumn="0" w:lastRowLastColumn="0"/>
            </w:pPr>
          </w:p>
        </w:tc>
        <w:tc>
          <w:tcPr>
            <w:tcW w:w="842" w:type="dxa"/>
            <w:shd w:val="clear" w:color="auto" w:fill="auto"/>
          </w:tcPr>
          <w:p w14:paraId="5DF4BAB1" w14:textId="77777777" w:rsidR="009C4A23" w:rsidRPr="00E94CF8" w:rsidRDefault="009C4A23" w:rsidP="00F51716">
            <w:pPr>
              <w:pStyle w:val="tableright"/>
              <w:cnfStyle w:val="000000100000" w:firstRow="0" w:lastRow="0" w:firstColumn="0" w:lastColumn="0" w:oddVBand="0" w:evenVBand="0" w:oddHBand="1" w:evenHBand="0" w:firstRowFirstColumn="0" w:firstRowLastColumn="0" w:lastRowFirstColumn="0" w:lastRowLastColumn="0"/>
            </w:pPr>
          </w:p>
        </w:tc>
        <w:tc>
          <w:tcPr>
            <w:tcW w:w="844" w:type="dxa"/>
            <w:shd w:val="clear" w:color="auto" w:fill="auto"/>
          </w:tcPr>
          <w:p w14:paraId="10AAF836" w14:textId="77777777" w:rsidR="009C4A23" w:rsidRPr="00E94CF8" w:rsidRDefault="009C4A23" w:rsidP="00F51716">
            <w:pPr>
              <w:pStyle w:val="tableright"/>
              <w:cnfStyle w:val="000000100000" w:firstRow="0" w:lastRow="0" w:firstColumn="0" w:lastColumn="0" w:oddVBand="0" w:evenVBand="0" w:oddHBand="1" w:evenHBand="0" w:firstRowFirstColumn="0" w:firstRowLastColumn="0" w:lastRowFirstColumn="0" w:lastRowLastColumn="0"/>
            </w:pPr>
          </w:p>
        </w:tc>
        <w:tc>
          <w:tcPr>
            <w:tcW w:w="843" w:type="dxa"/>
            <w:shd w:val="clear" w:color="auto" w:fill="auto"/>
          </w:tcPr>
          <w:p w14:paraId="0A00F647" w14:textId="77777777" w:rsidR="009C4A23" w:rsidRPr="00E94CF8" w:rsidRDefault="009C4A23" w:rsidP="00F51716">
            <w:pPr>
              <w:pStyle w:val="tableright"/>
              <w:cnfStyle w:val="000000100000" w:firstRow="0" w:lastRow="0" w:firstColumn="0" w:lastColumn="0" w:oddVBand="0" w:evenVBand="0" w:oddHBand="1" w:evenHBand="0" w:firstRowFirstColumn="0" w:firstRowLastColumn="0" w:lastRowFirstColumn="0" w:lastRowLastColumn="0"/>
            </w:pPr>
          </w:p>
        </w:tc>
        <w:tc>
          <w:tcPr>
            <w:tcW w:w="849" w:type="dxa"/>
            <w:shd w:val="clear" w:color="auto" w:fill="auto"/>
          </w:tcPr>
          <w:p w14:paraId="61F4C048" w14:textId="77777777" w:rsidR="009C4A23" w:rsidRPr="00E94CF8" w:rsidRDefault="009C4A23" w:rsidP="00F51716">
            <w:pPr>
              <w:pStyle w:val="tableright"/>
              <w:cnfStyle w:val="000000100000" w:firstRow="0" w:lastRow="0" w:firstColumn="0" w:lastColumn="0" w:oddVBand="0" w:evenVBand="0" w:oddHBand="1" w:evenHBand="0" w:firstRowFirstColumn="0" w:firstRowLastColumn="0" w:lastRowFirstColumn="0" w:lastRowLastColumn="0"/>
            </w:pPr>
          </w:p>
        </w:tc>
        <w:tc>
          <w:tcPr>
            <w:tcW w:w="904" w:type="dxa"/>
            <w:shd w:val="clear" w:color="auto" w:fill="auto"/>
          </w:tcPr>
          <w:p w14:paraId="058176BB" w14:textId="77777777" w:rsidR="009C4A23" w:rsidRPr="00E94CF8" w:rsidRDefault="009C4A23" w:rsidP="00F51716">
            <w:pPr>
              <w:pStyle w:val="tableright"/>
              <w:cnfStyle w:val="000000100000" w:firstRow="0" w:lastRow="0" w:firstColumn="0" w:lastColumn="0" w:oddVBand="0" w:evenVBand="0" w:oddHBand="1" w:evenHBand="0" w:firstRowFirstColumn="0" w:firstRowLastColumn="0" w:lastRowFirstColumn="0" w:lastRowLastColumn="0"/>
            </w:pPr>
          </w:p>
        </w:tc>
      </w:tr>
      <w:tr w:rsidR="009C4A23" w:rsidRPr="00E94CF8" w14:paraId="5952C4DA" w14:textId="77777777" w:rsidTr="002640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shd w:val="clear" w:color="auto" w:fill="auto"/>
          </w:tcPr>
          <w:p w14:paraId="7643BBC0" w14:textId="77777777" w:rsidR="009C4A23" w:rsidRPr="00E94CF8" w:rsidRDefault="009C4A23" w:rsidP="00F51716">
            <w:pPr>
              <w:pStyle w:val="Tabletext0"/>
            </w:pPr>
            <w:r w:rsidRPr="00E94CF8">
              <w:t>$240 000 – $259 999</w:t>
            </w:r>
          </w:p>
        </w:tc>
        <w:tc>
          <w:tcPr>
            <w:tcW w:w="1087" w:type="dxa"/>
            <w:shd w:val="clear" w:color="auto" w:fill="auto"/>
          </w:tcPr>
          <w:p w14:paraId="1F86BA46" w14:textId="77777777" w:rsidR="009C4A23" w:rsidRPr="00E94CF8" w:rsidRDefault="009C4A23" w:rsidP="00F51716">
            <w:pPr>
              <w:pStyle w:val="tableright"/>
              <w:cnfStyle w:val="000000010000" w:firstRow="0" w:lastRow="0" w:firstColumn="0" w:lastColumn="0" w:oddVBand="0" w:evenVBand="0" w:oddHBand="0" w:evenHBand="1" w:firstRowFirstColumn="0" w:firstRowLastColumn="0" w:lastRowFirstColumn="0" w:lastRowLastColumn="0"/>
            </w:pPr>
          </w:p>
        </w:tc>
        <w:tc>
          <w:tcPr>
            <w:tcW w:w="842" w:type="dxa"/>
            <w:shd w:val="clear" w:color="auto" w:fill="auto"/>
          </w:tcPr>
          <w:p w14:paraId="0EA4DD49" w14:textId="77777777" w:rsidR="009C4A23" w:rsidRPr="00E94CF8" w:rsidRDefault="009C4A23" w:rsidP="00F51716">
            <w:pPr>
              <w:pStyle w:val="tableright"/>
              <w:cnfStyle w:val="000000010000" w:firstRow="0" w:lastRow="0" w:firstColumn="0" w:lastColumn="0" w:oddVBand="0" w:evenVBand="0" w:oddHBand="0" w:evenHBand="1" w:firstRowFirstColumn="0" w:firstRowLastColumn="0" w:lastRowFirstColumn="0" w:lastRowLastColumn="0"/>
            </w:pPr>
          </w:p>
        </w:tc>
        <w:tc>
          <w:tcPr>
            <w:tcW w:w="844" w:type="dxa"/>
            <w:shd w:val="clear" w:color="auto" w:fill="auto"/>
          </w:tcPr>
          <w:p w14:paraId="65C9E26E" w14:textId="77777777" w:rsidR="009C4A23" w:rsidRPr="00E94CF8" w:rsidRDefault="009C4A23" w:rsidP="00F51716">
            <w:pPr>
              <w:pStyle w:val="tableright"/>
              <w:cnfStyle w:val="000000010000" w:firstRow="0" w:lastRow="0" w:firstColumn="0" w:lastColumn="0" w:oddVBand="0" w:evenVBand="0" w:oddHBand="0" w:evenHBand="1" w:firstRowFirstColumn="0" w:firstRowLastColumn="0" w:lastRowFirstColumn="0" w:lastRowLastColumn="0"/>
            </w:pPr>
          </w:p>
        </w:tc>
        <w:tc>
          <w:tcPr>
            <w:tcW w:w="843" w:type="dxa"/>
            <w:shd w:val="clear" w:color="auto" w:fill="auto"/>
          </w:tcPr>
          <w:p w14:paraId="0D00768C" w14:textId="77777777" w:rsidR="009C4A23" w:rsidRPr="00E94CF8" w:rsidRDefault="009C4A23" w:rsidP="00F51716">
            <w:pPr>
              <w:pStyle w:val="tableright"/>
              <w:cnfStyle w:val="000000010000" w:firstRow="0" w:lastRow="0" w:firstColumn="0" w:lastColumn="0" w:oddVBand="0" w:evenVBand="0" w:oddHBand="0" w:evenHBand="1" w:firstRowFirstColumn="0" w:firstRowLastColumn="0" w:lastRowFirstColumn="0" w:lastRowLastColumn="0"/>
            </w:pPr>
          </w:p>
        </w:tc>
        <w:tc>
          <w:tcPr>
            <w:tcW w:w="849" w:type="dxa"/>
            <w:shd w:val="clear" w:color="auto" w:fill="auto"/>
          </w:tcPr>
          <w:p w14:paraId="65D09181" w14:textId="77777777" w:rsidR="009C4A23" w:rsidRPr="00E94CF8" w:rsidRDefault="009C4A23" w:rsidP="00F51716">
            <w:pPr>
              <w:pStyle w:val="tableright"/>
              <w:cnfStyle w:val="000000010000" w:firstRow="0" w:lastRow="0" w:firstColumn="0" w:lastColumn="0" w:oddVBand="0" w:evenVBand="0" w:oddHBand="0" w:evenHBand="1" w:firstRowFirstColumn="0" w:firstRowLastColumn="0" w:lastRowFirstColumn="0" w:lastRowLastColumn="0"/>
            </w:pPr>
          </w:p>
        </w:tc>
        <w:tc>
          <w:tcPr>
            <w:tcW w:w="904" w:type="dxa"/>
            <w:shd w:val="clear" w:color="auto" w:fill="auto"/>
          </w:tcPr>
          <w:p w14:paraId="0D6AE7FE" w14:textId="77777777" w:rsidR="009C4A23" w:rsidRPr="00E94CF8" w:rsidRDefault="009C4A23" w:rsidP="00F51716">
            <w:pPr>
              <w:pStyle w:val="tableright"/>
              <w:cnfStyle w:val="000000010000" w:firstRow="0" w:lastRow="0" w:firstColumn="0" w:lastColumn="0" w:oddVBand="0" w:evenVBand="0" w:oddHBand="0" w:evenHBand="1" w:firstRowFirstColumn="0" w:firstRowLastColumn="0" w:lastRowFirstColumn="0" w:lastRowLastColumn="0"/>
            </w:pPr>
          </w:p>
        </w:tc>
      </w:tr>
      <w:tr w:rsidR="009C4A23" w:rsidRPr="00E94CF8" w14:paraId="30BA75F8" w14:textId="77777777" w:rsidTr="00264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shd w:val="clear" w:color="auto" w:fill="auto"/>
          </w:tcPr>
          <w:p w14:paraId="5756C745" w14:textId="77777777" w:rsidR="009C4A23" w:rsidRPr="00E94CF8" w:rsidRDefault="009C4A23" w:rsidP="00F51716">
            <w:pPr>
              <w:pStyle w:val="Tabletext0"/>
            </w:pPr>
            <w:r w:rsidRPr="00E94CF8">
              <w:t>$260 000 – $279 999</w:t>
            </w:r>
          </w:p>
        </w:tc>
        <w:tc>
          <w:tcPr>
            <w:tcW w:w="1087" w:type="dxa"/>
            <w:shd w:val="clear" w:color="auto" w:fill="auto"/>
          </w:tcPr>
          <w:p w14:paraId="3727875F" w14:textId="77777777" w:rsidR="009C4A23" w:rsidRPr="00E94CF8" w:rsidRDefault="009C4A23" w:rsidP="00F51716">
            <w:pPr>
              <w:pStyle w:val="tableright"/>
              <w:cnfStyle w:val="000000100000" w:firstRow="0" w:lastRow="0" w:firstColumn="0" w:lastColumn="0" w:oddVBand="0" w:evenVBand="0" w:oddHBand="1" w:evenHBand="0" w:firstRowFirstColumn="0" w:firstRowLastColumn="0" w:lastRowFirstColumn="0" w:lastRowLastColumn="0"/>
            </w:pPr>
          </w:p>
        </w:tc>
        <w:tc>
          <w:tcPr>
            <w:tcW w:w="842" w:type="dxa"/>
            <w:shd w:val="clear" w:color="auto" w:fill="auto"/>
          </w:tcPr>
          <w:p w14:paraId="0281112C" w14:textId="77777777" w:rsidR="009C4A23" w:rsidRPr="00E94CF8" w:rsidRDefault="009C4A23" w:rsidP="00F51716">
            <w:pPr>
              <w:pStyle w:val="tableright"/>
              <w:cnfStyle w:val="000000100000" w:firstRow="0" w:lastRow="0" w:firstColumn="0" w:lastColumn="0" w:oddVBand="0" w:evenVBand="0" w:oddHBand="1" w:evenHBand="0" w:firstRowFirstColumn="0" w:firstRowLastColumn="0" w:lastRowFirstColumn="0" w:lastRowLastColumn="0"/>
            </w:pPr>
          </w:p>
        </w:tc>
        <w:tc>
          <w:tcPr>
            <w:tcW w:w="844" w:type="dxa"/>
            <w:shd w:val="clear" w:color="auto" w:fill="auto"/>
          </w:tcPr>
          <w:p w14:paraId="2C7C674E" w14:textId="77777777" w:rsidR="009C4A23" w:rsidRPr="00E94CF8" w:rsidRDefault="009C4A23" w:rsidP="00F51716">
            <w:pPr>
              <w:pStyle w:val="tableright"/>
              <w:cnfStyle w:val="000000100000" w:firstRow="0" w:lastRow="0" w:firstColumn="0" w:lastColumn="0" w:oddVBand="0" w:evenVBand="0" w:oddHBand="1" w:evenHBand="0" w:firstRowFirstColumn="0" w:firstRowLastColumn="0" w:lastRowFirstColumn="0" w:lastRowLastColumn="0"/>
            </w:pPr>
          </w:p>
        </w:tc>
        <w:tc>
          <w:tcPr>
            <w:tcW w:w="843" w:type="dxa"/>
            <w:shd w:val="clear" w:color="auto" w:fill="auto"/>
          </w:tcPr>
          <w:p w14:paraId="3B93D628" w14:textId="77777777" w:rsidR="009C4A23" w:rsidRPr="00E94CF8" w:rsidRDefault="009C4A23" w:rsidP="00F51716">
            <w:pPr>
              <w:pStyle w:val="tableright"/>
              <w:cnfStyle w:val="000000100000" w:firstRow="0" w:lastRow="0" w:firstColumn="0" w:lastColumn="0" w:oddVBand="0" w:evenVBand="0" w:oddHBand="1" w:evenHBand="0" w:firstRowFirstColumn="0" w:firstRowLastColumn="0" w:lastRowFirstColumn="0" w:lastRowLastColumn="0"/>
            </w:pPr>
          </w:p>
        </w:tc>
        <w:tc>
          <w:tcPr>
            <w:tcW w:w="849" w:type="dxa"/>
            <w:shd w:val="clear" w:color="auto" w:fill="auto"/>
          </w:tcPr>
          <w:p w14:paraId="318B9D91" w14:textId="77777777" w:rsidR="009C4A23" w:rsidRPr="00E94CF8" w:rsidRDefault="009C4A23" w:rsidP="00F51716">
            <w:pPr>
              <w:pStyle w:val="tableright"/>
              <w:cnfStyle w:val="000000100000" w:firstRow="0" w:lastRow="0" w:firstColumn="0" w:lastColumn="0" w:oddVBand="0" w:evenVBand="0" w:oddHBand="1" w:evenHBand="0" w:firstRowFirstColumn="0" w:firstRowLastColumn="0" w:lastRowFirstColumn="0" w:lastRowLastColumn="0"/>
            </w:pPr>
          </w:p>
        </w:tc>
        <w:tc>
          <w:tcPr>
            <w:tcW w:w="904" w:type="dxa"/>
            <w:shd w:val="clear" w:color="auto" w:fill="auto"/>
          </w:tcPr>
          <w:p w14:paraId="54287FC4" w14:textId="77777777" w:rsidR="009C4A23" w:rsidRPr="00E94CF8" w:rsidRDefault="009C4A23" w:rsidP="00F51716">
            <w:pPr>
              <w:pStyle w:val="tableright"/>
              <w:cnfStyle w:val="000000100000" w:firstRow="0" w:lastRow="0" w:firstColumn="0" w:lastColumn="0" w:oddVBand="0" w:evenVBand="0" w:oddHBand="1" w:evenHBand="0" w:firstRowFirstColumn="0" w:firstRowLastColumn="0" w:lastRowFirstColumn="0" w:lastRowLastColumn="0"/>
            </w:pPr>
          </w:p>
        </w:tc>
      </w:tr>
      <w:tr w:rsidR="009C4A23" w:rsidRPr="00E94CF8" w14:paraId="5BAFC84C" w14:textId="77777777" w:rsidTr="002640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shd w:val="clear" w:color="auto" w:fill="auto"/>
          </w:tcPr>
          <w:p w14:paraId="7C4C76EB" w14:textId="77777777" w:rsidR="009C4A23" w:rsidRPr="00E94CF8" w:rsidRDefault="009C4A23" w:rsidP="00F51716">
            <w:pPr>
              <w:pStyle w:val="Tabletext0"/>
            </w:pPr>
            <w:r w:rsidRPr="00E94CF8">
              <w:t>$280 000 – $299 999</w:t>
            </w:r>
          </w:p>
        </w:tc>
        <w:tc>
          <w:tcPr>
            <w:tcW w:w="1087" w:type="dxa"/>
            <w:shd w:val="clear" w:color="auto" w:fill="auto"/>
          </w:tcPr>
          <w:p w14:paraId="1C7B0EAF" w14:textId="77777777" w:rsidR="009C4A23" w:rsidRPr="00E94CF8" w:rsidRDefault="009C4A23" w:rsidP="00F51716">
            <w:pPr>
              <w:pStyle w:val="tableright"/>
              <w:cnfStyle w:val="000000010000" w:firstRow="0" w:lastRow="0" w:firstColumn="0" w:lastColumn="0" w:oddVBand="0" w:evenVBand="0" w:oddHBand="0" w:evenHBand="1" w:firstRowFirstColumn="0" w:firstRowLastColumn="0" w:lastRowFirstColumn="0" w:lastRowLastColumn="0"/>
            </w:pPr>
          </w:p>
        </w:tc>
        <w:tc>
          <w:tcPr>
            <w:tcW w:w="842" w:type="dxa"/>
            <w:shd w:val="clear" w:color="auto" w:fill="auto"/>
          </w:tcPr>
          <w:p w14:paraId="37EF060C" w14:textId="77777777" w:rsidR="009C4A23" w:rsidRPr="00E94CF8" w:rsidRDefault="009C4A23" w:rsidP="00F51716">
            <w:pPr>
              <w:pStyle w:val="tableright"/>
              <w:cnfStyle w:val="000000010000" w:firstRow="0" w:lastRow="0" w:firstColumn="0" w:lastColumn="0" w:oddVBand="0" w:evenVBand="0" w:oddHBand="0" w:evenHBand="1" w:firstRowFirstColumn="0" w:firstRowLastColumn="0" w:lastRowFirstColumn="0" w:lastRowLastColumn="0"/>
            </w:pPr>
          </w:p>
        </w:tc>
        <w:tc>
          <w:tcPr>
            <w:tcW w:w="844" w:type="dxa"/>
            <w:shd w:val="clear" w:color="auto" w:fill="auto"/>
          </w:tcPr>
          <w:p w14:paraId="67C7D638" w14:textId="77777777" w:rsidR="009C4A23" w:rsidRPr="00E94CF8" w:rsidRDefault="009C4A23" w:rsidP="00F51716">
            <w:pPr>
              <w:pStyle w:val="tableright"/>
              <w:cnfStyle w:val="000000010000" w:firstRow="0" w:lastRow="0" w:firstColumn="0" w:lastColumn="0" w:oddVBand="0" w:evenVBand="0" w:oddHBand="0" w:evenHBand="1" w:firstRowFirstColumn="0" w:firstRowLastColumn="0" w:lastRowFirstColumn="0" w:lastRowLastColumn="0"/>
            </w:pPr>
          </w:p>
        </w:tc>
        <w:tc>
          <w:tcPr>
            <w:tcW w:w="843" w:type="dxa"/>
            <w:shd w:val="clear" w:color="auto" w:fill="auto"/>
          </w:tcPr>
          <w:p w14:paraId="787216B4" w14:textId="77777777" w:rsidR="009C4A23" w:rsidRPr="00E94CF8" w:rsidRDefault="009C4A23" w:rsidP="00F51716">
            <w:pPr>
              <w:pStyle w:val="tableright"/>
              <w:cnfStyle w:val="000000010000" w:firstRow="0" w:lastRow="0" w:firstColumn="0" w:lastColumn="0" w:oddVBand="0" w:evenVBand="0" w:oddHBand="0" w:evenHBand="1" w:firstRowFirstColumn="0" w:firstRowLastColumn="0" w:lastRowFirstColumn="0" w:lastRowLastColumn="0"/>
            </w:pPr>
          </w:p>
        </w:tc>
        <w:tc>
          <w:tcPr>
            <w:tcW w:w="849" w:type="dxa"/>
            <w:shd w:val="clear" w:color="auto" w:fill="auto"/>
          </w:tcPr>
          <w:p w14:paraId="4BDDFAF7" w14:textId="77777777" w:rsidR="009C4A23" w:rsidRPr="00E94CF8" w:rsidRDefault="009C4A23" w:rsidP="00F51716">
            <w:pPr>
              <w:pStyle w:val="tableright"/>
              <w:cnfStyle w:val="000000010000" w:firstRow="0" w:lastRow="0" w:firstColumn="0" w:lastColumn="0" w:oddVBand="0" w:evenVBand="0" w:oddHBand="0" w:evenHBand="1" w:firstRowFirstColumn="0" w:firstRowLastColumn="0" w:lastRowFirstColumn="0" w:lastRowLastColumn="0"/>
            </w:pPr>
          </w:p>
        </w:tc>
        <w:tc>
          <w:tcPr>
            <w:tcW w:w="904" w:type="dxa"/>
            <w:shd w:val="clear" w:color="auto" w:fill="auto"/>
          </w:tcPr>
          <w:p w14:paraId="1DF1AE13" w14:textId="77777777" w:rsidR="009C4A23" w:rsidRPr="00E94CF8" w:rsidRDefault="009C4A23" w:rsidP="00F51716">
            <w:pPr>
              <w:pStyle w:val="tableright"/>
              <w:cnfStyle w:val="000000010000" w:firstRow="0" w:lastRow="0" w:firstColumn="0" w:lastColumn="0" w:oddVBand="0" w:evenVBand="0" w:oddHBand="0" w:evenHBand="1" w:firstRowFirstColumn="0" w:firstRowLastColumn="0" w:lastRowFirstColumn="0" w:lastRowLastColumn="0"/>
            </w:pPr>
          </w:p>
        </w:tc>
      </w:tr>
      <w:tr w:rsidR="009C4A23" w:rsidRPr="00E94CF8" w14:paraId="72C4C07E" w14:textId="77777777" w:rsidTr="00264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shd w:val="clear" w:color="auto" w:fill="auto"/>
          </w:tcPr>
          <w:p w14:paraId="01A3EAB3" w14:textId="77777777" w:rsidR="009C4A23" w:rsidRPr="00E94CF8" w:rsidRDefault="009C4A23" w:rsidP="00F51716">
            <w:pPr>
              <w:pStyle w:val="Tabletext0"/>
            </w:pPr>
            <w:r w:rsidRPr="00E94CF8">
              <w:t>$300 000 – $319 999</w:t>
            </w:r>
          </w:p>
        </w:tc>
        <w:tc>
          <w:tcPr>
            <w:tcW w:w="1087" w:type="dxa"/>
            <w:shd w:val="clear" w:color="auto" w:fill="auto"/>
          </w:tcPr>
          <w:p w14:paraId="086F7566" w14:textId="77777777" w:rsidR="009C4A23" w:rsidRPr="00E94CF8" w:rsidRDefault="009C4A23" w:rsidP="00F51716">
            <w:pPr>
              <w:pStyle w:val="tableright"/>
              <w:cnfStyle w:val="000000100000" w:firstRow="0" w:lastRow="0" w:firstColumn="0" w:lastColumn="0" w:oddVBand="0" w:evenVBand="0" w:oddHBand="1" w:evenHBand="0" w:firstRowFirstColumn="0" w:firstRowLastColumn="0" w:lastRowFirstColumn="0" w:lastRowLastColumn="0"/>
            </w:pPr>
          </w:p>
        </w:tc>
        <w:tc>
          <w:tcPr>
            <w:tcW w:w="842" w:type="dxa"/>
            <w:shd w:val="clear" w:color="auto" w:fill="auto"/>
          </w:tcPr>
          <w:p w14:paraId="36F78F84" w14:textId="77777777" w:rsidR="009C4A23" w:rsidRPr="00E94CF8" w:rsidRDefault="009C4A23" w:rsidP="00F51716">
            <w:pPr>
              <w:pStyle w:val="tableright"/>
              <w:cnfStyle w:val="000000100000" w:firstRow="0" w:lastRow="0" w:firstColumn="0" w:lastColumn="0" w:oddVBand="0" w:evenVBand="0" w:oddHBand="1" w:evenHBand="0" w:firstRowFirstColumn="0" w:firstRowLastColumn="0" w:lastRowFirstColumn="0" w:lastRowLastColumn="0"/>
            </w:pPr>
          </w:p>
        </w:tc>
        <w:tc>
          <w:tcPr>
            <w:tcW w:w="844" w:type="dxa"/>
            <w:shd w:val="clear" w:color="auto" w:fill="auto"/>
          </w:tcPr>
          <w:p w14:paraId="5249888A" w14:textId="77777777" w:rsidR="009C4A23" w:rsidRPr="00E94CF8" w:rsidRDefault="009C4A23" w:rsidP="00F51716">
            <w:pPr>
              <w:pStyle w:val="tableright"/>
              <w:cnfStyle w:val="000000100000" w:firstRow="0" w:lastRow="0" w:firstColumn="0" w:lastColumn="0" w:oddVBand="0" w:evenVBand="0" w:oddHBand="1" w:evenHBand="0" w:firstRowFirstColumn="0" w:firstRowLastColumn="0" w:lastRowFirstColumn="0" w:lastRowLastColumn="0"/>
            </w:pPr>
          </w:p>
        </w:tc>
        <w:tc>
          <w:tcPr>
            <w:tcW w:w="843" w:type="dxa"/>
            <w:shd w:val="clear" w:color="auto" w:fill="auto"/>
          </w:tcPr>
          <w:p w14:paraId="6A080686" w14:textId="77777777" w:rsidR="009C4A23" w:rsidRPr="00E94CF8" w:rsidRDefault="009C4A23" w:rsidP="00F51716">
            <w:pPr>
              <w:pStyle w:val="tableright"/>
              <w:cnfStyle w:val="000000100000" w:firstRow="0" w:lastRow="0" w:firstColumn="0" w:lastColumn="0" w:oddVBand="0" w:evenVBand="0" w:oddHBand="1" w:evenHBand="0" w:firstRowFirstColumn="0" w:firstRowLastColumn="0" w:lastRowFirstColumn="0" w:lastRowLastColumn="0"/>
            </w:pPr>
          </w:p>
        </w:tc>
        <w:tc>
          <w:tcPr>
            <w:tcW w:w="849" w:type="dxa"/>
            <w:shd w:val="clear" w:color="auto" w:fill="auto"/>
          </w:tcPr>
          <w:p w14:paraId="50EF2E33" w14:textId="77777777" w:rsidR="009C4A23" w:rsidRPr="00E94CF8" w:rsidRDefault="009C4A23" w:rsidP="00F51716">
            <w:pPr>
              <w:pStyle w:val="tableright"/>
              <w:cnfStyle w:val="000000100000" w:firstRow="0" w:lastRow="0" w:firstColumn="0" w:lastColumn="0" w:oddVBand="0" w:evenVBand="0" w:oddHBand="1" w:evenHBand="0" w:firstRowFirstColumn="0" w:firstRowLastColumn="0" w:lastRowFirstColumn="0" w:lastRowLastColumn="0"/>
            </w:pPr>
          </w:p>
        </w:tc>
        <w:tc>
          <w:tcPr>
            <w:tcW w:w="904" w:type="dxa"/>
            <w:shd w:val="clear" w:color="auto" w:fill="auto"/>
          </w:tcPr>
          <w:p w14:paraId="02CC4D79" w14:textId="77777777" w:rsidR="009C4A23" w:rsidRPr="00E94CF8" w:rsidRDefault="009C4A23" w:rsidP="00F51716">
            <w:pPr>
              <w:pStyle w:val="tableright"/>
              <w:cnfStyle w:val="000000100000" w:firstRow="0" w:lastRow="0" w:firstColumn="0" w:lastColumn="0" w:oddVBand="0" w:evenVBand="0" w:oddHBand="1" w:evenHBand="0" w:firstRowFirstColumn="0" w:firstRowLastColumn="0" w:lastRowFirstColumn="0" w:lastRowLastColumn="0"/>
            </w:pPr>
          </w:p>
        </w:tc>
      </w:tr>
      <w:tr w:rsidR="009C4A23" w:rsidRPr="00E94CF8" w14:paraId="372E47DF" w14:textId="77777777" w:rsidTr="002640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shd w:val="clear" w:color="auto" w:fill="auto"/>
          </w:tcPr>
          <w:p w14:paraId="0119A20F" w14:textId="77777777" w:rsidR="009C4A23" w:rsidRPr="00E94CF8" w:rsidRDefault="009C4A23" w:rsidP="00F51716">
            <w:pPr>
              <w:pStyle w:val="Tabletext0"/>
            </w:pPr>
            <w:r w:rsidRPr="00E94CF8">
              <w:t>$320 000 – $339 999</w:t>
            </w:r>
          </w:p>
        </w:tc>
        <w:tc>
          <w:tcPr>
            <w:tcW w:w="1087" w:type="dxa"/>
            <w:shd w:val="clear" w:color="auto" w:fill="auto"/>
          </w:tcPr>
          <w:p w14:paraId="4F6ABC71" w14:textId="77777777" w:rsidR="009C4A23" w:rsidRPr="00E94CF8" w:rsidRDefault="009C4A23" w:rsidP="00F51716">
            <w:pPr>
              <w:pStyle w:val="tableright"/>
              <w:cnfStyle w:val="000000010000" w:firstRow="0" w:lastRow="0" w:firstColumn="0" w:lastColumn="0" w:oddVBand="0" w:evenVBand="0" w:oddHBand="0" w:evenHBand="1" w:firstRowFirstColumn="0" w:firstRowLastColumn="0" w:lastRowFirstColumn="0" w:lastRowLastColumn="0"/>
            </w:pPr>
          </w:p>
        </w:tc>
        <w:tc>
          <w:tcPr>
            <w:tcW w:w="842" w:type="dxa"/>
            <w:shd w:val="clear" w:color="auto" w:fill="auto"/>
          </w:tcPr>
          <w:p w14:paraId="4CCC0E39" w14:textId="77777777" w:rsidR="009C4A23" w:rsidRPr="00E94CF8" w:rsidRDefault="009C4A23" w:rsidP="00F51716">
            <w:pPr>
              <w:pStyle w:val="tableright"/>
              <w:cnfStyle w:val="000000010000" w:firstRow="0" w:lastRow="0" w:firstColumn="0" w:lastColumn="0" w:oddVBand="0" w:evenVBand="0" w:oddHBand="0" w:evenHBand="1" w:firstRowFirstColumn="0" w:firstRowLastColumn="0" w:lastRowFirstColumn="0" w:lastRowLastColumn="0"/>
            </w:pPr>
          </w:p>
        </w:tc>
        <w:tc>
          <w:tcPr>
            <w:tcW w:w="844" w:type="dxa"/>
            <w:shd w:val="clear" w:color="auto" w:fill="auto"/>
          </w:tcPr>
          <w:p w14:paraId="4B4A7779" w14:textId="77777777" w:rsidR="009C4A23" w:rsidRPr="00E94CF8" w:rsidRDefault="009C4A23" w:rsidP="00F51716">
            <w:pPr>
              <w:pStyle w:val="tableright"/>
              <w:cnfStyle w:val="000000010000" w:firstRow="0" w:lastRow="0" w:firstColumn="0" w:lastColumn="0" w:oddVBand="0" w:evenVBand="0" w:oddHBand="0" w:evenHBand="1" w:firstRowFirstColumn="0" w:firstRowLastColumn="0" w:lastRowFirstColumn="0" w:lastRowLastColumn="0"/>
            </w:pPr>
          </w:p>
        </w:tc>
        <w:tc>
          <w:tcPr>
            <w:tcW w:w="843" w:type="dxa"/>
            <w:shd w:val="clear" w:color="auto" w:fill="auto"/>
          </w:tcPr>
          <w:p w14:paraId="02D643D6" w14:textId="77777777" w:rsidR="009C4A23" w:rsidRPr="00E94CF8" w:rsidRDefault="009C4A23" w:rsidP="00F51716">
            <w:pPr>
              <w:pStyle w:val="tableright"/>
              <w:cnfStyle w:val="000000010000" w:firstRow="0" w:lastRow="0" w:firstColumn="0" w:lastColumn="0" w:oddVBand="0" w:evenVBand="0" w:oddHBand="0" w:evenHBand="1" w:firstRowFirstColumn="0" w:firstRowLastColumn="0" w:lastRowFirstColumn="0" w:lastRowLastColumn="0"/>
            </w:pPr>
          </w:p>
        </w:tc>
        <w:tc>
          <w:tcPr>
            <w:tcW w:w="849" w:type="dxa"/>
            <w:shd w:val="clear" w:color="auto" w:fill="auto"/>
          </w:tcPr>
          <w:p w14:paraId="70F52B47" w14:textId="77777777" w:rsidR="009C4A23" w:rsidRPr="00E94CF8" w:rsidRDefault="009C4A23" w:rsidP="00F51716">
            <w:pPr>
              <w:pStyle w:val="tableright"/>
              <w:cnfStyle w:val="000000010000" w:firstRow="0" w:lastRow="0" w:firstColumn="0" w:lastColumn="0" w:oddVBand="0" w:evenVBand="0" w:oddHBand="0" w:evenHBand="1" w:firstRowFirstColumn="0" w:firstRowLastColumn="0" w:lastRowFirstColumn="0" w:lastRowLastColumn="0"/>
            </w:pPr>
          </w:p>
        </w:tc>
        <w:tc>
          <w:tcPr>
            <w:tcW w:w="904" w:type="dxa"/>
            <w:shd w:val="clear" w:color="auto" w:fill="auto"/>
          </w:tcPr>
          <w:p w14:paraId="088A2807" w14:textId="77777777" w:rsidR="009C4A23" w:rsidRPr="00E94CF8" w:rsidRDefault="009C4A23" w:rsidP="00F51716">
            <w:pPr>
              <w:pStyle w:val="tableright"/>
              <w:cnfStyle w:val="000000010000" w:firstRow="0" w:lastRow="0" w:firstColumn="0" w:lastColumn="0" w:oddVBand="0" w:evenVBand="0" w:oddHBand="0" w:evenHBand="1" w:firstRowFirstColumn="0" w:firstRowLastColumn="0" w:lastRowFirstColumn="0" w:lastRowLastColumn="0"/>
            </w:pPr>
          </w:p>
        </w:tc>
      </w:tr>
      <w:tr w:rsidR="009C4A23" w:rsidRPr="00E94CF8" w14:paraId="22ED7BFA" w14:textId="77777777" w:rsidTr="00264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shd w:val="clear" w:color="auto" w:fill="auto"/>
          </w:tcPr>
          <w:p w14:paraId="0587F9C0" w14:textId="77777777" w:rsidR="009C4A23" w:rsidRPr="00E94CF8" w:rsidRDefault="009C4A23" w:rsidP="00F51716">
            <w:pPr>
              <w:pStyle w:val="Tabletext0"/>
            </w:pPr>
            <w:r w:rsidRPr="00E94CF8">
              <w:t>$340 000 – $359 999</w:t>
            </w:r>
          </w:p>
        </w:tc>
        <w:tc>
          <w:tcPr>
            <w:tcW w:w="1087" w:type="dxa"/>
            <w:shd w:val="clear" w:color="auto" w:fill="auto"/>
          </w:tcPr>
          <w:p w14:paraId="4C84F605" w14:textId="77777777" w:rsidR="009C4A23" w:rsidRPr="00E94CF8" w:rsidRDefault="009C4A23" w:rsidP="00F51716">
            <w:pPr>
              <w:pStyle w:val="tableright"/>
              <w:cnfStyle w:val="000000100000" w:firstRow="0" w:lastRow="0" w:firstColumn="0" w:lastColumn="0" w:oddVBand="0" w:evenVBand="0" w:oddHBand="1" w:evenHBand="0" w:firstRowFirstColumn="0" w:firstRowLastColumn="0" w:lastRowFirstColumn="0" w:lastRowLastColumn="0"/>
            </w:pPr>
          </w:p>
        </w:tc>
        <w:tc>
          <w:tcPr>
            <w:tcW w:w="842" w:type="dxa"/>
            <w:shd w:val="clear" w:color="auto" w:fill="auto"/>
          </w:tcPr>
          <w:p w14:paraId="23DEEB4B" w14:textId="77777777" w:rsidR="009C4A23" w:rsidRPr="00E94CF8" w:rsidRDefault="009C4A23" w:rsidP="00F51716">
            <w:pPr>
              <w:pStyle w:val="tableright"/>
              <w:cnfStyle w:val="000000100000" w:firstRow="0" w:lastRow="0" w:firstColumn="0" w:lastColumn="0" w:oddVBand="0" w:evenVBand="0" w:oddHBand="1" w:evenHBand="0" w:firstRowFirstColumn="0" w:firstRowLastColumn="0" w:lastRowFirstColumn="0" w:lastRowLastColumn="0"/>
            </w:pPr>
          </w:p>
        </w:tc>
        <w:tc>
          <w:tcPr>
            <w:tcW w:w="844" w:type="dxa"/>
            <w:shd w:val="clear" w:color="auto" w:fill="auto"/>
          </w:tcPr>
          <w:p w14:paraId="39F56F0B" w14:textId="77777777" w:rsidR="009C4A23" w:rsidRPr="00E94CF8" w:rsidRDefault="009C4A23" w:rsidP="00F51716">
            <w:pPr>
              <w:pStyle w:val="tableright"/>
              <w:cnfStyle w:val="000000100000" w:firstRow="0" w:lastRow="0" w:firstColumn="0" w:lastColumn="0" w:oddVBand="0" w:evenVBand="0" w:oddHBand="1" w:evenHBand="0" w:firstRowFirstColumn="0" w:firstRowLastColumn="0" w:lastRowFirstColumn="0" w:lastRowLastColumn="0"/>
            </w:pPr>
          </w:p>
        </w:tc>
        <w:tc>
          <w:tcPr>
            <w:tcW w:w="843" w:type="dxa"/>
            <w:shd w:val="clear" w:color="auto" w:fill="auto"/>
          </w:tcPr>
          <w:p w14:paraId="17B1C7D3" w14:textId="77777777" w:rsidR="009C4A23" w:rsidRPr="00E94CF8" w:rsidRDefault="009C4A23" w:rsidP="00F51716">
            <w:pPr>
              <w:pStyle w:val="tableright"/>
              <w:cnfStyle w:val="000000100000" w:firstRow="0" w:lastRow="0" w:firstColumn="0" w:lastColumn="0" w:oddVBand="0" w:evenVBand="0" w:oddHBand="1" w:evenHBand="0" w:firstRowFirstColumn="0" w:firstRowLastColumn="0" w:lastRowFirstColumn="0" w:lastRowLastColumn="0"/>
            </w:pPr>
          </w:p>
        </w:tc>
        <w:tc>
          <w:tcPr>
            <w:tcW w:w="849" w:type="dxa"/>
            <w:shd w:val="clear" w:color="auto" w:fill="auto"/>
          </w:tcPr>
          <w:p w14:paraId="1A4BA06D" w14:textId="77777777" w:rsidR="009C4A23" w:rsidRPr="00E94CF8" w:rsidRDefault="009C4A23" w:rsidP="00F51716">
            <w:pPr>
              <w:pStyle w:val="tableright"/>
              <w:cnfStyle w:val="000000100000" w:firstRow="0" w:lastRow="0" w:firstColumn="0" w:lastColumn="0" w:oddVBand="0" w:evenVBand="0" w:oddHBand="1" w:evenHBand="0" w:firstRowFirstColumn="0" w:firstRowLastColumn="0" w:lastRowFirstColumn="0" w:lastRowLastColumn="0"/>
            </w:pPr>
          </w:p>
        </w:tc>
        <w:tc>
          <w:tcPr>
            <w:tcW w:w="904" w:type="dxa"/>
            <w:shd w:val="clear" w:color="auto" w:fill="auto"/>
          </w:tcPr>
          <w:p w14:paraId="625646F8" w14:textId="77777777" w:rsidR="009C4A23" w:rsidRPr="00E94CF8" w:rsidRDefault="009C4A23" w:rsidP="00F51716">
            <w:pPr>
              <w:pStyle w:val="tableright"/>
              <w:cnfStyle w:val="000000100000" w:firstRow="0" w:lastRow="0" w:firstColumn="0" w:lastColumn="0" w:oddVBand="0" w:evenVBand="0" w:oddHBand="1" w:evenHBand="0" w:firstRowFirstColumn="0" w:firstRowLastColumn="0" w:lastRowFirstColumn="0" w:lastRowLastColumn="0"/>
            </w:pPr>
          </w:p>
        </w:tc>
      </w:tr>
      <w:tr w:rsidR="009C4A23" w:rsidRPr="00E94CF8" w14:paraId="187A0B62" w14:textId="77777777" w:rsidTr="002640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shd w:val="clear" w:color="auto" w:fill="auto"/>
          </w:tcPr>
          <w:p w14:paraId="0BB9DE2B" w14:textId="77777777" w:rsidR="009C4A23" w:rsidRPr="00E94CF8" w:rsidRDefault="009C4A23" w:rsidP="00F51716">
            <w:pPr>
              <w:pStyle w:val="Tabletext0"/>
            </w:pPr>
            <w:r w:rsidRPr="00E94CF8">
              <w:t>$360 000 – $379 999</w:t>
            </w:r>
          </w:p>
        </w:tc>
        <w:tc>
          <w:tcPr>
            <w:tcW w:w="1087" w:type="dxa"/>
            <w:shd w:val="clear" w:color="auto" w:fill="auto"/>
          </w:tcPr>
          <w:p w14:paraId="748CE1DF" w14:textId="77777777" w:rsidR="009C4A23" w:rsidRPr="00E94CF8" w:rsidRDefault="009C4A23" w:rsidP="00F51716">
            <w:pPr>
              <w:pStyle w:val="tableright"/>
              <w:cnfStyle w:val="000000010000" w:firstRow="0" w:lastRow="0" w:firstColumn="0" w:lastColumn="0" w:oddVBand="0" w:evenVBand="0" w:oddHBand="0" w:evenHBand="1" w:firstRowFirstColumn="0" w:firstRowLastColumn="0" w:lastRowFirstColumn="0" w:lastRowLastColumn="0"/>
            </w:pPr>
          </w:p>
        </w:tc>
        <w:tc>
          <w:tcPr>
            <w:tcW w:w="842" w:type="dxa"/>
            <w:shd w:val="clear" w:color="auto" w:fill="auto"/>
          </w:tcPr>
          <w:p w14:paraId="5BC22870" w14:textId="77777777" w:rsidR="009C4A23" w:rsidRPr="00E94CF8" w:rsidRDefault="009C4A23" w:rsidP="00F51716">
            <w:pPr>
              <w:pStyle w:val="tableright"/>
              <w:cnfStyle w:val="000000010000" w:firstRow="0" w:lastRow="0" w:firstColumn="0" w:lastColumn="0" w:oddVBand="0" w:evenVBand="0" w:oddHBand="0" w:evenHBand="1" w:firstRowFirstColumn="0" w:firstRowLastColumn="0" w:lastRowFirstColumn="0" w:lastRowLastColumn="0"/>
            </w:pPr>
          </w:p>
        </w:tc>
        <w:tc>
          <w:tcPr>
            <w:tcW w:w="844" w:type="dxa"/>
            <w:shd w:val="clear" w:color="auto" w:fill="auto"/>
          </w:tcPr>
          <w:p w14:paraId="4296376A" w14:textId="77777777" w:rsidR="009C4A23" w:rsidRPr="00E94CF8" w:rsidRDefault="009C4A23" w:rsidP="00F51716">
            <w:pPr>
              <w:pStyle w:val="tableright"/>
              <w:cnfStyle w:val="000000010000" w:firstRow="0" w:lastRow="0" w:firstColumn="0" w:lastColumn="0" w:oddVBand="0" w:evenVBand="0" w:oddHBand="0" w:evenHBand="1" w:firstRowFirstColumn="0" w:firstRowLastColumn="0" w:lastRowFirstColumn="0" w:lastRowLastColumn="0"/>
            </w:pPr>
          </w:p>
        </w:tc>
        <w:tc>
          <w:tcPr>
            <w:tcW w:w="843" w:type="dxa"/>
            <w:shd w:val="clear" w:color="auto" w:fill="auto"/>
          </w:tcPr>
          <w:p w14:paraId="17D8B879" w14:textId="77777777" w:rsidR="009C4A23" w:rsidRPr="00E94CF8" w:rsidRDefault="009C4A23" w:rsidP="00F51716">
            <w:pPr>
              <w:pStyle w:val="tableright"/>
              <w:cnfStyle w:val="000000010000" w:firstRow="0" w:lastRow="0" w:firstColumn="0" w:lastColumn="0" w:oddVBand="0" w:evenVBand="0" w:oddHBand="0" w:evenHBand="1" w:firstRowFirstColumn="0" w:firstRowLastColumn="0" w:lastRowFirstColumn="0" w:lastRowLastColumn="0"/>
            </w:pPr>
          </w:p>
        </w:tc>
        <w:tc>
          <w:tcPr>
            <w:tcW w:w="849" w:type="dxa"/>
            <w:shd w:val="clear" w:color="auto" w:fill="auto"/>
          </w:tcPr>
          <w:p w14:paraId="7029C110" w14:textId="77777777" w:rsidR="009C4A23" w:rsidRPr="00E94CF8" w:rsidRDefault="009C4A23" w:rsidP="00F51716">
            <w:pPr>
              <w:pStyle w:val="tableright"/>
              <w:cnfStyle w:val="000000010000" w:firstRow="0" w:lastRow="0" w:firstColumn="0" w:lastColumn="0" w:oddVBand="0" w:evenVBand="0" w:oddHBand="0" w:evenHBand="1" w:firstRowFirstColumn="0" w:firstRowLastColumn="0" w:lastRowFirstColumn="0" w:lastRowLastColumn="0"/>
            </w:pPr>
          </w:p>
        </w:tc>
        <w:tc>
          <w:tcPr>
            <w:tcW w:w="904" w:type="dxa"/>
            <w:shd w:val="clear" w:color="auto" w:fill="auto"/>
          </w:tcPr>
          <w:p w14:paraId="0CE06B1E" w14:textId="77777777" w:rsidR="009C4A23" w:rsidRPr="00E94CF8" w:rsidRDefault="009C4A23" w:rsidP="00F51716">
            <w:pPr>
              <w:pStyle w:val="tableright"/>
              <w:cnfStyle w:val="000000010000" w:firstRow="0" w:lastRow="0" w:firstColumn="0" w:lastColumn="0" w:oddVBand="0" w:evenVBand="0" w:oddHBand="0" w:evenHBand="1" w:firstRowFirstColumn="0" w:firstRowLastColumn="0" w:lastRowFirstColumn="0" w:lastRowLastColumn="0"/>
            </w:pPr>
          </w:p>
        </w:tc>
      </w:tr>
      <w:tr w:rsidR="009C4A23" w:rsidRPr="00E94CF8" w14:paraId="658FAA79" w14:textId="77777777" w:rsidTr="00264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shd w:val="clear" w:color="auto" w:fill="auto"/>
          </w:tcPr>
          <w:p w14:paraId="1D136BE5" w14:textId="77777777" w:rsidR="009C4A23" w:rsidRPr="00E94CF8" w:rsidRDefault="009C4A23" w:rsidP="00F51716">
            <w:pPr>
              <w:pStyle w:val="Tabletext0"/>
            </w:pPr>
            <w:r w:rsidRPr="00E94CF8">
              <w:t>$380 000 – $399 999</w:t>
            </w:r>
          </w:p>
        </w:tc>
        <w:tc>
          <w:tcPr>
            <w:tcW w:w="1087" w:type="dxa"/>
            <w:shd w:val="clear" w:color="auto" w:fill="auto"/>
          </w:tcPr>
          <w:p w14:paraId="0D1EFA00" w14:textId="77777777" w:rsidR="009C4A23" w:rsidRPr="00E94CF8" w:rsidRDefault="009C4A23" w:rsidP="00F51716">
            <w:pPr>
              <w:pStyle w:val="tableright"/>
              <w:cnfStyle w:val="000000100000" w:firstRow="0" w:lastRow="0" w:firstColumn="0" w:lastColumn="0" w:oddVBand="0" w:evenVBand="0" w:oddHBand="1" w:evenHBand="0" w:firstRowFirstColumn="0" w:firstRowLastColumn="0" w:lastRowFirstColumn="0" w:lastRowLastColumn="0"/>
            </w:pPr>
          </w:p>
        </w:tc>
        <w:tc>
          <w:tcPr>
            <w:tcW w:w="842" w:type="dxa"/>
            <w:shd w:val="clear" w:color="auto" w:fill="auto"/>
          </w:tcPr>
          <w:p w14:paraId="78698240" w14:textId="77777777" w:rsidR="009C4A23" w:rsidRPr="00E94CF8" w:rsidRDefault="009C4A23" w:rsidP="00F51716">
            <w:pPr>
              <w:pStyle w:val="tableright"/>
              <w:cnfStyle w:val="000000100000" w:firstRow="0" w:lastRow="0" w:firstColumn="0" w:lastColumn="0" w:oddVBand="0" w:evenVBand="0" w:oddHBand="1" w:evenHBand="0" w:firstRowFirstColumn="0" w:firstRowLastColumn="0" w:lastRowFirstColumn="0" w:lastRowLastColumn="0"/>
            </w:pPr>
          </w:p>
        </w:tc>
        <w:tc>
          <w:tcPr>
            <w:tcW w:w="844" w:type="dxa"/>
            <w:shd w:val="clear" w:color="auto" w:fill="auto"/>
          </w:tcPr>
          <w:p w14:paraId="02B6D08F" w14:textId="77777777" w:rsidR="009C4A23" w:rsidRPr="00E94CF8" w:rsidRDefault="009C4A23" w:rsidP="00F51716">
            <w:pPr>
              <w:pStyle w:val="tableright"/>
              <w:cnfStyle w:val="000000100000" w:firstRow="0" w:lastRow="0" w:firstColumn="0" w:lastColumn="0" w:oddVBand="0" w:evenVBand="0" w:oddHBand="1" w:evenHBand="0" w:firstRowFirstColumn="0" w:firstRowLastColumn="0" w:lastRowFirstColumn="0" w:lastRowLastColumn="0"/>
            </w:pPr>
          </w:p>
        </w:tc>
        <w:tc>
          <w:tcPr>
            <w:tcW w:w="843" w:type="dxa"/>
            <w:shd w:val="clear" w:color="auto" w:fill="auto"/>
          </w:tcPr>
          <w:p w14:paraId="3A6BA271" w14:textId="77777777" w:rsidR="009C4A23" w:rsidRPr="00E94CF8" w:rsidRDefault="009C4A23" w:rsidP="00F51716">
            <w:pPr>
              <w:pStyle w:val="tableright"/>
              <w:cnfStyle w:val="000000100000" w:firstRow="0" w:lastRow="0" w:firstColumn="0" w:lastColumn="0" w:oddVBand="0" w:evenVBand="0" w:oddHBand="1" w:evenHBand="0" w:firstRowFirstColumn="0" w:firstRowLastColumn="0" w:lastRowFirstColumn="0" w:lastRowLastColumn="0"/>
            </w:pPr>
          </w:p>
        </w:tc>
        <w:tc>
          <w:tcPr>
            <w:tcW w:w="849" w:type="dxa"/>
            <w:shd w:val="clear" w:color="auto" w:fill="auto"/>
          </w:tcPr>
          <w:p w14:paraId="4E438E23" w14:textId="77777777" w:rsidR="009C4A23" w:rsidRPr="00E94CF8" w:rsidRDefault="009C4A23" w:rsidP="00F51716">
            <w:pPr>
              <w:pStyle w:val="tableright"/>
              <w:cnfStyle w:val="000000100000" w:firstRow="0" w:lastRow="0" w:firstColumn="0" w:lastColumn="0" w:oddVBand="0" w:evenVBand="0" w:oddHBand="1" w:evenHBand="0" w:firstRowFirstColumn="0" w:firstRowLastColumn="0" w:lastRowFirstColumn="0" w:lastRowLastColumn="0"/>
            </w:pPr>
          </w:p>
        </w:tc>
        <w:tc>
          <w:tcPr>
            <w:tcW w:w="904" w:type="dxa"/>
            <w:shd w:val="clear" w:color="auto" w:fill="auto"/>
          </w:tcPr>
          <w:p w14:paraId="10B0B154" w14:textId="77777777" w:rsidR="009C4A23" w:rsidRPr="00E94CF8" w:rsidRDefault="009C4A23" w:rsidP="00F51716">
            <w:pPr>
              <w:pStyle w:val="tableright"/>
              <w:cnfStyle w:val="000000100000" w:firstRow="0" w:lastRow="0" w:firstColumn="0" w:lastColumn="0" w:oddVBand="0" w:evenVBand="0" w:oddHBand="1" w:evenHBand="0" w:firstRowFirstColumn="0" w:firstRowLastColumn="0" w:lastRowFirstColumn="0" w:lastRowLastColumn="0"/>
            </w:pPr>
          </w:p>
        </w:tc>
      </w:tr>
      <w:tr w:rsidR="009C4A23" w:rsidRPr="00E94CF8" w14:paraId="73694D78" w14:textId="77777777" w:rsidTr="002640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shd w:val="clear" w:color="auto" w:fill="auto"/>
          </w:tcPr>
          <w:p w14:paraId="538BBE52" w14:textId="77777777" w:rsidR="009C4A23" w:rsidRPr="00E94CF8" w:rsidRDefault="009C4A23" w:rsidP="00F51716">
            <w:pPr>
              <w:pStyle w:val="Tabletext0"/>
            </w:pPr>
            <w:r w:rsidRPr="00E94CF8">
              <w:t>$400 000 – $419 999</w:t>
            </w:r>
          </w:p>
        </w:tc>
        <w:tc>
          <w:tcPr>
            <w:tcW w:w="1087" w:type="dxa"/>
            <w:shd w:val="clear" w:color="auto" w:fill="auto"/>
          </w:tcPr>
          <w:p w14:paraId="33112BE1" w14:textId="77777777" w:rsidR="009C4A23" w:rsidRPr="00E94CF8" w:rsidRDefault="009C4A23" w:rsidP="00F51716">
            <w:pPr>
              <w:pStyle w:val="tableright"/>
              <w:cnfStyle w:val="000000010000" w:firstRow="0" w:lastRow="0" w:firstColumn="0" w:lastColumn="0" w:oddVBand="0" w:evenVBand="0" w:oddHBand="0" w:evenHBand="1" w:firstRowFirstColumn="0" w:firstRowLastColumn="0" w:lastRowFirstColumn="0" w:lastRowLastColumn="0"/>
            </w:pPr>
          </w:p>
        </w:tc>
        <w:tc>
          <w:tcPr>
            <w:tcW w:w="842" w:type="dxa"/>
            <w:shd w:val="clear" w:color="auto" w:fill="auto"/>
          </w:tcPr>
          <w:p w14:paraId="34CD1348" w14:textId="77777777" w:rsidR="009C4A23" w:rsidRPr="00E94CF8" w:rsidRDefault="009C4A23" w:rsidP="00F51716">
            <w:pPr>
              <w:pStyle w:val="tableright"/>
              <w:cnfStyle w:val="000000010000" w:firstRow="0" w:lastRow="0" w:firstColumn="0" w:lastColumn="0" w:oddVBand="0" w:evenVBand="0" w:oddHBand="0" w:evenHBand="1" w:firstRowFirstColumn="0" w:firstRowLastColumn="0" w:lastRowFirstColumn="0" w:lastRowLastColumn="0"/>
            </w:pPr>
          </w:p>
        </w:tc>
        <w:tc>
          <w:tcPr>
            <w:tcW w:w="844" w:type="dxa"/>
            <w:shd w:val="clear" w:color="auto" w:fill="auto"/>
          </w:tcPr>
          <w:p w14:paraId="3A698201" w14:textId="77777777" w:rsidR="009C4A23" w:rsidRPr="00E94CF8" w:rsidRDefault="009C4A23" w:rsidP="00F51716">
            <w:pPr>
              <w:pStyle w:val="tableright"/>
              <w:cnfStyle w:val="000000010000" w:firstRow="0" w:lastRow="0" w:firstColumn="0" w:lastColumn="0" w:oddVBand="0" w:evenVBand="0" w:oddHBand="0" w:evenHBand="1" w:firstRowFirstColumn="0" w:firstRowLastColumn="0" w:lastRowFirstColumn="0" w:lastRowLastColumn="0"/>
            </w:pPr>
          </w:p>
        </w:tc>
        <w:tc>
          <w:tcPr>
            <w:tcW w:w="843" w:type="dxa"/>
            <w:shd w:val="clear" w:color="auto" w:fill="auto"/>
          </w:tcPr>
          <w:p w14:paraId="7CAD39D3" w14:textId="77777777" w:rsidR="009C4A23" w:rsidRPr="00E94CF8" w:rsidRDefault="009C4A23" w:rsidP="00F51716">
            <w:pPr>
              <w:pStyle w:val="tableright"/>
              <w:cnfStyle w:val="000000010000" w:firstRow="0" w:lastRow="0" w:firstColumn="0" w:lastColumn="0" w:oddVBand="0" w:evenVBand="0" w:oddHBand="0" w:evenHBand="1" w:firstRowFirstColumn="0" w:firstRowLastColumn="0" w:lastRowFirstColumn="0" w:lastRowLastColumn="0"/>
            </w:pPr>
          </w:p>
        </w:tc>
        <w:tc>
          <w:tcPr>
            <w:tcW w:w="849" w:type="dxa"/>
            <w:shd w:val="clear" w:color="auto" w:fill="auto"/>
          </w:tcPr>
          <w:p w14:paraId="1C904F36" w14:textId="77777777" w:rsidR="009C4A23" w:rsidRPr="00E94CF8" w:rsidRDefault="009C4A23" w:rsidP="00F51716">
            <w:pPr>
              <w:pStyle w:val="tableright"/>
              <w:cnfStyle w:val="000000010000" w:firstRow="0" w:lastRow="0" w:firstColumn="0" w:lastColumn="0" w:oddVBand="0" w:evenVBand="0" w:oddHBand="0" w:evenHBand="1" w:firstRowFirstColumn="0" w:firstRowLastColumn="0" w:lastRowFirstColumn="0" w:lastRowLastColumn="0"/>
            </w:pPr>
          </w:p>
        </w:tc>
        <w:tc>
          <w:tcPr>
            <w:tcW w:w="904" w:type="dxa"/>
            <w:shd w:val="clear" w:color="auto" w:fill="auto"/>
          </w:tcPr>
          <w:p w14:paraId="673B9252" w14:textId="77777777" w:rsidR="009C4A23" w:rsidRPr="00E94CF8" w:rsidRDefault="009C4A23" w:rsidP="00F51716">
            <w:pPr>
              <w:pStyle w:val="tableright"/>
              <w:cnfStyle w:val="000000010000" w:firstRow="0" w:lastRow="0" w:firstColumn="0" w:lastColumn="0" w:oddVBand="0" w:evenVBand="0" w:oddHBand="0" w:evenHBand="1" w:firstRowFirstColumn="0" w:firstRowLastColumn="0" w:lastRowFirstColumn="0" w:lastRowLastColumn="0"/>
            </w:pPr>
          </w:p>
        </w:tc>
      </w:tr>
      <w:tr w:rsidR="009C4A23" w:rsidRPr="00E94CF8" w14:paraId="0AF78EEA" w14:textId="77777777" w:rsidTr="00264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shd w:val="clear" w:color="auto" w:fill="auto"/>
          </w:tcPr>
          <w:p w14:paraId="29CDF433" w14:textId="77777777" w:rsidR="009C4A23" w:rsidRPr="00E94CF8" w:rsidRDefault="009C4A23" w:rsidP="00F51716">
            <w:pPr>
              <w:pStyle w:val="Tabletext0"/>
            </w:pPr>
            <w:r w:rsidRPr="00E94CF8">
              <w:t>$420 000 – $439 999</w:t>
            </w:r>
          </w:p>
        </w:tc>
        <w:tc>
          <w:tcPr>
            <w:tcW w:w="1087" w:type="dxa"/>
            <w:shd w:val="clear" w:color="auto" w:fill="auto"/>
          </w:tcPr>
          <w:p w14:paraId="5D1E08E4" w14:textId="77777777" w:rsidR="009C4A23" w:rsidRPr="00E94CF8" w:rsidRDefault="009C4A23" w:rsidP="00F51716">
            <w:pPr>
              <w:pStyle w:val="tableright"/>
              <w:cnfStyle w:val="000000100000" w:firstRow="0" w:lastRow="0" w:firstColumn="0" w:lastColumn="0" w:oddVBand="0" w:evenVBand="0" w:oddHBand="1" w:evenHBand="0" w:firstRowFirstColumn="0" w:firstRowLastColumn="0" w:lastRowFirstColumn="0" w:lastRowLastColumn="0"/>
            </w:pPr>
          </w:p>
        </w:tc>
        <w:tc>
          <w:tcPr>
            <w:tcW w:w="842" w:type="dxa"/>
            <w:shd w:val="clear" w:color="auto" w:fill="auto"/>
          </w:tcPr>
          <w:p w14:paraId="6447EDCA" w14:textId="77777777" w:rsidR="009C4A23" w:rsidRPr="00E94CF8" w:rsidRDefault="009C4A23" w:rsidP="00F51716">
            <w:pPr>
              <w:pStyle w:val="tableright"/>
              <w:cnfStyle w:val="000000100000" w:firstRow="0" w:lastRow="0" w:firstColumn="0" w:lastColumn="0" w:oddVBand="0" w:evenVBand="0" w:oddHBand="1" w:evenHBand="0" w:firstRowFirstColumn="0" w:firstRowLastColumn="0" w:lastRowFirstColumn="0" w:lastRowLastColumn="0"/>
            </w:pPr>
          </w:p>
        </w:tc>
        <w:tc>
          <w:tcPr>
            <w:tcW w:w="844" w:type="dxa"/>
            <w:shd w:val="clear" w:color="auto" w:fill="auto"/>
          </w:tcPr>
          <w:p w14:paraId="367A4BDB" w14:textId="77777777" w:rsidR="009C4A23" w:rsidRPr="00E94CF8" w:rsidRDefault="009C4A23" w:rsidP="00F51716">
            <w:pPr>
              <w:pStyle w:val="tableright"/>
              <w:cnfStyle w:val="000000100000" w:firstRow="0" w:lastRow="0" w:firstColumn="0" w:lastColumn="0" w:oddVBand="0" w:evenVBand="0" w:oddHBand="1" w:evenHBand="0" w:firstRowFirstColumn="0" w:firstRowLastColumn="0" w:lastRowFirstColumn="0" w:lastRowLastColumn="0"/>
            </w:pPr>
          </w:p>
        </w:tc>
        <w:tc>
          <w:tcPr>
            <w:tcW w:w="843" w:type="dxa"/>
            <w:shd w:val="clear" w:color="auto" w:fill="auto"/>
          </w:tcPr>
          <w:p w14:paraId="0CBCD280" w14:textId="77777777" w:rsidR="009C4A23" w:rsidRPr="00E94CF8" w:rsidRDefault="009C4A23" w:rsidP="00F51716">
            <w:pPr>
              <w:pStyle w:val="tableright"/>
              <w:cnfStyle w:val="000000100000" w:firstRow="0" w:lastRow="0" w:firstColumn="0" w:lastColumn="0" w:oddVBand="0" w:evenVBand="0" w:oddHBand="1" w:evenHBand="0" w:firstRowFirstColumn="0" w:firstRowLastColumn="0" w:lastRowFirstColumn="0" w:lastRowLastColumn="0"/>
            </w:pPr>
          </w:p>
        </w:tc>
        <w:tc>
          <w:tcPr>
            <w:tcW w:w="849" w:type="dxa"/>
            <w:shd w:val="clear" w:color="auto" w:fill="auto"/>
          </w:tcPr>
          <w:p w14:paraId="42E425FB" w14:textId="77777777" w:rsidR="009C4A23" w:rsidRPr="00E94CF8" w:rsidRDefault="009C4A23" w:rsidP="00F51716">
            <w:pPr>
              <w:pStyle w:val="tableright"/>
              <w:cnfStyle w:val="000000100000" w:firstRow="0" w:lastRow="0" w:firstColumn="0" w:lastColumn="0" w:oddVBand="0" w:evenVBand="0" w:oddHBand="1" w:evenHBand="0" w:firstRowFirstColumn="0" w:firstRowLastColumn="0" w:lastRowFirstColumn="0" w:lastRowLastColumn="0"/>
            </w:pPr>
          </w:p>
        </w:tc>
        <w:tc>
          <w:tcPr>
            <w:tcW w:w="904" w:type="dxa"/>
            <w:shd w:val="clear" w:color="auto" w:fill="auto"/>
          </w:tcPr>
          <w:p w14:paraId="4591F1D7" w14:textId="77777777" w:rsidR="009C4A23" w:rsidRPr="00E94CF8" w:rsidRDefault="009C4A23" w:rsidP="00F51716">
            <w:pPr>
              <w:pStyle w:val="tableright"/>
              <w:cnfStyle w:val="000000100000" w:firstRow="0" w:lastRow="0" w:firstColumn="0" w:lastColumn="0" w:oddVBand="0" w:evenVBand="0" w:oddHBand="1" w:evenHBand="0" w:firstRowFirstColumn="0" w:firstRowLastColumn="0" w:lastRowFirstColumn="0" w:lastRowLastColumn="0"/>
            </w:pPr>
          </w:p>
        </w:tc>
      </w:tr>
      <w:tr w:rsidR="009C4A23" w:rsidRPr="00E94CF8" w14:paraId="745BD208" w14:textId="77777777" w:rsidTr="002640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shd w:val="clear" w:color="auto" w:fill="auto"/>
          </w:tcPr>
          <w:p w14:paraId="56325743" w14:textId="77777777" w:rsidR="009C4A23" w:rsidRPr="00E94CF8" w:rsidRDefault="009C4A23" w:rsidP="00F51716">
            <w:pPr>
              <w:pStyle w:val="Tabletext0"/>
            </w:pPr>
            <w:r w:rsidRPr="00E94CF8">
              <w:t>$440 000 – $459 999</w:t>
            </w:r>
          </w:p>
        </w:tc>
        <w:tc>
          <w:tcPr>
            <w:tcW w:w="1087" w:type="dxa"/>
            <w:shd w:val="clear" w:color="auto" w:fill="auto"/>
          </w:tcPr>
          <w:p w14:paraId="644A7E47" w14:textId="77777777" w:rsidR="009C4A23" w:rsidRPr="00E94CF8" w:rsidRDefault="009C4A23" w:rsidP="00F51716">
            <w:pPr>
              <w:pStyle w:val="tableright"/>
              <w:cnfStyle w:val="000000010000" w:firstRow="0" w:lastRow="0" w:firstColumn="0" w:lastColumn="0" w:oddVBand="0" w:evenVBand="0" w:oddHBand="0" w:evenHBand="1" w:firstRowFirstColumn="0" w:firstRowLastColumn="0" w:lastRowFirstColumn="0" w:lastRowLastColumn="0"/>
            </w:pPr>
          </w:p>
        </w:tc>
        <w:tc>
          <w:tcPr>
            <w:tcW w:w="842" w:type="dxa"/>
            <w:shd w:val="clear" w:color="auto" w:fill="auto"/>
          </w:tcPr>
          <w:p w14:paraId="18DB5AF0" w14:textId="77777777" w:rsidR="009C4A23" w:rsidRPr="00E94CF8" w:rsidRDefault="009C4A23" w:rsidP="00F51716">
            <w:pPr>
              <w:pStyle w:val="tableright"/>
              <w:cnfStyle w:val="000000010000" w:firstRow="0" w:lastRow="0" w:firstColumn="0" w:lastColumn="0" w:oddVBand="0" w:evenVBand="0" w:oddHBand="0" w:evenHBand="1" w:firstRowFirstColumn="0" w:firstRowLastColumn="0" w:lastRowFirstColumn="0" w:lastRowLastColumn="0"/>
            </w:pPr>
          </w:p>
        </w:tc>
        <w:tc>
          <w:tcPr>
            <w:tcW w:w="844" w:type="dxa"/>
            <w:shd w:val="clear" w:color="auto" w:fill="auto"/>
          </w:tcPr>
          <w:p w14:paraId="323C674E" w14:textId="77777777" w:rsidR="009C4A23" w:rsidRPr="00E94CF8" w:rsidRDefault="009C4A23" w:rsidP="00F51716">
            <w:pPr>
              <w:pStyle w:val="tableright"/>
              <w:cnfStyle w:val="000000010000" w:firstRow="0" w:lastRow="0" w:firstColumn="0" w:lastColumn="0" w:oddVBand="0" w:evenVBand="0" w:oddHBand="0" w:evenHBand="1" w:firstRowFirstColumn="0" w:firstRowLastColumn="0" w:lastRowFirstColumn="0" w:lastRowLastColumn="0"/>
            </w:pPr>
          </w:p>
        </w:tc>
        <w:tc>
          <w:tcPr>
            <w:tcW w:w="843" w:type="dxa"/>
            <w:shd w:val="clear" w:color="auto" w:fill="auto"/>
          </w:tcPr>
          <w:p w14:paraId="5253E511" w14:textId="77777777" w:rsidR="009C4A23" w:rsidRPr="00E94CF8" w:rsidRDefault="009C4A23" w:rsidP="00F51716">
            <w:pPr>
              <w:pStyle w:val="tableright"/>
              <w:cnfStyle w:val="000000010000" w:firstRow="0" w:lastRow="0" w:firstColumn="0" w:lastColumn="0" w:oddVBand="0" w:evenVBand="0" w:oddHBand="0" w:evenHBand="1" w:firstRowFirstColumn="0" w:firstRowLastColumn="0" w:lastRowFirstColumn="0" w:lastRowLastColumn="0"/>
            </w:pPr>
          </w:p>
        </w:tc>
        <w:tc>
          <w:tcPr>
            <w:tcW w:w="849" w:type="dxa"/>
            <w:shd w:val="clear" w:color="auto" w:fill="auto"/>
          </w:tcPr>
          <w:p w14:paraId="77878CD2" w14:textId="77777777" w:rsidR="009C4A23" w:rsidRPr="00E94CF8" w:rsidRDefault="009C4A23" w:rsidP="00F51716">
            <w:pPr>
              <w:pStyle w:val="tableright"/>
              <w:cnfStyle w:val="000000010000" w:firstRow="0" w:lastRow="0" w:firstColumn="0" w:lastColumn="0" w:oddVBand="0" w:evenVBand="0" w:oddHBand="0" w:evenHBand="1" w:firstRowFirstColumn="0" w:firstRowLastColumn="0" w:lastRowFirstColumn="0" w:lastRowLastColumn="0"/>
            </w:pPr>
          </w:p>
        </w:tc>
        <w:tc>
          <w:tcPr>
            <w:tcW w:w="904" w:type="dxa"/>
            <w:shd w:val="clear" w:color="auto" w:fill="auto"/>
          </w:tcPr>
          <w:p w14:paraId="263257B7" w14:textId="77777777" w:rsidR="009C4A23" w:rsidRPr="00E94CF8" w:rsidRDefault="009C4A23" w:rsidP="00F51716">
            <w:pPr>
              <w:pStyle w:val="tableright"/>
              <w:cnfStyle w:val="000000010000" w:firstRow="0" w:lastRow="0" w:firstColumn="0" w:lastColumn="0" w:oddVBand="0" w:evenVBand="0" w:oddHBand="0" w:evenHBand="1" w:firstRowFirstColumn="0" w:firstRowLastColumn="0" w:lastRowFirstColumn="0" w:lastRowLastColumn="0"/>
            </w:pPr>
          </w:p>
        </w:tc>
      </w:tr>
      <w:tr w:rsidR="009C4A23" w:rsidRPr="00E94CF8" w14:paraId="67B5C213" w14:textId="77777777" w:rsidTr="00264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shd w:val="clear" w:color="auto" w:fill="auto"/>
          </w:tcPr>
          <w:p w14:paraId="019572D9" w14:textId="77777777" w:rsidR="009C4A23" w:rsidRPr="00E94CF8" w:rsidRDefault="009C4A23" w:rsidP="00F51716">
            <w:pPr>
              <w:pStyle w:val="Tabletext0"/>
            </w:pPr>
            <w:r w:rsidRPr="00E94CF8">
              <w:t>$460 000 – $479 999</w:t>
            </w:r>
          </w:p>
        </w:tc>
        <w:tc>
          <w:tcPr>
            <w:tcW w:w="1087" w:type="dxa"/>
            <w:shd w:val="clear" w:color="auto" w:fill="auto"/>
          </w:tcPr>
          <w:p w14:paraId="5D639EB6" w14:textId="77777777" w:rsidR="009C4A23" w:rsidRPr="00E94CF8" w:rsidRDefault="009C4A23" w:rsidP="00F51716">
            <w:pPr>
              <w:pStyle w:val="tableright"/>
              <w:cnfStyle w:val="000000100000" w:firstRow="0" w:lastRow="0" w:firstColumn="0" w:lastColumn="0" w:oddVBand="0" w:evenVBand="0" w:oddHBand="1" w:evenHBand="0" w:firstRowFirstColumn="0" w:firstRowLastColumn="0" w:lastRowFirstColumn="0" w:lastRowLastColumn="0"/>
            </w:pPr>
          </w:p>
        </w:tc>
        <w:tc>
          <w:tcPr>
            <w:tcW w:w="842" w:type="dxa"/>
            <w:shd w:val="clear" w:color="auto" w:fill="auto"/>
          </w:tcPr>
          <w:p w14:paraId="51CC8894" w14:textId="77777777" w:rsidR="009C4A23" w:rsidRPr="00E94CF8" w:rsidRDefault="009C4A23" w:rsidP="00F51716">
            <w:pPr>
              <w:pStyle w:val="tableright"/>
              <w:cnfStyle w:val="000000100000" w:firstRow="0" w:lastRow="0" w:firstColumn="0" w:lastColumn="0" w:oddVBand="0" w:evenVBand="0" w:oddHBand="1" w:evenHBand="0" w:firstRowFirstColumn="0" w:firstRowLastColumn="0" w:lastRowFirstColumn="0" w:lastRowLastColumn="0"/>
            </w:pPr>
          </w:p>
        </w:tc>
        <w:tc>
          <w:tcPr>
            <w:tcW w:w="844" w:type="dxa"/>
            <w:shd w:val="clear" w:color="auto" w:fill="auto"/>
          </w:tcPr>
          <w:p w14:paraId="2EA0809D" w14:textId="77777777" w:rsidR="009C4A23" w:rsidRPr="00E94CF8" w:rsidRDefault="009C4A23" w:rsidP="00F51716">
            <w:pPr>
              <w:pStyle w:val="tableright"/>
              <w:cnfStyle w:val="000000100000" w:firstRow="0" w:lastRow="0" w:firstColumn="0" w:lastColumn="0" w:oddVBand="0" w:evenVBand="0" w:oddHBand="1" w:evenHBand="0" w:firstRowFirstColumn="0" w:firstRowLastColumn="0" w:lastRowFirstColumn="0" w:lastRowLastColumn="0"/>
            </w:pPr>
          </w:p>
        </w:tc>
        <w:tc>
          <w:tcPr>
            <w:tcW w:w="843" w:type="dxa"/>
            <w:shd w:val="clear" w:color="auto" w:fill="auto"/>
          </w:tcPr>
          <w:p w14:paraId="5E72E19F" w14:textId="77777777" w:rsidR="009C4A23" w:rsidRPr="00E94CF8" w:rsidRDefault="009C4A23" w:rsidP="00F51716">
            <w:pPr>
              <w:pStyle w:val="tableright"/>
              <w:cnfStyle w:val="000000100000" w:firstRow="0" w:lastRow="0" w:firstColumn="0" w:lastColumn="0" w:oddVBand="0" w:evenVBand="0" w:oddHBand="1" w:evenHBand="0" w:firstRowFirstColumn="0" w:firstRowLastColumn="0" w:lastRowFirstColumn="0" w:lastRowLastColumn="0"/>
            </w:pPr>
          </w:p>
        </w:tc>
        <w:tc>
          <w:tcPr>
            <w:tcW w:w="849" w:type="dxa"/>
            <w:shd w:val="clear" w:color="auto" w:fill="auto"/>
          </w:tcPr>
          <w:p w14:paraId="784681C0" w14:textId="77777777" w:rsidR="009C4A23" w:rsidRPr="00E94CF8" w:rsidRDefault="009C4A23" w:rsidP="00F51716">
            <w:pPr>
              <w:pStyle w:val="tableright"/>
              <w:cnfStyle w:val="000000100000" w:firstRow="0" w:lastRow="0" w:firstColumn="0" w:lastColumn="0" w:oddVBand="0" w:evenVBand="0" w:oddHBand="1" w:evenHBand="0" w:firstRowFirstColumn="0" w:firstRowLastColumn="0" w:lastRowFirstColumn="0" w:lastRowLastColumn="0"/>
            </w:pPr>
          </w:p>
        </w:tc>
        <w:tc>
          <w:tcPr>
            <w:tcW w:w="904" w:type="dxa"/>
            <w:shd w:val="clear" w:color="auto" w:fill="auto"/>
          </w:tcPr>
          <w:p w14:paraId="43EC9FA8" w14:textId="77777777" w:rsidR="009C4A23" w:rsidRPr="00E94CF8" w:rsidRDefault="009C4A23" w:rsidP="00F51716">
            <w:pPr>
              <w:pStyle w:val="tableright"/>
              <w:cnfStyle w:val="000000100000" w:firstRow="0" w:lastRow="0" w:firstColumn="0" w:lastColumn="0" w:oddVBand="0" w:evenVBand="0" w:oddHBand="1" w:evenHBand="0" w:firstRowFirstColumn="0" w:firstRowLastColumn="0" w:lastRowFirstColumn="0" w:lastRowLastColumn="0"/>
            </w:pPr>
          </w:p>
        </w:tc>
      </w:tr>
      <w:tr w:rsidR="009C4A23" w:rsidRPr="00E94CF8" w14:paraId="537C86B2" w14:textId="77777777" w:rsidTr="002640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shd w:val="clear" w:color="auto" w:fill="auto"/>
          </w:tcPr>
          <w:p w14:paraId="42E34F22" w14:textId="77777777" w:rsidR="009C4A23" w:rsidRPr="00E94CF8" w:rsidRDefault="009C4A23" w:rsidP="00F51716">
            <w:pPr>
              <w:pStyle w:val="Tabletext0"/>
            </w:pPr>
            <w:r w:rsidRPr="00E94CF8">
              <w:t>$480 000 – $499 999</w:t>
            </w:r>
          </w:p>
        </w:tc>
        <w:tc>
          <w:tcPr>
            <w:tcW w:w="1087" w:type="dxa"/>
            <w:shd w:val="clear" w:color="auto" w:fill="auto"/>
          </w:tcPr>
          <w:p w14:paraId="255FAB56" w14:textId="77777777" w:rsidR="009C4A23" w:rsidRPr="00E94CF8" w:rsidRDefault="009C4A23" w:rsidP="00F51716">
            <w:pPr>
              <w:pStyle w:val="tableright"/>
              <w:cnfStyle w:val="000000010000" w:firstRow="0" w:lastRow="0" w:firstColumn="0" w:lastColumn="0" w:oddVBand="0" w:evenVBand="0" w:oddHBand="0" w:evenHBand="1" w:firstRowFirstColumn="0" w:firstRowLastColumn="0" w:lastRowFirstColumn="0" w:lastRowLastColumn="0"/>
            </w:pPr>
          </w:p>
        </w:tc>
        <w:tc>
          <w:tcPr>
            <w:tcW w:w="842" w:type="dxa"/>
            <w:shd w:val="clear" w:color="auto" w:fill="auto"/>
          </w:tcPr>
          <w:p w14:paraId="623CCFDE" w14:textId="77777777" w:rsidR="009C4A23" w:rsidRPr="00E94CF8" w:rsidRDefault="009C4A23" w:rsidP="00F51716">
            <w:pPr>
              <w:pStyle w:val="tableright"/>
              <w:cnfStyle w:val="000000010000" w:firstRow="0" w:lastRow="0" w:firstColumn="0" w:lastColumn="0" w:oddVBand="0" w:evenVBand="0" w:oddHBand="0" w:evenHBand="1" w:firstRowFirstColumn="0" w:firstRowLastColumn="0" w:lastRowFirstColumn="0" w:lastRowLastColumn="0"/>
            </w:pPr>
          </w:p>
        </w:tc>
        <w:tc>
          <w:tcPr>
            <w:tcW w:w="844" w:type="dxa"/>
            <w:shd w:val="clear" w:color="auto" w:fill="auto"/>
          </w:tcPr>
          <w:p w14:paraId="51FF5861" w14:textId="77777777" w:rsidR="009C4A23" w:rsidRPr="00E94CF8" w:rsidRDefault="009C4A23" w:rsidP="00F51716">
            <w:pPr>
              <w:pStyle w:val="tableright"/>
              <w:cnfStyle w:val="000000010000" w:firstRow="0" w:lastRow="0" w:firstColumn="0" w:lastColumn="0" w:oddVBand="0" w:evenVBand="0" w:oddHBand="0" w:evenHBand="1" w:firstRowFirstColumn="0" w:firstRowLastColumn="0" w:lastRowFirstColumn="0" w:lastRowLastColumn="0"/>
            </w:pPr>
          </w:p>
        </w:tc>
        <w:tc>
          <w:tcPr>
            <w:tcW w:w="843" w:type="dxa"/>
            <w:shd w:val="clear" w:color="auto" w:fill="auto"/>
          </w:tcPr>
          <w:p w14:paraId="4BEE6E2F" w14:textId="77777777" w:rsidR="009C4A23" w:rsidRPr="00E94CF8" w:rsidRDefault="009C4A23" w:rsidP="00F51716">
            <w:pPr>
              <w:pStyle w:val="tableright"/>
              <w:cnfStyle w:val="000000010000" w:firstRow="0" w:lastRow="0" w:firstColumn="0" w:lastColumn="0" w:oddVBand="0" w:evenVBand="0" w:oddHBand="0" w:evenHBand="1" w:firstRowFirstColumn="0" w:firstRowLastColumn="0" w:lastRowFirstColumn="0" w:lastRowLastColumn="0"/>
            </w:pPr>
          </w:p>
        </w:tc>
        <w:tc>
          <w:tcPr>
            <w:tcW w:w="849" w:type="dxa"/>
            <w:shd w:val="clear" w:color="auto" w:fill="auto"/>
          </w:tcPr>
          <w:p w14:paraId="1505DEF6" w14:textId="77777777" w:rsidR="009C4A23" w:rsidRPr="00E94CF8" w:rsidRDefault="009C4A23" w:rsidP="00F51716">
            <w:pPr>
              <w:pStyle w:val="tableright"/>
              <w:cnfStyle w:val="000000010000" w:firstRow="0" w:lastRow="0" w:firstColumn="0" w:lastColumn="0" w:oddVBand="0" w:evenVBand="0" w:oddHBand="0" w:evenHBand="1" w:firstRowFirstColumn="0" w:firstRowLastColumn="0" w:lastRowFirstColumn="0" w:lastRowLastColumn="0"/>
            </w:pPr>
          </w:p>
        </w:tc>
        <w:tc>
          <w:tcPr>
            <w:tcW w:w="904" w:type="dxa"/>
            <w:shd w:val="clear" w:color="auto" w:fill="auto"/>
          </w:tcPr>
          <w:p w14:paraId="1D474DB3" w14:textId="77777777" w:rsidR="009C4A23" w:rsidRPr="00E94CF8" w:rsidRDefault="009C4A23" w:rsidP="00F51716">
            <w:pPr>
              <w:pStyle w:val="tableright"/>
              <w:cnfStyle w:val="000000010000" w:firstRow="0" w:lastRow="0" w:firstColumn="0" w:lastColumn="0" w:oddVBand="0" w:evenVBand="0" w:oddHBand="0" w:evenHBand="1" w:firstRowFirstColumn="0" w:firstRowLastColumn="0" w:lastRowFirstColumn="0" w:lastRowLastColumn="0"/>
            </w:pPr>
          </w:p>
        </w:tc>
      </w:tr>
      <w:tr w:rsidR="009C4A23" w:rsidRPr="00940E38" w14:paraId="59013C0D" w14:textId="77777777" w:rsidTr="00264034">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543" w:type="dxa"/>
            <w:shd w:val="clear" w:color="auto" w:fill="auto"/>
          </w:tcPr>
          <w:p w14:paraId="6B483D1E" w14:textId="77777777" w:rsidR="009C4A23" w:rsidRPr="00E94CF8" w:rsidRDefault="009C4A23" w:rsidP="00F51716">
            <w:pPr>
              <w:pStyle w:val="Tabletext0"/>
            </w:pPr>
            <w:r w:rsidRPr="00E94CF8">
              <w:t>Total</w:t>
            </w:r>
          </w:p>
        </w:tc>
        <w:tc>
          <w:tcPr>
            <w:tcW w:w="1087" w:type="dxa"/>
            <w:shd w:val="clear" w:color="auto" w:fill="auto"/>
            <w:vAlign w:val="center"/>
          </w:tcPr>
          <w:p w14:paraId="4D5D9BAA" w14:textId="0C21C547" w:rsidR="009C4A23" w:rsidRPr="005404C3" w:rsidRDefault="009C4A23" w:rsidP="00F51716">
            <w:pPr>
              <w:pStyle w:val="tableright"/>
              <w:cnfStyle w:val="000000100000" w:firstRow="0" w:lastRow="0" w:firstColumn="0" w:lastColumn="0" w:oddVBand="0" w:evenVBand="0" w:oddHBand="1" w:evenHBand="0" w:firstRowFirstColumn="0" w:firstRowLastColumn="0" w:lastRowFirstColumn="0" w:lastRowLastColumn="0"/>
            </w:pPr>
            <w:r w:rsidRPr="00E94CF8">
              <w:t xml:space="preserve">  7</w:t>
            </w:r>
          </w:p>
        </w:tc>
        <w:tc>
          <w:tcPr>
            <w:tcW w:w="842" w:type="dxa"/>
            <w:shd w:val="clear" w:color="auto" w:fill="auto"/>
            <w:vAlign w:val="center"/>
          </w:tcPr>
          <w:p w14:paraId="1B2994AA" w14:textId="77777777" w:rsidR="009C4A23" w:rsidRPr="005404C3" w:rsidRDefault="009C4A23" w:rsidP="00F51716">
            <w:pPr>
              <w:pStyle w:val="tableright"/>
              <w:cnfStyle w:val="000000100000" w:firstRow="0" w:lastRow="0" w:firstColumn="0" w:lastColumn="0" w:oddVBand="0" w:evenVBand="0" w:oddHBand="1" w:evenHBand="0" w:firstRowFirstColumn="0" w:firstRowLastColumn="0" w:lastRowFirstColumn="0" w:lastRowLastColumn="0"/>
            </w:pPr>
          </w:p>
        </w:tc>
        <w:tc>
          <w:tcPr>
            <w:tcW w:w="844" w:type="dxa"/>
            <w:shd w:val="clear" w:color="auto" w:fill="auto"/>
            <w:vAlign w:val="center"/>
          </w:tcPr>
          <w:p w14:paraId="2538F14F" w14:textId="77777777" w:rsidR="009C4A23" w:rsidRPr="005404C3" w:rsidRDefault="009C4A23" w:rsidP="00F51716">
            <w:pPr>
              <w:pStyle w:val="tableright"/>
              <w:cnfStyle w:val="000000100000" w:firstRow="0" w:lastRow="0" w:firstColumn="0" w:lastColumn="0" w:oddVBand="0" w:evenVBand="0" w:oddHBand="1" w:evenHBand="0" w:firstRowFirstColumn="0" w:firstRowLastColumn="0" w:lastRowFirstColumn="0" w:lastRowLastColumn="0"/>
            </w:pPr>
          </w:p>
        </w:tc>
        <w:tc>
          <w:tcPr>
            <w:tcW w:w="843" w:type="dxa"/>
            <w:shd w:val="clear" w:color="auto" w:fill="auto"/>
            <w:vAlign w:val="center"/>
          </w:tcPr>
          <w:p w14:paraId="148E3C58" w14:textId="77777777" w:rsidR="009C4A23" w:rsidRPr="005404C3" w:rsidRDefault="009C4A23" w:rsidP="00F51716">
            <w:pPr>
              <w:pStyle w:val="tableright"/>
              <w:cnfStyle w:val="000000100000" w:firstRow="0" w:lastRow="0" w:firstColumn="0" w:lastColumn="0" w:oddVBand="0" w:evenVBand="0" w:oddHBand="1" w:evenHBand="0" w:firstRowFirstColumn="0" w:firstRowLastColumn="0" w:lastRowFirstColumn="0" w:lastRowLastColumn="0"/>
            </w:pPr>
          </w:p>
        </w:tc>
        <w:tc>
          <w:tcPr>
            <w:tcW w:w="849" w:type="dxa"/>
            <w:shd w:val="clear" w:color="auto" w:fill="auto"/>
            <w:vAlign w:val="center"/>
          </w:tcPr>
          <w:p w14:paraId="2FADAAE0" w14:textId="77777777" w:rsidR="009C4A23" w:rsidRPr="005404C3" w:rsidRDefault="009C4A23" w:rsidP="00F51716">
            <w:pPr>
              <w:pStyle w:val="tableright"/>
              <w:cnfStyle w:val="000000100000" w:firstRow="0" w:lastRow="0" w:firstColumn="0" w:lastColumn="0" w:oddVBand="0" w:evenVBand="0" w:oddHBand="1" w:evenHBand="0" w:firstRowFirstColumn="0" w:firstRowLastColumn="0" w:lastRowFirstColumn="0" w:lastRowLastColumn="0"/>
            </w:pPr>
          </w:p>
        </w:tc>
        <w:tc>
          <w:tcPr>
            <w:tcW w:w="904" w:type="dxa"/>
            <w:shd w:val="clear" w:color="auto" w:fill="auto"/>
            <w:vAlign w:val="center"/>
          </w:tcPr>
          <w:p w14:paraId="348121FA" w14:textId="77777777" w:rsidR="009C4A23" w:rsidRPr="005404C3" w:rsidRDefault="009C4A23" w:rsidP="00F51716">
            <w:pPr>
              <w:pStyle w:val="tableright"/>
              <w:cnfStyle w:val="000000100000" w:firstRow="0" w:lastRow="0" w:firstColumn="0" w:lastColumn="0" w:oddVBand="0" w:evenVBand="0" w:oddHBand="1" w:evenHBand="0" w:firstRowFirstColumn="0" w:firstRowLastColumn="0" w:lastRowFirstColumn="0" w:lastRowLastColumn="0"/>
            </w:pPr>
          </w:p>
        </w:tc>
      </w:tr>
    </w:tbl>
    <w:p w14:paraId="7F1D283F" w14:textId="0474FC10" w:rsidR="009C4A23" w:rsidRPr="00BB2D66" w:rsidRDefault="009C4A23" w:rsidP="00F51716">
      <w:pPr>
        <w:pStyle w:val="Heading2"/>
      </w:pPr>
      <w:bookmarkStart w:id="84" w:name="_Toc56627340"/>
      <w:bookmarkStart w:id="85" w:name="_Toc57039875"/>
      <w:bookmarkStart w:id="86" w:name="_Toc59624210"/>
      <w:r w:rsidRPr="00BB2D66">
        <w:t xml:space="preserve">Workforce </w:t>
      </w:r>
      <w:r w:rsidR="00801DD3">
        <w:t>i</w:t>
      </w:r>
      <w:r w:rsidRPr="00BB2D66">
        <w:t xml:space="preserve">nclusion </w:t>
      </w:r>
      <w:r w:rsidR="00801DD3">
        <w:t>p</w:t>
      </w:r>
      <w:r w:rsidRPr="00BB2D66">
        <w:t>olicy</w:t>
      </w:r>
      <w:bookmarkEnd w:id="84"/>
      <w:bookmarkEnd w:id="85"/>
      <w:bookmarkEnd w:id="86"/>
    </w:p>
    <w:p w14:paraId="74978B72" w14:textId="73191E3C" w:rsidR="009C4A23" w:rsidRPr="00AF6B06" w:rsidRDefault="009C4A23" w:rsidP="00F51716">
      <w:r w:rsidRPr="00AF6B06">
        <w:t xml:space="preserve">Tracking and analysing SV’s workforce profile provides important insights </w:t>
      </w:r>
      <w:r w:rsidR="008173C3">
        <w:t xml:space="preserve">into </w:t>
      </w:r>
      <w:r w:rsidRPr="00AF6B06">
        <w:t>the characteristics of our workforce in a diversity and inclusion context.</w:t>
      </w:r>
    </w:p>
    <w:p w14:paraId="74CD8973" w14:textId="20F8D135" w:rsidR="009C4A23" w:rsidRPr="00AF6B06" w:rsidRDefault="008173C3" w:rsidP="00F51716">
      <w:r>
        <w:t>Our workforce</w:t>
      </w:r>
      <w:r w:rsidRPr="00AF6B06">
        <w:t xml:space="preserve"> </w:t>
      </w:r>
      <w:r w:rsidR="009C4A23" w:rsidRPr="00AF6B06">
        <w:t>profile is reviewed on a regular basis, both as a standalone profile and by using relative comparisons such as the VPS, the Victorian labour market</w:t>
      </w:r>
      <w:r w:rsidR="00801DD3">
        <w:t xml:space="preserve"> and</w:t>
      </w:r>
      <w:r w:rsidR="009C4A23" w:rsidRPr="00AF6B06">
        <w:t xml:space="preserve"> the general Victorian population. We can then identify and address any systemic issues or barriers to diversity and inclusion.</w:t>
      </w:r>
    </w:p>
    <w:p w14:paraId="0C1EF67E" w14:textId="047EA5BD" w:rsidR="009C4A23" w:rsidRPr="00AF6B06" w:rsidRDefault="009C4A23" w:rsidP="00F51716">
      <w:r w:rsidRPr="00AF6B06">
        <w:t xml:space="preserve">Given our relatively small workforce, SV does not set targets for employment of people from specific demographic groups. However, </w:t>
      </w:r>
      <w:r w:rsidR="21E70B98" w:rsidRPr="00AF6B06">
        <w:t xml:space="preserve">it is </w:t>
      </w:r>
      <w:r w:rsidRPr="00AF6B06">
        <w:t>our philosophy that our workforce should generally reflect the composition of the Victorian labour market and working age population. If we identify variances, they can be addressed as part of our Diversity and Inclusion Action Plan.</w:t>
      </w:r>
    </w:p>
    <w:p w14:paraId="11AB9821" w14:textId="71DDAC6E" w:rsidR="009C4A23" w:rsidRPr="00BB2D66" w:rsidRDefault="009C4A23" w:rsidP="00F51716">
      <w:pPr>
        <w:pStyle w:val="Heading2"/>
      </w:pPr>
      <w:bookmarkStart w:id="87" w:name="_Toc57039876"/>
      <w:bookmarkStart w:id="88" w:name="_Toc56627341"/>
      <w:bookmarkStart w:id="89" w:name="_Toc59624211"/>
      <w:r w:rsidRPr="00BB2D66">
        <w:t xml:space="preserve">Executive </w:t>
      </w:r>
      <w:r w:rsidR="00801DD3">
        <w:t>officer data</w:t>
      </w:r>
      <w:bookmarkEnd w:id="87"/>
      <w:bookmarkEnd w:id="88"/>
      <w:bookmarkEnd w:id="89"/>
    </w:p>
    <w:p w14:paraId="073FA12A" w14:textId="3E47D8A0" w:rsidR="009C4A23" w:rsidRPr="00AF6B06" w:rsidRDefault="009C4A23" w:rsidP="00F51716">
      <w:r w:rsidRPr="00AF6B06">
        <w:t xml:space="preserve">An executive officer is a person employed as a head or other executive under Part 3, Division 5 of the </w:t>
      </w:r>
      <w:r w:rsidRPr="00AF6B06">
        <w:rPr>
          <w:i/>
        </w:rPr>
        <w:t>Public Administration Act 2004</w:t>
      </w:r>
      <w:r w:rsidRPr="00AF6B06">
        <w:t>.</w:t>
      </w:r>
    </w:p>
    <w:p w14:paraId="2F1671D8" w14:textId="6A891725" w:rsidR="009C4A23" w:rsidRPr="00AF6B06" w:rsidRDefault="009C4A23" w:rsidP="00F51716">
      <w:pPr>
        <w:rPr>
          <w:szCs w:val="19"/>
        </w:rPr>
      </w:pPr>
      <w:r w:rsidRPr="00A743FC">
        <w:t xml:space="preserve">SV’s </w:t>
      </w:r>
      <w:r w:rsidR="0095F62A" w:rsidRPr="00A743FC">
        <w:t>nine</w:t>
      </w:r>
      <w:r w:rsidR="00A743FC" w:rsidRPr="00A743FC">
        <w:t xml:space="preserve"> </w:t>
      </w:r>
      <w:r w:rsidRPr="00A743FC">
        <w:t xml:space="preserve">executive officers in </w:t>
      </w:r>
      <w:r w:rsidR="005D5DBE">
        <w:t>2019–20</w:t>
      </w:r>
      <w:r w:rsidRPr="00A743FC">
        <w:t xml:space="preserve"> </w:t>
      </w:r>
      <w:r w:rsidRPr="00A743FC">
        <w:rPr>
          <w:szCs w:val="19"/>
        </w:rPr>
        <w:t xml:space="preserve">were responsible for leading the business and providing oversight of strategy and operations. They </w:t>
      </w:r>
      <w:r w:rsidRPr="00A743FC">
        <w:t>held fixed term positions. T</w:t>
      </w:r>
      <w:r w:rsidR="0095F62A" w:rsidRPr="00A743FC">
        <w:t>wo out of the nine executives were acting positions.</w:t>
      </w:r>
      <w:r w:rsidRPr="00A743FC">
        <w:t xml:space="preserve"> </w:t>
      </w:r>
      <w:bookmarkStart w:id="90" w:name="_Hlk57545035"/>
      <w:r w:rsidR="008173C3">
        <w:fldChar w:fldCharType="begin"/>
      </w:r>
      <w:r w:rsidR="008173C3">
        <w:instrText xml:space="preserve"> REF _Ref57366662 \h </w:instrText>
      </w:r>
      <w:r w:rsidR="008173C3">
        <w:fldChar w:fldCharType="separate"/>
      </w:r>
      <w:r w:rsidR="00CF3851">
        <w:t xml:space="preserve">Table </w:t>
      </w:r>
      <w:r w:rsidR="00CF3851">
        <w:rPr>
          <w:noProof/>
        </w:rPr>
        <w:t>29</w:t>
      </w:r>
      <w:r w:rsidR="008173C3">
        <w:fldChar w:fldCharType="end"/>
      </w:r>
      <w:r w:rsidRPr="00A743FC">
        <w:t xml:space="preserve"> </w:t>
      </w:r>
      <w:r w:rsidR="00CF3851">
        <w:t xml:space="preserve">and </w:t>
      </w:r>
      <w:r w:rsidR="00CF3851">
        <w:fldChar w:fldCharType="begin"/>
      </w:r>
      <w:r w:rsidR="00CF3851">
        <w:instrText xml:space="preserve"> REF _Ref57545010 \h </w:instrText>
      </w:r>
      <w:r w:rsidR="00CF3851">
        <w:fldChar w:fldCharType="separate"/>
      </w:r>
      <w:r w:rsidR="00CF3851">
        <w:t xml:space="preserve">Table </w:t>
      </w:r>
      <w:r w:rsidR="00CF3851">
        <w:rPr>
          <w:noProof/>
        </w:rPr>
        <w:t>30</w:t>
      </w:r>
      <w:r w:rsidR="00CF3851">
        <w:fldChar w:fldCharType="end"/>
      </w:r>
      <w:bookmarkEnd w:id="90"/>
      <w:r w:rsidR="00CF3851">
        <w:t xml:space="preserve"> </w:t>
      </w:r>
      <w:r w:rsidRPr="00A743FC">
        <w:t>show the breakdown of executive officers by gender and reconciliation of executive numbers.</w:t>
      </w:r>
    </w:p>
    <w:p w14:paraId="33415B86" w14:textId="399F7427" w:rsidR="00DA4493" w:rsidRDefault="00DA4493" w:rsidP="00F51716">
      <w:pPr>
        <w:pStyle w:val="Caption"/>
      </w:pPr>
      <w:bookmarkStart w:id="91" w:name="_Ref57366662"/>
      <w:r>
        <w:t xml:space="preserve">Table </w:t>
      </w:r>
      <w:fldSimple w:instr=" SEQ Table \* ARABIC ">
        <w:r w:rsidR="003F15CC">
          <w:rPr>
            <w:noProof/>
          </w:rPr>
          <w:t>29</w:t>
        </w:r>
      </w:fldSimple>
      <w:bookmarkEnd w:id="91"/>
      <w:r>
        <w:t xml:space="preserve">: </w:t>
      </w:r>
      <w:r w:rsidRPr="00E94CF8">
        <w:t>Breakdown of executive officers by gender 2019–20</w:t>
      </w:r>
    </w:p>
    <w:tbl>
      <w:tblPr>
        <w:tblStyle w:val="TableGrid0"/>
        <w:tblW w:w="7655" w:type="dxa"/>
        <w:tblInd w:w="0" w:type="dxa"/>
        <w:tblCellMar>
          <w:top w:w="104" w:type="dxa"/>
          <w:right w:w="115" w:type="dxa"/>
        </w:tblCellMar>
        <w:tblLook w:val="04A0" w:firstRow="1" w:lastRow="0" w:firstColumn="1" w:lastColumn="0" w:noHBand="0" w:noVBand="1"/>
      </w:tblPr>
      <w:tblGrid>
        <w:gridCol w:w="1073"/>
        <w:gridCol w:w="1479"/>
        <w:gridCol w:w="1559"/>
        <w:gridCol w:w="1843"/>
        <w:gridCol w:w="1701"/>
      </w:tblGrid>
      <w:tr w:rsidR="00F53FEB" w14:paraId="67A8983C" w14:textId="77777777" w:rsidTr="00264034">
        <w:trPr>
          <w:trHeight w:val="431"/>
        </w:trPr>
        <w:tc>
          <w:tcPr>
            <w:tcW w:w="1073" w:type="dxa"/>
            <w:tcBorders>
              <w:top w:val="single" w:sz="4" w:space="0" w:color="FFFFFF"/>
              <w:left w:val="nil"/>
              <w:bottom w:val="nil"/>
              <w:right w:val="nil"/>
            </w:tcBorders>
            <w:shd w:val="clear" w:color="auto" w:fill="82C341"/>
          </w:tcPr>
          <w:p w14:paraId="2B89A917" w14:textId="77777777" w:rsidR="00F53FEB" w:rsidRPr="00FF14AA" w:rsidRDefault="00F53FEB" w:rsidP="00F51716">
            <w:pPr>
              <w:pStyle w:val="TableHeading"/>
            </w:pPr>
          </w:p>
        </w:tc>
        <w:tc>
          <w:tcPr>
            <w:tcW w:w="1479" w:type="dxa"/>
            <w:tcBorders>
              <w:top w:val="single" w:sz="4" w:space="0" w:color="FFFFFF"/>
              <w:left w:val="nil"/>
              <w:bottom w:val="nil"/>
              <w:right w:val="nil"/>
            </w:tcBorders>
            <w:shd w:val="clear" w:color="auto" w:fill="82C341"/>
            <w:vAlign w:val="center"/>
          </w:tcPr>
          <w:p w14:paraId="5B289804" w14:textId="60DF7AAD" w:rsidR="00F53FEB" w:rsidRPr="00FF14AA" w:rsidRDefault="00F53FEB" w:rsidP="00F51716">
            <w:pPr>
              <w:pStyle w:val="TableHeading"/>
            </w:pPr>
            <w:r w:rsidRPr="00FF14AA">
              <w:t>Man</w:t>
            </w:r>
          </w:p>
        </w:tc>
        <w:tc>
          <w:tcPr>
            <w:tcW w:w="1559" w:type="dxa"/>
            <w:tcBorders>
              <w:top w:val="single" w:sz="4" w:space="0" w:color="FFFFFF"/>
              <w:left w:val="nil"/>
              <w:bottom w:val="nil"/>
              <w:right w:val="nil"/>
            </w:tcBorders>
            <w:shd w:val="clear" w:color="auto" w:fill="82C341"/>
            <w:vAlign w:val="center"/>
          </w:tcPr>
          <w:p w14:paraId="657C9BDE" w14:textId="493712F7" w:rsidR="00F53FEB" w:rsidRPr="00FF14AA" w:rsidRDefault="00F53FEB" w:rsidP="00F51716">
            <w:pPr>
              <w:pStyle w:val="TableHeading"/>
            </w:pPr>
            <w:r w:rsidRPr="00FF14AA">
              <w:t>Woman</w:t>
            </w:r>
          </w:p>
        </w:tc>
        <w:tc>
          <w:tcPr>
            <w:tcW w:w="1843" w:type="dxa"/>
            <w:tcBorders>
              <w:top w:val="single" w:sz="4" w:space="0" w:color="FFFFFF"/>
              <w:left w:val="nil"/>
              <w:bottom w:val="nil"/>
              <w:right w:val="nil"/>
            </w:tcBorders>
            <w:shd w:val="clear" w:color="auto" w:fill="82C341"/>
            <w:vAlign w:val="center"/>
          </w:tcPr>
          <w:p w14:paraId="27FD6A8A" w14:textId="530C705A" w:rsidR="00F53FEB" w:rsidRPr="00FF14AA" w:rsidRDefault="005404C3" w:rsidP="00F51716">
            <w:pPr>
              <w:pStyle w:val="TableHeading"/>
            </w:pPr>
            <w:r w:rsidRPr="00FF14AA">
              <w:t>Self-</w:t>
            </w:r>
            <w:r w:rsidR="00A926B8">
              <w:t>d</w:t>
            </w:r>
            <w:r w:rsidRPr="00FF14AA">
              <w:t>escribed</w:t>
            </w:r>
          </w:p>
        </w:tc>
        <w:tc>
          <w:tcPr>
            <w:tcW w:w="1701" w:type="dxa"/>
            <w:tcBorders>
              <w:top w:val="single" w:sz="4" w:space="0" w:color="FFFFFF"/>
              <w:left w:val="nil"/>
              <w:bottom w:val="nil"/>
              <w:right w:val="nil"/>
            </w:tcBorders>
            <w:shd w:val="clear" w:color="auto" w:fill="82C341"/>
          </w:tcPr>
          <w:p w14:paraId="7E85A219" w14:textId="6BF5243B" w:rsidR="00F53FEB" w:rsidRPr="00FF14AA" w:rsidRDefault="00F53FEB" w:rsidP="00F51716">
            <w:pPr>
              <w:pStyle w:val="TableHeading"/>
            </w:pPr>
            <w:r w:rsidRPr="00FF14AA">
              <w:t>Vacancies</w:t>
            </w:r>
          </w:p>
        </w:tc>
      </w:tr>
      <w:tr w:rsidR="00F53FEB" w14:paraId="0D5BE943" w14:textId="77777777" w:rsidTr="00264034">
        <w:trPr>
          <w:trHeight w:val="420"/>
        </w:trPr>
        <w:tc>
          <w:tcPr>
            <w:tcW w:w="1073" w:type="dxa"/>
            <w:tcBorders>
              <w:top w:val="nil"/>
              <w:left w:val="nil"/>
              <w:bottom w:val="single" w:sz="4" w:space="0" w:color="548028" w:themeColor="background1" w:themeShade="A6"/>
              <w:right w:val="nil"/>
            </w:tcBorders>
            <w:shd w:val="clear" w:color="auto" w:fill="82C341"/>
          </w:tcPr>
          <w:p w14:paraId="49E51914" w14:textId="1EDA21FD" w:rsidR="00F53FEB" w:rsidRPr="00FF14AA" w:rsidRDefault="00F53FEB" w:rsidP="00F51716">
            <w:pPr>
              <w:pStyle w:val="TableHeading"/>
            </w:pPr>
            <w:r w:rsidRPr="00FF14AA">
              <w:t>Class</w:t>
            </w:r>
          </w:p>
        </w:tc>
        <w:tc>
          <w:tcPr>
            <w:tcW w:w="1479" w:type="dxa"/>
            <w:tcBorders>
              <w:top w:val="nil"/>
              <w:left w:val="nil"/>
              <w:bottom w:val="single" w:sz="4" w:space="0" w:color="548028" w:themeColor="background1" w:themeShade="A6"/>
              <w:right w:val="nil"/>
            </w:tcBorders>
            <w:shd w:val="clear" w:color="auto" w:fill="82C341"/>
          </w:tcPr>
          <w:p w14:paraId="74FFE197" w14:textId="41CE3528" w:rsidR="00F53FEB" w:rsidRPr="00FF14AA" w:rsidRDefault="00F53FEB" w:rsidP="00F51716">
            <w:pPr>
              <w:pStyle w:val="TableHeading"/>
            </w:pPr>
            <w:r w:rsidRPr="00FF14AA">
              <w:t>Number</w:t>
            </w:r>
          </w:p>
        </w:tc>
        <w:tc>
          <w:tcPr>
            <w:tcW w:w="1559" w:type="dxa"/>
            <w:tcBorders>
              <w:top w:val="nil"/>
              <w:left w:val="nil"/>
              <w:bottom w:val="single" w:sz="4" w:space="0" w:color="548028" w:themeColor="background1" w:themeShade="A6"/>
              <w:right w:val="nil"/>
            </w:tcBorders>
            <w:shd w:val="clear" w:color="auto" w:fill="82C341"/>
          </w:tcPr>
          <w:p w14:paraId="62C65B68" w14:textId="4CC522A0" w:rsidR="00F53FEB" w:rsidRPr="00FF14AA" w:rsidRDefault="00F53FEB" w:rsidP="00F51716">
            <w:pPr>
              <w:pStyle w:val="TableHeading"/>
            </w:pPr>
            <w:r w:rsidRPr="00FF14AA">
              <w:t>Number</w:t>
            </w:r>
          </w:p>
        </w:tc>
        <w:tc>
          <w:tcPr>
            <w:tcW w:w="1843" w:type="dxa"/>
            <w:tcBorders>
              <w:top w:val="nil"/>
              <w:left w:val="nil"/>
              <w:bottom w:val="single" w:sz="4" w:space="0" w:color="548028" w:themeColor="background1" w:themeShade="A6"/>
              <w:right w:val="nil"/>
            </w:tcBorders>
            <w:shd w:val="clear" w:color="auto" w:fill="82C341"/>
          </w:tcPr>
          <w:p w14:paraId="124C7B03" w14:textId="78721CBB" w:rsidR="00F53FEB" w:rsidRPr="00FF14AA" w:rsidRDefault="00F53FEB" w:rsidP="00F51716">
            <w:pPr>
              <w:pStyle w:val="TableHeading"/>
            </w:pPr>
            <w:r w:rsidRPr="00FF14AA">
              <w:t xml:space="preserve"> Number</w:t>
            </w:r>
          </w:p>
        </w:tc>
        <w:tc>
          <w:tcPr>
            <w:tcW w:w="1701" w:type="dxa"/>
            <w:tcBorders>
              <w:top w:val="nil"/>
              <w:left w:val="nil"/>
              <w:bottom w:val="single" w:sz="4" w:space="0" w:color="548028" w:themeColor="background1" w:themeShade="A6"/>
              <w:right w:val="nil"/>
            </w:tcBorders>
            <w:shd w:val="clear" w:color="auto" w:fill="82C341"/>
          </w:tcPr>
          <w:p w14:paraId="7E689653" w14:textId="77777777" w:rsidR="00F53FEB" w:rsidRPr="00FF14AA" w:rsidRDefault="00F53FEB" w:rsidP="00F51716">
            <w:pPr>
              <w:pStyle w:val="TableHeading"/>
            </w:pPr>
          </w:p>
        </w:tc>
      </w:tr>
      <w:tr w:rsidR="00F53FEB" w:rsidRPr="00FF14AA" w14:paraId="20AB5495" w14:textId="77777777" w:rsidTr="00264034">
        <w:trPr>
          <w:trHeight w:val="420"/>
        </w:trPr>
        <w:tc>
          <w:tcPr>
            <w:tcW w:w="1073" w:type="dxa"/>
            <w:tcBorders>
              <w:top w:val="single" w:sz="4" w:space="0" w:color="548028" w:themeColor="background1" w:themeShade="A6"/>
              <w:left w:val="nil"/>
              <w:bottom w:val="single" w:sz="4" w:space="0" w:color="548028" w:themeColor="background1" w:themeShade="A6"/>
              <w:right w:val="nil"/>
            </w:tcBorders>
            <w:shd w:val="clear" w:color="auto" w:fill="auto"/>
          </w:tcPr>
          <w:p w14:paraId="1A10739A" w14:textId="2CD6F9C6" w:rsidR="00F53FEB" w:rsidRPr="00FF14AA" w:rsidRDefault="00F53FEB" w:rsidP="00F51716">
            <w:pPr>
              <w:pStyle w:val="Tabletext0"/>
            </w:pPr>
            <w:r w:rsidRPr="00FF14AA">
              <w:t>E0-1</w:t>
            </w:r>
          </w:p>
        </w:tc>
        <w:tc>
          <w:tcPr>
            <w:tcW w:w="1479" w:type="dxa"/>
            <w:tcBorders>
              <w:top w:val="single" w:sz="4" w:space="0" w:color="548028" w:themeColor="background1" w:themeShade="A6"/>
              <w:left w:val="nil"/>
              <w:bottom w:val="single" w:sz="4" w:space="0" w:color="548028" w:themeColor="background1" w:themeShade="A6"/>
              <w:right w:val="nil"/>
            </w:tcBorders>
            <w:shd w:val="clear" w:color="auto" w:fill="auto"/>
          </w:tcPr>
          <w:p w14:paraId="042FA0A2" w14:textId="614D4ECA" w:rsidR="00F53FEB" w:rsidRPr="00FF14AA" w:rsidRDefault="0095F62A" w:rsidP="00F51716">
            <w:pPr>
              <w:pStyle w:val="Tabletext0"/>
            </w:pPr>
            <w:r>
              <w:t>1</w:t>
            </w:r>
          </w:p>
        </w:tc>
        <w:tc>
          <w:tcPr>
            <w:tcW w:w="1559" w:type="dxa"/>
            <w:tcBorders>
              <w:top w:val="single" w:sz="4" w:space="0" w:color="548028" w:themeColor="background1" w:themeShade="A6"/>
              <w:left w:val="nil"/>
              <w:bottom w:val="single" w:sz="4" w:space="0" w:color="548028" w:themeColor="background1" w:themeShade="A6"/>
              <w:right w:val="nil"/>
            </w:tcBorders>
            <w:shd w:val="clear" w:color="auto" w:fill="auto"/>
          </w:tcPr>
          <w:p w14:paraId="46BB9F1A" w14:textId="6DD473A5" w:rsidR="00F53FEB" w:rsidRPr="00FF14AA" w:rsidRDefault="0095F62A" w:rsidP="00F51716">
            <w:pPr>
              <w:pStyle w:val="Tabletext0"/>
            </w:pPr>
            <w:r>
              <w:t>1</w:t>
            </w:r>
          </w:p>
        </w:tc>
        <w:tc>
          <w:tcPr>
            <w:tcW w:w="1843" w:type="dxa"/>
            <w:tcBorders>
              <w:top w:val="single" w:sz="4" w:space="0" w:color="548028" w:themeColor="background1" w:themeShade="A6"/>
              <w:left w:val="nil"/>
              <w:bottom w:val="single" w:sz="4" w:space="0" w:color="548028" w:themeColor="background1" w:themeShade="A6"/>
              <w:right w:val="nil"/>
            </w:tcBorders>
            <w:shd w:val="clear" w:color="auto" w:fill="auto"/>
          </w:tcPr>
          <w:p w14:paraId="1BA1778A" w14:textId="444EA726" w:rsidR="00F53FEB" w:rsidRPr="00FF14AA" w:rsidRDefault="00A926B8" w:rsidP="00F51716">
            <w:pPr>
              <w:pStyle w:val="Tabletext0"/>
            </w:pPr>
            <w:r>
              <w:t>0</w:t>
            </w:r>
          </w:p>
        </w:tc>
        <w:tc>
          <w:tcPr>
            <w:tcW w:w="1701" w:type="dxa"/>
            <w:tcBorders>
              <w:top w:val="single" w:sz="4" w:space="0" w:color="548028" w:themeColor="background1" w:themeShade="A6"/>
              <w:left w:val="nil"/>
              <w:bottom w:val="single" w:sz="4" w:space="0" w:color="548028" w:themeColor="background1" w:themeShade="A6"/>
              <w:right w:val="nil"/>
            </w:tcBorders>
            <w:shd w:val="clear" w:color="auto" w:fill="auto"/>
          </w:tcPr>
          <w:p w14:paraId="1AFE1654" w14:textId="2F0EA7F6" w:rsidR="00F53FEB" w:rsidRPr="00FF14AA" w:rsidRDefault="00A926B8" w:rsidP="00F51716">
            <w:pPr>
              <w:pStyle w:val="Tabletext0"/>
            </w:pPr>
            <w:r>
              <w:t>0</w:t>
            </w:r>
          </w:p>
        </w:tc>
      </w:tr>
      <w:tr w:rsidR="00F53FEB" w:rsidRPr="00FF14AA" w14:paraId="01277B93" w14:textId="77777777" w:rsidTr="00264034">
        <w:trPr>
          <w:trHeight w:val="420"/>
        </w:trPr>
        <w:tc>
          <w:tcPr>
            <w:tcW w:w="1073" w:type="dxa"/>
            <w:tcBorders>
              <w:top w:val="single" w:sz="4" w:space="0" w:color="548028" w:themeColor="background1" w:themeShade="A6"/>
              <w:left w:val="nil"/>
              <w:bottom w:val="single" w:sz="4" w:space="0" w:color="548028" w:themeColor="background1" w:themeShade="A6"/>
              <w:right w:val="nil"/>
            </w:tcBorders>
            <w:shd w:val="clear" w:color="auto" w:fill="auto"/>
          </w:tcPr>
          <w:p w14:paraId="67D89737" w14:textId="7B694431" w:rsidR="00F53FEB" w:rsidRPr="00FF14AA" w:rsidRDefault="00F53FEB" w:rsidP="00F51716">
            <w:pPr>
              <w:pStyle w:val="Tabletext0"/>
            </w:pPr>
            <w:r w:rsidRPr="00FF14AA">
              <w:t>E0-2</w:t>
            </w:r>
          </w:p>
        </w:tc>
        <w:tc>
          <w:tcPr>
            <w:tcW w:w="1479" w:type="dxa"/>
            <w:tcBorders>
              <w:top w:val="single" w:sz="4" w:space="0" w:color="548028" w:themeColor="background1" w:themeShade="A6"/>
              <w:left w:val="nil"/>
              <w:bottom w:val="single" w:sz="4" w:space="0" w:color="548028" w:themeColor="background1" w:themeShade="A6"/>
              <w:right w:val="nil"/>
            </w:tcBorders>
            <w:shd w:val="clear" w:color="auto" w:fill="auto"/>
          </w:tcPr>
          <w:p w14:paraId="7B2E16EE" w14:textId="38E7FD76" w:rsidR="00F53FEB" w:rsidRPr="00FF14AA" w:rsidRDefault="008173C3" w:rsidP="00F51716">
            <w:pPr>
              <w:pStyle w:val="Tabletext0"/>
            </w:pPr>
            <w:r>
              <w:t>0</w:t>
            </w:r>
          </w:p>
        </w:tc>
        <w:tc>
          <w:tcPr>
            <w:tcW w:w="1559" w:type="dxa"/>
            <w:tcBorders>
              <w:top w:val="single" w:sz="4" w:space="0" w:color="548028" w:themeColor="background1" w:themeShade="A6"/>
              <w:left w:val="nil"/>
              <w:bottom w:val="single" w:sz="4" w:space="0" w:color="548028" w:themeColor="background1" w:themeShade="A6"/>
              <w:right w:val="nil"/>
            </w:tcBorders>
            <w:shd w:val="clear" w:color="auto" w:fill="auto"/>
          </w:tcPr>
          <w:p w14:paraId="5E6E9D0E" w14:textId="36F3650B" w:rsidR="00F53FEB" w:rsidRPr="00FF14AA" w:rsidRDefault="008173C3" w:rsidP="00F51716">
            <w:pPr>
              <w:pStyle w:val="Tabletext0"/>
            </w:pPr>
            <w:r>
              <w:t>0</w:t>
            </w:r>
          </w:p>
        </w:tc>
        <w:tc>
          <w:tcPr>
            <w:tcW w:w="1843" w:type="dxa"/>
            <w:tcBorders>
              <w:top w:val="single" w:sz="4" w:space="0" w:color="548028" w:themeColor="background1" w:themeShade="A6"/>
              <w:left w:val="nil"/>
              <w:bottom w:val="single" w:sz="4" w:space="0" w:color="548028" w:themeColor="background1" w:themeShade="A6"/>
              <w:right w:val="nil"/>
            </w:tcBorders>
            <w:shd w:val="clear" w:color="auto" w:fill="auto"/>
          </w:tcPr>
          <w:p w14:paraId="1B9F8A00" w14:textId="186F3DB1" w:rsidR="00F53FEB" w:rsidRPr="00FF14AA" w:rsidRDefault="00A926B8" w:rsidP="00F51716">
            <w:pPr>
              <w:pStyle w:val="Tabletext0"/>
            </w:pPr>
            <w:r>
              <w:t>0</w:t>
            </w:r>
          </w:p>
        </w:tc>
        <w:tc>
          <w:tcPr>
            <w:tcW w:w="1701" w:type="dxa"/>
            <w:tcBorders>
              <w:top w:val="single" w:sz="4" w:space="0" w:color="548028" w:themeColor="background1" w:themeShade="A6"/>
              <w:left w:val="nil"/>
              <w:bottom w:val="single" w:sz="4" w:space="0" w:color="548028" w:themeColor="background1" w:themeShade="A6"/>
              <w:right w:val="nil"/>
            </w:tcBorders>
            <w:shd w:val="clear" w:color="auto" w:fill="auto"/>
          </w:tcPr>
          <w:p w14:paraId="44C62934" w14:textId="04633748" w:rsidR="00F53FEB" w:rsidRPr="00FF14AA" w:rsidRDefault="00A926B8" w:rsidP="00F51716">
            <w:pPr>
              <w:pStyle w:val="Tabletext0"/>
            </w:pPr>
            <w:r>
              <w:t>0</w:t>
            </w:r>
          </w:p>
        </w:tc>
      </w:tr>
      <w:tr w:rsidR="00F53FEB" w:rsidRPr="00FF14AA" w14:paraId="289D7EC5" w14:textId="77777777" w:rsidTr="00264034">
        <w:trPr>
          <w:trHeight w:val="420"/>
        </w:trPr>
        <w:tc>
          <w:tcPr>
            <w:tcW w:w="1073" w:type="dxa"/>
            <w:tcBorders>
              <w:top w:val="single" w:sz="4" w:space="0" w:color="548028" w:themeColor="background1" w:themeShade="A6"/>
              <w:left w:val="nil"/>
              <w:bottom w:val="single" w:sz="4" w:space="0" w:color="548028" w:themeColor="background1" w:themeShade="A6"/>
              <w:right w:val="nil"/>
            </w:tcBorders>
            <w:shd w:val="clear" w:color="auto" w:fill="auto"/>
          </w:tcPr>
          <w:p w14:paraId="62BC550C" w14:textId="38E2E291" w:rsidR="00F53FEB" w:rsidRPr="00FF14AA" w:rsidRDefault="00F53FEB" w:rsidP="00F51716">
            <w:pPr>
              <w:pStyle w:val="Tabletext0"/>
            </w:pPr>
            <w:r w:rsidRPr="00FF14AA">
              <w:t>E0-3</w:t>
            </w:r>
          </w:p>
        </w:tc>
        <w:tc>
          <w:tcPr>
            <w:tcW w:w="1479" w:type="dxa"/>
            <w:tcBorders>
              <w:top w:val="single" w:sz="4" w:space="0" w:color="548028" w:themeColor="background1" w:themeShade="A6"/>
              <w:left w:val="nil"/>
              <w:bottom w:val="single" w:sz="4" w:space="0" w:color="548028" w:themeColor="background1" w:themeShade="A6"/>
              <w:right w:val="nil"/>
            </w:tcBorders>
            <w:shd w:val="clear" w:color="auto" w:fill="auto"/>
          </w:tcPr>
          <w:p w14:paraId="6E17925D" w14:textId="1DDA7B00" w:rsidR="00F53FEB" w:rsidRPr="00FF14AA" w:rsidRDefault="00D14ADC" w:rsidP="00F51716">
            <w:pPr>
              <w:pStyle w:val="Tabletext0"/>
            </w:pPr>
            <w:r>
              <w:t>2</w:t>
            </w:r>
          </w:p>
        </w:tc>
        <w:tc>
          <w:tcPr>
            <w:tcW w:w="1559" w:type="dxa"/>
            <w:tcBorders>
              <w:top w:val="single" w:sz="4" w:space="0" w:color="548028" w:themeColor="background1" w:themeShade="A6"/>
              <w:left w:val="nil"/>
              <w:bottom w:val="single" w:sz="4" w:space="0" w:color="548028" w:themeColor="background1" w:themeShade="A6"/>
              <w:right w:val="nil"/>
            </w:tcBorders>
            <w:shd w:val="clear" w:color="auto" w:fill="auto"/>
          </w:tcPr>
          <w:p w14:paraId="33DEC8D7" w14:textId="6D4C71E3" w:rsidR="00F53FEB" w:rsidRPr="00FF14AA" w:rsidRDefault="0095F62A" w:rsidP="00F51716">
            <w:pPr>
              <w:pStyle w:val="Tabletext0"/>
            </w:pPr>
            <w:r w:rsidRPr="00FF14AA">
              <w:t>5</w:t>
            </w:r>
          </w:p>
        </w:tc>
        <w:tc>
          <w:tcPr>
            <w:tcW w:w="1843" w:type="dxa"/>
            <w:tcBorders>
              <w:top w:val="single" w:sz="4" w:space="0" w:color="548028" w:themeColor="background1" w:themeShade="A6"/>
              <w:left w:val="nil"/>
              <w:bottom w:val="single" w:sz="4" w:space="0" w:color="548028" w:themeColor="background1" w:themeShade="A6"/>
              <w:right w:val="nil"/>
            </w:tcBorders>
            <w:shd w:val="clear" w:color="auto" w:fill="auto"/>
          </w:tcPr>
          <w:p w14:paraId="15087D57" w14:textId="020BA3EA" w:rsidR="00F53FEB" w:rsidRPr="00FF14AA" w:rsidRDefault="00A926B8" w:rsidP="00F51716">
            <w:pPr>
              <w:pStyle w:val="Tabletext0"/>
            </w:pPr>
            <w:r>
              <w:t>0</w:t>
            </w:r>
          </w:p>
        </w:tc>
        <w:tc>
          <w:tcPr>
            <w:tcW w:w="1701" w:type="dxa"/>
            <w:tcBorders>
              <w:top w:val="single" w:sz="4" w:space="0" w:color="548028" w:themeColor="background1" w:themeShade="A6"/>
              <w:left w:val="nil"/>
              <w:bottom w:val="single" w:sz="4" w:space="0" w:color="548028" w:themeColor="background1" w:themeShade="A6"/>
              <w:right w:val="nil"/>
            </w:tcBorders>
            <w:shd w:val="clear" w:color="auto" w:fill="auto"/>
          </w:tcPr>
          <w:p w14:paraId="53A97FED" w14:textId="610041BF" w:rsidR="00F53FEB" w:rsidRPr="00FF14AA" w:rsidRDefault="00A926B8" w:rsidP="00F51716">
            <w:pPr>
              <w:pStyle w:val="Tabletext0"/>
            </w:pPr>
            <w:r>
              <w:t>0</w:t>
            </w:r>
          </w:p>
        </w:tc>
      </w:tr>
      <w:tr w:rsidR="00F53FEB" w:rsidRPr="00FF14AA" w14:paraId="4BAC9DE6" w14:textId="77777777" w:rsidTr="00264034">
        <w:trPr>
          <w:trHeight w:val="420"/>
        </w:trPr>
        <w:tc>
          <w:tcPr>
            <w:tcW w:w="1073" w:type="dxa"/>
            <w:tcBorders>
              <w:top w:val="single" w:sz="4" w:space="0" w:color="548028" w:themeColor="background1" w:themeShade="A6"/>
              <w:left w:val="nil"/>
              <w:bottom w:val="single" w:sz="4" w:space="0" w:color="548028" w:themeColor="background1" w:themeShade="A6"/>
              <w:right w:val="nil"/>
            </w:tcBorders>
            <w:shd w:val="clear" w:color="auto" w:fill="auto"/>
          </w:tcPr>
          <w:p w14:paraId="3D15039D" w14:textId="731AB46E" w:rsidR="00F53FEB" w:rsidRPr="00FF14AA" w:rsidRDefault="00F53FEB" w:rsidP="00F51716">
            <w:pPr>
              <w:pStyle w:val="Tabletext0"/>
            </w:pPr>
            <w:r w:rsidRPr="00FF14AA">
              <w:t>E0-4</w:t>
            </w:r>
          </w:p>
        </w:tc>
        <w:tc>
          <w:tcPr>
            <w:tcW w:w="1479" w:type="dxa"/>
            <w:tcBorders>
              <w:top w:val="single" w:sz="4" w:space="0" w:color="548028" w:themeColor="background1" w:themeShade="A6"/>
              <w:left w:val="nil"/>
              <w:bottom w:val="single" w:sz="4" w:space="0" w:color="548028" w:themeColor="background1" w:themeShade="A6"/>
              <w:right w:val="nil"/>
            </w:tcBorders>
            <w:shd w:val="clear" w:color="auto" w:fill="auto"/>
          </w:tcPr>
          <w:p w14:paraId="6A3872C7" w14:textId="5E63E228" w:rsidR="00F53FEB" w:rsidRPr="00FF14AA" w:rsidRDefault="008173C3" w:rsidP="00F51716">
            <w:pPr>
              <w:pStyle w:val="Tabletext0"/>
            </w:pPr>
            <w:r>
              <w:t>0</w:t>
            </w:r>
          </w:p>
        </w:tc>
        <w:tc>
          <w:tcPr>
            <w:tcW w:w="1559" w:type="dxa"/>
            <w:tcBorders>
              <w:top w:val="single" w:sz="4" w:space="0" w:color="548028" w:themeColor="background1" w:themeShade="A6"/>
              <w:left w:val="nil"/>
              <w:bottom w:val="single" w:sz="4" w:space="0" w:color="548028" w:themeColor="background1" w:themeShade="A6"/>
              <w:right w:val="nil"/>
            </w:tcBorders>
            <w:shd w:val="clear" w:color="auto" w:fill="auto"/>
          </w:tcPr>
          <w:p w14:paraId="7216EB2E" w14:textId="32783448" w:rsidR="00F53FEB" w:rsidRPr="00FF14AA" w:rsidRDefault="008173C3" w:rsidP="00F51716">
            <w:pPr>
              <w:pStyle w:val="Tabletext0"/>
            </w:pPr>
            <w:r>
              <w:t>0</w:t>
            </w:r>
          </w:p>
        </w:tc>
        <w:tc>
          <w:tcPr>
            <w:tcW w:w="1843" w:type="dxa"/>
            <w:tcBorders>
              <w:top w:val="single" w:sz="4" w:space="0" w:color="548028" w:themeColor="background1" w:themeShade="A6"/>
              <w:left w:val="nil"/>
              <w:bottom w:val="single" w:sz="4" w:space="0" w:color="548028" w:themeColor="background1" w:themeShade="A6"/>
              <w:right w:val="nil"/>
            </w:tcBorders>
            <w:shd w:val="clear" w:color="auto" w:fill="auto"/>
          </w:tcPr>
          <w:p w14:paraId="39F0177B" w14:textId="1C742726" w:rsidR="00F53FEB" w:rsidRPr="00FF14AA" w:rsidRDefault="00A926B8" w:rsidP="00F51716">
            <w:pPr>
              <w:pStyle w:val="Tabletext0"/>
            </w:pPr>
            <w:r>
              <w:t>0</w:t>
            </w:r>
          </w:p>
        </w:tc>
        <w:tc>
          <w:tcPr>
            <w:tcW w:w="1701" w:type="dxa"/>
            <w:tcBorders>
              <w:top w:val="single" w:sz="4" w:space="0" w:color="548028" w:themeColor="background1" w:themeShade="A6"/>
              <w:left w:val="nil"/>
              <w:bottom w:val="single" w:sz="4" w:space="0" w:color="548028" w:themeColor="background1" w:themeShade="A6"/>
              <w:right w:val="nil"/>
            </w:tcBorders>
            <w:shd w:val="clear" w:color="auto" w:fill="auto"/>
          </w:tcPr>
          <w:p w14:paraId="029C927E" w14:textId="7FB94D14" w:rsidR="00F53FEB" w:rsidRPr="00FF14AA" w:rsidRDefault="00A926B8" w:rsidP="00F51716">
            <w:pPr>
              <w:pStyle w:val="Tabletext0"/>
            </w:pPr>
            <w:r>
              <w:t>0</w:t>
            </w:r>
          </w:p>
        </w:tc>
      </w:tr>
      <w:tr w:rsidR="008173C3" w:rsidRPr="00264034" w14:paraId="1C0880E1" w14:textId="77777777" w:rsidTr="00A926B8">
        <w:trPr>
          <w:trHeight w:val="420"/>
        </w:trPr>
        <w:tc>
          <w:tcPr>
            <w:tcW w:w="1073" w:type="dxa"/>
            <w:tcBorders>
              <w:top w:val="single" w:sz="4" w:space="0" w:color="548028" w:themeColor="background1" w:themeShade="A6"/>
              <w:left w:val="nil"/>
              <w:bottom w:val="single" w:sz="4" w:space="0" w:color="548028" w:themeColor="background1" w:themeShade="A6"/>
              <w:right w:val="nil"/>
            </w:tcBorders>
            <w:shd w:val="clear" w:color="auto" w:fill="auto"/>
          </w:tcPr>
          <w:p w14:paraId="46263440" w14:textId="582CA2C1" w:rsidR="008173C3" w:rsidRPr="00264034" w:rsidRDefault="008173C3" w:rsidP="00F51716">
            <w:pPr>
              <w:pStyle w:val="Tabletext0"/>
            </w:pPr>
            <w:r w:rsidRPr="00264034">
              <w:t>Total</w:t>
            </w:r>
          </w:p>
        </w:tc>
        <w:tc>
          <w:tcPr>
            <w:tcW w:w="1479" w:type="dxa"/>
            <w:tcBorders>
              <w:top w:val="single" w:sz="4" w:space="0" w:color="548028" w:themeColor="background1" w:themeShade="A6"/>
              <w:left w:val="nil"/>
              <w:bottom w:val="single" w:sz="4" w:space="0" w:color="548028" w:themeColor="background1" w:themeShade="A6"/>
              <w:right w:val="nil"/>
            </w:tcBorders>
            <w:shd w:val="clear" w:color="auto" w:fill="auto"/>
          </w:tcPr>
          <w:p w14:paraId="42AF4B6C" w14:textId="436CBA8D" w:rsidR="008173C3" w:rsidRPr="00264034" w:rsidRDefault="008173C3" w:rsidP="00F51716">
            <w:pPr>
              <w:pStyle w:val="Tabletext0"/>
            </w:pPr>
            <w:r w:rsidRPr="00264034">
              <w:t>3</w:t>
            </w:r>
          </w:p>
        </w:tc>
        <w:tc>
          <w:tcPr>
            <w:tcW w:w="1559" w:type="dxa"/>
            <w:tcBorders>
              <w:top w:val="single" w:sz="4" w:space="0" w:color="548028" w:themeColor="background1" w:themeShade="A6"/>
              <w:left w:val="nil"/>
              <w:bottom w:val="single" w:sz="4" w:space="0" w:color="548028" w:themeColor="background1" w:themeShade="A6"/>
              <w:right w:val="nil"/>
            </w:tcBorders>
            <w:shd w:val="clear" w:color="auto" w:fill="auto"/>
          </w:tcPr>
          <w:p w14:paraId="59ED55B6" w14:textId="3D3D9767" w:rsidR="008173C3" w:rsidRPr="00264034" w:rsidRDefault="008173C3" w:rsidP="00F51716">
            <w:pPr>
              <w:pStyle w:val="Tabletext0"/>
            </w:pPr>
            <w:r w:rsidRPr="00264034">
              <w:t>6</w:t>
            </w:r>
          </w:p>
        </w:tc>
        <w:tc>
          <w:tcPr>
            <w:tcW w:w="1843" w:type="dxa"/>
            <w:tcBorders>
              <w:top w:val="single" w:sz="4" w:space="0" w:color="548028" w:themeColor="background1" w:themeShade="A6"/>
              <w:left w:val="nil"/>
              <w:bottom w:val="single" w:sz="4" w:space="0" w:color="548028" w:themeColor="background1" w:themeShade="A6"/>
              <w:right w:val="nil"/>
            </w:tcBorders>
            <w:shd w:val="clear" w:color="auto" w:fill="auto"/>
          </w:tcPr>
          <w:p w14:paraId="00FDFB0B" w14:textId="7EE61EA2" w:rsidR="008173C3" w:rsidRPr="00264034" w:rsidRDefault="008173C3" w:rsidP="00F51716">
            <w:pPr>
              <w:pStyle w:val="Tabletext0"/>
            </w:pPr>
            <w:r w:rsidRPr="00264034">
              <w:t>0</w:t>
            </w:r>
          </w:p>
        </w:tc>
        <w:tc>
          <w:tcPr>
            <w:tcW w:w="1701" w:type="dxa"/>
            <w:tcBorders>
              <w:top w:val="single" w:sz="4" w:space="0" w:color="548028" w:themeColor="background1" w:themeShade="A6"/>
              <w:left w:val="nil"/>
              <w:bottom w:val="single" w:sz="4" w:space="0" w:color="548028" w:themeColor="background1" w:themeShade="A6"/>
              <w:right w:val="nil"/>
            </w:tcBorders>
            <w:shd w:val="clear" w:color="auto" w:fill="auto"/>
          </w:tcPr>
          <w:p w14:paraId="2A9472E5" w14:textId="5D323359" w:rsidR="008173C3" w:rsidRPr="00264034" w:rsidRDefault="008173C3" w:rsidP="00F51716">
            <w:pPr>
              <w:pStyle w:val="Tabletext0"/>
            </w:pPr>
            <w:r w:rsidRPr="00264034">
              <w:t>0</w:t>
            </w:r>
          </w:p>
        </w:tc>
      </w:tr>
    </w:tbl>
    <w:p w14:paraId="38326E41" w14:textId="77777777" w:rsidR="009C4A23" w:rsidRPr="00FF14AA" w:rsidRDefault="009C4A23" w:rsidP="00F51716"/>
    <w:p w14:paraId="5C31D14B" w14:textId="7E938280" w:rsidR="009C4A23" w:rsidRDefault="00DA4493" w:rsidP="00F51716">
      <w:pPr>
        <w:pStyle w:val="Caption"/>
      </w:pPr>
      <w:bookmarkStart w:id="92" w:name="_Ref57545010"/>
      <w:r>
        <w:t xml:space="preserve">Table </w:t>
      </w:r>
      <w:fldSimple w:instr=" SEQ Table \* ARABIC ">
        <w:r w:rsidR="003F15CC">
          <w:rPr>
            <w:noProof/>
          </w:rPr>
          <w:t>30</w:t>
        </w:r>
      </w:fldSimple>
      <w:bookmarkEnd w:id="92"/>
      <w:r>
        <w:t xml:space="preserve">: </w:t>
      </w:r>
      <w:r w:rsidR="006A39E2" w:rsidRPr="00C667AE">
        <w:t xml:space="preserve">Reconciliation of executive numbers </w:t>
      </w:r>
      <w:r w:rsidR="005D5DBE">
        <w:t>2019–20</w:t>
      </w:r>
    </w:p>
    <w:tbl>
      <w:tblPr>
        <w:tblStyle w:val="TableGrid0"/>
        <w:tblW w:w="9356" w:type="dxa"/>
        <w:tblInd w:w="0" w:type="dxa"/>
        <w:tblCellMar>
          <w:top w:w="109" w:type="dxa"/>
          <w:bottom w:w="77" w:type="dxa"/>
          <w:right w:w="115" w:type="dxa"/>
        </w:tblCellMar>
        <w:tblLook w:val="04A0" w:firstRow="1" w:lastRow="0" w:firstColumn="1" w:lastColumn="0" w:noHBand="0" w:noVBand="1"/>
      </w:tblPr>
      <w:tblGrid>
        <w:gridCol w:w="4678"/>
        <w:gridCol w:w="1418"/>
        <w:gridCol w:w="1701"/>
        <w:gridCol w:w="1559"/>
      </w:tblGrid>
      <w:tr w:rsidR="009C4A23" w:rsidRPr="00801DD3" w14:paraId="30F66F27" w14:textId="77777777" w:rsidTr="00264034">
        <w:trPr>
          <w:trHeight w:val="426"/>
        </w:trPr>
        <w:tc>
          <w:tcPr>
            <w:tcW w:w="4678" w:type="dxa"/>
            <w:tcBorders>
              <w:top w:val="nil"/>
              <w:left w:val="nil"/>
              <w:bottom w:val="nil"/>
              <w:right w:val="nil"/>
            </w:tcBorders>
            <w:shd w:val="clear" w:color="auto" w:fill="82C341"/>
          </w:tcPr>
          <w:p w14:paraId="7E370DBF" w14:textId="77777777" w:rsidR="009C4A23" w:rsidRPr="00801DD3" w:rsidRDefault="009C4A23" w:rsidP="00F51716">
            <w:pPr>
              <w:pStyle w:val="TableHeading"/>
            </w:pPr>
          </w:p>
        </w:tc>
        <w:tc>
          <w:tcPr>
            <w:tcW w:w="1418" w:type="dxa"/>
            <w:tcBorders>
              <w:top w:val="nil"/>
              <w:left w:val="nil"/>
              <w:bottom w:val="nil"/>
              <w:right w:val="nil"/>
            </w:tcBorders>
            <w:shd w:val="clear" w:color="auto" w:fill="82C341"/>
          </w:tcPr>
          <w:p w14:paraId="211760FC" w14:textId="1831BC40" w:rsidR="009C4A23" w:rsidRPr="00801DD3" w:rsidRDefault="005D5DBE" w:rsidP="00F51716">
            <w:pPr>
              <w:pStyle w:val="TableHeading"/>
            </w:pPr>
            <w:r w:rsidRPr="00801DD3">
              <w:t>2019–20</w:t>
            </w:r>
          </w:p>
        </w:tc>
        <w:tc>
          <w:tcPr>
            <w:tcW w:w="1701" w:type="dxa"/>
            <w:tcBorders>
              <w:top w:val="nil"/>
              <w:left w:val="nil"/>
              <w:bottom w:val="nil"/>
              <w:right w:val="nil"/>
            </w:tcBorders>
            <w:shd w:val="clear" w:color="auto" w:fill="82C341"/>
          </w:tcPr>
          <w:p w14:paraId="18F05C1F" w14:textId="6F425ECC" w:rsidR="009C4A23" w:rsidRPr="00801DD3" w:rsidRDefault="000F326D" w:rsidP="00F51716">
            <w:pPr>
              <w:pStyle w:val="TableHeading"/>
            </w:pPr>
            <w:r w:rsidRPr="00801DD3">
              <w:t>2018</w:t>
            </w:r>
            <w:r w:rsidR="005404C3" w:rsidRPr="00801DD3">
              <w:t>–</w:t>
            </w:r>
            <w:r w:rsidRPr="00801DD3">
              <w:t>19</w:t>
            </w:r>
          </w:p>
        </w:tc>
        <w:tc>
          <w:tcPr>
            <w:tcW w:w="1559" w:type="dxa"/>
            <w:tcBorders>
              <w:top w:val="nil"/>
              <w:left w:val="nil"/>
              <w:bottom w:val="nil"/>
              <w:right w:val="nil"/>
            </w:tcBorders>
            <w:shd w:val="clear" w:color="auto" w:fill="82C341"/>
          </w:tcPr>
          <w:p w14:paraId="580ACA0E" w14:textId="603BAA39" w:rsidR="009C4A23" w:rsidRPr="00801DD3" w:rsidRDefault="000F326D" w:rsidP="00F51716">
            <w:pPr>
              <w:pStyle w:val="TableHeading"/>
            </w:pPr>
            <w:r w:rsidRPr="00801DD3">
              <w:t>2017</w:t>
            </w:r>
            <w:r w:rsidR="005404C3" w:rsidRPr="00801DD3">
              <w:t>–</w:t>
            </w:r>
            <w:r w:rsidRPr="00801DD3">
              <w:t>18</w:t>
            </w:r>
          </w:p>
        </w:tc>
      </w:tr>
      <w:tr w:rsidR="009C4A23" w14:paraId="67F2838F" w14:textId="77777777" w:rsidTr="00264034">
        <w:trPr>
          <w:trHeight w:val="413"/>
        </w:trPr>
        <w:tc>
          <w:tcPr>
            <w:tcW w:w="4678" w:type="dxa"/>
            <w:tcBorders>
              <w:top w:val="nil"/>
              <w:left w:val="nil"/>
              <w:bottom w:val="single" w:sz="2" w:space="0" w:color="A7A9AB"/>
              <w:right w:val="nil"/>
            </w:tcBorders>
            <w:vAlign w:val="center"/>
          </w:tcPr>
          <w:p w14:paraId="7912EC81" w14:textId="77777777" w:rsidR="009C4A23" w:rsidRPr="00FF14AA" w:rsidRDefault="009C4A23" w:rsidP="00F51716">
            <w:pPr>
              <w:pStyle w:val="Tabletext0"/>
            </w:pPr>
            <w:r w:rsidRPr="00FF14AA">
              <w:t xml:space="preserve">Executives </w:t>
            </w:r>
          </w:p>
        </w:tc>
        <w:tc>
          <w:tcPr>
            <w:tcW w:w="1418" w:type="dxa"/>
            <w:tcBorders>
              <w:top w:val="nil"/>
              <w:left w:val="nil"/>
              <w:bottom w:val="single" w:sz="2" w:space="0" w:color="A7A9AB"/>
              <w:right w:val="nil"/>
            </w:tcBorders>
            <w:vAlign w:val="center"/>
          </w:tcPr>
          <w:p w14:paraId="6607F9B0" w14:textId="001E0B30" w:rsidR="009C4A23" w:rsidRPr="008173C3" w:rsidRDefault="0095F62A" w:rsidP="00F51716">
            <w:pPr>
              <w:pStyle w:val="Tabletext0"/>
            </w:pPr>
            <w:r w:rsidRPr="00AA4AED">
              <w:t>9</w:t>
            </w:r>
          </w:p>
        </w:tc>
        <w:tc>
          <w:tcPr>
            <w:tcW w:w="1701" w:type="dxa"/>
            <w:tcBorders>
              <w:top w:val="nil"/>
              <w:left w:val="nil"/>
              <w:bottom w:val="single" w:sz="2" w:space="0" w:color="A7A9AB"/>
              <w:right w:val="nil"/>
            </w:tcBorders>
            <w:vAlign w:val="center"/>
          </w:tcPr>
          <w:p w14:paraId="5B02B345" w14:textId="3011D3B0" w:rsidR="009C4A23" w:rsidRPr="008173C3" w:rsidRDefault="000F326D" w:rsidP="00F51716">
            <w:pPr>
              <w:pStyle w:val="Tabletext0"/>
            </w:pPr>
            <w:r w:rsidRPr="00AA4AED">
              <w:t>7</w:t>
            </w:r>
          </w:p>
        </w:tc>
        <w:tc>
          <w:tcPr>
            <w:tcW w:w="1559" w:type="dxa"/>
            <w:tcBorders>
              <w:top w:val="nil"/>
              <w:left w:val="nil"/>
              <w:bottom w:val="single" w:sz="2" w:space="0" w:color="A7A9AB"/>
              <w:right w:val="nil"/>
            </w:tcBorders>
            <w:vAlign w:val="center"/>
          </w:tcPr>
          <w:p w14:paraId="11A45235" w14:textId="36F2E1FA" w:rsidR="009C4A23" w:rsidRPr="00AA4AED" w:rsidRDefault="000F326D" w:rsidP="00F51716">
            <w:pPr>
              <w:pStyle w:val="Tabletext0"/>
            </w:pPr>
            <w:r w:rsidRPr="00AA4AED">
              <w:t>5</w:t>
            </w:r>
          </w:p>
        </w:tc>
      </w:tr>
      <w:tr w:rsidR="009C4A23" w14:paraId="7F4A33DB" w14:textId="77777777" w:rsidTr="00264034">
        <w:trPr>
          <w:trHeight w:val="411"/>
        </w:trPr>
        <w:tc>
          <w:tcPr>
            <w:tcW w:w="4678" w:type="dxa"/>
            <w:tcBorders>
              <w:top w:val="single" w:sz="2" w:space="0" w:color="A7A9AB"/>
              <w:left w:val="nil"/>
              <w:bottom w:val="single" w:sz="2" w:space="0" w:color="A7A9AB"/>
              <w:right w:val="nil"/>
            </w:tcBorders>
            <w:vAlign w:val="center"/>
          </w:tcPr>
          <w:p w14:paraId="5DADE9A7" w14:textId="0D98E3D8" w:rsidR="009C4A23" w:rsidRPr="00FF14AA" w:rsidRDefault="009C4A23" w:rsidP="00F51716">
            <w:pPr>
              <w:pStyle w:val="Tabletext0"/>
            </w:pPr>
            <w:r w:rsidRPr="00FF14AA">
              <w:tab/>
              <w:t xml:space="preserve">Less </w:t>
            </w:r>
            <w:r w:rsidR="008173C3">
              <w:t>s</w:t>
            </w:r>
            <w:r w:rsidRPr="00FF14AA">
              <w:t xml:space="preserve">eparations </w:t>
            </w:r>
          </w:p>
        </w:tc>
        <w:tc>
          <w:tcPr>
            <w:tcW w:w="1418" w:type="dxa"/>
            <w:tcBorders>
              <w:top w:val="single" w:sz="2" w:space="0" w:color="A7A9AB"/>
              <w:left w:val="nil"/>
              <w:bottom w:val="single" w:sz="2" w:space="0" w:color="A7A9AB"/>
              <w:right w:val="nil"/>
            </w:tcBorders>
            <w:vAlign w:val="center"/>
          </w:tcPr>
          <w:p w14:paraId="73E98A4D" w14:textId="3EE4E9FB" w:rsidR="009C4A23" w:rsidRPr="00AA4AED" w:rsidRDefault="00C1BE3E" w:rsidP="00F51716">
            <w:pPr>
              <w:pStyle w:val="Tabletext0"/>
            </w:pPr>
            <w:r w:rsidRPr="00AA4AED">
              <w:t>3</w:t>
            </w:r>
          </w:p>
        </w:tc>
        <w:tc>
          <w:tcPr>
            <w:tcW w:w="1701" w:type="dxa"/>
            <w:tcBorders>
              <w:top w:val="single" w:sz="2" w:space="0" w:color="A7A9AB"/>
              <w:left w:val="nil"/>
              <w:bottom w:val="single" w:sz="2" w:space="0" w:color="A7A9AB"/>
              <w:right w:val="nil"/>
            </w:tcBorders>
            <w:vAlign w:val="center"/>
          </w:tcPr>
          <w:p w14:paraId="616B959F" w14:textId="4659925F" w:rsidR="009C4A23" w:rsidRPr="003F76A8" w:rsidRDefault="000F326D" w:rsidP="00F51716">
            <w:pPr>
              <w:pStyle w:val="Tabletext0"/>
            </w:pPr>
            <w:r w:rsidRPr="003F76A8">
              <w:t>0</w:t>
            </w:r>
          </w:p>
        </w:tc>
        <w:tc>
          <w:tcPr>
            <w:tcW w:w="1559" w:type="dxa"/>
            <w:tcBorders>
              <w:top w:val="single" w:sz="2" w:space="0" w:color="A7A9AB"/>
              <w:left w:val="nil"/>
              <w:bottom w:val="single" w:sz="2" w:space="0" w:color="A7A9AB"/>
              <w:right w:val="nil"/>
            </w:tcBorders>
            <w:vAlign w:val="center"/>
          </w:tcPr>
          <w:p w14:paraId="7757D318" w14:textId="75511ABA" w:rsidR="009C4A23" w:rsidRPr="00264034" w:rsidRDefault="000F326D" w:rsidP="00F51716">
            <w:pPr>
              <w:pStyle w:val="Tabletext0"/>
            </w:pPr>
            <w:r w:rsidRPr="00264034">
              <w:t>1</w:t>
            </w:r>
          </w:p>
        </w:tc>
      </w:tr>
      <w:tr w:rsidR="009C4A23" w14:paraId="22B05D7F" w14:textId="77777777" w:rsidTr="00264034">
        <w:trPr>
          <w:trHeight w:val="411"/>
        </w:trPr>
        <w:tc>
          <w:tcPr>
            <w:tcW w:w="4678" w:type="dxa"/>
            <w:tcBorders>
              <w:top w:val="single" w:sz="2" w:space="0" w:color="A7A9AB"/>
              <w:left w:val="nil"/>
              <w:bottom w:val="single" w:sz="2" w:space="0" w:color="A7A9AB"/>
              <w:right w:val="nil"/>
            </w:tcBorders>
            <w:vAlign w:val="center"/>
          </w:tcPr>
          <w:p w14:paraId="5CB44760" w14:textId="77777777" w:rsidR="009C4A23" w:rsidRPr="00FF14AA" w:rsidRDefault="009C4A23" w:rsidP="00F51716">
            <w:pPr>
              <w:pStyle w:val="Tabletext0"/>
            </w:pPr>
            <w:r w:rsidRPr="00FF14AA">
              <w:t xml:space="preserve">Leave without pay </w:t>
            </w:r>
          </w:p>
        </w:tc>
        <w:tc>
          <w:tcPr>
            <w:tcW w:w="1418" w:type="dxa"/>
            <w:tcBorders>
              <w:top w:val="single" w:sz="2" w:space="0" w:color="A7A9AB"/>
              <w:left w:val="nil"/>
              <w:bottom w:val="single" w:sz="2" w:space="0" w:color="A7A9AB"/>
              <w:right w:val="nil"/>
            </w:tcBorders>
            <w:vAlign w:val="center"/>
          </w:tcPr>
          <w:p w14:paraId="0B232098" w14:textId="437B5811" w:rsidR="009C4A23" w:rsidRPr="00AA4AED" w:rsidRDefault="000F326D" w:rsidP="00F51716">
            <w:pPr>
              <w:pStyle w:val="Tabletext0"/>
            </w:pPr>
            <w:r w:rsidRPr="00AA4AED">
              <w:t>0</w:t>
            </w:r>
          </w:p>
        </w:tc>
        <w:tc>
          <w:tcPr>
            <w:tcW w:w="1701" w:type="dxa"/>
            <w:tcBorders>
              <w:top w:val="single" w:sz="2" w:space="0" w:color="A7A9AB"/>
              <w:left w:val="nil"/>
              <w:bottom w:val="single" w:sz="2" w:space="0" w:color="A7A9AB"/>
              <w:right w:val="nil"/>
            </w:tcBorders>
            <w:vAlign w:val="center"/>
          </w:tcPr>
          <w:p w14:paraId="5DA61E37" w14:textId="77777777" w:rsidR="009C4A23" w:rsidRPr="003F76A8" w:rsidRDefault="009C4A23" w:rsidP="00F51716">
            <w:pPr>
              <w:pStyle w:val="Tabletext0"/>
            </w:pPr>
            <w:r w:rsidRPr="003F76A8">
              <w:t>0</w:t>
            </w:r>
          </w:p>
        </w:tc>
        <w:tc>
          <w:tcPr>
            <w:tcW w:w="1559" w:type="dxa"/>
            <w:tcBorders>
              <w:top w:val="single" w:sz="2" w:space="0" w:color="A7A9AB"/>
              <w:left w:val="nil"/>
              <w:bottom w:val="single" w:sz="2" w:space="0" w:color="A7A9AB"/>
              <w:right w:val="nil"/>
            </w:tcBorders>
            <w:vAlign w:val="center"/>
          </w:tcPr>
          <w:p w14:paraId="48E20A42" w14:textId="77777777" w:rsidR="009C4A23" w:rsidRPr="00264034" w:rsidRDefault="009C4A23" w:rsidP="00F51716">
            <w:pPr>
              <w:pStyle w:val="Tabletext0"/>
            </w:pPr>
            <w:r w:rsidRPr="00264034">
              <w:t>0</w:t>
            </w:r>
          </w:p>
        </w:tc>
      </w:tr>
      <w:tr w:rsidR="009C4A23" w14:paraId="6DAE16E4" w14:textId="77777777" w:rsidTr="00264034">
        <w:trPr>
          <w:trHeight w:val="411"/>
        </w:trPr>
        <w:tc>
          <w:tcPr>
            <w:tcW w:w="4678" w:type="dxa"/>
            <w:tcBorders>
              <w:top w:val="single" w:sz="2" w:space="0" w:color="A7A9AB"/>
              <w:left w:val="nil"/>
              <w:bottom w:val="single" w:sz="2" w:space="0" w:color="A7A9AB"/>
              <w:right w:val="nil"/>
            </w:tcBorders>
            <w:vAlign w:val="center"/>
          </w:tcPr>
          <w:p w14:paraId="62FF8A9B" w14:textId="2860B641" w:rsidR="009C4A23" w:rsidRPr="00FF14AA" w:rsidRDefault="009C4A23" w:rsidP="00F51716">
            <w:pPr>
              <w:pStyle w:val="Tabletext0"/>
            </w:pPr>
            <w:r w:rsidRPr="00FF14AA">
              <w:t>Long</w:t>
            </w:r>
            <w:r w:rsidR="008173C3">
              <w:t>-</w:t>
            </w:r>
            <w:r w:rsidRPr="00FF14AA">
              <w:t xml:space="preserve">term acting arrangements </w:t>
            </w:r>
          </w:p>
        </w:tc>
        <w:tc>
          <w:tcPr>
            <w:tcW w:w="1418" w:type="dxa"/>
            <w:tcBorders>
              <w:top w:val="single" w:sz="2" w:space="0" w:color="A7A9AB"/>
              <w:left w:val="nil"/>
              <w:bottom w:val="single" w:sz="2" w:space="0" w:color="A7A9AB"/>
              <w:right w:val="nil"/>
            </w:tcBorders>
            <w:vAlign w:val="center"/>
          </w:tcPr>
          <w:p w14:paraId="0075425D" w14:textId="60DC153D" w:rsidR="009C4A23" w:rsidRPr="00AA4AED" w:rsidRDefault="00C1BE3E" w:rsidP="00F51716">
            <w:pPr>
              <w:pStyle w:val="Tabletext0"/>
            </w:pPr>
            <w:r w:rsidRPr="00AA4AED">
              <w:t>2</w:t>
            </w:r>
          </w:p>
        </w:tc>
        <w:tc>
          <w:tcPr>
            <w:tcW w:w="1701" w:type="dxa"/>
            <w:tcBorders>
              <w:top w:val="single" w:sz="2" w:space="0" w:color="A7A9AB"/>
              <w:left w:val="nil"/>
              <w:bottom w:val="single" w:sz="2" w:space="0" w:color="A7A9AB"/>
              <w:right w:val="nil"/>
            </w:tcBorders>
            <w:vAlign w:val="center"/>
          </w:tcPr>
          <w:p w14:paraId="2D7FAC66" w14:textId="6CDE8E05" w:rsidR="009C4A23" w:rsidRPr="003F76A8" w:rsidRDefault="000F326D" w:rsidP="00F51716">
            <w:pPr>
              <w:pStyle w:val="Tabletext0"/>
            </w:pPr>
            <w:r w:rsidRPr="003F76A8">
              <w:t>0</w:t>
            </w:r>
          </w:p>
        </w:tc>
        <w:tc>
          <w:tcPr>
            <w:tcW w:w="1559" w:type="dxa"/>
            <w:tcBorders>
              <w:top w:val="single" w:sz="2" w:space="0" w:color="A7A9AB"/>
              <w:left w:val="nil"/>
              <w:bottom w:val="single" w:sz="2" w:space="0" w:color="A7A9AB"/>
              <w:right w:val="nil"/>
            </w:tcBorders>
            <w:vAlign w:val="center"/>
          </w:tcPr>
          <w:p w14:paraId="16058AE4" w14:textId="30FB3F8B" w:rsidR="009C4A23" w:rsidRPr="00264034" w:rsidRDefault="000F326D" w:rsidP="00F51716">
            <w:pPr>
              <w:pStyle w:val="Tabletext0"/>
            </w:pPr>
            <w:r w:rsidRPr="00264034">
              <w:t>1</w:t>
            </w:r>
          </w:p>
        </w:tc>
      </w:tr>
      <w:tr w:rsidR="009C4A23" w:rsidRPr="00264034" w14:paraId="38C579AF" w14:textId="77777777" w:rsidTr="00264034">
        <w:trPr>
          <w:trHeight w:val="411"/>
        </w:trPr>
        <w:tc>
          <w:tcPr>
            <w:tcW w:w="4678" w:type="dxa"/>
            <w:tcBorders>
              <w:top w:val="single" w:sz="2" w:space="0" w:color="A7A9AB"/>
              <w:left w:val="nil"/>
              <w:bottom w:val="single" w:sz="2" w:space="0" w:color="A7A9AB"/>
              <w:right w:val="nil"/>
            </w:tcBorders>
            <w:shd w:val="clear" w:color="auto" w:fill="E4E4E5" w:themeFill="text2" w:themeFillTint="66"/>
            <w:vAlign w:val="center"/>
          </w:tcPr>
          <w:p w14:paraId="4AB12B04" w14:textId="77777777" w:rsidR="009C4A23" w:rsidRPr="00264034" w:rsidRDefault="009C4A23" w:rsidP="00F51716">
            <w:pPr>
              <w:pStyle w:val="Tabletext0"/>
            </w:pPr>
            <w:r w:rsidRPr="00264034">
              <w:t xml:space="preserve">Total executive numbers at 30 June </w:t>
            </w:r>
          </w:p>
        </w:tc>
        <w:tc>
          <w:tcPr>
            <w:tcW w:w="1418" w:type="dxa"/>
            <w:tcBorders>
              <w:top w:val="single" w:sz="2" w:space="0" w:color="A7A9AB"/>
              <w:left w:val="nil"/>
              <w:bottom w:val="single" w:sz="2" w:space="0" w:color="A7A9AB"/>
              <w:right w:val="nil"/>
            </w:tcBorders>
            <w:shd w:val="clear" w:color="auto" w:fill="E4E4E5" w:themeFill="text2" w:themeFillTint="66"/>
            <w:vAlign w:val="center"/>
          </w:tcPr>
          <w:p w14:paraId="09CC1631" w14:textId="1967EB98" w:rsidR="009C4A23" w:rsidRPr="00AA4AED" w:rsidRDefault="00C1BE3E" w:rsidP="00F51716">
            <w:pPr>
              <w:pStyle w:val="Tabletext0"/>
            </w:pPr>
            <w:r w:rsidRPr="00AA4AED">
              <w:t>7</w:t>
            </w:r>
          </w:p>
        </w:tc>
        <w:tc>
          <w:tcPr>
            <w:tcW w:w="1701" w:type="dxa"/>
            <w:tcBorders>
              <w:top w:val="single" w:sz="2" w:space="0" w:color="A7A9AB"/>
              <w:left w:val="nil"/>
              <w:bottom w:val="single" w:sz="2" w:space="0" w:color="A7A9AB"/>
              <w:right w:val="nil"/>
            </w:tcBorders>
            <w:shd w:val="clear" w:color="auto" w:fill="E4E4E5" w:themeFill="text2" w:themeFillTint="66"/>
            <w:vAlign w:val="center"/>
          </w:tcPr>
          <w:p w14:paraId="757C1231" w14:textId="31C1765D" w:rsidR="009C4A23" w:rsidRPr="00264034" w:rsidRDefault="000F326D" w:rsidP="00F51716">
            <w:pPr>
              <w:pStyle w:val="Tabletext0"/>
            </w:pPr>
            <w:r w:rsidRPr="00264034">
              <w:t>7</w:t>
            </w:r>
          </w:p>
        </w:tc>
        <w:tc>
          <w:tcPr>
            <w:tcW w:w="1559" w:type="dxa"/>
            <w:tcBorders>
              <w:top w:val="single" w:sz="2" w:space="0" w:color="A7A9AB"/>
              <w:left w:val="nil"/>
              <w:bottom w:val="single" w:sz="2" w:space="0" w:color="A7A9AB"/>
              <w:right w:val="nil"/>
            </w:tcBorders>
            <w:shd w:val="clear" w:color="auto" w:fill="E4E4E5" w:themeFill="text2" w:themeFillTint="66"/>
            <w:vAlign w:val="center"/>
          </w:tcPr>
          <w:p w14:paraId="33D2CB13" w14:textId="65E69078" w:rsidR="009C4A23" w:rsidRPr="00264034" w:rsidRDefault="000F326D" w:rsidP="00F51716">
            <w:pPr>
              <w:pStyle w:val="Tabletext0"/>
            </w:pPr>
            <w:r w:rsidRPr="00264034">
              <w:t>4</w:t>
            </w:r>
          </w:p>
        </w:tc>
      </w:tr>
    </w:tbl>
    <w:p w14:paraId="69BDF976" w14:textId="77777777" w:rsidR="009C4A23" w:rsidRDefault="009C4A23" w:rsidP="00F51716">
      <w:r>
        <w:br w:type="page"/>
      </w:r>
    </w:p>
    <w:p w14:paraId="0BD435E1" w14:textId="46F3403B" w:rsidR="00A12531" w:rsidRDefault="00A12531" w:rsidP="00F51716">
      <w:pPr>
        <w:pStyle w:val="Heading1"/>
      </w:pPr>
      <w:bookmarkStart w:id="93" w:name="_Toc56627342"/>
      <w:bookmarkStart w:id="94" w:name="_Toc57039877"/>
      <w:bookmarkStart w:id="95" w:name="_Toc59624212"/>
      <w:r w:rsidRPr="00A12531">
        <w:t xml:space="preserve">Other </w:t>
      </w:r>
      <w:r w:rsidR="00801DD3">
        <w:t>d</w:t>
      </w:r>
      <w:r w:rsidRPr="00A12531">
        <w:t>isclosures</w:t>
      </w:r>
      <w:bookmarkEnd w:id="93"/>
      <w:bookmarkEnd w:id="94"/>
      <w:bookmarkEnd w:id="95"/>
    </w:p>
    <w:p w14:paraId="741F4672" w14:textId="04A9EC68" w:rsidR="00A12531" w:rsidRPr="00150EA8" w:rsidRDefault="00A12531" w:rsidP="00F51716">
      <w:pPr>
        <w:pStyle w:val="Heading2"/>
      </w:pPr>
      <w:bookmarkStart w:id="96" w:name="_Toc56627343"/>
      <w:bookmarkStart w:id="97" w:name="_Toc57039878"/>
      <w:bookmarkStart w:id="98" w:name="_Toc59624213"/>
      <w:r w:rsidRPr="00150EA8">
        <w:t>Local Jobs First</w:t>
      </w:r>
      <w:bookmarkEnd w:id="96"/>
      <w:bookmarkEnd w:id="97"/>
      <w:bookmarkEnd w:id="98"/>
    </w:p>
    <w:p w14:paraId="25F2ED73" w14:textId="05DEF30E" w:rsidR="00CE2975" w:rsidRPr="00AF6B06" w:rsidRDefault="00CE2975" w:rsidP="00F51716">
      <w:r w:rsidRPr="00AF6B06">
        <w:t xml:space="preserve">The </w:t>
      </w:r>
      <w:r w:rsidRPr="00AF6B06">
        <w:rPr>
          <w:i/>
        </w:rPr>
        <w:t>Local Jobs First</w:t>
      </w:r>
      <w:r w:rsidRPr="00AF6B06">
        <w:t xml:space="preserve"> </w:t>
      </w:r>
      <w:r w:rsidRPr="00AF6B06">
        <w:rPr>
          <w:i/>
        </w:rPr>
        <w:t xml:space="preserve">Act 2003 </w:t>
      </w:r>
      <w:r w:rsidRPr="00AF6B06">
        <w:t>introduced in August 2018 brings together the Victorian Industry Participation Policy (VIPP) and Major Project Skills Guarantee (MPSG) policy which were previously administered separately.</w:t>
      </w:r>
    </w:p>
    <w:p w14:paraId="738C2C84" w14:textId="2238E444" w:rsidR="00CE2975" w:rsidRPr="00AF6B06" w:rsidRDefault="00CE2975" w:rsidP="00F51716">
      <w:r w:rsidRPr="00AF6B06">
        <w:t>Departments and public sector bodies are required to apply the Local Job</w:t>
      </w:r>
      <w:r w:rsidR="00AA4AED">
        <w:t>s</w:t>
      </w:r>
      <w:r w:rsidRPr="00AF6B06">
        <w:t xml:space="preserve"> First policy in all projects valued at $3 million or more in metropolitan Melbourne or for statewide projects, or $1 million or more for projects in regional Victoria.</w:t>
      </w:r>
    </w:p>
    <w:p w14:paraId="6394B8B1" w14:textId="77777777" w:rsidR="00CE2975" w:rsidRPr="00AF6B06" w:rsidRDefault="00CE2975" w:rsidP="00F51716">
      <w:r w:rsidRPr="00AF6B06">
        <w:t>MPSG applies to all construction projects valued at $20 million or more.</w:t>
      </w:r>
    </w:p>
    <w:p w14:paraId="5B7E3823" w14:textId="25A0D29C" w:rsidR="00CE2975" w:rsidRPr="00AF6B06" w:rsidRDefault="00CE2975" w:rsidP="00F51716">
      <w:r w:rsidRPr="00AF6B06">
        <w:t xml:space="preserve">The MPSG guidelines and VIPP guidelines will continue to apply to MPSG applicable and VIPP applicable projects respectively where contracts have been entered </w:t>
      </w:r>
      <w:r w:rsidR="00AA4AED">
        <w:t xml:space="preserve">into before </w:t>
      </w:r>
      <w:r w:rsidRPr="00AF6B06">
        <w:t>15</w:t>
      </w:r>
      <w:r w:rsidR="00AA4AED">
        <w:t> </w:t>
      </w:r>
      <w:r w:rsidRPr="00AF6B06">
        <w:t>August</w:t>
      </w:r>
      <w:r w:rsidR="00AA4AED">
        <w:t> </w:t>
      </w:r>
      <w:r w:rsidRPr="00AF6B06">
        <w:t>2018.</w:t>
      </w:r>
    </w:p>
    <w:p w14:paraId="14695C8F" w14:textId="25BC7A9F" w:rsidR="00CE2975" w:rsidRPr="00B852D6" w:rsidRDefault="00CE2975" w:rsidP="009C0026">
      <w:pPr>
        <w:pStyle w:val="Heading3"/>
      </w:pPr>
      <w:bookmarkStart w:id="99" w:name="_Hlk43988184"/>
      <w:r w:rsidRPr="00B852D6">
        <w:t xml:space="preserve">Projects </w:t>
      </w:r>
      <w:r w:rsidR="00AA4AED">
        <w:t>c</w:t>
      </w:r>
      <w:r w:rsidRPr="00B852D6">
        <w:t>ommenced – Local Jobs First Standard</w:t>
      </w:r>
    </w:p>
    <w:p w14:paraId="1001805D" w14:textId="63A6F810" w:rsidR="00B852D6" w:rsidRPr="00892DE3" w:rsidRDefault="00AA4AED" w:rsidP="00F51716">
      <w:r>
        <w:rPr>
          <w:rFonts w:cstheme="minorHAnsi"/>
          <w:szCs w:val="19"/>
        </w:rPr>
        <w:t>In</w:t>
      </w:r>
      <w:r w:rsidRPr="00B852D6">
        <w:rPr>
          <w:rFonts w:cstheme="minorHAnsi"/>
          <w:szCs w:val="19"/>
        </w:rPr>
        <w:t xml:space="preserve"> </w:t>
      </w:r>
      <w:r w:rsidR="005D5DBE">
        <w:rPr>
          <w:rFonts w:cstheme="minorHAnsi"/>
          <w:szCs w:val="19"/>
        </w:rPr>
        <w:t>2019–20</w:t>
      </w:r>
      <w:r w:rsidR="00CE2975" w:rsidRPr="00B852D6">
        <w:rPr>
          <w:rFonts w:cstheme="minorHAnsi"/>
          <w:szCs w:val="19"/>
        </w:rPr>
        <w:t xml:space="preserve">, we </w:t>
      </w:r>
      <w:r w:rsidR="00801DD3">
        <w:rPr>
          <w:rFonts w:cstheme="minorHAnsi"/>
          <w:szCs w:val="19"/>
        </w:rPr>
        <w:t>start</w:t>
      </w:r>
      <w:r w:rsidR="00801DD3" w:rsidRPr="00B852D6">
        <w:rPr>
          <w:rFonts w:cstheme="minorHAnsi"/>
          <w:szCs w:val="19"/>
        </w:rPr>
        <w:t>e</w:t>
      </w:r>
      <w:r w:rsidR="00801DD3">
        <w:rPr>
          <w:rFonts w:cstheme="minorHAnsi"/>
          <w:szCs w:val="19"/>
        </w:rPr>
        <w:t xml:space="preserve">d </w:t>
      </w:r>
      <w:r w:rsidR="00413545">
        <w:rPr>
          <w:rFonts w:cstheme="minorHAnsi"/>
          <w:szCs w:val="19"/>
        </w:rPr>
        <w:t>one</w:t>
      </w:r>
      <w:r w:rsidR="00CE2975" w:rsidRPr="00B852D6">
        <w:rPr>
          <w:rFonts w:cstheme="minorHAnsi"/>
          <w:szCs w:val="19"/>
        </w:rPr>
        <w:t xml:space="preserve"> Local Jobs First Standard project</w:t>
      </w:r>
      <w:r w:rsidR="00413545">
        <w:rPr>
          <w:rFonts w:cstheme="minorHAnsi"/>
          <w:szCs w:val="19"/>
        </w:rPr>
        <w:t xml:space="preserve"> totalling $</w:t>
      </w:r>
      <w:r w:rsidR="00B852D6">
        <w:rPr>
          <w:rFonts w:cstheme="minorHAnsi"/>
          <w:szCs w:val="19"/>
        </w:rPr>
        <w:t>8</w:t>
      </w:r>
      <w:r w:rsidR="000C241B">
        <w:rPr>
          <w:rFonts w:cstheme="minorHAnsi"/>
          <w:szCs w:val="19"/>
        </w:rPr>
        <w:t xml:space="preserve"> million</w:t>
      </w:r>
      <w:r w:rsidR="00D644E9">
        <w:rPr>
          <w:rFonts w:cstheme="minorHAnsi"/>
          <w:szCs w:val="19"/>
        </w:rPr>
        <w:t xml:space="preserve"> over three years</w:t>
      </w:r>
      <w:r w:rsidR="00CE2975" w:rsidRPr="00B852D6">
        <w:rPr>
          <w:rFonts w:cstheme="minorHAnsi"/>
          <w:szCs w:val="19"/>
        </w:rPr>
        <w:t>.</w:t>
      </w:r>
      <w:r w:rsidR="00413545">
        <w:rPr>
          <w:rFonts w:cstheme="minorHAnsi"/>
          <w:szCs w:val="19"/>
        </w:rPr>
        <w:t xml:space="preserve"> </w:t>
      </w:r>
      <w:r w:rsidR="00B852D6" w:rsidRPr="00892DE3">
        <w:t xml:space="preserve">The outcomes expected from the implementation of the </w:t>
      </w:r>
      <w:r w:rsidR="00B852D6">
        <w:t>Local Jobs First–</w:t>
      </w:r>
      <w:r w:rsidR="00B852D6" w:rsidRPr="00892DE3">
        <w:t>VIPP to th</w:t>
      </w:r>
      <w:r w:rsidR="00B852D6">
        <w:t>is</w:t>
      </w:r>
      <w:r w:rsidR="00B852D6" w:rsidRPr="00892DE3">
        <w:t xml:space="preserve"> project where information was provided are as follows:</w:t>
      </w:r>
    </w:p>
    <w:p w14:paraId="24A63851" w14:textId="17876DC2" w:rsidR="00B852D6" w:rsidRPr="005404C3" w:rsidRDefault="00B852D6" w:rsidP="00F51716">
      <w:pPr>
        <w:pStyle w:val="ListBullet"/>
      </w:pPr>
      <w:r w:rsidRPr="005404C3">
        <w:t>94 per cent of local content commitment was made</w:t>
      </w:r>
    </w:p>
    <w:p w14:paraId="17CB4EAD" w14:textId="77777777" w:rsidR="00B852D6" w:rsidRPr="005404C3" w:rsidRDefault="00B852D6" w:rsidP="00F51716">
      <w:pPr>
        <w:pStyle w:val="ListBullet"/>
      </w:pPr>
      <w:r w:rsidRPr="005404C3">
        <w:t>a total of 5.68 jobs AEE (annualised employee equivalent) were committed, including the creation of 3.16 new jobs AEE and the retention of 2.52 existing jobs AEE.</w:t>
      </w:r>
    </w:p>
    <w:p w14:paraId="24C30996" w14:textId="77777777" w:rsidR="00CE2975" w:rsidRPr="00B852D6" w:rsidRDefault="00CE2975" w:rsidP="009C0026">
      <w:pPr>
        <w:pStyle w:val="Heading3"/>
      </w:pPr>
      <w:r w:rsidRPr="00B852D6">
        <w:t>Projects completed – Local Jobs First Standard</w:t>
      </w:r>
    </w:p>
    <w:p w14:paraId="4E680601" w14:textId="768BAFBD" w:rsidR="00A12531" w:rsidRPr="00B852D6" w:rsidRDefault="00AA4AED" w:rsidP="00F51716">
      <w:r>
        <w:t>In</w:t>
      </w:r>
      <w:r w:rsidRPr="00B852D6">
        <w:t xml:space="preserve"> </w:t>
      </w:r>
      <w:r w:rsidR="005D5DBE">
        <w:t>2019–20</w:t>
      </w:r>
      <w:r w:rsidR="00CE2975" w:rsidRPr="00B852D6">
        <w:t>, we did not complete any Local Jobs First Standard projects.</w:t>
      </w:r>
    </w:p>
    <w:p w14:paraId="5389F36B" w14:textId="77777777" w:rsidR="00CE2975" w:rsidRPr="00B852D6" w:rsidRDefault="00CE2975" w:rsidP="00F51716">
      <w:pPr>
        <w:pStyle w:val="Heading2"/>
      </w:pPr>
      <w:bookmarkStart w:id="100" w:name="_Toc56627344"/>
      <w:bookmarkStart w:id="101" w:name="_Toc57039879"/>
      <w:bookmarkStart w:id="102" w:name="_Toc59624214"/>
      <w:bookmarkEnd w:id="99"/>
      <w:r w:rsidRPr="00B852D6">
        <w:t>Reporting requirements – grants</w:t>
      </w:r>
      <w:bookmarkEnd w:id="100"/>
      <w:bookmarkEnd w:id="101"/>
      <w:bookmarkEnd w:id="102"/>
    </w:p>
    <w:p w14:paraId="6E4C3B9E" w14:textId="5D8BEBC7" w:rsidR="00CE2975" w:rsidRPr="00AF6B06" w:rsidRDefault="00CE2975" w:rsidP="00F51716">
      <w:r w:rsidRPr="00B852D6">
        <w:t xml:space="preserve">For grants provided during </w:t>
      </w:r>
      <w:r w:rsidR="005D5DBE">
        <w:t>2019–20</w:t>
      </w:r>
      <w:r w:rsidRPr="00B852D6">
        <w:t xml:space="preserve">, </w:t>
      </w:r>
      <w:r w:rsidR="00C05780" w:rsidRPr="00B852D6">
        <w:t>nil</w:t>
      </w:r>
      <w:r w:rsidRPr="00B852D6">
        <w:t xml:space="preserve"> interaction reference numbers</w:t>
      </w:r>
      <w:r w:rsidR="00C05780" w:rsidRPr="00B852D6">
        <w:t xml:space="preserve"> from Industry Capability Network (Victoria) Ltd </w:t>
      </w:r>
      <w:r w:rsidRPr="00B852D6">
        <w:t>were required</w:t>
      </w:r>
      <w:r w:rsidR="00C05780" w:rsidRPr="00B852D6">
        <w:t>.</w:t>
      </w:r>
    </w:p>
    <w:p w14:paraId="5AC6CBA6" w14:textId="40A19643" w:rsidR="00A12531" w:rsidRPr="00035D74" w:rsidRDefault="00A12531" w:rsidP="00F51716">
      <w:pPr>
        <w:pStyle w:val="Heading2"/>
      </w:pPr>
      <w:bookmarkStart w:id="103" w:name="_Toc56627345"/>
      <w:bookmarkStart w:id="104" w:name="_Toc57039880"/>
      <w:bookmarkStart w:id="105" w:name="_Toc59624215"/>
      <w:r w:rsidRPr="00150EA8">
        <w:t>Government advertising expenditure</w:t>
      </w:r>
      <w:bookmarkEnd w:id="103"/>
      <w:bookmarkEnd w:id="104"/>
      <w:bookmarkEnd w:id="105"/>
    </w:p>
    <w:p w14:paraId="3CAD0E6A" w14:textId="789C968F" w:rsidR="00AA4AED" w:rsidRDefault="009C4A23" w:rsidP="00F51716">
      <w:r w:rsidRPr="00EA1576">
        <w:t xml:space="preserve">In </w:t>
      </w:r>
      <w:r w:rsidR="005D5DBE">
        <w:t>2019–20</w:t>
      </w:r>
      <w:r w:rsidR="00AA4AED">
        <w:t>,</w:t>
      </w:r>
      <w:r w:rsidR="00B4592F" w:rsidRPr="00EA1576">
        <w:t xml:space="preserve"> </w:t>
      </w:r>
      <w:r w:rsidRPr="00EA1576">
        <w:t xml:space="preserve">SV </w:t>
      </w:r>
      <w:r w:rsidR="00B4592F" w:rsidRPr="00EA1576">
        <w:t>delivered only one</w:t>
      </w:r>
      <w:r w:rsidRPr="00EA1576">
        <w:t xml:space="preserve"> </w:t>
      </w:r>
      <w:bookmarkStart w:id="106" w:name="_Hlk47969181"/>
      <w:r w:rsidRPr="00EA1576">
        <w:t>government advertising campaign with a total media spend of $100,000 or greater (exclusive of GST).</w:t>
      </w:r>
      <w:r w:rsidR="00B4592F" w:rsidRPr="00EA1576">
        <w:t xml:space="preserve"> </w:t>
      </w:r>
      <w:r w:rsidR="00AA4AED">
        <w:t xml:space="preserve">The </w:t>
      </w:r>
      <w:r w:rsidR="00B4592F" w:rsidRPr="00AA4AED">
        <w:t xml:space="preserve">Know Your Recycling </w:t>
      </w:r>
      <w:r w:rsidR="00B4592F" w:rsidRPr="00EA1576">
        <w:t>campaign had $450,000 advertising spend from 24</w:t>
      </w:r>
      <w:r w:rsidR="007536F1">
        <w:t> </w:t>
      </w:r>
      <w:r w:rsidR="00B4592F" w:rsidRPr="00EA1576">
        <w:t>May</w:t>
      </w:r>
      <w:r w:rsidR="00AA4AED">
        <w:t xml:space="preserve"> to </w:t>
      </w:r>
      <w:r w:rsidR="00B4592F" w:rsidRPr="00EA1576">
        <w:t>30</w:t>
      </w:r>
      <w:r w:rsidR="007536F1">
        <w:t> </w:t>
      </w:r>
      <w:r w:rsidR="00B4592F" w:rsidRPr="00EA1576">
        <w:t>June</w:t>
      </w:r>
      <w:r w:rsidR="007536F1">
        <w:t> </w:t>
      </w:r>
      <w:r w:rsidR="00AA4AED">
        <w:t>2020</w:t>
      </w:r>
      <w:r w:rsidR="00B4592F" w:rsidRPr="00EA1576">
        <w:t xml:space="preserve">. </w:t>
      </w:r>
    </w:p>
    <w:p w14:paraId="2D2219CB" w14:textId="137A1D0E" w:rsidR="00EA1576" w:rsidRPr="00EA1576" w:rsidRDefault="00EA1576" w:rsidP="00F51716">
      <w:r w:rsidRPr="00EA1576">
        <w:t>Based on behaviour change theory, social research and consultation with councils and the recycling industry, the campaign messaging provides general recycling information to all Victorians, as well as targeting specific audiences with relevant information about key contaminants. The Know Your Recycling campaign will prime the Victorian public for larger upcoming changes to kerbside services by encouraging people to start small and put the right thing in their recycling bins. The campaign includes state</w:t>
      </w:r>
      <w:r w:rsidR="00737453">
        <w:t>wide</w:t>
      </w:r>
      <w:r w:rsidRPr="00EA1576">
        <w:t xml:space="preserve"> advertising, media and promotion, a new recycling information website and support for local councils to deliver the messaging across Victoria.</w:t>
      </w:r>
    </w:p>
    <w:p w14:paraId="0F41BC1F" w14:textId="77777777" w:rsidR="00AA4AED" w:rsidRDefault="00AA4AED" w:rsidP="00F51716">
      <w:pPr>
        <w:rPr>
          <w:rFonts w:asciiTheme="majorHAnsi" w:eastAsiaTheme="majorEastAsia" w:hAnsiTheme="majorHAnsi" w:cstheme="majorBidi"/>
          <w:color w:val="4F7928" w:themeColor="accent4" w:themeShade="BF"/>
          <w:sz w:val="32"/>
          <w:szCs w:val="32"/>
        </w:rPr>
      </w:pPr>
      <w:bookmarkStart w:id="107" w:name="_Toc56627346"/>
      <w:bookmarkStart w:id="108" w:name="_Toc57039881"/>
      <w:bookmarkEnd w:id="106"/>
      <w:r>
        <w:br w:type="page"/>
      </w:r>
    </w:p>
    <w:p w14:paraId="03D364E0" w14:textId="79DC309C" w:rsidR="00A12531" w:rsidRPr="00150EA8" w:rsidRDefault="00A12531" w:rsidP="00F51716">
      <w:pPr>
        <w:pStyle w:val="Heading2"/>
      </w:pPr>
      <w:bookmarkStart w:id="109" w:name="_Toc59624216"/>
      <w:r w:rsidRPr="00150EA8">
        <w:t>Consultancy expenditure</w:t>
      </w:r>
      <w:bookmarkEnd w:id="107"/>
      <w:bookmarkEnd w:id="108"/>
      <w:bookmarkEnd w:id="109"/>
    </w:p>
    <w:p w14:paraId="4D36780E" w14:textId="5148F991" w:rsidR="00AA4AED" w:rsidRDefault="007D7A36" w:rsidP="00F51716">
      <w:r w:rsidRPr="00483DB2">
        <w:t xml:space="preserve">In </w:t>
      </w:r>
      <w:r w:rsidR="005D5DBE">
        <w:t>2019–20</w:t>
      </w:r>
      <w:r w:rsidRPr="00483DB2">
        <w:t>, there were 16 consultancies costing in excess of $10,000 at a total cost of $985,908.60 (ex</w:t>
      </w:r>
      <w:r w:rsidR="00AA4AED">
        <w:t>cl.</w:t>
      </w:r>
      <w:r w:rsidRPr="00483DB2">
        <w:t xml:space="preserve"> GST). Details of </w:t>
      </w:r>
      <w:r w:rsidR="005D5DBE">
        <w:t>2019–20</w:t>
      </w:r>
      <w:r w:rsidRPr="00483DB2">
        <w:t xml:space="preserve"> individual consultancies</w:t>
      </w:r>
      <w:bookmarkStart w:id="110" w:name="_Hlk57545134"/>
      <w:r w:rsidRPr="00483DB2">
        <w:t xml:space="preserve"> are </w:t>
      </w:r>
      <w:r w:rsidR="00CF3851">
        <w:t xml:space="preserve">listed in </w:t>
      </w:r>
      <w:r w:rsidR="00CF3851">
        <w:fldChar w:fldCharType="begin"/>
      </w:r>
      <w:r w:rsidR="00CF3851">
        <w:instrText xml:space="preserve"> REF _Ref57545112 \h </w:instrText>
      </w:r>
      <w:r w:rsidR="00CF3851">
        <w:fldChar w:fldCharType="separate"/>
      </w:r>
      <w:r w:rsidR="00CF3851">
        <w:t xml:space="preserve">Table </w:t>
      </w:r>
      <w:r w:rsidR="00CF3851">
        <w:rPr>
          <w:noProof/>
        </w:rPr>
        <w:t>31</w:t>
      </w:r>
      <w:r w:rsidR="00CF3851">
        <w:fldChar w:fldCharType="end"/>
      </w:r>
      <w:r w:rsidR="00CF3851">
        <w:t>.</w:t>
      </w:r>
      <w:bookmarkEnd w:id="110"/>
      <w:r w:rsidRPr="00483DB2">
        <w:t xml:space="preserve"> The details of all consultancies are made available on SV’s website through the publication of our </w:t>
      </w:r>
      <w:r w:rsidR="00801DD3" w:rsidRPr="00483DB2">
        <w:t>annual repor</w:t>
      </w:r>
      <w:r w:rsidRPr="00483DB2">
        <w:t>ts.</w:t>
      </w:r>
    </w:p>
    <w:p w14:paraId="697C533F" w14:textId="0B4DAF11" w:rsidR="00AA4AED" w:rsidRDefault="00AA4AED" w:rsidP="00F51716">
      <w:pPr>
        <w:pStyle w:val="Caption"/>
      </w:pPr>
      <w:bookmarkStart w:id="111" w:name="_Ref57545112"/>
      <w:r>
        <w:t xml:space="preserve">Table </w:t>
      </w:r>
      <w:fldSimple w:instr=" SEQ Table \* ARABIC ">
        <w:r w:rsidR="003F15CC">
          <w:rPr>
            <w:noProof/>
          </w:rPr>
          <w:t>31</w:t>
        </w:r>
      </w:fldSimple>
      <w:bookmarkEnd w:id="111"/>
      <w:r>
        <w:t>: Consultancies valued at $10,000 or greater</w:t>
      </w:r>
    </w:p>
    <w:tbl>
      <w:tblPr>
        <w:tblStyle w:val="TableGrid"/>
        <w:tblW w:w="11372" w:type="dxa"/>
        <w:tblInd w:w="-289" w:type="dxa"/>
        <w:tblLook w:val="04A0" w:firstRow="1" w:lastRow="0" w:firstColumn="1" w:lastColumn="0" w:noHBand="0" w:noVBand="1"/>
      </w:tblPr>
      <w:tblGrid>
        <w:gridCol w:w="926"/>
        <w:gridCol w:w="1449"/>
        <w:gridCol w:w="2729"/>
        <w:gridCol w:w="1171"/>
        <w:gridCol w:w="1171"/>
        <w:gridCol w:w="1283"/>
        <w:gridCol w:w="1283"/>
        <w:gridCol w:w="1360"/>
      </w:tblGrid>
      <w:tr w:rsidR="00AA4AED" w14:paraId="60B10D1A" w14:textId="717644C3" w:rsidTr="00CF3851">
        <w:trPr>
          <w:tblHeader/>
        </w:trPr>
        <w:tc>
          <w:tcPr>
            <w:tcW w:w="926" w:type="dxa"/>
            <w:shd w:val="clear" w:color="auto" w:fill="82C341" w:themeFill="accent1"/>
            <w:vAlign w:val="bottom"/>
          </w:tcPr>
          <w:p w14:paraId="2480FA98" w14:textId="24F95244" w:rsidR="00AA4AED" w:rsidRDefault="00AA4AED" w:rsidP="00F51716">
            <w:pPr>
              <w:pStyle w:val="Tabletext0"/>
            </w:pPr>
            <w:r w:rsidRPr="00801DD3">
              <w:t>Contract ID</w:t>
            </w:r>
          </w:p>
        </w:tc>
        <w:tc>
          <w:tcPr>
            <w:tcW w:w="1449" w:type="dxa"/>
            <w:shd w:val="clear" w:color="auto" w:fill="82C341" w:themeFill="accent1"/>
            <w:vAlign w:val="bottom"/>
          </w:tcPr>
          <w:p w14:paraId="031A686C" w14:textId="0BD5B54D" w:rsidR="00AA4AED" w:rsidRDefault="00AA4AED" w:rsidP="00F51716">
            <w:pPr>
              <w:pStyle w:val="Tabletext0"/>
            </w:pPr>
            <w:r w:rsidRPr="00801DD3">
              <w:t>Consultant</w:t>
            </w:r>
          </w:p>
        </w:tc>
        <w:tc>
          <w:tcPr>
            <w:tcW w:w="2729" w:type="dxa"/>
            <w:shd w:val="clear" w:color="auto" w:fill="82C341" w:themeFill="accent1"/>
            <w:vAlign w:val="bottom"/>
          </w:tcPr>
          <w:p w14:paraId="2724AA7D" w14:textId="20990019" w:rsidR="00AA4AED" w:rsidRDefault="00AA4AED" w:rsidP="00F51716">
            <w:pPr>
              <w:pStyle w:val="Tabletext0"/>
            </w:pPr>
            <w:r w:rsidRPr="00801DD3">
              <w:t>Title and description</w:t>
            </w:r>
          </w:p>
        </w:tc>
        <w:tc>
          <w:tcPr>
            <w:tcW w:w="1171" w:type="dxa"/>
            <w:shd w:val="clear" w:color="auto" w:fill="82C341" w:themeFill="accent1"/>
            <w:vAlign w:val="bottom"/>
          </w:tcPr>
          <w:p w14:paraId="44AD3A2E" w14:textId="28A5909B" w:rsidR="00AA4AED" w:rsidRDefault="00AA4AED" w:rsidP="00F51716">
            <w:pPr>
              <w:pStyle w:val="Tabletext0"/>
            </w:pPr>
            <w:r w:rsidRPr="00801DD3">
              <w:t>Start date</w:t>
            </w:r>
          </w:p>
        </w:tc>
        <w:tc>
          <w:tcPr>
            <w:tcW w:w="1171" w:type="dxa"/>
            <w:shd w:val="clear" w:color="auto" w:fill="82C341" w:themeFill="accent1"/>
            <w:vAlign w:val="bottom"/>
          </w:tcPr>
          <w:p w14:paraId="449DCD1A" w14:textId="72A955C2" w:rsidR="00AA4AED" w:rsidRDefault="00AA4AED" w:rsidP="00F51716">
            <w:pPr>
              <w:pStyle w:val="Tabletext0"/>
            </w:pPr>
            <w:r w:rsidRPr="00801DD3">
              <w:t>End date</w:t>
            </w:r>
          </w:p>
        </w:tc>
        <w:tc>
          <w:tcPr>
            <w:tcW w:w="1283" w:type="dxa"/>
            <w:shd w:val="clear" w:color="auto" w:fill="82C341" w:themeFill="accent1"/>
            <w:vAlign w:val="bottom"/>
          </w:tcPr>
          <w:p w14:paraId="74D248D7" w14:textId="654BF04E" w:rsidR="00AA4AED" w:rsidRDefault="00AA4AED" w:rsidP="00F51716">
            <w:pPr>
              <w:pStyle w:val="Tabletext0"/>
            </w:pPr>
            <w:r w:rsidRPr="00801DD3">
              <w:t>Total fees</w:t>
            </w:r>
          </w:p>
        </w:tc>
        <w:tc>
          <w:tcPr>
            <w:tcW w:w="1283" w:type="dxa"/>
            <w:shd w:val="clear" w:color="auto" w:fill="82C341" w:themeFill="accent1"/>
            <w:vAlign w:val="bottom"/>
          </w:tcPr>
          <w:p w14:paraId="42415D9C" w14:textId="2D4ED1DB" w:rsidR="00AA4AED" w:rsidRDefault="00AA4AED" w:rsidP="00F51716">
            <w:pPr>
              <w:pStyle w:val="Tabletext0"/>
            </w:pPr>
            <w:r w:rsidRPr="00801DD3">
              <w:t>Expenditure this year</w:t>
            </w:r>
          </w:p>
        </w:tc>
        <w:tc>
          <w:tcPr>
            <w:tcW w:w="1360" w:type="dxa"/>
            <w:shd w:val="clear" w:color="auto" w:fill="82C341" w:themeFill="accent1"/>
            <w:vAlign w:val="bottom"/>
          </w:tcPr>
          <w:p w14:paraId="13C507EC" w14:textId="43D57927" w:rsidR="00AA4AED" w:rsidRDefault="00AA4AED" w:rsidP="00F51716">
            <w:pPr>
              <w:pStyle w:val="Tabletext0"/>
            </w:pPr>
            <w:r w:rsidRPr="00801DD3">
              <w:t xml:space="preserve">Future commitments </w:t>
            </w:r>
          </w:p>
        </w:tc>
      </w:tr>
      <w:tr w:rsidR="00AA4AED" w14:paraId="4F34AE4A" w14:textId="5BB7811C" w:rsidTr="00CF3851">
        <w:tc>
          <w:tcPr>
            <w:tcW w:w="926" w:type="dxa"/>
          </w:tcPr>
          <w:p w14:paraId="035079B6" w14:textId="49DAA7C7" w:rsidR="00AA4AED" w:rsidRDefault="00AA4AED" w:rsidP="00F51716">
            <w:pPr>
              <w:pStyle w:val="Tabletext0"/>
            </w:pPr>
            <w:r>
              <w:t>C-11440</w:t>
            </w:r>
          </w:p>
        </w:tc>
        <w:tc>
          <w:tcPr>
            <w:tcW w:w="1449" w:type="dxa"/>
          </w:tcPr>
          <w:p w14:paraId="4159F7BC" w14:textId="64634A9E" w:rsidR="00AA4AED" w:rsidRDefault="00AA4AED" w:rsidP="00F51716">
            <w:pPr>
              <w:pStyle w:val="Tabletext0"/>
            </w:pPr>
            <w:r>
              <w:t>RPS Group</w:t>
            </w:r>
          </w:p>
        </w:tc>
        <w:tc>
          <w:tcPr>
            <w:tcW w:w="2729" w:type="dxa"/>
            <w:vAlign w:val="bottom"/>
          </w:tcPr>
          <w:p w14:paraId="3381BF1E" w14:textId="50327A9F" w:rsidR="00AA4AED" w:rsidRDefault="00AA4AED" w:rsidP="00F51716">
            <w:pPr>
              <w:pStyle w:val="Tabletext0"/>
            </w:pPr>
            <w:r w:rsidRPr="00255BA1">
              <w:t>To undertake a market analysis and material flow analysis of priority materials in the resource recovery sector across Victoria</w:t>
            </w:r>
          </w:p>
        </w:tc>
        <w:tc>
          <w:tcPr>
            <w:tcW w:w="1171" w:type="dxa"/>
          </w:tcPr>
          <w:p w14:paraId="138DA7E2" w14:textId="3B96FCD4" w:rsidR="00AA4AED" w:rsidRDefault="00AA4AED" w:rsidP="00F51716">
            <w:pPr>
              <w:pStyle w:val="Tabletext0"/>
            </w:pPr>
            <w:r>
              <w:t>26/7/2019</w:t>
            </w:r>
          </w:p>
        </w:tc>
        <w:tc>
          <w:tcPr>
            <w:tcW w:w="1171" w:type="dxa"/>
          </w:tcPr>
          <w:p w14:paraId="3C6E559B" w14:textId="2A6E2D67" w:rsidR="00AA4AED" w:rsidRDefault="00AA4AED" w:rsidP="00F51716">
            <w:pPr>
              <w:pStyle w:val="Tabletext0"/>
            </w:pPr>
            <w:r>
              <w:t>31/1/2020</w:t>
            </w:r>
          </w:p>
        </w:tc>
        <w:tc>
          <w:tcPr>
            <w:tcW w:w="1283" w:type="dxa"/>
          </w:tcPr>
          <w:p w14:paraId="6FD6E03D" w14:textId="5FD0A0D5" w:rsidR="00AA4AED" w:rsidRDefault="00AA4AED" w:rsidP="00F51716">
            <w:pPr>
              <w:pStyle w:val="Tabletext0"/>
            </w:pPr>
            <w:r>
              <w:t>$149,850.00</w:t>
            </w:r>
          </w:p>
        </w:tc>
        <w:tc>
          <w:tcPr>
            <w:tcW w:w="1283" w:type="dxa"/>
          </w:tcPr>
          <w:p w14:paraId="21658890" w14:textId="61B6F21B" w:rsidR="00AA4AED" w:rsidRDefault="00AA4AED" w:rsidP="00F51716">
            <w:pPr>
              <w:pStyle w:val="Tabletext0"/>
            </w:pPr>
            <w:r>
              <w:t>$149,850.00</w:t>
            </w:r>
          </w:p>
        </w:tc>
        <w:tc>
          <w:tcPr>
            <w:tcW w:w="1360" w:type="dxa"/>
          </w:tcPr>
          <w:p w14:paraId="52AC7843" w14:textId="4272D0C6" w:rsidR="00AA4AED" w:rsidRDefault="00AA4AED" w:rsidP="00F51716">
            <w:pPr>
              <w:pStyle w:val="Tabletext0"/>
            </w:pPr>
            <w:r>
              <w:t>$0.00</w:t>
            </w:r>
          </w:p>
        </w:tc>
      </w:tr>
      <w:tr w:rsidR="00AA4AED" w14:paraId="5E7AAE60" w14:textId="3654B2DF" w:rsidTr="00CF3851">
        <w:tc>
          <w:tcPr>
            <w:tcW w:w="926" w:type="dxa"/>
          </w:tcPr>
          <w:p w14:paraId="330F2CA4" w14:textId="49C00309" w:rsidR="00AA4AED" w:rsidRDefault="00AA4AED" w:rsidP="00F51716">
            <w:pPr>
              <w:pStyle w:val="Tabletext0"/>
            </w:pPr>
            <w:r>
              <w:t>C-11469</w:t>
            </w:r>
          </w:p>
        </w:tc>
        <w:tc>
          <w:tcPr>
            <w:tcW w:w="1449" w:type="dxa"/>
          </w:tcPr>
          <w:p w14:paraId="68306EA9" w14:textId="66415891" w:rsidR="00AA4AED" w:rsidRDefault="00AA4AED" w:rsidP="00F51716">
            <w:pPr>
              <w:pStyle w:val="Tabletext0"/>
            </w:pPr>
            <w:r w:rsidRPr="00255BA1">
              <w:t>Golder Associates</w:t>
            </w:r>
          </w:p>
        </w:tc>
        <w:tc>
          <w:tcPr>
            <w:tcW w:w="2729" w:type="dxa"/>
            <w:vAlign w:val="center"/>
          </w:tcPr>
          <w:p w14:paraId="2512367E" w14:textId="73EFACE2" w:rsidR="00AA4AED" w:rsidRDefault="00AA4AED" w:rsidP="00F51716">
            <w:pPr>
              <w:pStyle w:val="Tabletext0"/>
            </w:pPr>
            <w:r>
              <w:t>T</w:t>
            </w:r>
            <w:r w:rsidRPr="00255BA1">
              <w:t>o undertake a detailed investigation to identify the infrastructure options for the management of a high-risk waste stream</w:t>
            </w:r>
          </w:p>
        </w:tc>
        <w:tc>
          <w:tcPr>
            <w:tcW w:w="1171" w:type="dxa"/>
          </w:tcPr>
          <w:p w14:paraId="46C1453B" w14:textId="4CC83DC1" w:rsidR="00AA4AED" w:rsidRDefault="00AA4AED" w:rsidP="00F51716">
            <w:pPr>
              <w:pStyle w:val="Tabletext0"/>
            </w:pPr>
            <w:r>
              <w:t>2/08/2019</w:t>
            </w:r>
          </w:p>
        </w:tc>
        <w:tc>
          <w:tcPr>
            <w:tcW w:w="1171" w:type="dxa"/>
          </w:tcPr>
          <w:p w14:paraId="7F89D0E1" w14:textId="38F6056E" w:rsidR="00AA4AED" w:rsidRDefault="00AA4AED" w:rsidP="00F51716">
            <w:pPr>
              <w:pStyle w:val="Tabletext0"/>
            </w:pPr>
            <w:r>
              <w:t>31/11/2019</w:t>
            </w:r>
          </w:p>
        </w:tc>
        <w:tc>
          <w:tcPr>
            <w:tcW w:w="1283" w:type="dxa"/>
          </w:tcPr>
          <w:p w14:paraId="651F4FE2" w14:textId="513B3184" w:rsidR="00AA4AED" w:rsidRDefault="00AA4AED" w:rsidP="00F51716">
            <w:pPr>
              <w:pStyle w:val="Tabletext0"/>
            </w:pPr>
            <w:r>
              <w:t>$61,020.00</w:t>
            </w:r>
          </w:p>
        </w:tc>
        <w:tc>
          <w:tcPr>
            <w:tcW w:w="1283" w:type="dxa"/>
          </w:tcPr>
          <w:p w14:paraId="7D486C96" w14:textId="66E765A6" w:rsidR="00AA4AED" w:rsidRDefault="00AA4AED" w:rsidP="00F51716">
            <w:pPr>
              <w:pStyle w:val="Tabletext0"/>
            </w:pPr>
            <w:r>
              <w:t>$61,020.00</w:t>
            </w:r>
          </w:p>
        </w:tc>
        <w:tc>
          <w:tcPr>
            <w:tcW w:w="1360" w:type="dxa"/>
          </w:tcPr>
          <w:p w14:paraId="20E243FE" w14:textId="56338332" w:rsidR="00AA4AED" w:rsidRDefault="00AA4AED" w:rsidP="00F51716">
            <w:pPr>
              <w:pStyle w:val="Tabletext0"/>
            </w:pPr>
            <w:r>
              <w:t>$0.00</w:t>
            </w:r>
          </w:p>
        </w:tc>
      </w:tr>
      <w:tr w:rsidR="00AA4AED" w14:paraId="64FDF6A0" w14:textId="56D8948C" w:rsidTr="00CF3851">
        <w:tc>
          <w:tcPr>
            <w:tcW w:w="926" w:type="dxa"/>
          </w:tcPr>
          <w:p w14:paraId="23808AB1" w14:textId="113CF29A" w:rsidR="00AA4AED" w:rsidRDefault="00AA4AED" w:rsidP="00F51716">
            <w:pPr>
              <w:pStyle w:val="Tabletext0"/>
            </w:pPr>
            <w:r>
              <w:t>C-11507</w:t>
            </w:r>
          </w:p>
        </w:tc>
        <w:tc>
          <w:tcPr>
            <w:tcW w:w="1449" w:type="dxa"/>
          </w:tcPr>
          <w:p w14:paraId="15557EC5" w14:textId="6A33C4D3" w:rsidR="00AA4AED" w:rsidRDefault="00AA4AED" w:rsidP="00F51716">
            <w:pPr>
              <w:pStyle w:val="Tabletext0"/>
            </w:pPr>
            <w:r>
              <w:t>Urban EP</w:t>
            </w:r>
          </w:p>
        </w:tc>
        <w:tc>
          <w:tcPr>
            <w:tcW w:w="2729" w:type="dxa"/>
            <w:vAlign w:val="bottom"/>
          </w:tcPr>
          <w:p w14:paraId="0BED1693" w14:textId="5F12CC69" w:rsidR="00AA4AED" w:rsidRDefault="00AA4AED" w:rsidP="00F51716">
            <w:pPr>
              <w:pStyle w:val="Tabletext0"/>
            </w:pPr>
            <w:r w:rsidRPr="00255BA1">
              <w:t>To undertake a robust, evidence-based review on delivery of the Victorian Waste Education Strategy and Victorian Market Development Strategy</w:t>
            </w:r>
          </w:p>
        </w:tc>
        <w:tc>
          <w:tcPr>
            <w:tcW w:w="1171" w:type="dxa"/>
          </w:tcPr>
          <w:p w14:paraId="2187B210" w14:textId="6F38B85A" w:rsidR="00AA4AED" w:rsidRDefault="00AA4AED" w:rsidP="00F51716">
            <w:pPr>
              <w:pStyle w:val="Tabletext0"/>
            </w:pPr>
            <w:r>
              <w:t>16/08/2019</w:t>
            </w:r>
          </w:p>
        </w:tc>
        <w:tc>
          <w:tcPr>
            <w:tcW w:w="1171" w:type="dxa"/>
          </w:tcPr>
          <w:p w14:paraId="6DC6CD2D" w14:textId="6E053739" w:rsidR="00AA4AED" w:rsidRDefault="00AA4AED" w:rsidP="00F51716">
            <w:pPr>
              <w:pStyle w:val="Tabletext0"/>
            </w:pPr>
            <w:r>
              <w:t>20/12/2019</w:t>
            </w:r>
          </w:p>
        </w:tc>
        <w:tc>
          <w:tcPr>
            <w:tcW w:w="1283" w:type="dxa"/>
          </w:tcPr>
          <w:p w14:paraId="7EBA2E7B" w14:textId="59248083" w:rsidR="00AA4AED" w:rsidRDefault="00AA4AED" w:rsidP="00F51716">
            <w:pPr>
              <w:pStyle w:val="Tabletext0"/>
            </w:pPr>
            <w:r>
              <w:t>$51,350.00</w:t>
            </w:r>
          </w:p>
        </w:tc>
        <w:tc>
          <w:tcPr>
            <w:tcW w:w="1283" w:type="dxa"/>
          </w:tcPr>
          <w:p w14:paraId="47961DB1" w14:textId="686316B3" w:rsidR="00AA4AED" w:rsidRDefault="00AA4AED" w:rsidP="00F51716">
            <w:pPr>
              <w:pStyle w:val="Tabletext0"/>
            </w:pPr>
            <w:r>
              <w:t>$51,350.00</w:t>
            </w:r>
          </w:p>
        </w:tc>
        <w:tc>
          <w:tcPr>
            <w:tcW w:w="1360" w:type="dxa"/>
          </w:tcPr>
          <w:p w14:paraId="63F13826" w14:textId="3C6ACD8F" w:rsidR="00AA4AED" w:rsidRDefault="00AA4AED" w:rsidP="00F51716">
            <w:pPr>
              <w:pStyle w:val="Tabletext0"/>
            </w:pPr>
            <w:r>
              <w:t>$0.00</w:t>
            </w:r>
          </w:p>
        </w:tc>
      </w:tr>
      <w:tr w:rsidR="00AA4AED" w14:paraId="6FF30478" w14:textId="7F702338" w:rsidTr="00CF3851">
        <w:tc>
          <w:tcPr>
            <w:tcW w:w="926" w:type="dxa"/>
          </w:tcPr>
          <w:p w14:paraId="7DEB4478" w14:textId="685CBC71" w:rsidR="00AA4AED" w:rsidRDefault="00AA4AED" w:rsidP="00F51716">
            <w:pPr>
              <w:pStyle w:val="Tabletext0"/>
            </w:pPr>
            <w:r>
              <w:t>C-11594</w:t>
            </w:r>
          </w:p>
        </w:tc>
        <w:tc>
          <w:tcPr>
            <w:tcW w:w="1449" w:type="dxa"/>
          </w:tcPr>
          <w:p w14:paraId="45AEA275" w14:textId="48B61E8E" w:rsidR="00AA4AED" w:rsidRDefault="00AA4AED" w:rsidP="00F51716">
            <w:pPr>
              <w:pStyle w:val="Tabletext0"/>
            </w:pPr>
            <w:r w:rsidRPr="00CC23C4">
              <w:t>Arcadis</w:t>
            </w:r>
          </w:p>
        </w:tc>
        <w:tc>
          <w:tcPr>
            <w:tcW w:w="2729" w:type="dxa"/>
            <w:vAlign w:val="bottom"/>
          </w:tcPr>
          <w:p w14:paraId="579B4DE0" w14:textId="0DBF0FD2" w:rsidR="00AA4AED" w:rsidRDefault="00AA4AED" w:rsidP="00F51716">
            <w:pPr>
              <w:pStyle w:val="Tabletext0"/>
            </w:pPr>
            <w:r w:rsidRPr="00CC23C4">
              <w:t>To undertake a detailed analysis of the Victorian contaminated soils market to improve re</w:t>
            </w:r>
            <w:r>
              <w:t>use</w:t>
            </w:r>
            <w:r w:rsidRPr="00CC23C4">
              <w:t xml:space="preserve"> and recovery across the system</w:t>
            </w:r>
          </w:p>
        </w:tc>
        <w:tc>
          <w:tcPr>
            <w:tcW w:w="1171" w:type="dxa"/>
          </w:tcPr>
          <w:p w14:paraId="7C076F60" w14:textId="75CEA3C8" w:rsidR="00AA4AED" w:rsidRDefault="00AA4AED" w:rsidP="00F51716">
            <w:pPr>
              <w:pStyle w:val="Tabletext0"/>
            </w:pPr>
            <w:r>
              <w:t>20/12/2019</w:t>
            </w:r>
          </w:p>
        </w:tc>
        <w:tc>
          <w:tcPr>
            <w:tcW w:w="1171" w:type="dxa"/>
          </w:tcPr>
          <w:p w14:paraId="4448B062" w14:textId="136E2E37" w:rsidR="00AA4AED" w:rsidRDefault="00AA4AED" w:rsidP="00F51716">
            <w:pPr>
              <w:pStyle w:val="Tabletext0"/>
            </w:pPr>
            <w:r>
              <w:t>30/05/2020</w:t>
            </w:r>
          </w:p>
        </w:tc>
        <w:tc>
          <w:tcPr>
            <w:tcW w:w="1283" w:type="dxa"/>
          </w:tcPr>
          <w:p w14:paraId="33A378D8" w14:textId="04EF9F85" w:rsidR="00AA4AED" w:rsidRDefault="00AA4AED" w:rsidP="00F51716">
            <w:pPr>
              <w:pStyle w:val="Tabletext0"/>
            </w:pPr>
            <w:r>
              <w:t>$78,640.00</w:t>
            </w:r>
          </w:p>
        </w:tc>
        <w:tc>
          <w:tcPr>
            <w:tcW w:w="1283" w:type="dxa"/>
          </w:tcPr>
          <w:p w14:paraId="215FB6C2" w14:textId="77C752E2" w:rsidR="00AA4AED" w:rsidRDefault="00AA4AED" w:rsidP="00F51716">
            <w:pPr>
              <w:pStyle w:val="Tabletext0"/>
            </w:pPr>
            <w:r>
              <w:t>$57,777.50</w:t>
            </w:r>
          </w:p>
        </w:tc>
        <w:tc>
          <w:tcPr>
            <w:tcW w:w="1360" w:type="dxa"/>
          </w:tcPr>
          <w:p w14:paraId="089A1E9C" w14:textId="34C39054" w:rsidR="00AA4AED" w:rsidRDefault="00AA4AED" w:rsidP="00F51716">
            <w:pPr>
              <w:pStyle w:val="Tabletext0"/>
            </w:pPr>
            <w:r>
              <w:t>$20,862.50</w:t>
            </w:r>
          </w:p>
        </w:tc>
      </w:tr>
      <w:tr w:rsidR="00AA4AED" w14:paraId="5F73AC36" w14:textId="13A1C732" w:rsidTr="00CF3851">
        <w:tc>
          <w:tcPr>
            <w:tcW w:w="926" w:type="dxa"/>
          </w:tcPr>
          <w:p w14:paraId="58FF612F" w14:textId="4D84B377" w:rsidR="00AA4AED" w:rsidRDefault="00AA4AED" w:rsidP="00F51716">
            <w:pPr>
              <w:pStyle w:val="Tabletext0"/>
            </w:pPr>
            <w:r>
              <w:t>C-11597</w:t>
            </w:r>
          </w:p>
        </w:tc>
        <w:tc>
          <w:tcPr>
            <w:tcW w:w="1449" w:type="dxa"/>
          </w:tcPr>
          <w:p w14:paraId="58403000" w14:textId="76E5CAF9" w:rsidR="00AA4AED" w:rsidRDefault="00AA4AED" w:rsidP="00F51716">
            <w:pPr>
              <w:pStyle w:val="Tabletext0"/>
            </w:pPr>
            <w:r w:rsidRPr="00CC23C4">
              <w:t>Clear Horizon</w:t>
            </w:r>
          </w:p>
        </w:tc>
        <w:tc>
          <w:tcPr>
            <w:tcW w:w="2729" w:type="dxa"/>
            <w:vAlign w:val="bottom"/>
          </w:tcPr>
          <w:p w14:paraId="317E475E" w14:textId="68A89E20" w:rsidR="00AA4AED" w:rsidRDefault="00AA4AED" w:rsidP="00F51716">
            <w:pPr>
              <w:pStyle w:val="Tabletext0"/>
            </w:pPr>
            <w:r>
              <w:t>T</w:t>
            </w:r>
            <w:r w:rsidRPr="00CC23C4">
              <w:t>o conduct a comprehensive evaluation of the Statewide Waste and Resource Recovery Infrastructure Plan</w:t>
            </w:r>
          </w:p>
        </w:tc>
        <w:tc>
          <w:tcPr>
            <w:tcW w:w="1171" w:type="dxa"/>
          </w:tcPr>
          <w:p w14:paraId="5484B30B" w14:textId="27C73294" w:rsidR="00AA4AED" w:rsidRDefault="00AA4AED" w:rsidP="00F51716">
            <w:pPr>
              <w:pStyle w:val="Tabletext0"/>
            </w:pPr>
            <w:r>
              <w:t>31/01/2020</w:t>
            </w:r>
          </w:p>
        </w:tc>
        <w:tc>
          <w:tcPr>
            <w:tcW w:w="1171" w:type="dxa"/>
          </w:tcPr>
          <w:p w14:paraId="01D59B4B" w14:textId="1FEC2266" w:rsidR="00AA4AED" w:rsidRDefault="00AA4AED" w:rsidP="00F51716">
            <w:pPr>
              <w:pStyle w:val="Tabletext0"/>
            </w:pPr>
            <w:r>
              <w:t>15/07/2020</w:t>
            </w:r>
          </w:p>
        </w:tc>
        <w:tc>
          <w:tcPr>
            <w:tcW w:w="1283" w:type="dxa"/>
          </w:tcPr>
          <w:p w14:paraId="7AB34E1B" w14:textId="40F0533C" w:rsidR="00AA4AED" w:rsidRDefault="00AA4AED" w:rsidP="00F51716">
            <w:pPr>
              <w:pStyle w:val="Tabletext0"/>
            </w:pPr>
            <w:r>
              <w:t>$69,155.00</w:t>
            </w:r>
          </w:p>
        </w:tc>
        <w:tc>
          <w:tcPr>
            <w:tcW w:w="1283" w:type="dxa"/>
          </w:tcPr>
          <w:p w14:paraId="4BC8550D" w14:textId="5EB5F6C4" w:rsidR="00AA4AED" w:rsidRDefault="00AA4AED" w:rsidP="00F51716">
            <w:pPr>
              <w:pStyle w:val="Tabletext0"/>
            </w:pPr>
            <w:r>
              <w:t>$24,307.00</w:t>
            </w:r>
          </w:p>
        </w:tc>
        <w:tc>
          <w:tcPr>
            <w:tcW w:w="1360" w:type="dxa"/>
          </w:tcPr>
          <w:p w14:paraId="3B564C1C" w14:textId="05C8B278" w:rsidR="00AA4AED" w:rsidRDefault="00AA4AED" w:rsidP="00F51716">
            <w:pPr>
              <w:pStyle w:val="Tabletext0"/>
            </w:pPr>
            <w:r>
              <w:t>$44,848.00</w:t>
            </w:r>
          </w:p>
        </w:tc>
      </w:tr>
      <w:tr w:rsidR="00AA4AED" w14:paraId="49E8681F" w14:textId="77777777" w:rsidTr="00CF3851">
        <w:tc>
          <w:tcPr>
            <w:tcW w:w="926" w:type="dxa"/>
          </w:tcPr>
          <w:p w14:paraId="15269306" w14:textId="2A795EA4" w:rsidR="00AA4AED" w:rsidRDefault="00AA4AED" w:rsidP="00F51716">
            <w:pPr>
              <w:pStyle w:val="Tabletext0"/>
            </w:pPr>
            <w:r>
              <w:t>C-11608</w:t>
            </w:r>
          </w:p>
        </w:tc>
        <w:tc>
          <w:tcPr>
            <w:tcW w:w="1449" w:type="dxa"/>
          </w:tcPr>
          <w:p w14:paraId="03E31CFB" w14:textId="0D308C14" w:rsidR="00AA4AED" w:rsidRDefault="00AA4AED" w:rsidP="00F51716">
            <w:pPr>
              <w:pStyle w:val="Tabletext0"/>
            </w:pPr>
            <w:r w:rsidRPr="0080348B">
              <w:t xml:space="preserve">Point Advisory Pty. </w:t>
            </w:r>
            <w:r>
              <w:t>Ltd</w:t>
            </w:r>
          </w:p>
        </w:tc>
        <w:tc>
          <w:tcPr>
            <w:tcW w:w="2729" w:type="dxa"/>
            <w:vAlign w:val="bottom"/>
          </w:tcPr>
          <w:p w14:paraId="3ADB8DD2" w14:textId="1A7A8E38" w:rsidR="00AA4AED" w:rsidRDefault="00AA4AED" w:rsidP="00F51716">
            <w:pPr>
              <w:pStyle w:val="Tabletext0"/>
            </w:pPr>
            <w:r w:rsidRPr="0080348B">
              <w:t>To undertake an analysis of local government procurement activities to identify opportunities to increase the purchase of recycled content/materials</w:t>
            </w:r>
          </w:p>
        </w:tc>
        <w:tc>
          <w:tcPr>
            <w:tcW w:w="1171" w:type="dxa"/>
          </w:tcPr>
          <w:p w14:paraId="13DC7374" w14:textId="6AAEC199" w:rsidR="00AA4AED" w:rsidRDefault="00AA4AED" w:rsidP="00F51716">
            <w:pPr>
              <w:pStyle w:val="Tabletext0"/>
            </w:pPr>
            <w:r>
              <w:t>24/01/2020</w:t>
            </w:r>
          </w:p>
        </w:tc>
        <w:tc>
          <w:tcPr>
            <w:tcW w:w="1171" w:type="dxa"/>
          </w:tcPr>
          <w:p w14:paraId="0B45EB88" w14:textId="4D4600D2" w:rsidR="00AA4AED" w:rsidRDefault="00AA4AED" w:rsidP="00F51716">
            <w:pPr>
              <w:pStyle w:val="Tabletext0"/>
            </w:pPr>
            <w:r>
              <w:t>29/05/2020</w:t>
            </w:r>
          </w:p>
        </w:tc>
        <w:tc>
          <w:tcPr>
            <w:tcW w:w="1283" w:type="dxa"/>
          </w:tcPr>
          <w:p w14:paraId="14697156" w14:textId="119A43E5" w:rsidR="00AA4AED" w:rsidRDefault="00AA4AED" w:rsidP="00F51716">
            <w:pPr>
              <w:pStyle w:val="Tabletext0"/>
            </w:pPr>
            <w:r>
              <w:t>$59,960.00</w:t>
            </w:r>
          </w:p>
        </w:tc>
        <w:tc>
          <w:tcPr>
            <w:tcW w:w="1283" w:type="dxa"/>
          </w:tcPr>
          <w:p w14:paraId="2C2DBB2C" w14:textId="662B663B" w:rsidR="00AA4AED" w:rsidRDefault="00AA4AED" w:rsidP="00F51716">
            <w:pPr>
              <w:pStyle w:val="Tabletext0"/>
            </w:pPr>
            <w:r>
              <w:t>$59,960.00</w:t>
            </w:r>
          </w:p>
        </w:tc>
        <w:tc>
          <w:tcPr>
            <w:tcW w:w="1360" w:type="dxa"/>
          </w:tcPr>
          <w:p w14:paraId="71725309" w14:textId="29FDCE8F" w:rsidR="00AA4AED" w:rsidRDefault="00AA4AED" w:rsidP="00F51716">
            <w:pPr>
              <w:pStyle w:val="Tabletext0"/>
            </w:pPr>
            <w:r>
              <w:t>$0.00</w:t>
            </w:r>
          </w:p>
        </w:tc>
      </w:tr>
      <w:tr w:rsidR="00AA4AED" w14:paraId="6C6E637D" w14:textId="77777777" w:rsidTr="00CF3851">
        <w:tc>
          <w:tcPr>
            <w:tcW w:w="926" w:type="dxa"/>
          </w:tcPr>
          <w:p w14:paraId="51C4BC2C" w14:textId="08EA17B9" w:rsidR="00AA4AED" w:rsidRDefault="00AA4AED" w:rsidP="00F51716">
            <w:pPr>
              <w:pStyle w:val="Tabletext0"/>
            </w:pPr>
            <w:r>
              <w:t>C-11606</w:t>
            </w:r>
          </w:p>
        </w:tc>
        <w:tc>
          <w:tcPr>
            <w:tcW w:w="1449" w:type="dxa"/>
          </w:tcPr>
          <w:p w14:paraId="0373CDA3" w14:textId="179CCA88" w:rsidR="00AA4AED" w:rsidRDefault="00AA4AED" w:rsidP="00F51716">
            <w:pPr>
              <w:pStyle w:val="Tabletext0"/>
            </w:pPr>
            <w:r>
              <w:t>Blue Environment</w:t>
            </w:r>
          </w:p>
        </w:tc>
        <w:tc>
          <w:tcPr>
            <w:tcW w:w="2729" w:type="dxa"/>
            <w:vAlign w:val="bottom"/>
          </w:tcPr>
          <w:p w14:paraId="0CA49E0A" w14:textId="75129154" w:rsidR="00AA4AED" w:rsidRDefault="00AA4AED" w:rsidP="00F51716">
            <w:pPr>
              <w:pStyle w:val="Tabletext0"/>
            </w:pPr>
            <w:r>
              <w:t>T</w:t>
            </w:r>
            <w:r w:rsidRPr="0080348B">
              <w:t>o undertake a review and deliver a report on the Availability of Additional Waste Data Sources detailing all datasets and recommendations</w:t>
            </w:r>
          </w:p>
        </w:tc>
        <w:tc>
          <w:tcPr>
            <w:tcW w:w="1171" w:type="dxa"/>
          </w:tcPr>
          <w:p w14:paraId="224FA579" w14:textId="645E401F" w:rsidR="00AA4AED" w:rsidRDefault="00AA4AED" w:rsidP="00F51716">
            <w:pPr>
              <w:pStyle w:val="Tabletext0"/>
            </w:pPr>
            <w:r>
              <w:t>27/01/2020</w:t>
            </w:r>
          </w:p>
        </w:tc>
        <w:tc>
          <w:tcPr>
            <w:tcW w:w="1171" w:type="dxa"/>
          </w:tcPr>
          <w:p w14:paraId="648BE381" w14:textId="0ECEC1CD" w:rsidR="00AA4AED" w:rsidRDefault="00AA4AED" w:rsidP="00F51716">
            <w:pPr>
              <w:pStyle w:val="Tabletext0"/>
            </w:pPr>
            <w:r>
              <w:t>29/03/2020</w:t>
            </w:r>
          </w:p>
        </w:tc>
        <w:tc>
          <w:tcPr>
            <w:tcW w:w="1283" w:type="dxa"/>
          </w:tcPr>
          <w:p w14:paraId="65A3AFD1" w14:textId="2CED9577" w:rsidR="00AA4AED" w:rsidRDefault="00AA4AED" w:rsidP="00F51716">
            <w:pPr>
              <w:pStyle w:val="Tabletext0"/>
            </w:pPr>
            <w:r>
              <w:t>$24,680.00</w:t>
            </w:r>
          </w:p>
        </w:tc>
        <w:tc>
          <w:tcPr>
            <w:tcW w:w="1283" w:type="dxa"/>
          </w:tcPr>
          <w:p w14:paraId="539CCA9A" w14:textId="318BAE5A" w:rsidR="00AA4AED" w:rsidRDefault="00AA4AED" w:rsidP="00F51716">
            <w:pPr>
              <w:pStyle w:val="Tabletext0"/>
            </w:pPr>
            <w:r>
              <w:t>$24,680.00</w:t>
            </w:r>
          </w:p>
        </w:tc>
        <w:tc>
          <w:tcPr>
            <w:tcW w:w="1360" w:type="dxa"/>
          </w:tcPr>
          <w:p w14:paraId="41156271" w14:textId="56AC8E68" w:rsidR="00AA4AED" w:rsidRDefault="00AA4AED" w:rsidP="00F51716">
            <w:pPr>
              <w:pStyle w:val="Tabletext0"/>
            </w:pPr>
            <w:r>
              <w:t>$0.00</w:t>
            </w:r>
          </w:p>
        </w:tc>
      </w:tr>
      <w:tr w:rsidR="00AA4AED" w14:paraId="10838C49" w14:textId="77777777" w:rsidTr="00CF3851">
        <w:tc>
          <w:tcPr>
            <w:tcW w:w="926" w:type="dxa"/>
          </w:tcPr>
          <w:p w14:paraId="38455E2E" w14:textId="24948A32" w:rsidR="00AA4AED" w:rsidRDefault="00AA4AED" w:rsidP="00F51716">
            <w:pPr>
              <w:pStyle w:val="Tabletext0"/>
            </w:pPr>
            <w:r>
              <w:t>C-11620</w:t>
            </w:r>
          </w:p>
        </w:tc>
        <w:tc>
          <w:tcPr>
            <w:tcW w:w="1449" w:type="dxa"/>
          </w:tcPr>
          <w:p w14:paraId="583AEDFD" w14:textId="71866C10" w:rsidR="00AA4AED" w:rsidRDefault="00AA4AED" w:rsidP="00F51716">
            <w:pPr>
              <w:pStyle w:val="Tabletext0"/>
            </w:pPr>
            <w:r>
              <w:t>RMCG</w:t>
            </w:r>
          </w:p>
        </w:tc>
        <w:tc>
          <w:tcPr>
            <w:tcW w:w="2729" w:type="dxa"/>
            <w:vAlign w:val="bottom"/>
          </w:tcPr>
          <w:p w14:paraId="67C8F699" w14:textId="4CECA217" w:rsidR="00AA4AED" w:rsidRDefault="00AA4AED" w:rsidP="00F51716">
            <w:pPr>
              <w:pStyle w:val="Tabletext0"/>
            </w:pPr>
            <w:r w:rsidRPr="0080348B">
              <w:t>To undertake a detailed analysis of biosolids in Victoria</w:t>
            </w:r>
          </w:p>
        </w:tc>
        <w:tc>
          <w:tcPr>
            <w:tcW w:w="1171" w:type="dxa"/>
          </w:tcPr>
          <w:p w14:paraId="23A936CE" w14:textId="2D1324FF" w:rsidR="00AA4AED" w:rsidRDefault="00AA4AED" w:rsidP="00F51716">
            <w:pPr>
              <w:pStyle w:val="Tabletext0"/>
            </w:pPr>
            <w:r>
              <w:t>13/2/2020</w:t>
            </w:r>
          </w:p>
        </w:tc>
        <w:tc>
          <w:tcPr>
            <w:tcW w:w="1171" w:type="dxa"/>
          </w:tcPr>
          <w:p w14:paraId="2DA853E7" w14:textId="527F1FE8" w:rsidR="00AA4AED" w:rsidRDefault="00AA4AED" w:rsidP="00F51716">
            <w:pPr>
              <w:pStyle w:val="Tabletext0"/>
            </w:pPr>
            <w:r>
              <w:t>30/04/2020</w:t>
            </w:r>
          </w:p>
        </w:tc>
        <w:tc>
          <w:tcPr>
            <w:tcW w:w="1283" w:type="dxa"/>
          </w:tcPr>
          <w:p w14:paraId="2DA7A14E" w14:textId="71F7D5E1" w:rsidR="00AA4AED" w:rsidRDefault="00AA4AED" w:rsidP="00F51716">
            <w:pPr>
              <w:pStyle w:val="Tabletext0"/>
            </w:pPr>
            <w:r>
              <w:t>$31,100.00</w:t>
            </w:r>
          </w:p>
        </w:tc>
        <w:tc>
          <w:tcPr>
            <w:tcW w:w="1283" w:type="dxa"/>
          </w:tcPr>
          <w:p w14:paraId="12E405C1" w14:textId="4BD50755" w:rsidR="00AA4AED" w:rsidRDefault="00AA4AED" w:rsidP="00F51716">
            <w:pPr>
              <w:pStyle w:val="Tabletext0"/>
            </w:pPr>
            <w:r>
              <w:t>$31,100.00</w:t>
            </w:r>
          </w:p>
        </w:tc>
        <w:tc>
          <w:tcPr>
            <w:tcW w:w="1360" w:type="dxa"/>
          </w:tcPr>
          <w:p w14:paraId="50BD7D7A" w14:textId="4687259D" w:rsidR="00AA4AED" w:rsidRDefault="00AA4AED" w:rsidP="00F51716">
            <w:pPr>
              <w:pStyle w:val="Tabletext0"/>
            </w:pPr>
            <w:r>
              <w:t>$0.00</w:t>
            </w:r>
          </w:p>
        </w:tc>
      </w:tr>
      <w:tr w:rsidR="00AA4AED" w14:paraId="6400D083" w14:textId="77777777" w:rsidTr="00CF3851">
        <w:tc>
          <w:tcPr>
            <w:tcW w:w="926" w:type="dxa"/>
          </w:tcPr>
          <w:p w14:paraId="7D742B18" w14:textId="49BADACA" w:rsidR="00AA4AED" w:rsidRDefault="00AA4AED" w:rsidP="00F51716">
            <w:pPr>
              <w:pStyle w:val="Tabletext0"/>
            </w:pPr>
            <w:r>
              <w:t>C-11618</w:t>
            </w:r>
          </w:p>
        </w:tc>
        <w:tc>
          <w:tcPr>
            <w:tcW w:w="1449" w:type="dxa"/>
          </w:tcPr>
          <w:p w14:paraId="6CA62DA7" w14:textId="206860A9" w:rsidR="00AA4AED" w:rsidRDefault="00AA4AED" w:rsidP="00F51716">
            <w:pPr>
              <w:pStyle w:val="Tabletext0"/>
            </w:pPr>
            <w:r>
              <w:t>GHD Pty Ltd</w:t>
            </w:r>
          </w:p>
        </w:tc>
        <w:tc>
          <w:tcPr>
            <w:tcW w:w="2729" w:type="dxa"/>
            <w:vAlign w:val="bottom"/>
          </w:tcPr>
          <w:p w14:paraId="3E325C46" w14:textId="5F50EEBC" w:rsidR="00AA4AED" w:rsidRDefault="00AA4AED" w:rsidP="00F51716">
            <w:pPr>
              <w:pStyle w:val="Tabletext0"/>
            </w:pPr>
            <w:r w:rsidRPr="0080348B">
              <w:t>To undertake a detailed analysis of the Chemical, Physical, Treatment facilities that manage Victorian hazardous waste to understand the waste inflows and outflows</w:t>
            </w:r>
          </w:p>
        </w:tc>
        <w:tc>
          <w:tcPr>
            <w:tcW w:w="1171" w:type="dxa"/>
          </w:tcPr>
          <w:p w14:paraId="2D0AC5F8" w14:textId="3EE39D1B" w:rsidR="00AA4AED" w:rsidRDefault="00AA4AED" w:rsidP="00F51716">
            <w:pPr>
              <w:pStyle w:val="Tabletext0"/>
            </w:pPr>
            <w:r>
              <w:t>13/02/2020</w:t>
            </w:r>
          </w:p>
        </w:tc>
        <w:tc>
          <w:tcPr>
            <w:tcW w:w="1171" w:type="dxa"/>
          </w:tcPr>
          <w:p w14:paraId="11597B16" w14:textId="3D0EE37C" w:rsidR="00AA4AED" w:rsidRDefault="00AA4AED" w:rsidP="00F51716">
            <w:pPr>
              <w:pStyle w:val="Tabletext0"/>
            </w:pPr>
            <w:r>
              <w:t>30/04/2020</w:t>
            </w:r>
          </w:p>
        </w:tc>
        <w:tc>
          <w:tcPr>
            <w:tcW w:w="1283" w:type="dxa"/>
          </w:tcPr>
          <w:p w14:paraId="30D3B31D" w14:textId="7F39DB3E" w:rsidR="00AA4AED" w:rsidRDefault="00AA4AED" w:rsidP="00F51716">
            <w:pPr>
              <w:pStyle w:val="Tabletext0"/>
            </w:pPr>
            <w:r>
              <w:t>$43,886.00</w:t>
            </w:r>
          </w:p>
        </w:tc>
        <w:tc>
          <w:tcPr>
            <w:tcW w:w="1283" w:type="dxa"/>
          </w:tcPr>
          <w:p w14:paraId="448B3B3F" w14:textId="699CD980" w:rsidR="00AA4AED" w:rsidRDefault="00AA4AED" w:rsidP="00F51716">
            <w:pPr>
              <w:pStyle w:val="Tabletext0"/>
            </w:pPr>
            <w:r>
              <w:t>$43,886.00</w:t>
            </w:r>
          </w:p>
        </w:tc>
        <w:tc>
          <w:tcPr>
            <w:tcW w:w="1360" w:type="dxa"/>
          </w:tcPr>
          <w:p w14:paraId="2C6CC651" w14:textId="4150E6A1" w:rsidR="00AA4AED" w:rsidRDefault="00AA4AED" w:rsidP="00F51716">
            <w:pPr>
              <w:pStyle w:val="Tabletext0"/>
            </w:pPr>
            <w:r>
              <w:t>$0.00</w:t>
            </w:r>
          </w:p>
        </w:tc>
      </w:tr>
      <w:tr w:rsidR="00AA4AED" w14:paraId="53324FA7" w14:textId="77777777" w:rsidTr="00CF3851">
        <w:tc>
          <w:tcPr>
            <w:tcW w:w="926" w:type="dxa"/>
          </w:tcPr>
          <w:p w14:paraId="66EA9459" w14:textId="57AC943D" w:rsidR="00AA4AED" w:rsidRDefault="00AA4AED" w:rsidP="00F51716">
            <w:pPr>
              <w:pStyle w:val="Tabletext0"/>
            </w:pPr>
            <w:r>
              <w:t>C-11619</w:t>
            </w:r>
          </w:p>
        </w:tc>
        <w:tc>
          <w:tcPr>
            <w:tcW w:w="1449" w:type="dxa"/>
          </w:tcPr>
          <w:p w14:paraId="5049FBD0" w14:textId="12BFDBA1" w:rsidR="00AA4AED" w:rsidRDefault="00AA4AED" w:rsidP="00F51716">
            <w:pPr>
              <w:pStyle w:val="Tabletext0"/>
            </w:pPr>
            <w:r>
              <w:t>GHD Pty Ltd</w:t>
            </w:r>
          </w:p>
        </w:tc>
        <w:tc>
          <w:tcPr>
            <w:tcW w:w="2729" w:type="dxa"/>
            <w:vAlign w:val="bottom"/>
          </w:tcPr>
          <w:p w14:paraId="414E4077" w14:textId="65595F71" w:rsidR="00AA4AED" w:rsidRDefault="00AA4AED" w:rsidP="00F51716">
            <w:pPr>
              <w:pStyle w:val="Tabletext0"/>
            </w:pPr>
            <w:r w:rsidRPr="0080348B">
              <w:t>To undertake a detailed analysis of the hazardous waste management system; identifying alternative management pathways and other infrastructure opportunities to maximise higher order recovery and reduce generation volumes through reduction/avoidance or reuse for the identify hazardous waste streams</w:t>
            </w:r>
          </w:p>
        </w:tc>
        <w:tc>
          <w:tcPr>
            <w:tcW w:w="1171" w:type="dxa"/>
          </w:tcPr>
          <w:p w14:paraId="720BF044" w14:textId="30AF557B" w:rsidR="00AA4AED" w:rsidRDefault="00AA4AED" w:rsidP="00F51716">
            <w:pPr>
              <w:pStyle w:val="Tabletext0"/>
            </w:pPr>
            <w:r>
              <w:t>13/02/2020</w:t>
            </w:r>
          </w:p>
        </w:tc>
        <w:tc>
          <w:tcPr>
            <w:tcW w:w="1171" w:type="dxa"/>
          </w:tcPr>
          <w:p w14:paraId="4F0D5524" w14:textId="516F2AF2" w:rsidR="00AA4AED" w:rsidRDefault="00AA4AED" w:rsidP="00F51716">
            <w:pPr>
              <w:pStyle w:val="Tabletext0"/>
            </w:pPr>
            <w:r>
              <w:t>30/05/2020</w:t>
            </w:r>
          </w:p>
        </w:tc>
        <w:tc>
          <w:tcPr>
            <w:tcW w:w="1283" w:type="dxa"/>
          </w:tcPr>
          <w:p w14:paraId="4D882A68" w14:textId="30CF68E5" w:rsidR="00AA4AED" w:rsidRDefault="00AA4AED" w:rsidP="00F51716">
            <w:pPr>
              <w:pStyle w:val="Tabletext0"/>
            </w:pPr>
            <w:r>
              <w:t>$47,268.00</w:t>
            </w:r>
          </w:p>
        </w:tc>
        <w:tc>
          <w:tcPr>
            <w:tcW w:w="1283" w:type="dxa"/>
          </w:tcPr>
          <w:p w14:paraId="7BCFB9EF" w14:textId="1FF7F102" w:rsidR="00AA4AED" w:rsidRDefault="00AA4AED" w:rsidP="00F51716">
            <w:pPr>
              <w:pStyle w:val="Tabletext0"/>
            </w:pPr>
            <w:r>
              <w:t>$4,726.00</w:t>
            </w:r>
          </w:p>
        </w:tc>
        <w:tc>
          <w:tcPr>
            <w:tcW w:w="1360" w:type="dxa"/>
          </w:tcPr>
          <w:p w14:paraId="6B1D0413" w14:textId="05E5AF13" w:rsidR="00AA4AED" w:rsidRDefault="00AA4AED" w:rsidP="00F51716">
            <w:pPr>
              <w:pStyle w:val="Tabletext0"/>
            </w:pPr>
            <w:r>
              <w:t>$42,542.00</w:t>
            </w:r>
          </w:p>
        </w:tc>
      </w:tr>
      <w:tr w:rsidR="00AA4AED" w14:paraId="52169EEB" w14:textId="77777777" w:rsidTr="00CF3851">
        <w:tc>
          <w:tcPr>
            <w:tcW w:w="926" w:type="dxa"/>
          </w:tcPr>
          <w:p w14:paraId="08BB0144" w14:textId="577A1B1B" w:rsidR="00AA4AED" w:rsidRDefault="00AA4AED" w:rsidP="00F51716">
            <w:pPr>
              <w:pStyle w:val="Tabletext0"/>
            </w:pPr>
            <w:r>
              <w:t>C-11635</w:t>
            </w:r>
          </w:p>
        </w:tc>
        <w:tc>
          <w:tcPr>
            <w:tcW w:w="1449" w:type="dxa"/>
          </w:tcPr>
          <w:p w14:paraId="092C4860" w14:textId="026EC549" w:rsidR="00AA4AED" w:rsidRDefault="00AA4AED" w:rsidP="00F51716">
            <w:pPr>
              <w:pStyle w:val="Tabletext0"/>
            </w:pPr>
            <w:r w:rsidRPr="0038675F">
              <w:t>Randell Environmental Consulting Pty Ltd</w:t>
            </w:r>
          </w:p>
        </w:tc>
        <w:tc>
          <w:tcPr>
            <w:tcW w:w="2729" w:type="dxa"/>
            <w:vAlign w:val="bottom"/>
          </w:tcPr>
          <w:p w14:paraId="02E146F9" w14:textId="6E933943" w:rsidR="00AA4AED" w:rsidRDefault="00AA4AED" w:rsidP="00F51716">
            <w:pPr>
              <w:pStyle w:val="Tabletext0"/>
            </w:pPr>
            <w:r w:rsidRPr="0038675F">
              <w:t>To conduct a risk analysis identified potential threats to the management of hazardous waste in Victoria</w:t>
            </w:r>
          </w:p>
        </w:tc>
        <w:tc>
          <w:tcPr>
            <w:tcW w:w="1171" w:type="dxa"/>
          </w:tcPr>
          <w:p w14:paraId="176C657F" w14:textId="2108C4F1" w:rsidR="00AA4AED" w:rsidRDefault="00AA4AED" w:rsidP="00F51716">
            <w:pPr>
              <w:pStyle w:val="Tabletext0"/>
            </w:pPr>
            <w:r>
              <w:t>10/03/2020</w:t>
            </w:r>
          </w:p>
        </w:tc>
        <w:tc>
          <w:tcPr>
            <w:tcW w:w="1171" w:type="dxa"/>
          </w:tcPr>
          <w:p w14:paraId="347E84F8" w14:textId="687816DB" w:rsidR="00AA4AED" w:rsidRDefault="00AA4AED" w:rsidP="00F51716">
            <w:pPr>
              <w:pStyle w:val="Tabletext0"/>
            </w:pPr>
            <w:r>
              <w:t>20/06/2020</w:t>
            </w:r>
          </w:p>
        </w:tc>
        <w:tc>
          <w:tcPr>
            <w:tcW w:w="1283" w:type="dxa"/>
          </w:tcPr>
          <w:p w14:paraId="74BFE1AD" w14:textId="6211D06F" w:rsidR="00AA4AED" w:rsidRDefault="00AA4AED" w:rsidP="00F51716">
            <w:pPr>
              <w:pStyle w:val="Tabletext0"/>
            </w:pPr>
            <w:r>
              <w:t>$31,300.00</w:t>
            </w:r>
          </w:p>
        </w:tc>
        <w:tc>
          <w:tcPr>
            <w:tcW w:w="1283" w:type="dxa"/>
          </w:tcPr>
          <w:p w14:paraId="0041A3E9" w14:textId="60761C59" w:rsidR="00AA4AED" w:rsidRDefault="00AA4AED" w:rsidP="00F51716">
            <w:pPr>
              <w:pStyle w:val="Tabletext0"/>
            </w:pPr>
            <w:r>
              <w:t>$15,650.00</w:t>
            </w:r>
          </w:p>
        </w:tc>
        <w:tc>
          <w:tcPr>
            <w:tcW w:w="1360" w:type="dxa"/>
          </w:tcPr>
          <w:p w14:paraId="7139D112" w14:textId="2E2A5CFF" w:rsidR="00AA4AED" w:rsidRDefault="00AA4AED" w:rsidP="00F51716">
            <w:pPr>
              <w:pStyle w:val="Tabletext0"/>
            </w:pPr>
            <w:r>
              <w:t>$15,650.00</w:t>
            </w:r>
          </w:p>
        </w:tc>
      </w:tr>
      <w:tr w:rsidR="00AA4AED" w14:paraId="002D2D66" w14:textId="77777777" w:rsidTr="00CF3851">
        <w:tc>
          <w:tcPr>
            <w:tcW w:w="926" w:type="dxa"/>
          </w:tcPr>
          <w:p w14:paraId="4B794CE7" w14:textId="2A3E743C" w:rsidR="00AA4AED" w:rsidRDefault="00AA4AED" w:rsidP="00F51716">
            <w:pPr>
              <w:pStyle w:val="Tabletext0"/>
            </w:pPr>
            <w:r>
              <w:t>C-11656</w:t>
            </w:r>
          </w:p>
        </w:tc>
        <w:tc>
          <w:tcPr>
            <w:tcW w:w="1449" w:type="dxa"/>
          </w:tcPr>
          <w:p w14:paraId="078809F2" w14:textId="38FDF438" w:rsidR="00AA4AED" w:rsidRDefault="00AA4AED" w:rsidP="00F51716">
            <w:pPr>
              <w:pStyle w:val="Tabletext0"/>
            </w:pPr>
            <w:r w:rsidRPr="0038675F">
              <w:t>Edge Environment Pty Ltd</w:t>
            </w:r>
          </w:p>
        </w:tc>
        <w:tc>
          <w:tcPr>
            <w:tcW w:w="2729" w:type="dxa"/>
            <w:vAlign w:val="bottom"/>
          </w:tcPr>
          <w:p w14:paraId="08F23C18" w14:textId="018EDAB2" w:rsidR="00AA4AED" w:rsidRDefault="00AA4AED" w:rsidP="00F51716">
            <w:pPr>
              <w:pStyle w:val="Tabletext0"/>
            </w:pPr>
            <w:r w:rsidRPr="0038675F">
              <w:t>To improve our food waste by identifying the impacts of food production and food waste in Victoria</w:t>
            </w:r>
          </w:p>
        </w:tc>
        <w:tc>
          <w:tcPr>
            <w:tcW w:w="1171" w:type="dxa"/>
          </w:tcPr>
          <w:p w14:paraId="4FF81A84" w14:textId="606883AD" w:rsidR="00AA4AED" w:rsidRDefault="00AA4AED" w:rsidP="00F51716">
            <w:pPr>
              <w:pStyle w:val="Tabletext0"/>
            </w:pPr>
            <w:r>
              <w:t>31/03/2020</w:t>
            </w:r>
          </w:p>
        </w:tc>
        <w:tc>
          <w:tcPr>
            <w:tcW w:w="1171" w:type="dxa"/>
          </w:tcPr>
          <w:p w14:paraId="7C1E23D3" w14:textId="249079B7" w:rsidR="00AA4AED" w:rsidRDefault="00AA4AED" w:rsidP="00F51716">
            <w:pPr>
              <w:pStyle w:val="Tabletext0"/>
            </w:pPr>
            <w:r>
              <w:t>22/06/2020</w:t>
            </w:r>
          </w:p>
        </w:tc>
        <w:tc>
          <w:tcPr>
            <w:tcW w:w="1283" w:type="dxa"/>
          </w:tcPr>
          <w:p w14:paraId="2B5148BE" w14:textId="559A15B4" w:rsidR="00AA4AED" w:rsidRDefault="00AA4AED" w:rsidP="00F51716">
            <w:pPr>
              <w:pStyle w:val="Tabletext0"/>
            </w:pPr>
            <w:r>
              <w:t>$98,826.00</w:t>
            </w:r>
          </w:p>
        </w:tc>
        <w:tc>
          <w:tcPr>
            <w:tcW w:w="1283" w:type="dxa"/>
          </w:tcPr>
          <w:p w14:paraId="68607ADC" w14:textId="133F8B63" w:rsidR="00AA4AED" w:rsidRDefault="00AA4AED" w:rsidP="00F51716">
            <w:pPr>
              <w:pStyle w:val="Tabletext0"/>
            </w:pPr>
            <w:r>
              <w:t>$8,117.00</w:t>
            </w:r>
          </w:p>
        </w:tc>
        <w:tc>
          <w:tcPr>
            <w:tcW w:w="1360" w:type="dxa"/>
          </w:tcPr>
          <w:p w14:paraId="585641F5" w14:textId="07D30526" w:rsidR="00AA4AED" w:rsidRDefault="00AA4AED" w:rsidP="00F51716">
            <w:pPr>
              <w:pStyle w:val="Tabletext0"/>
            </w:pPr>
            <w:r>
              <w:t>$85,709.00</w:t>
            </w:r>
          </w:p>
        </w:tc>
      </w:tr>
      <w:tr w:rsidR="00AA4AED" w14:paraId="78952697" w14:textId="77777777" w:rsidTr="00CF3851">
        <w:tc>
          <w:tcPr>
            <w:tcW w:w="926" w:type="dxa"/>
          </w:tcPr>
          <w:p w14:paraId="6E523D8F" w14:textId="45792E6A" w:rsidR="00AA4AED" w:rsidRDefault="00AA4AED" w:rsidP="00F51716">
            <w:pPr>
              <w:pStyle w:val="Tabletext0"/>
            </w:pPr>
            <w:r>
              <w:t>C-11699</w:t>
            </w:r>
          </w:p>
        </w:tc>
        <w:tc>
          <w:tcPr>
            <w:tcW w:w="1449" w:type="dxa"/>
          </w:tcPr>
          <w:p w14:paraId="6410762E" w14:textId="54F66768" w:rsidR="00AA4AED" w:rsidRDefault="00AA4AED" w:rsidP="00F51716">
            <w:pPr>
              <w:pStyle w:val="Tabletext0"/>
            </w:pPr>
            <w:r w:rsidRPr="00BD4666">
              <w:t>First Person Consulting</w:t>
            </w:r>
          </w:p>
        </w:tc>
        <w:tc>
          <w:tcPr>
            <w:tcW w:w="2729" w:type="dxa"/>
            <w:vAlign w:val="bottom"/>
          </w:tcPr>
          <w:p w14:paraId="6692BDD1" w14:textId="0BE9E4E4" w:rsidR="00AA4AED" w:rsidRDefault="00AA4AED" w:rsidP="00F51716">
            <w:pPr>
              <w:pStyle w:val="Tabletext0"/>
            </w:pPr>
            <w:r w:rsidRPr="00BD4666">
              <w:t>To evaluate the effectiveness and efficiency of the TAKE2 program</w:t>
            </w:r>
          </w:p>
        </w:tc>
        <w:tc>
          <w:tcPr>
            <w:tcW w:w="1171" w:type="dxa"/>
          </w:tcPr>
          <w:p w14:paraId="2688E57A" w14:textId="26FEA5B8" w:rsidR="00AA4AED" w:rsidRDefault="00AA4AED" w:rsidP="00F51716">
            <w:pPr>
              <w:pStyle w:val="Tabletext0"/>
            </w:pPr>
            <w:r>
              <w:t>22/05/2020</w:t>
            </w:r>
          </w:p>
        </w:tc>
        <w:tc>
          <w:tcPr>
            <w:tcW w:w="1171" w:type="dxa"/>
          </w:tcPr>
          <w:p w14:paraId="6CD83808" w14:textId="122841BD" w:rsidR="00AA4AED" w:rsidRDefault="00AA4AED" w:rsidP="00F51716">
            <w:pPr>
              <w:pStyle w:val="Tabletext0"/>
            </w:pPr>
            <w:r>
              <w:t>30/06/2020</w:t>
            </w:r>
          </w:p>
        </w:tc>
        <w:tc>
          <w:tcPr>
            <w:tcW w:w="1283" w:type="dxa"/>
          </w:tcPr>
          <w:p w14:paraId="3DEA8C62" w14:textId="2D6EA47C" w:rsidR="00AA4AED" w:rsidRDefault="00AA4AED" w:rsidP="00F51716">
            <w:pPr>
              <w:pStyle w:val="Tabletext0"/>
            </w:pPr>
            <w:r>
              <w:t>$28,900.00</w:t>
            </w:r>
          </w:p>
        </w:tc>
        <w:tc>
          <w:tcPr>
            <w:tcW w:w="1283" w:type="dxa"/>
          </w:tcPr>
          <w:p w14:paraId="6A1860A5" w14:textId="08A90510" w:rsidR="00AA4AED" w:rsidRDefault="00AA4AED" w:rsidP="00F51716">
            <w:pPr>
              <w:pStyle w:val="Tabletext0"/>
            </w:pPr>
            <w:r>
              <w:t>$17,340.00</w:t>
            </w:r>
          </w:p>
        </w:tc>
        <w:tc>
          <w:tcPr>
            <w:tcW w:w="1360" w:type="dxa"/>
          </w:tcPr>
          <w:p w14:paraId="44407A00" w14:textId="5733EC63" w:rsidR="00AA4AED" w:rsidRDefault="00AA4AED" w:rsidP="00F51716">
            <w:pPr>
              <w:pStyle w:val="Tabletext0"/>
            </w:pPr>
            <w:r>
              <w:t>$11,560.00</w:t>
            </w:r>
          </w:p>
        </w:tc>
      </w:tr>
      <w:tr w:rsidR="00AA4AED" w14:paraId="755F7B60" w14:textId="77777777" w:rsidTr="00CF3851">
        <w:tc>
          <w:tcPr>
            <w:tcW w:w="926" w:type="dxa"/>
          </w:tcPr>
          <w:p w14:paraId="0CF671D5" w14:textId="7E0066EE" w:rsidR="00AA4AED" w:rsidRDefault="00AA4AED" w:rsidP="00F51716">
            <w:pPr>
              <w:pStyle w:val="Tabletext0"/>
            </w:pPr>
            <w:r>
              <w:t>C-11709</w:t>
            </w:r>
          </w:p>
        </w:tc>
        <w:tc>
          <w:tcPr>
            <w:tcW w:w="1449" w:type="dxa"/>
          </w:tcPr>
          <w:p w14:paraId="6579BF56" w14:textId="7079B7E9" w:rsidR="00AA4AED" w:rsidRDefault="00AA4AED" w:rsidP="00F51716">
            <w:pPr>
              <w:pStyle w:val="Tabletext0"/>
            </w:pPr>
            <w:r w:rsidRPr="00BD4666">
              <w:t>Price Waterhouse Coopers</w:t>
            </w:r>
          </w:p>
        </w:tc>
        <w:tc>
          <w:tcPr>
            <w:tcW w:w="2729" w:type="dxa"/>
            <w:vAlign w:val="bottom"/>
          </w:tcPr>
          <w:p w14:paraId="0AAE209C" w14:textId="089164CD" w:rsidR="00AA4AED" w:rsidRDefault="00AA4AED" w:rsidP="00F51716">
            <w:pPr>
              <w:pStyle w:val="Tabletext0"/>
            </w:pPr>
            <w:r>
              <w:t>T</w:t>
            </w:r>
            <w:r w:rsidRPr="00BD4666">
              <w:t>o apply specialist commercial knowledge of the resource recovery sector to assess the viability of the projects to support the interdepartmental panel of assessors</w:t>
            </w:r>
          </w:p>
        </w:tc>
        <w:tc>
          <w:tcPr>
            <w:tcW w:w="1171" w:type="dxa"/>
          </w:tcPr>
          <w:p w14:paraId="5525B665" w14:textId="4CD4C964" w:rsidR="00AA4AED" w:rsidRDefault="00AA4AED" w:rsidP="00F51716">
            <w:pPr>
              <w:pStyle w:val="Tabletext0"/>
            </w:pPr>
            <w:r>
              <w:t>10/6/2020</w:t>
            </w:r>
          </w:p>
        </w:tc>
        <w:tc>
          <w:tcPr>
            <w:tcW w:w="1171" w:type="dxa"/>
          </w:tcPr>
          <w:p w14:paraId="22D32399" w14:textId="1A3ECEA8" w:rsidR="00AA4AED" w:rsidRDefault="00AA4AED" w:rsidP="00F51716">
            <w:pPr>
              <w:pStyle w:val="Tabletext0"/>
            </w:pPr>
            <w:r>
              <w:t>31/12/2020</w:t>
            </w:r>
          </w:p>
        </w:tc>
        <w:tc>
          <w:tcPr>
            <w:tcW w:w="1283" w:type="dxa"/>
          </w:tcPr>
          <w:p w14:paraId="1909756F" w14:textId="768AC7E3" w:rsidR="00AA4AED" w:rsidRDefault="00AA4AED" w:rsidP="00F51716">
            <w:pPr>
              <w:pStyle w:val="Tabletext0"/>
            </w:pPr>
            <w:r>
              <w:t>$114,653.10</w:t>
            </w:r>
          </w:p>
        </w:tc>
        <w:tc>
          <w:tcPr>
            <w:tcW w:w="1283" w:type="dxa"/>
          </w:tcPr>
          <w:p w14:paraId="1AEAD66E" w14:textId="45234CE5" w:rsidR="00AA4AED" w:rsidRDefault="00AA4AED" w:rsidP="00F51716">
            <w:pPr>
              <w:pStyle w:val="Tabletext0"/>
            </w:pPr>
            <w:r>
              <w:t>$0.00</w:t>
            </w:r>
          </w:p>
        </w:tc>
        <w:tc>
          <w:tcPr>
            <w:tcW w:w="1360" w:type="dxa"/>
          </w:tcPr>
          <w:p w14:paraId="3E30E8CB" w14:textId="7649C9BA" w:rsidR="00AA4AED" w:rsidRDefault="00AA4AED" w:rsidP="00F51716">
            <w:pPr>
              <w:pStyle w:val="Tabletext0"/>
            </w:pPr>
            <w:r>
              <w:t>$114,653.10</w:t>
            </w:r>
          </w:p>
        </w:tc>
      </w:tr>
      <w:tr w:rsidR="00AA4AED" w14:paraId="6AB11F60" w14:textId="77777777" w:rsidTr="00CF3851">
        <w:tc>
          <w:tcPr>
            <w:tcW w:w="926" w:type="dxa"/>
          </w:tcPr>
          <w:p w14:paraId="6B0D0497" w14:textId="67605F7E" w:rsidR="00AA4AED" w:rsidRDefault="00AA4AED" w:rsidP="00F51716">
            <w:pPr>
              <w:pStyle w:val="Tabletext0"/>
            </w:pPr>
            <w:r>
              <w:t>C-11680</w:t>
            </w:r>
          </w:p>
        </w:tc>
        <w:tc>
          <w:tcPr>
            <w:tcW w:w="1449" w:type="dxa"/>
          </w:tcPr>
          <w:p w14:paraId="6D75F24A" w14:textId="773C4AD3" w:rsidR="00AA4AED" w:rsidRDefault="00AA4AED" w:rsidP="00F51716">
            <w:pPr>
              <w:pStyle w:val="Tabletext0"/>
            </w:pPr>
            <w:r w:rsidRPr="00BD4666">
              <w:t>Price Waterhouse Coopers</w:t>
            </w:r>
          </w:p>
        </w:tc>
        <w:tc>
          <w:tcPr>
            <w:tcW w:w="2729" w:type="dxa"/>
            <w:vAlign w:val="bottom"/>
          </w:tcPr>
          <w:p w14:paraId="60DCEE34" w14:textId="26FF21AC" w:rsidR="00AA4AED" w:rsidRDefault="00AA4AED" w:rsidP="00F51716">
            <w:pPr>
              <w:pStyle w:val="Tabletext0"/>
            </w:pPr>
            <w:r>
              <w:t xml:space="preserve">To </w:t>
            </w:r>
            <w:r w:rsidRPr="00BD4666">
              <w:t>provide expert advice of technical/technology and infrastructure and financial and economic analysis to projects</w:t>
            </w:r>
          </w:p>
        </w:tc>
        <w:tc>
          <w:tcPr>
            <w:tcW w:w="1171" w:type="dxa"/>
          </w:tcPr>
          <w:p w14:paraId="16AB1B55" w14:textId="6D540B65" w:rsidR="00AA4AED" w:rsidRDefault="00AA4AED" w:rsidP="00F51716">
            <w:pPr>
              <w:pStyle w:val="Tabletext0"/>
            </w:pPr>
            <w:r>
              <w:t>8/05/2020</w:t>
            </w:r>
          </w:p>
        </w:tc>
        <w:tc>
          <w:tcPr>
            <w:tcW w:w="1171" w:type="dxa"/>
          </w:tcPr>
          <w:p w14:paraId="3D444892" w14:textId="4C460D96" w:rsidR="00AA4AED" w:rsidRDefault="00AA4AED" w:rsidP="00F51716">
            <w:pPr>
              <w:pStyle w:val="Tabletext0"/>
            </w:pPr>
            <w:r>
              <w:t>30/06/2020</w:t>
            </w:r>
          </w:p>
        </w:tc>
        <w:tc>
          <w:tcPr>
            <w:tcW w:w="1283" w:type="dxa"/>
          </w:tcPr>
          <w:p w14:paraId="7FA0E7D2" w14:textId="368422E9" w:rsidR="00AA4AED" w:rsidRDefault="00AA4AED" w:rsidP="00F51716">
            <w:pPr>
              <w:pStyle w:val="Tabletext0"/>
            </w:pPr>
            <w:r>
              <w:t>$45,780.00</w:t>
            </w:r>
          </w:p>
        </w:tc>
        <w:tc>
          <w:tcPr>
            <w:tcW w:w="1283" w:type="dxa"/>
          </w:tcPr>
          <w:p w14:paraId="5AEA5AE0" w14:textId="063C224F" w:rsidR="00AA4AED" w:rsidRDefault="00AA4AED" w:rsidP="00F51716">
            <w:pPr>
              <w:pStyle w:val="Tabletext0"/>
            </w:pPr>
            <w:r>
              <w:t>$0.00</w:t>
            </w:r>
          </w:p>
        </w:tc>
        <w:tc>
          <w:tcPr>
            <w:tcW w:w="1360" w:type="dxa"/>
          </w:tcPr>
          <w:p w14:paraId="6BAD1951" w14:textId="4BFCE61F" w:rsidR="00AA4AED" w:rsidRDefault="00AA4AED" w:rsidP="00F51716">
            <w:pPr>
              <w:pStyle w:val="Tabletext0"/>
            </w:pPr>
            <w:r>
              <w:t>$45,780.00</w:t>
            </w:r>
          </w:p>
        </w:tc>
      </w:tr>
      <w:tr w:rsidR="00AA4AED" w14:paraId="3D5332AC" w14:textId="77777777" w:rsidTr="00CF3851">
        <w:tc>
          <w:tcPr>
            <w:tcW w:w="926" w:type="dxa"/>
          </w:tcPr>
          <w:p w14:paraId="280D95E5" w14:textId="401520A8" w:rsidR="00AA4AED" w:rsidRDefault="00AA4AED" w:rsidP="00F51716">
            <w:pPr>
              <w:pStyle w:val="Tabletext0"/>
            </w:pPr>
            <w:r>
              <w:t>C-11710</w:t>
            </w:r>
          </w:p>
        </w:tc>
        <w:tc>
          <w:tcPr>
            <w:tcW w:w="1449" w:type="dxa"/>
          </w:tcPr>
          <w:p w14:paraId="2C3C3AE0" w14:textId="0592AE5E" w:rsidR="00AA4AED" w:rsidRDefault="00AA4AED" w:rsidP="00F51716">
            <w:pPr>
              <w:pStyle w:val="Tabletext0"/>
            </w:pPr>
            <w:r>
              <w:t>Arcadis</w:t>
            </w:r>
          </w:p>
        </w:tc>
        <w:tc>
          <w:tcPr>
            <w:tcW w:w="2729" w:type="dxa"/>
            <w:vAlign w:val="bottom"/>
          </w:tcPr>
          <w:p w14:paraId="1DAB5E32" w14:textId="1254E7F9" w:rsidR="00AA4AED" w:rsidRDefault="00AA4AED" w:rsidP="00F51716">
            <w:pPr>
              <w:pStyle w:val="Tabletext0"/>
            </w:pPr>
            <w:r w:rsidRPr="00BD4666">
              <w:t>To provide expert advice of technical/technology and infrastructure and financial and economic analysis to projects</w:t>
            </w:r>
          </w:p>
        </w:tc>
        <w:tc>
          <w:tcPr>
            <w:tcW w:w="1171" w:type="dxa"/>
          </w:tcPr>
          <w:p w14:paraId="52496E31" w14:textId="6A0E9207" w:rsidR="00AA4AED" w:rsidRDefault="00AA4AED" w:rsidP="00F51716">
            <w:pPr>
              <w:pStyle w:val="Tabletext0"/>
            </w:pPr>
            <w:r>
              <w:t>11/06/2020</w:t>
            </w:r>
          </w:p>
        </w:tc>
        <w:tc>
          <w:tcPr>
            <w:tcW w:w="1171" w:type="dxa"/>
          </w:tcPr>
          <w:p w14:paraId="66153952" w14:textId="4C050A3B" w:rsidR="00AA4AED" w:rsidRDefault="00AA4AED" w:rsidP="00F51716">
            <w:pPr>
              <w:pStyle w:val="Tabletext0"/>
            </w:pPr>
            <w:r>
              <w:t>31/12/2020</w:t>
            </w:r>
          </w:p>
        </w:tc>
        <w:tc>
          <w:tcPr>
            <w:tcW w:w="1283" w:type="dxa"/>
          </w:tcPr>
          <w:p w14:paraId="5744F1BA" w14:textId="786664A7" w:rsidR="00AA4AED" w:rsidRDefault="00AA4AED" w:rsidP="00F51716">
            <w:pPr>
              <w:pStyle w:val="Tabletext0"/>
            </w:pPr>
            <w:r>
              <w:t>$54,540.00</w:t>
            </w:r>
          </w:p>
        </w:tc>
        <w:tc>
          <w:tcPr>
            <w:tcW w:w="1283" w:type="dxa"/>
          </w:tcPr>
          <w:p w14:paraId="0AFA5ED7" w14:textId="0B30581A" w:rsidR="00AA4AED" w:rsidRDefault="00AA4AED" w:rsidP="00F51716">
            <w:pPr>
              <w:pStyle w:val="Tabletext0"/>
            </w:pPr>
            <w:r>
              <w:t>$0.00</w:t>
            </w:r>
          </w:p>
        </w:tc>
        <w:tc>
          <w:tcPr>
            <w:tcW w:w="1360" w:type="dxa"/>
          </w:tcPr>
          <w:p w14:paraId="421511A8" w14:textId="58B0939E" w:rsidR="00AA4AED" w:rsidRDefault="00AA4AED" w:rsidP="00F51716">
            <w:pPr>
              <w:pStyle w:val="Tabletext0"/>
            </w:pPr>
            <w:r>
              <w:t>$54,540.00</w:t>
            </w:r>
          </w:p>
        </w:tc>
      </w:tr>
    </w:tbl>
    <w:p w14:paraId="06758F3B" w14:textId="5EA9146E" w:rsidR="00A12531" w:rsidRPr="00355BF7" w:rsidRDefault="00A12531" w:rsidP="00F51716">
      <w:pPr>
        <w:pStyle w:val="Heading2"/>
      </w:pPr>
      <w:bookmarkStart w:id="112" w:name="_Toc56627347"/>
      <w:bookmarkStart w:id="113" w:name="_Toc57039882"/>
      <w:bookmarkStart w:id="114" w:name="_Toc59624217"/>
      <w:r w:rsidRPr="00355BF7">
        <w:t>Details of consultancies (valued at less than $10,000)</w:t>
      </w:r>
      <w:bookmarkEnd w:id="112"/>
      <w:bookmarkEnd w:id="113"/>
      <w:bookmarkEnd w:id="114"/>
    </w:p>
    <w:p w14:paraId="7B268462" w14:textId="609A4555" w:rsidR="00AA43E0" w:rsidRPr="00AF6B06" w:rsidRDefault="00AA43E0" w:rsidP="00F51716">
      <w:r w:rsidRPr="00AF6B06">
        <w:t>In 201</w:t>
      </w:r>
      <w:r w:rsidR="002879E7">
        <w:t>9</w:t>
      </w:r>
      <w:r w:rsidR="005D5DBE">
        <w:t>–</w:t>
      </w:r>
      <w:r w:rsidR="002879E7">
        <w:t>20</w:t>
      </w:r>
      <w:r w:rsidRPr="00AF6B06">
        <w:t xml:space="preserve">, there </w:t>
      </w:r>
      <w:r>
        <w:t xml:space="preserve">was </w:t>
      </w:r>
      <w:r w:rsidR="00241F93">
        <w:t>one</w:t>
      </w:r>
      <w:r w:rsidRPr="00AF6B06">
        <w:t xml:space="preserve"> consultancy engaged during the year, where the total fees payable to the individual consultants was less than $10 000. The total expenditure incurred during </w:t>
      </w:r>
      <w:r w:rsidR="005D5DBE">
        <w:t>2019–20</w:t>
      </w:r>
      <w:r w:rsidRPr="00AF6B06">
        <w:t xml:space="preserve"> in relation to these consultancies was $</w:t>
      </w:r>
      <w:r>
        <w:t>9,000</w:t>
      </w:r>
      <w:r w:rsidRPr="00AF6B06">
        <w:t xml:space="preserve"> (excl. GST).</w:t>
      </w:r>
    </w:p>
    <w:p w14:paraId="0E19ED79" w14:textId="1781AE55" w:rsidR="00A12531" w:rsidRDefault="00891D3B" w:rsidP="00F51716">
      <w:pPr>
        <w:pStyle w:val="Heading2"/>
        <w:rPr>
          <w:rFonts w:eastAsiaTheme="minorHAnsi" w:cs="Times New Roman"/>
        </w:rPr>
      </w:pPr>
      <w:bookmarkStart w:id="115" w:name="_Toc56627348"/>
      <w:bookmarkStart w:id="116" w:name="_Toc57039883"/>
      <w:bookmarkStart w:id="117" w:name="_Toc59624218"/>
      <w:r w:rsidRPr="00355BF7">
        <w:t>Information and Communication Technology expenditure</w:t>
      </w:r>
      <w:bookmarkEnd w:id="115"/>
      <w:bookmarkEnd w:id="116"/>
      <w:bookmarkEnd w:id="117"/>
    </w:p>
    <w:p w14:paraId="41043096" w14:textId="70C3172E" w:rsidR="00276DC8" w:rsidRDefault="00276DC8" w:rsidP="00F51716">
      <w:bookmarkStart w:id="118" w:name="_Hlk48123415"/>
      <w:r>
        <w:t xml:space="preserve">For the </w:t>
      </w:r>
      <w:r w:rsidR="000C241B">
        <w:t>2019</w:t>
      </w:r>
      <w:r w:rsidR="005D5DBE">
        <w:t>–</w:t>
      </w:r>
      <w:r w:rsidR="000C241B">
        <w:t xml:space="preserve">20 </w:t>
      </w:r>
      <w:r>
        <w:t>reporting period, SV had a total ICT expenditure of $</w:t>
      </w:r>
      <w:r w:rsidR="00CB38D1">
        <w:t>2</w:t>
      </w:r>
      <w:r>
        <w:t>,</w:t>
      </w:r>
      <w:r w:rsidR="00CB38D1">
        <w:t>803</w:t>
      </w:r>
      <w:r>
        <w:t>,</w:t>
      </w:r>
      <w:r w:rsidR="00CB38D1">
        <w:t>278</w:t>
      </w:r>
      <w:r>
        <w:t xml:space="preserve">, </w:t>
      </w:r>
      <w:r w:rsidR="003F76A8">
        <w:t xml:space="preserve">as shown in </w:t>
      </w:r>
      <w:r w:rsidR="003F76A8">
        <w:fldChar w:fldCharType="begin"/>
      </w:r>
      <w:r w:rsidR="003F76A8">
        <w:instrText xml:space="preserve"> REF _Ref57367651 \h </w:instrText>
      </w:r>
      <w:r w:rsidR="003F76A8">
        <w:fldChar w:fldCharType="separate"/>
      </w:r>
      <w:r w:rsidR="00205952">
        <w:t xml:space="preserve">Table </w:t>
      </w:r>
      <w:r w:rsidR="00205952">
        <w:rPr>
          <w:noProof/>
        </w:rPr>
        <w:t>32</w:t>
      </w:r>
      <w:r w:rsidR="003F76A8">
        <w:fldChar w:fldCharType="end"/>
      </w:r>
      <w:r>
        <w:t>.</w:t>
      </w:r>
    </w:p>
    <w:p w14:paraId="7D411C0A" w14:textId="2CF7FCB3" w:rsidR="003F76A8" w:rsidRPr="00276DC8" w:rsidRDefault="003F76A8" w:rsidP="00F51716">
      <w:pPr>
        <w:pStyle w:val="Caption"/>
      </w:pPr>
      <w:bookmarkStart w:id="119" w:name="_Ref57367651"/>
      <w:r>
        <w:t xml:space="preserve">Table </w:t>
      </w:r>
      <w:fldSimple w:instr=" SEQ Table \* ARABIC ">
        <w:r w:rsidR="003F15CC">
          <w:rPr>
            <w:noProof/>
          </w:rPr>
          <w:t>32</w:t>
        </w:r>
      </w:fldSimple>
      <w:bookmarkEnd w:id="119"/>
      <w:r>
        <w:t>: Information and communication technology expenditure</w:t>
      </w:r>
    </w:p>
    <w:tbl>
      <w:tblPr>
        <w:tblW w:w="9342" w:type="dxa"/>
        <w:tblLook w:val="04A0" w:firstRow="1" w:lastRow="0" w:firstColumn="1" w:lastColumn="0" w:noHBand="0" w:noVBand="1"/>
      </w:tblPr>
      <w:tblGrid>
        <w:gridCol w:w="2127"/>
        <w:gridCol w:w="2959"/>
        <w:gridCol w:w="2264"/>
        <w:gridCol w:w="1992"/>
      </w:tblGrid>
      <w:tr w:rsidR="007E523C" w:rsidRPr="007E523C" w14:paraId="609BBCFF" w14:textId="77777777" w:rsidTr="00AB668E">
        <w:trPr>
          <w:trHeight w:val="191"/>
        </w:trPr>
        <w:tc>
          <w:tcPr>
            <w:tcW w:w="2127" w:type="dxa"/>
            <w:tcBorders>
              <w:top w:val="nil"/>
              <w:left w:val="nil"/>
              <w:bottom w:val="nil"/>
              <w:right w:val="nil"/>
            </w:tcBorders>
            <w:shd w:val="clear" w:color="auto" w:fill="82C341" w:themeFill="background1"/>
            <w:noWrap/>
            <w:vAlign w:val="bottom"/>
            <w:hideMark/>
          </w:tcPr>
          <w:p w14:paraId="5AD2647C" w14:textId="6E962D4D" w:rsidR="007E523C" w:rsidRPr="007E523C" w:rsidRDefault="007E523C" w:rsidP="00F51716">
            <w:pPr>
              <w:pStyle w:val="TableHeading"/>
            </w:pPr>
            <w:bookmarkStart w:id="120" w:name="_Hlk48757511"/>
            <w:r w:rsidRPr="007E523C">
              <w:t xml:space="preserve">All </w:t>
            </w:r>
            <w:r w:rsidR="00801DD3">
              <w:t>o</w:t>
            </w:r>
            <w:r w:rsidRPr="007E523C">
              <w:t>perational ICT expenditure</w:t>
            </w:r>
          </w:p>
        </w:tc>
        <w:tc>
          <w:tcPr>
            <w:tcW w:w="7215" w:type="dxa"/>
            <w:gridSpan w:val="3"/>
            <w:tcBorders>
              <w:top w:val="nil"/>
              <w:left w:val="nil"/>
              <w:bottom w:val="nil"/>
              <w:right w:val="nil"/>
            </w:tcBorders>
            <w:shd w:val="clear" w:color="auto" w:fill="82C341" w:themeFill="background1"/>
            <w:noWrap/>
            <w:vAlign w:val="bottom"/>
            <w:hideMark/>
          </w:tcPr>
          <w:p w14:paraId="5465CDF9" w14:textId="77777777" w:rsidR="007E523C" w:rsidRPr="007E523C" w:rsidRDefault="007E523C" w:rsidP="00F51716">
            <w:pPr>
              <w:pStyle w:val="TableHeading"/>
            </w:pPr>
            <w:r w:rsidRPr="007E523C">
              <w:t>ICT expenditure relating to projects to create or enhance ICT capabilities</w:t>
            </w:r>
          </w:p>
        </w:tc>
      </w:tr>
      <w:tr w:rsidR="007E523C" w:rsidRPr="007E523C" w14:paraId="64099745" w14:textId="77777777" w:rsidTr="00AB668E">
        <w:trPr>
          <w:trHeight w:val="574"/>
        </w:trPr>
        <w:tc>
          <w:tcPr>
            <w:tcW w:w="2127" w:type="dxa"/>
            <w:tcBorders>
              <w:top w:val="nil"/>
              <w:left w:val="nil"/>
              <w:bottom w:val="nil"/>
              <w:right w:val="nil"/>
            </w:tcBorders>
            <w:shd w:val="clear" w:color="000000" w:fill="FFFFFF"/>
          </w:tcPr>
          <w:p w14:paraId="51AE5FEC" w14:textId="4172FDDF" w:rsidR="007E523C" w:rsidRPr="00801DD3" w:rsidRDefault="00F11935" w:rsidP="00F51716">
            <w:pPr>
              <w:pStyle w:val="Tabletext0"/>
            </w:pPr>
            <w:r w:rsidRPr="00801DD3">
              <w:t xml:space="preserve">Business as usual (BAU) ICT </w:t>
            </w:r>
            <w:r w:rsidR="003F76A8">
              <w:t>e</w:t>
            </w:r>
            <w:r w:rsidRPr="00801DD3">
              <w:t>xpenditure</w:t>
            </w:r>
          </w:p>
        </w:tc>
        <w:tc>
          <w:tcPr>
            <w:tcW w:w="2959" w:type="dxa"/>
            <w:tcBorders>
              <w:top w:val="nil"/>
              <w:left w:val="nil"/>
              <w:bottom w:val="nil"/>
              <w:right w:val="nil"/>
            </w:tcBorders>
            <w:shd w:val="clear" w:color="000000" w:fill="FFFFFF"/>
          </w:tcPr>
          <w:p w14:paraId="29A2C00B" w14:textId="46958D0B" w:rsidR="007E523C" w:rsidRPr="00801DD3" w:rsidRDefault="00F11935" w:rsidP="00F51716">
            <w:pPr>
              <w:pStyle w:val="Tabletext0"/>
            </w:pPr>
            <w:r w:rsidRPr="00801DD3">
              <w:t>Non-Business as usual (</w:t>
            </w:r>
            <w:r w:rsidR="0087471B" w:rsidRPr="00801DD3">
              <w:t xml:space="preserve">Non </w:t>
            </w:r>
            <w:r w:rsidRPr="00801DD3">
              <w:t xml:space="preserve">BAU) ICT </w:t>
            </w:r>
            <w:r w:rsidR="003F76A8">
              <w:t>e</w:t>
            </w:r>
            <w:r w:rsidRPr="00801DD3">
              <w:t xml:space="preserve">xpenditure </w:t>
            </w:r>
            <w:r w:rsidR="003F76A8">
              <w:br/>
            </w:r>
            <w:r w:rsidRPr="00801DD3">
              <w:t>Total</w:t>
            </w:r>
            <w:r w:rsidR="003F76A8">
              <w:t xml:space="preserve"> </w:t>
            </w:r>
            <w:r w:rsidRPr="00801DD3">
              <w:t>=</w:t>
            </w:r>
            <w:r w:rsidR="003F76A8">
              <w:t xml:space="preserve"> </w:t>
            </w:r>
            <w:r w:rsidRPr="00801DD3">
              <w:t>Opex and Capex expenditure</w:t>
            </w:r>
          </w:p>
        </w:tc>
        <w:tc>
          <w:tcPr>
            <w:tcW w:w="2264" w:type="dxa"/>
            <w:tcBorders>
              <w:top w:val="nil"/>
              <w:left w:val="nil"/>
              <w:bottom w:val="nil"/>
              <w:right w:val="nil"/>
            </w:tcBorders>
            <w:shd w:val="clear" w:color="000000" w:fill="FFFFFF"/>
          </w:tcPr>
          <w:p w14:paraId="63AE41A2" w14:textId="51F3418C" w:rsidR="007E523C" w:rsidRPr="00801DD3" w:rsidRDefault="00F11935" w:rsidP="00F51716">
            <w:pPr>
              <w:pStyle w:val="Tabletext0"/>
            </w:pPr>
            <w:r w:rsidRPr="00801DD3">
              <w:t>Operational (Opex) expenditure</w:t>
            </w:r>
          </w:p>
        </w:tc>
        <w:tc>
          <w:tcPr>
            <w:tcW w:w="1992" w:type="dxa"/>
            <w:tcBorders>
              <w:top w:val="nil"/>
              <w:left w:val="nil"/>
              <w:bottom w:val="nil"/>
              <w:right w:val="nil"/>
            </w:tcBorders>
            <w:shd w:val="clear" w:color="000000" w:fill="FFFFFF"/>
          </w:tcPr>
          <w:p w14:paraId="2F18C350" w14:textId="435C7671" w:rsidR="007E523C" w:rsidRPr="00801DD3" w:rsidRDefault="00F11935" w:rsidP="00F51716">
            <w:pPr>
              <w:pStyle w:val="Tabletext0"/>
            </w:pPr>
            <w:r w:rsidRPr="00801DD3">
              <w:t>Capital (Capex) expenditure</w:t>
            </w:r>
          </w:p>
        </w:tc>
      </w:tr>
      <w:tr w:rsidR="007E523C" w:rsidRPr="007E523C" w14:paraId="0766AA1E" w14:textId="77777777" w:rsidTr="00AB668E">
        <w:trPr>
          <w:trHeight w:val="191"/>
        </w:trPr>
        <w:tc>
          <w:tcPr>
            <w:tcW w:w="2127" w:type="dxa"/>
            <w:tcBorders>
              <w:top w:val="nil"/>
              <w:left w:val="nil"/>
              <w:bottom w:val="nil"/>
              <w:right w:val="nil"/>
            </w:tcBorders>
            <w:shd w:val="clear" w:color="000000" w:fill="C9C9C9"/>
            <w:noWrap/>
            <w:vAlign w:val="bottom"/>
          </w:tcPr>
          <w:p w14:paraId="5EFD2FA5" w14:textId="5404EDA4" w:rsidR="007E523C" w:rsidRPr="00801DD3" w:rsidRDefault="00F11935" w:rsidP="00F51716">
            <w:pPr>
              <w:pStyle w:val="Tabletext0"/>
            </w:pPr>
            <w:r w:rsidRPr="00801DD3">
              <w:t>$2,302,275</w:t>
            </w:r>
          </w:p>
        </w:tc>
        <w:tc>
          <w:tcPr>
            <w:tcW w:w="2959" w:type="dxa"/>
            <w:tcBorders>
              <w:top w:val="nil"/>
              <w:left w:val="nil"/>
              <w:bottom w:val="nil"/>
              <w:right w:val="nil"/>
            </w:tcBorders>
            <w:shd w:val="clear" w:color="000000" w:fill="C9C9C9"/>
            <w:noWrap/>
            <w:vAlign w:val="bottom"/>
          </w:tcPr>
          <w:p w14:paraId="3219B744" w14:textId="27421FEA" w:rsidR="007E523C" w:rsidRPr="00801DD3" w:rsidRDefault="00CB38D1" w:rsidP="00F51716">
            <w:pPr>
              <w:pStyle w:val="Tabletext0"/>
            </w:pPr>
            <w:r w:rsidRPr="00801DD3">
              <w:t>$501,003</w:t>
            </w:r>
          </w:p>
        </w:tc>
        <w:tc>
          <w:tcPr>
            <w:tcW w:w="2264" w:type="dxa"/>
            <w:tcBorders>
              <w:top w:val="nil"/>
              <w:left w:val="nil"/>
              <w:bottom w:val="nil"/>
              <w:right w:val="nil"/>
            </w:tcBorders>
            <w:shd w:val="clear" w:color="000000" w:fill="C9C9C9"/>
            <w:noWrap/>
            <w:vAlign w:val="bottom"/>
          </w:tcPr>
          <w:p w14:paraId="1F987BE1" w14:textId="313E9BFE" w:rsidR="007E523C" w:rsidRPr="00801DD3" w:rsidRDefault="00F11935" w:rsidP="00F51716">
            <w:pPr>
              <w:pStyle w:val="Tabletext0"/>
            </w:pPr>
            <w:r w:rsidRPr="00801DD3">
              <w:t>$501,003</w:t>
            </w:r>
          </w:p>
        </w:tc>
        <w:tc>
          <w:tcPr>
            <w:tcW w:w="1992" w:type="dxa"/>
            <w:tcBorders>
              <w:top w:val="nil"/>
              <w:left w:val="nil"/>
              <w:bottom w:val="nil"/>
              <w:right w:val="nil"/>
            </w:tcBorders>
            <w:shd w:val="clear" w:color="000000" w:fill="C9C9C9"/>
            <w:noWrap/>
            <w:vAlign w:val="bottom"/>
          </w:tcPr>
          <w:p w14:paraId="37D527DA" w14:textId="5B97C117" w:rsidR="007E523C" w:rsidRPr="00801DD3" w:rsidRDefault="00CB38D1" w:rsidP="00F51716">
            <w:pPr>
              <w:pStyle w:val="Tabletext0"/>
            </w:pPr>
            <w:r w:rsidRPr="00801DD3">
              <w:t>$0</w:t>
            </w:r>
          </w:p>
        </w:tc>
      </w:tr>
      <w:bookmarkEnd w:id="120"/>
    </w:tbl>
    <w:p w14:paraId="557F3693" w14:textId="77777777" w:rsidR="007E523C" w:rsidRDefault="007E523C" w:rsidP="00F51716"/>
    <w:p w14:paraId="7AF85BB5" w14:textId="6FD6E998" w:rsidR="008A2A44" w:rsidRPr="009B41A3" w:rsidRDefault="008A2A44" w:rsidP="00F51716">
      <w:r w:rsidRPr="009B41A3">
        <w:t xml:space="preserve">ICT expenditure refers to SV’s costs in providing business enabling ICT services in the current reporting period. It comprises </w:t>
      </w:r>
      <w:r w:rsidR="003F76A8" w:rsidRPr="009B41A3">
        <w:t xml:space="preserve">business as usual </w:t>
      </w:r>
      <w:r w:rsidRPr="009B41A3">
        <w:t xml:space="preserve">(BAU) ICT expenditure and </w:t>
      </w:r>
      <w:r w:rsidR="003F76A8">
        <w:t>n</w:t>
      </w:r>
      <w:r w:rsidRPr="009B41A3">
        <w:t>on-</w:t>
      </w:r>
      <w:r w:rsidR="003F76A8" w:rsidRPr="009B41A3">
        <w:t>business as usual</w:t>
      </w:r>
      <w:r w:rsidRPr="009B41A3">
        <w:t xml:space="preserve"> (Non-BAU) ICT expenditure.</w:t>
      </w:r>
    </w:p>
    <w:p w14:paraId="24E33374" w14:textId="22CC7198" w:rsidR="008A2A44" w:rsidRPr="009B41A3" w:rsidRDefault="008A2A44" w:rsidP="00F51716">
      <w:r w:rsidRPr="009B41A3">
        <w:t>Non-BAU ICT expenditure relates to extending or enhancing SV’s current ICT capabilities.</w:t>
      </w:r>
    </w:p>
    <w:p w14:paraId="7BC3B9AE" w14:textId="223F5753" w:rsidR="00891D3B" w:rsidRDefault="008A2A44" w:rsidP="00F51716">
      <w:r w:rsidRPr="009B41A3">
        <w:t>BAU ICT expenditure is all remaining ICT expenditure which primarily relates to ongoing activities to operate and maintain the current ICT capability.</w:t>
      </w:r>
    </w:p>
    <w:p w14:paraId="717E155F" w14:textId="182E93FC" w:rsidR="00891D3B" w:rsidRPr="00355BF7" w:rsidRDefault="00891D3B" w:rsidP="00F51716">
      <w:pPr>
        <w:pStyle w:val="Heading2"/>
      </w:pPr>
      <w:bookmarkStart w:id="121" w:name="_Toc56627349"/>
      <w:bookmarkStart w:id="122" w:name="_Toc57039884"/>
      <w:bookmarkStart w:id="123" w:name="_Toc59624219"/>
      <w:bookmarkEnd w:id="118"/>
      <w:r w:rsidRPr="00355BF7">
        <w:t>Disclosure of major contracts</w:t>
      </w:r>
      <w:bookmarkEnd w:id="121"/>
      <w:bookmarkEnd w:id="122"/>
      <w:bookmarkEnd w:id="123"/>
    </w:p>
    <w:p w14:paraId="67F8B9FD" w14:textId="27AFBA44" w:rsidR="00891D3B" w:rsidRDefault="00421616" w:rsidP="00F51716">
      <w:r w:rsidRPr="00AF6B06">
        <w:t>SV did not awar</w:t>
      </w:r>
      <w:r w:rsidR="002E4C9D" w:rsidRPr="00AF6B06">
        <w:t>d</w:t>
      </w:r>
      <w:r w:rsidRPr="00AF6B06">
        <w:t xml:space="preserve"> any major contracts during </w:t>
      </w:r>
      <w:r w:rsidR="005D5DBE">
        <w:t>2019–20</w:t>
      </w:r>
      <w:r w:rsidR="00D014AA">
        <w:t>.</w:t>
      </w:r>
      <w:r w:rsidRPr="00AF6B06">
        <w:t xml:space="preserve"> A ‘major contract’ is a contract entered into during the reporting period valued at $10 million or more.</w:t>
      </w:r>
    </w:p>
    <w:p w14:paraId="54D6711B" w14:textId="77777777" w:rsidR="00CF3851" w:rsidRDefault="00CF3851">
      <w:pPr>
        <w:spacing w:line="264" w:lineRule="auto"/>
        <w:rPr>
          <w:rFonts w:asciiTheme="majorHAnsi" w:eastAsiaTheme="majorEastAsia" w:hAnsiTheme="majorHAnsi" w:cstheme="majorBidi"/>
          <w:color w:val="4F7928" w:themeColor="accent4" w:themeShade="BF"/>
          <w:sz w:val="32"/>
          <w:szCs w:val="32"/>
        </w:rPr>
      </w:pPr>
      <w:bookmarkStart w:id="124" w:name="_Toc57039885"/>
      <w:bookmarkStart w:id="125" w:name="_Toc56627350"/>
      <w:r>
        <w:br w:type="page"/>
      </w:r>
    </w:p>
    <w:p w14:paraId="3BB95FBB" w14:textId="7E671D28" w:rsidR="00192639" w:rsidRPr="00355BF7" w:rsidRDefault="00192639" w:rsidP="00F51716">
      <w:pPr>
        <w:pStyle w:val="Heading2"/>
      </w:pPr>
      <w:bookmarkStart w:id="126" w:name="_Toc59624220"/>
      <w:r w:rsidRPr="00355BF7">
        <w:t xml:space="preserve">Freedom of </w:t>
      </w:r>
      <w:r w:rsidR="00791C84">
        <w:t>i</w:t>
      </w:r>
      <w:r w:rsidRPr="00355BF7">
        <w:t>nformation</w:t>
      </w:r>
      <w:bookmarkEnd w:id="124"/>
      <w:bookmarkEnd w:id="125"/>
      <w:bookmarkEnd w:id="126"/>
    </w:p>
    <w:p w14:paraId="648F665B" w14:textId="254E1DBD" w:rsidR="008D2FB6" w:rsidRPr="00AF6B06" w:rsidRDefault="008D2FB6" w:rsidP="00F51716">
      <w:r w:rsidRPr="00AF6B06">
        <w:t xml:space="preserve">The </w:t>
      </w:r>
      <w:r w:rsidRPr="00AF6B06">
        <w:rPr>
          <w:i/>
        </w:rPr>
        <w:t>Freedom of Information Act 1982</w:t>
      </w:r>
      <w:r w:rsidRPr="00AF6B06">
        <w:t xml:space="preserve"> (the </w:t>
      </w:r>
      <w:r w:rsidR="00801DD3">
        <w:t xml:space="preserve">FOI </w:t>
      </w:r>
      <w:r w:rsidRPr="00AF6B06">
        <w:t xml:space="preserve">Act) allows the public a right of access to documents held by </w:t>
      </w:r>
      <w:r w:rsidR="003F76A8">
        <w:t>SV</w:t>
      </w:r>
      <w:r w:rsidRPr="00AF6B06">
        <w:t>. The purpose of the</w:t>
      </w:r>
      <w:r w:rsidR="00801DD3">
        <w:t xml:space="preserve"> FOI</w:t>
      </w:r>
      <w:r w:rsidRPr="00AF6B06">
        <w:t xml:space="preserve"> Act is to extend as far as possible the right of the community to access information held by government departments, local councils, </w:t>
      </w:r>
      <w:r w:rsidR="003F76A8">
        <w:t>m</w:t>
      </w:r>
      <w:r w:rsidRPr="00AF6B06">
        <w:t xml:space="preserve">inisters and other bodies subject to the </w:t>
      </w:r>
      <w:r w:rsidR="00801DD3">
        <w:t xml:space="preserve">FOI </w:t>
      </w:r>
      <w:r w:rsidRPr="00AF6B06">
        <w:t>Act.</w:t>
      </w:r>
    </w:p>
    <w:p w14:paraId="6C56A472" w14:textId="69DEB38F" w:rsidR="008D2FB6" w:rsidRPr="00AF6B06" w:rsidRDefault="008D2FB6" w:rsidP="00F51716">
      <w:r w:rsidRPr="00AF6B06">
        <w:t xml:space="preserve">An applicant may apply for access to documents both created by us or supplied to us by an external organisation or individual, and may also include maps, films, microfiche, photographs, computer printouts, computer discs, tape recordings and videotapes. Information about the type of material produced by </w:t>
      </w:r>
      <w:r w:rsidR="003F76A8">
        <w:t>SV</w:t>
      </w:r>
      <w:r w:rsidRPr="00AF6B06">
        <w:t xml:space="preserve"> is available on our website under our Part II Information Statement.</w:t>
      </w:r>
    </w:p>
    <w:p w14:paraId="26C54F0E" w14:textId="77777777" w:rsidR="003F76A8" w:rsidRDefault="008D2FB6" w:rsidP="00F51716">
      <w:r w:rsidRPr="00AF6B06">
        <w:t xml:space="preserve">The </w:t>
      </w:r>
      <w:r w:rsidR="00801DD3">
        <w:t xml:space="preserve">FOI </w:t>
      </w:r>
      <w:r w:rsidRPr="00AF6B06">
        <w:t xml:space="preserve">Act allows us to refuse access, either fully or partially, to certain documents or information. Examples of documents that may not be accessed include: </w:t>
      </w:r>
    </w:p>
    <w:p w14:paraId="2F6A4497" w14:textId="77777777" w:rsidR="003F76A8" w:rsidRDefault="008D2FB6" w:rsidP="00F51716">
      <w:pPr>
        <w:pStyle w:val="ListBullet"/>
      </w:pPr>
      <w:r w:rsidRPr="00AF6B06">
        <w:t>cabinet documents</w:t>
      </w:r>
    </w:p>
    <w:p w14:paraId="2432B023" w14:textId="77777777" w:rsidR="003F76A8" w:rsidRDefault="008D2FB6" w:rsidP="00F51716">
      <w:pPr>
        <w:pStyle w:val="ListBullet"/>
      </w:pPr>
      <w:r w:rsidRPr="00AF6B06">
        <w:t>some internal working documents</w:t>
      </w:r>
    </w:p>
    <w:p w14:paraId="50194627" w14:textId="77777777" w:rsidR="003F76A8" w:rsidRDefault="008D2FB6" w:rsidP="00F51716">
      <w:pPr>
        <w:pStyle w:val="ListBullet"/>
      </w:pPr>
      <w:r w:rsidRPr="00AF6B06">
        <w:t>law enforcement documents</w:t>
      </w:r>
    </w:p>
    <w:p w14:paraId="70806905" w14:textId="77777777" w:rsidR="003F76A8" w:rsidRDefault="008D2FB6" w:rsidP="00F51716">
      <w:pPr>
        <w:pStyle w:val="ListBullet"/>
      </w:pPr>
      <w:r w:rsidRPr="00AF6B06">
        <w:t>documents covered by legal professional privilege, such as legal advice</w:t>
      </w:r>
    </w:p>
    <w:p w14:paraId="1C6AF379" w14:textId="77777777" w:rsidR="003F76A8" w:rsidRDefault="008D2FB6" w:rsidP="00F51716">
      <w:pPr>
        <w:pStyle w:val="ListBullet"/>
      </w:pPr>
      <w:r w:rsidRPr="00AF6B06">
        <w:t>personal information about other people</w:t>
      </w:r>
    </w:p>
    <w:p w14:paraId="52EF9F20" w14:textId="07AB374A" w:rsidR="008D2FB6" w:rsidRPr="00AF6B06" w:rsidRDefault="008D2FB6" w:rsidP="00F51716">
      <w:pPr>
        <w:pStyle w:val="ListBullet"/>
      </w:pPr>
      <w:r w:rsidRPr="00AF6B06">
        <w:t>information provided to us in confidence.</w:t>
      </w:r>
    </w:p>
    <w:p w14:paraId="47EEF7F2" w14:textId="1775AD53" w:rsidR="009E303D" w:rsidRPr="00AF6B06" w:rsidRDefault="009E303D" w:rsidP="00F51716">
      <w:r w:rsidRPr="00AF6B06">
        <w:t>From 1</w:t>
      </w:r>
      <w:r w:rsidR="007536F1">
        <w:t> </w:t>
      </w:r>
      <w:r w:rsidRPr="00AF6B06">
        <w:t>September</w:t>
      </w:r>
      <w:r w:rsidR="007536F1">
        <w:t> </w:t>
      </w:r>
      <w:r w:rsidRPr="00AF6B06">
        <w:t xml:space="preserve">2017, the </w:t>
      </w:r>
      <w:r w:rsidR="00801DD3">
        <w:t xml:space="preserve">FOI </w:t>
      </w:r>
      <w:r w:rsidRPr="00AF6B06">
        <w:t>Act was amended to reduce the FOI processing time for requests received from 45 to 30 days. However, when external consultation is required the processing time automatically reverts to 45 days. Processing time may also be extended by periods of 30 days, in consultation with the applicant. With the applicant’s agreement, this may occur any number of times.</w:t>
      </w:r>
    </w:p>
    <w:p w14:paraId="389D571B" w14:textId="74F6AAD1" w:rsidR="008D2FB6" w:rsidRPr="00AF6B06" w:rsidRDefault="008D2FB6" w:rsidP="00F51716">
      <w:r w:rsidRPr="00AF6B06">
        <w:t xml:space="preserve">If an applicant is not satisfied with a decision made by us, under section 49A of the </w:t>
      </w:r>
      <w:r w:rsidR="00801DD3">
        <w:t xml:space="preserve">FOI </w:t>
      </w:r>
      <w:r w:rsidRPr="00AF6B06">
        <w:t>Act, they have the right to seek a review by the Office of the Victorian Information Commissioner (OVIC) within 28 days of receiving a decision letter.</w:t>
      </w:r>
    </w:p>
    <w:p w14:paraId="5A7831DC" w14:textId="7627B59C" w:rsidR="00192639" w:rsidRDefault="008D2FB6" w:rsidP="00F51716">
      <w:r w:rsidRPr="00AF6B06">
        <w:t>An applicant may also make a complaint to OVIC under section 61</w:t>
      </w:r>
      <w:r w:rsidR="007536F1">
        <w:t> A</w:t>
      </w:r>
      <w:r w:rsidRPr="00AF6B06">
        <w:t xml:space="preserve"> of the </w:t>
      </w:r>
      <w:r w:rsidR="00801DD3">
        <w:t xml:space="preserve">FOI </w:t>
      </w:r>
      <w:r w:rsidRPr="00AF6B06">
        <w:t>Act regarding an action taken or failed to be taken or a decision that a document does not exist. Such complaint must be made in writing to OVIC within 60 days of the decision or action having occurred.</w:t>
      </w:r>
    </w:p>
    <w:p w14:paraId="53D9FB4C" w14:textId="3415DECB" w:rsidR="00192639" w:rsidRPr="00355BF7" w:rsidRDefault="00192639" w:rsidP="009C0026">
      <w:pPr>
        <w:pStyle w:val="Heading3"/>
      </w:pPr>
      <w:r w:rsidRPr="00355BF7">
        <w:t>Making a request</w:t>
      </w:r>
    </w:p>
    <w:p w14:paraId="3007B2A2" w14:textId="29E3AE64" w:rsidR="008D2FB6" w:rsidRPr="00AF6B06" w:rsidRDefault="008D2FB6" w:rsidP="00F51716">
      <w:r w:rsidRPr="00EB7475">
        <w:t xml:space="preserve">FOI requests can be lodged online at FOI@sustainability.vic.gov.au or by writing to our Freedom of Information Officer, as detailed in section 17 of the Act (details below). </w:t>
      </w:r>
      <w:r w:rsidRPr="00241F93">
        <w:t>An application fee of $</w:t>
      </w:r>
      <w:r w:rsidR="009E303D" w:rsidRPr="00241F93">
        <w:t>2</w:t>
      </w:r>
      <w:r w:rsidR="00BA6C55" w:rsidRPr="00241F93">
        <w:t>9.60</w:t>
      </w:r>
      <w:r w:rsidR="009E303D" w:rsidRPr="00241F93">
        <w:t xml:space="preserve"> applies</w:t>
      </w:r>
      <w:r w:rsidRPr="00241F93">
        <w:t>, unless waived. Access charges may also be payable if the document pool is large, and the search for material, time consuming.</w:t>
      </w:r>
    </w:p>
    <w:p w14:paraId="325CBD21" w14:textId="77777777" w:rsidR="008D2FB6" w:rsidRPr="00AF6B06" w:rsidRDefault="008D2FB6" w:rsidP="00F51716">
      <w:r w:rsidRPr="00AF6B06">
        <w:t>When making a request, applicants should ensure requests are in writing, and clearly identify what types of material/documents are being sought.</w:t>
      </w:r>
    </w:p>
    <w:p w14:paraId="2AD07162" w14:textId="77777777" w:rsidR="008D2FB6" w:rsidRPr="00AF6B06" w:rsidRDefault="008D2FB6" w:rsidP="00F51716">
      <w:r w:rsidRPr="00AF6B06">
        <w:t>Requests for documents in our possession should be addressed to:</w:t>
      </w:r>
    </w:p>
    <w:p w14:paraId="199A80A4" w14:textId="4D022845" w:rsidR="008D2FB6" w:rsidRPr="00CF3851" w:rsidRDefault="008D2FB6" w:rsidP="00CF3851">
      <w:pPr>
        <w:pStyle w:val="NoSpacing"/>
      </w:pPr>
      <w:r w:rsidRPr="00CF3851">
        <w:t>Ms Kara Miller</w:t>
      </w:r>
    </w:p>
    <w:p w14:paraId="5745C45B" w14:textId="58F3B424" w:rsidR="008D2FB6" w:rsidRPr="00CF3851" w:rsidRDefault="008D2FB6" w:rsidP="00CF3851">
      <w:pPr>
        <w:pStyle w:val="NoSpacing"/>
      </w:pPr>
      <w:r w:rsidRPr="00CF3851">
        <w:t>Freedom of Information Officer</w:t>
      </w:r>
    </w:p>
    <w:p w14:paraId="2A8ABA6A" w14:textId="321C2655" w:rsidR="008D2FB6" w:rsidRPr="00CF3851" w:rsidRDefault="008D2FB6" w:rsidP="00CF3851">
      <w:pPr>
        <w:pStyle w:val="NoSpacing"/>
      </w:pPr>
      <w:r w:rsidRPr="00CF3851">
        <w:t xml:space="preserve">Sustainability Victoria </w:t>
      </w:r>
    </w:p>
    <w:p w14:paraId="271E48CE" w14:textId="77777777" w:rsidR="008D2FB6" w:rsidRPr="00CF3851" w:rsidRDefault="008D2FB6" w:rsidP="00CF3851">
      <w:pPr>
        <w:pStyle w:val="NoSpacing"/>
      </w:pPr>
      <w:r w:rsidRPr="00CF3851">
        <w:t>Level 28, 50 Lonsdale Street Melbourne Victoria 3000</w:t>
      </w:r>
    </w:p>
    <w:p w14:paraId="4FDBC793" w14:textId="05B80230" w:rsidR="008D2FB6" w:rsidRPr="00CF3851" w:rsidRDefault="008D2FB6" w:rsidP="00CF3851">
      <w:pPr>
        <w:pStyle w:val="NoSpacing"/>
      </w:pPr>
      <w:r w:rsidRPr="00CF3851">
        <w:t>Telephone (03) 8626 8700</w:t>
      </w:r>
    </w:p>
    <w:p w14:paraId="578C3B41" w14:textId="3D8429D8" w:rsidR="00192639" w:rsidRPr="00CF3851" w:rsidRDefault="008D2FB6" w:rsidP="00CF3851">
      <w:pPr>
        <w:pStyle w:val="NoSpacing"/>
      </w:pPr>
      <w:r w:rsidRPr="00CF3851">
        <w:t>Email FOI@sustainability.vic.gov.au</w:t>
      </w:r>
    </w:p>
    <w:p w14:paraId="446ACF15" w14:textId="05D07E94" w:rsidR="00192639" w:rsidRPr="00355BF7" w:rsidRDefault="00192639" w:rsidP="009C0026">
      <w:pPr>
        <w:pStyle w:val="Heading3"/>
      </w:pPr>
      <w:r w:rsidRPr="00355BF7">
        <w:t>F</w:t>
      </w:r>
      <w:r w:rsidR="008D2FB6" w:rsidRPr="00355BF7">
        <w:t>O</w:t>
      </w:r>
      <w:r w:rsidRPr="00355BF7">
        <w:t>I statistics/timeliness</w:t>
      </w:r>
    </w:p>
    <w:p w14:paraId="00B3B289" w14:textId="1C0BEBDC" w:rsidR="008D2FB6" w:rsidRPr="0013065E" w:rsidRDefault="008D2FB6" w:rsidP="00F51716">
      <w:r w:rsidRPr="0013065E">
        <w:t xml:space="preserve">During </w:t>
      </w:r>
      <w:r w:rsidR="005D5DBE">
        <w:t>2019–20</w:t>
      </w:r>
      <w:r w:rsidRPr="0013065E">
        <w:t xml:space="preserve">, we received </w:t>
      </w:r>
      <w:r w:rsidR="00BA6C55" w:rsidRPr="0013065E">
        <w:t xml:space="preserve">one </w:t>
      </w:r>
      <w:r w:rsidRPr="0013065E">
        <w:t>application from a member of the general public.</w:t>
      </w:r>
    </w:p>
    <w:p w14:paraId="66EFC02F" w14:textId="73AEEBF1" w:rsidR="0013065E" w:rsidRDefault="00EB7475" w:rsidP="00F51716">
      <w:r w:rsidRPr="0013065E">
        <w:t>A decision</w:t>
      </w:r>
      <w:r w:rsidR="00910026">
        <w:t xml:space="preserve"> on</w:t>
      </w:r>
      <w:r w:rsidRPr="0013065E">
        <w:t xml:space="preserve"> that application had not yet been made as at </w:t>
      </w:r>
      <w:r w:rsidR="0040137B">
        <w:t>30</w:t>
      </w:r>
      <w:r w:rsidR="007536F1">
        <w:t> </w:t>
      </w:r>
      <w:r w:rsidR="0040137B">
        <w:t>June</w:t>
      </w:r>
      <w:r w:rsidR="007536F1">
        <w:t> </w:t>
      </w:r>
      <w:r w:rsidR="0040137B">
        <w:t>2020.</w:t>
      </w:r>
    </w:p>
    <w:p w14:paraId="08D4D284" w14:textId="40E38ED8" w:rsidR="008D2FB6" w:rsidRPr="0013065E" w:rsidRDefault="008D2FB6" w:rsidP="00F51716">
      <w:r w:rsidRPr="0013065E">
        <w:t xml:space="preserve">We made </w:t>
      </w:r>
      <w:r w:rsidR="0013065E" w:rsidRPr="0013065E">
        <w:t xml:space="preserve">two </w:t>
      </w:r>
      <w:r w:rsidRPr="0013065E">
        <w:t xml:space="preserve">FOI </w:t>
      </w:r>
      <w:r w:rsidR="00F64A28">
        <w:t xml:space="preserve">(received in </w:t>
      </w:r>
      <w:r w:rsidR="00801DD3">
        <w:t>2018–19</w:t>
      </w:r>
      <w:r w:rsidR="00F64A28">
        <w:t xml:space="preserve">) </w:t>
      </w:r>
      <w:r w:rsidRPr="0013065E">
        <w:t>decisions during the 12</w:t>
      </w:r>
      <w:r w:rsidRPr="0013065E">
        <w:rPr>
          <w:rFonts w:ascii="Times New Roman" w:hAnsi="Times New Roman"/>
        </w:rPr>
        <w:t xml:space="preserve"> </w:t>
      </w:r>
      <w:r w:rsidRPr="0013065E">
        <w:t>months ending 30</w:t>
      </w:r>
      <w:r w:rsidR="007536F1">
        <w:rPr>
          <w:rFonts w:ascii="Times New Roman" w:hAnsi="Times New Roman"/>
        </w:rPr>
        <w:t> </w:t>
      </w:r>
      <w:r w:rsidRPr="0013065E">
        <w:t>June</w:t>
      </w:r>
      <w:r w:rsidR="007536F1">
        <w:rPr>
          <w:rFonts w:ascii="Times New Roman" w:hAnsi="Times New Roman"/>
        </w:rPr>
        <w:t> </w:t>
      </w:r>
      <w:r w:rsidRPr="0013065E">
        <w:t>20</w:t>
      </w:r>
      <w:r w:rsidR="0013065E" w:rsidRPr="0013065E">
        <w:t>20. In both decisions</w:t>
      </w:r>
      <w:r w:rsidR="0040137B">
        <w:t>,</w:t>
      </w:r>
      <w:r w:rsidR="0013065E" w:rsidRPr="0013065E">
        <w:t xml:space="preserve"> we released relevant information with irrelevant or exempted information removed.</w:t>
      </w:r>
    </w:p>
    <w:p w14:paraId="702869C9" w14:textId="61EB2CEF" w:rsidR="008D2FB6" w:rsidRPr="0013065E" w:rsidRDefault="0013065E" w:rsidP="00F51716">
      <w:r>
        <w:t xml:space="preserve">Both </w:t>
      </w:r>
      <w:r w:rsidR="008D2FB6" w:rsidRPr="0013065E">
        <w:t>decision</w:t>
      </w:r>
      <w:r>
        <w:t>s</w:t>
      </w:r>
      <w:r w:rsidR="008D2FB6" w:rsidRPr="0013065E">
        <w:t xml:space="preserve"> </w:t>
      </w:r>
      <w:r>
        <w:t>were</w:t>
      </w:r>
      <w:r w:rsidRPr="0013065E">
        <w:t xml:space="preserve"> </w:t>
      </w:r>
      <w:r w:rsidR="008D2FB6" w:rsidRPr="0013065E">
        <w:t xml:space="preserve">made within an </w:t>
      </w:r>
      <w:r w:rsidR="00E66650" w:rsidRPr="0013065E">
        <w:t xml:space="preserve">agreed </w:t>
      </w:r>
      <w:r w:rsidR="008D2FB6" w:rsidRPr="0013065E">
        <w:t>extended time period.</w:t>
      </w:r>
      <w:r w:rsidR="00751F16">
        <w:t xml:space="preserve"> </w:t>
      </w:r>
      <w:r w:rsidR="008D2FB6" w:rsidRPr="0013065E">
        <w:t xml:space="preserve">The average time taken to finalise requests in </w:t>
      </w:r>
      <w:r w:rsidR="005D5DBE">
        <w:t>2019–20</w:t>
      </w:r>
      <w:r w:rsidRPr="0013065E">
        <w:t xml:space="preserve"> </w:t>
      </w:r>
      <w:r w:rsidR="008D2FB6" w:rsidRPr="0013065E">
        <w:t xml:space="preserve">was </w:t>
      </w:r>
      <w:r w:rsidR="0040137B" w:rsidRPr="0040137B">
        <w:t xml:space="preserve">62 </w:t>
      </w:r>
      <w:r w:rsidR="008D2FB6" w:rsidRPr="0040137B">
        <w:t>days</w:t>
      </w:r>
      <w:r w:rsidR="008D2FB6" w:rsidRPr="0013065E">
        <w:t>.</w:t>
      </w:r>
    </w:p>
    <w:p w14:paraId="03B64C4C" w14:textId="0A9BF4A6" w:rsidR="00192639" w:rsidRPr="00AF6B06" w:rsidRDefault="008D2FB6" w:rsidP="00F51716">
      <w:r w:rsidRPr="0013065E">
        <w:t xml:space="preserve">During </w:t>
      </w:r>
      <w:r w:rsidR="005D5DBE">
        <w:t>2019–20</w:t>
      </w:r>
      <w:r w:rsidRPr="0013065E">
        <w:t>, no requests were subject to a complaint/internal review by OVIC or appeal to VCAT.</w:t>
      </w:r>
    </w:p>
    <w:p w14:paraId="2B53B629" w14:textId="6C7A26A0" w:rsidR="00192639" w:rsidRPr="00AF6B06" w:rsidRDefault="00192639" w:rsidP="009C0026">
      <w:pPr>
        <w:pStyle w:val="Heading3"/>
      </w:pPr>
      <w:r w:rsidRPr="00AF6B06">
        <w:t>Further information</w:t>
      </w:r>
    </w:p>
    <w:p w14:paraId="08983C26" w14:textId="6C9E2DBA" w:rsidR="008D2FB6" w:rsidRPr="00AF6B06" w:rsidRDefault="008D2FB6" w:rsidP="00F51716">
      <w:r w:rsidRPr="00AF6B06">
        <w:t>Further information regarding the operation and scope of FOI can be obtained from the Act</w:t>
      </w:r>
      <w:r w:rsidR="00910026">
        <w:t>,</w:t>
      </w:r>
      <w:r w:rsidRPr="00AF6B06">
        <w:t xml:space="preserve"> regulations made under the Act and </w:t>
      </w:r>
      <w:hyperlink r:id="rId37" w:history="1">
        <w:r w:rsidR="00E66D67" w:rsidRPr="008017FF">
          <w:rPr>
            <w:rStyle w:val="Hyperlink"/>
            <w:rFonts w:cstheme="minorBidi"/>
          </w:rPr>
          <w:t>ovic</w:t>
        </w:r>
        <w:r w:rsidRPr="008017FF">
          <w:rPr>
            <w:rStyle w:val="Hyperlink"/>
            <w:rFonts w:cstheme="minorBidi"/>
          </w:rPr>
          <w:t>.vic.gov.au</w:t>
        </w:r>
      </w:hyperlink>
    </w:p>
    <w:p w14:paraId="0C7CDF49" w14:textId="07DEB2F4" w:rsidR="00192639" w:rsidRPr="00355BF7" w:rsidRDefault="00192639" w:rsidP="009C0026">
      <w:pPr>
        <w:pStyle w:val="Heading3"/>
      </w:pPr>
      <w:r w:rsidRPr="00355BF7">
        <w:t>Statement of availability of other information</w:t>
      </w:r>
    </w:p>
    <w:p w14:paraId="130B936C" w14:textId="00EB0DED" w:rsidR="008D2FB6" w:rsidRPr="00AF6B06" w:rsidRDefault="008D2FB6" w:rsidP="00F51716">
      <w:r w:rsidRPr="00AF6B06">
        <w:t>In compliance with the requirements of the Standing Directions of the Minister for Finance, details in respect of the items listed below have been retained by us and are available on request, subject to the provisions of the Act:</w:t>
      </w:r>
    </w:p>
    <w:p w14:paraId="3E235EEA" w14:textId="6C818DD1" w:rsidR="008D2FB6" w:rsidRPr="00AF6B06" w:rsidRDefault="008D2FB6" w:rsidP="00F51716">
      <w:pPr>
        <w:pStyle w:val="ListParagraph"/>
        <w:numPr>
          <w:ilvl w:val="0"/>
          <w:numId w:val="16"/>
        </w:numPr>
      </w:pPr>
      <w:r w:rsidRPr="00AF6B06">
        <w:t>A statement that declarations of pecuniary interests have been duly completed by all relevant officers.</w:t>
      </w:r>
    </w:p>
    <w:p w14:paraId="6DFD1830" w14:textId="77777777" w:rsidR="008D2FB6" w:rsidRPr="00AF6B06" w:rsidRDefault="008D2FB6" w:rsidP="00F51716">
      <w:pPr>
        <w:pStyle w:val="ListParagraph"/>
        <w:numPr>
          <w:ilvl w:val="0"/>
          <w:numId w:val="16"/>
        </w:numPr>
      </w:pPr>
      <w:r w:rsidRPr="00AF6B06">
        <w:t>Details of shares held by a senior officer as nominee or held beneficially in a statutory authority or subsidiary.</w:t>
      </w:r>
    </w:p>
    <w:p w14:paraId="2195D9D5" w14:textId="255023F8" w:rsidR="008D2FB6" w:rsidRPr="00AF6B06" w:rsidRDefault="008D2FB6" w:rsidP="00F51716">
      <w:pPr>
        <w:pStyle w:val="ListParagraph"/>
        <w:numPr>
          <w:ilvl w:val="0"/>
          <w:numId w:val="16"/>
        </w:numPr>
      </w:pPr>
      <w:r w:rsidRPr="00AF6B06">
        <w:t xml:space="preserve">Details of publications produced by Sustainability Victoria about itself, and how these can be obtained. </w:t>
      </w:r>
    </w:p>
    <w:p w14:paraId="0CD2858B" w14:textId="682DB0F9" w:rsidR="008D2FB6" w:rsidRPr="00AF6B06" w:rsidRDefault="008D2FB6" w:rsidP="00F51716">
      <w:pPr>
        <w:pStyle w:val="ListParagraph"/>
        <w:numPr>
          <w:ilvl w:val="0"/>
          <w:numId w:val="16"/>
        </w:numPr>
      </w:pPr>
      <w:r w:rsidRPr="00AF6B06">
        <w:t>Details of any major reviews carried out in respect of the operation of Sustainability Victoria.</w:t>
      </w:r>
    </w:p>
    <w:p w14:paraId="0359CBB7" w14:textId="62C75280" w:rsidR="008D2FB6" w:rsidRPr="00AF6B06" w:rsidRDefault="008D2FB6" w:rsidP="00F51716">
      <w:pPr>
        <w:pStyle w:val="ListParagraph"/>
        <w:numPr>
          <w:ilvl w:val="0"/>
          <w:numId w:val="16"/>
        </w:numPr>
      </w:pPr>
      <w:r w:rsidRPr="00AF6B06">
        <w:t>Details of major research and development activities undertaken by Sustainability Victoria.</w:t>
      </w:r>
    </w:p>
    <w:p w14:paraId="26E8D105" w14:textId="1B94E39D" w:rsidR="008D2FB6" w:rsidRPr="00AF6B06" w:rsidRDefault="008D2FB6" w:rsidP="00F51716">
      <w:pPr>
        <w:pStyle w:val="ListParagraph"/>
        <w:numPr>
          <w:ilvl w:val="0"/>
          <w:numId w:val="16"/>
        </w:numPr>
      </w:pPr>
      <w:r w:rsidRPr="00AF6B06">
        <w:t>Details of major promotional, public relations and marketing activities undertaken by Sustainability Victoria to develop community awareness of us and our services.</w:t>
      </w:r>
    </w:p>
    <w:p w14:paraId="4CA786BB" w14:textId="4FE5C94D" w:rsidR="008D2FB6" w:rsidRPr="00AF6B06" w:rsidRDefault="008D2FB6" w:rsidP="00F51716">
      <w:pPr>
        <w:pStyle w:val="ListParagraph"/>
        <w:numPr>
          <w:ilvl w:val="0"/>
          <w:numId w:val="16"/>
        </w:numPr>
      </w:pPr>
      <w:r w:rsidRPr="00AF6B06">
        <w:t>Details of assessments and measures undertaken to improve the occupational health and safety of employees.</w:t>
      </w:r>
    </w:p>
    <w:p w14:paraId="51E88C93" w14:textId="61E03F1E" w:rsidR="008D2FB6" w:rsidRPr="00AF6B06" w:rsidRDefault="008D2FB6" w:rsidP="00F51716">
      <w:pPr>
        <w:pStyle w:val="ListParagraph"/>
        <w:numPr>
          <w:ilvl w:val="0"/>
          <w:numId w:val="16"/>
        </w:numPr>
      </w:pPr>
      <w:r w:rsidRPr="00AF6B06">
        <w:t>A general statement on industrial relations within Sustainability Victoria and details of time lost through industrial accidents and disputes.</w:t>
      </w:r>
    </w:p>
    <w:p w14:paraId="6165B8AB" w14:textId="6BF2769D" w:rsidR="008D2FB6" w:rsidRPr="00AF6B06" w:rsidRDefault="008D2FB6" w:rsidP="00F51716">
      <w:pPr>
        <w:pStyle w:val="ListParagraph"/>
        <w:numPr>
          <w:ilvl w:val="0"/>
          <w:numId w:val="16"/>
        </w:numPr>
      </w:pPr>
      <w:r w:rsidRPr="00AF6B06">
        <w:t>A list of major committees sponsored by Sustainability Victoria, the purposes of each committee and the extent to which the purposes have been achieved.</w:t>
      </w:r>
    </w:p>
    <w:p w14:paraId="166A6D16" w14:textId="0CEFF2AA" w:rsidR="008D2FB6" w:rsidRPr="00AF6B06" w:rsidRDefault="008D2FB6" w:rsidP="00F51716">
      <w:pPr>
        <w:pStyle w:val="ListParagraph"/>
        <w:numPr>
          <w:ilvl w:val="0"/>
          <w:numId w:val="16"/>
        </w:numPr>
      </w:pPr>
      <w:r w:rsidRPr="00AF6B06">
        <w:t>Details of overseas visits undertaken.</w:t>
      </w:r>
    </w:p>
    <w:p w14:paraId="0BE7AD3A" w14:textId="4F6DC924" w:rsidR="008D2FB6" w:rsidRPr="00AF6B06" w:rsidRDefault="008D2FB6" w:rsidP="00F51716">
      <w:pPr>
        <w:pStyle w:val="ListParagraph"/>
        <w:numPr>
          <w:ilvl w:val="0"/>
          <w:numId w:val="16"/>
        </w:numPr>
      </w:pPr>
      <w:r w:rsidRPr="00AF6B06">
        <w:t>Details of changes in prices, fees, charges, rates and levies charged for our services.</w:t>
      </w:r>
    </w:p>
    <w:p w14:paraId="7C59B598" w14:textId="3DC919E1" w:rsidR="00192639" w:rsidRPr="00AF6B06" w:rsidRDefault="008D2FB6" w:rsidP="00F51716">
      <w:pPr>
        <w:pStyle w:val="ListParagraph"/>
        <w:numPr>
          <w:ilvl w:val="0"/>
          <w:numId w:val="16"/>
        </w:numPr>
      </w:pPr>
      <w:r w:rsidRPr="00AF6B06">
        <w:t>Details of all consultancies and contractors including consultants/contractors engaged; services provided; and expenditure committed to for each engagement.</w:t>
      </w:r>
    </w:p>
    <w:p w14:paraId="2CE1DDFD" w14:textId="603A5B52" w:rsidR="00192639" w:rsidRPr="00AF6B06" w:rsidRDefault="008D2FB6" w:rsidP="00F51716">
      <w:r w:rsidRPr="00AF6B06">
        <w:t>The information is available on request from our Freedom of Information Officer (identified above).</w:t>
      </w:r>
    </w:p>
    <w:p w14:paraId="125026EC" w14:textId="753CC540" w:rsidR="00C133ED" w:rsidRPr="00355BF7" w:rsidRDefault="00C133ED" w:rsidP="00F51716">
      <w:pPr>
        <w:pStyle w:val="Heading2"/>
      </w:pPr>
      <w:bookmarkStart w:id="127" w:name="_Toc56627351"/>
      <w:bookmarkStart w:id="128" w:name="_Toc57039886"/>
      <w:bookmarkStart w:id="129" w:name="_Toc59624221"/>
      <w:r w:rsidRPr="00355BF7">
        <w:t>Compliance with Building Act 1993</w:t>
      </w:r>
      <w:bookmarkEnd w:id="127"/>
      <w:bookmarkEnd w:id="128"/>
      <w:bookmarkEnd w:id="129"/>
    </w:p>
    <w:p w14:paraId="768E5266" w14:textId="79FBBB86" w:rsidR="00C133ED" w:rsidRPr="00F93C4A" w:rsidRDefault="00C133ED" w:rsidP="00F51716">
      <w:r w:rsidRPr="00AF6B06">
        <w:t xml:space="preserve">Nil </w:t>
      </w:r>
      <w:r w:rsidR="00910026">
        <w:t>d</w:t>
      </w:r>
      <w:r w:rsidRPr="00AF6B06">
        <w:t xml:space="preserve">isclosure. We do not own or control any government buildings and consequently are exempt from notifying our compliance with the building and maintenance provisions of the </w:t>
      </w:r>
      <w:r w:rsidRPr="00AF6B06">
        <w:rPr>
          <w:i/>
        </w:rPr>
        <w:t>Building Act 1993</w:t>
      </w:r>
      <w:r w:rsidRPr="00AF6B06">
        <w:t>.</w:t>
      </w:r>
    </w:p>
    <w:p w14:paraId="2D137177" w14:textId="3E6D7450" w:rsidR="00192639" w:rsidRPr="00355BF7" w:rsidRDefault="00192639" w:rsidP="00F51716">
      <w:pPr>
        <w:pStyle w:val="Heading2"/>
      </w:pPr>
      <w:bookmarkStart w:id="130" w:name="_Toc56627352"/>
      <w:bookmarkStart w:id="131" w:name="_Toc57039887"/>
      <w:bookmarkStart w:id="132" w:name="_Toc59624222"/>
      <w:r w:rsidRPr="00355BF7">
        <w:t>Privacy and Data Protection Act 2014</w:t>
      </w:r>
      <w:bookmarkEnd w:id="130"/>
      <w:bookmarkEnd w:id="131"/>
      <w:bookmarkEnd w:id="132"/>
    </w:p>
    <w:p w14:paraId="53E0A894" w14:textId="5B4D92FD" w:rsidR="008D2FB6" w:rsidRPr="00AF6B06" w:rsidRDefault="008D2FB6" w:rsidP="00F51716">
      <w:r w:rsidRPr="00AF6B06">
        <w:t xml:space="preserve">We collect and use customer information according to our Privacy Statement and the </w:t>
      </w:r>
      <w:r w:rsidRPr="00AF6B06">
        <w:rPr>
          <w:i/>
        </w:rPr>
        <w:t>Privacy and Data Protection Act 2014</w:t>
      </w:r>
      <w:r w:rsidRPr="00AF6B06">
        <w:t>. For a copy of the Privacy Statement</w:t>
      </w:r>
      <w:r w:rsidR="00CF3851">
        <w:t xml:space="preserve">, </w:t>
      </w:r>
      <w:r w:rsidRPr="00AF6B06">
        <w:t>visit</w:t>
      </w:r>
      <w:r w:rsidR="00910026">
        <w:t xml:space="preserve"> </w:t>
      </w:r>
      <w:r w:rsidRPr="00AF6B06">
        <w:t>sustainability.vic.gov.au</w:t>
      </w:r>
      <w:r w:rsidR="00CF3851">
        <w:t xml:space="preserve">, </w:t>
      </w:r>
      <w:r w:rsidRPr="00AF6B06">
        <w:t>call (03) 8626 8700</w:t>
      </w:r>
      <w:r w:rsidR="00CF3851">
        <w:t xml:space="preserve"> or </w:t>
      </w:r>
      <w:r w:rsidRPr="00AF6B06">
        <w:t>email privacy@sustainability.vic.gov.au.</w:t>
      </w:r>
    </w:p>
    <w:p w14:paraId="6CB005B6" w14:textId="1447A68D" w:rsidR="008D2FB6" w:rsidRPr="00AF6B06" w:rsidRDefault="008D2FB6" w:rsidP="00F51716">
      <w:r w:rsidRPr="00AF6B06">
        <w:t xml:space="preserve">We received </w:t>
      </w:r>
      <w:r w:rsidR="00C05780">
        <w:t>nil</w:t>
      </w:r>
      <w:r w:rsidR="00C05780" w:rsidRPr="00AF6B06">
        <w:t xml:space="preserve"> </w:t>
      </w:r>
      <w:r w:rsidRPr="00AF6B06">
        <w:t>privacy enquir</w:t>
      </w:r>
      <w:r w:rsidR="00C05780">
        <w:t>ies</w:t>
      </w:r>
      <w:r w:rsidRPr="00AF6B06">
        <w:t xml:space="preserve"> in </w:t>
      </w:r>
      <w:r w:rsidR="005D5DBE">
        <w:t>2019–20</w:t>
      </w:r>
      <w:r w:rsidRPr="00AF6B06">
        <w:t>.</w:t>
      </w:r>
    </w:p>
    <w:p w14:paraId="390DBF51" w14:textId="631B195E" w:rsidR="00192639" w:rsidRPr="00355BF7" w:rsidRDefault="00192639" w:rsidP="00F51716">
      <w:pPr>
        <w:pStyle w:val="Heading2"/>
      </w:pPr>
      <w:bookmarkStart w:id="133" w:name="_Toc56627353"/>
      <w:bookmarkStart w:id="134" w:name="_Toc57039888"/>
      <w:bookmarkStart w:id="135" w:name="_Toc59624223"/>
      <w:r w:rsidRPr="00355BF7">
        <w:t>Competitive Neutrality Policy Victoria</w:t>
      </w:r>
      <w:bookmarkEnd w:id="133"/>
      <w:bookmarkEnd w:id="134"/>
      <w:bookmarkEnd w:id="135"/>
    </w:p>
    <w:p w14:paraId="4E0CFDBA" w14:textId="14FEEC6F" w:rsidR="008D2FB6" w:rsidRPr="00AF6B06" w:rsidRDefault="008D2FB6" w:rsidP="00F51716">
      <w:r w:rsidRPr="00AF6B06">
        <w:t>Competitive neutrality requires government businesses to ensure where services compete, or potentially compete with the private sector, any advantage arising solely from their government ownership be removed if it is not in the public interest. Government businesses are required to cost and price these services as if they were privately owned. Competitive neutrality policy supports fair competition between public and private businesses and provides government businesses with a tool to enhance decisions on resource allocation. This policy does not override other policy objectives of government and focuses on efficiency in the provision of service.</w:t>
      </w:r>
    </w:p>
    <w:p w14:paraId="14A14A2F" w14:textId="0ADCE0B9" w:rsidR="009E303D" w:rsidRPr="00AF6B06" w:rsidRDefault="00D115D3" w:rsidP="00F51716">
      <w:r w:rsidRPr="00AF6B06">
        <w:t xml:space="preserve">SV complies with the Competitive Neutrality Policy in respect of its significant business activities and we </w:t>
      </w:r>
      <w:r w:rsidR="009E303D" w:rsidRPr="00AF6B06">
        <w:t xml:space="preserve">are working to ensure Victoria fulfils its requirements on competitive neutrality reporting for technological based businesses against the enhanced principles as required under the </w:t>
      </w:r>
      <w:r w:rsidR="009E303D" w:rsidRPr="00AF6B06">
        <w:rPr>
          <w:b/>
        </w:rPr>
        <w:t>Competition Principles Agreement</w:t>
      </w:r>
      <w:r w:rsidR="009E303D" w:rsidRPr="00AF6B06">
        <w:t xml:space="preserve"> and </w:t>
      </w:r>
      <w:r w:rsidR="009E303D" w:rsidRPr="00AF6B06">
        <w:rPr>
          <w:b/>
        </w:rPr>
        <w:t>Competition and Infrastructure Reform Agreement</w:t>
      </w:r>
      <w:r w:rsidR="009E303D" w:rsidRPr="00AF6B06">
        <w:t>.</w:t>
      </w:r>
    </w:p>
    <w:p w14:paraId="650C70CF" w14:textId="1016944C" w:rsidR="00192639" w:rsidRPr="00355BF7" w:rsidRDefault="00192639" w:rsidP="00F51716">
      <w:pPr>
        <w:pStyle w:val="Heading2"/>
      </w:pPr>
      <w:bookmarkStart w:id="136" w:name="_Toc56627354"/>
      <w:bookmarkStart w:id="137" w:name="_Toc57039889"/>
      <w:bookmarkStart w:id="138" w:name="_Toc59624224"/>
      <w:r w:rsidRPr="00355BF7">
        <w:t xml:space="preserve">Compliance with </w:t>
      </w:r>
      <w:r w:rsidR="008A54B1">
        <w:t xml:space="preserve">Public Interest </w:t>
      </w:r>
      <w:r w:rsidRPr="00355BF7">
        <w:t>Disclosure</w:t>
      </w:r>
      <w:r w:rsidR="0094120B">
        <w:t>s</w:t>
      </w:r>
      <w:r w:rsidRPr="00355BF7">
        <w:t xml:space="preserve"> Act 2012</w:t>
      </w:r>
      <w:bookmarkEnd w:id="136"/>
      <w:bookmarkEnd w:id="137"/>
      <w:bookmarkEnd w:id="138"/>
    </w:p>
    <w:p w14:paraId="65EBB7E5" w14:textId="55F49374" w:rsidR="008D2FB6" w:rsidRPr="00AF6B06" w:rsidRDefault="008D2FB6" w:rsidP="00F51716">
      <w:r w:rsidRPr="00AF6B06">
        <w:t xml:space="preserve">The </w:t>
      </w:r>
      <w:r w:rsidR="008A54B1" w:rsidRPr="00241F93">
        <w:rPr>
          <w:i/>
          <w:iCs/>
        </w:rPr>
        <w:t>Public Interest</w:t>
      </w:r>
      <w:r w:rsidR="008A54B1">
        <w:t xml:space="preserve"> </w:t>
      </w:r>
      <w:r w:rsidRPr="00AF6B06">
        <w:rPr>
          <w:i/>
        </w:rPr>
        <w:t>Disclosure</w:t>
      </w:r>
      <w:r w:rsidR="0094120B">
        <w:rPr>
          <w:i/>
        </w:rPr>
        <w:t>s</w:t>
      </w:r>
      <w:r w:rsidRPr="00AF6B06">
        <w:rPr>
          <w:i/>
        </w:rPr>
        <w:t xml:space="preserve"> Act 2012</w:t>
      </w:r>
      <w:r w:rsidRPr="00AF6B06">
        <w:t xml:space="preserve"> (P</w:t>
      </w:r>
      <w:r w:rsidR="008A54B1">
        <w:t>I</w:t>
      </w:r>
      <w:r w:rsidRPr="00AF6B06">
        <w:t>D Act) encourages and assists people in making disclosures of improper conduct by public officers and public bodies. The P</w:t>
      </w:r>
      <w:r w:rsidR="008A54B1">
        <w:t>I</w:t>
      </w:r>
      <w:r w:rsidRPr="00AF6B06">
        <w:t>D Act provides protection to people who make disclosures in accordance with the P</w:t>
      </w:r>
      <w:r w:rsidR="008A54B1">
        <w:t>I</w:t>
      </w:r>
      <w:r w:rsidRPr="00AF6B06">
        <w:t>D Act and establishes a system for the matters disclosed to be investigated and rectifying action to be taken.</w:t>
      </w:r>
    </w:p>
    <w:p w14:paraId="1EFAC368" w14:textId="77777777" w:rsidR="008D2FB6" w:rsidRPr="00AF6B06" w:rsidRDefault="008D2FB6" w:rsidP="00F51716">
      <w:r w:rsidRPr="00AF6B06">
        <w:t>We do not tolerate improper employee conduct, nor the taking of reprisals against those who come forward to disclose such conduct. We are committed to transparency and accountability in our administrative and management practices and support the making of disclosures that reveal corrupt conduct, conduct involving a substantial mismanagement of public resources, or conduct involving a substantial risk to public health and safety or the environment.</w:t>
      </w:r>
    </w:p>
    <w:p w14:paraId="15271FE3" w14:textId="3CA5F482" w:rsidR="008D2FB6" w:rsidRPr="00AF6B06" w:rsidRDefault="008D2FB6" w:rsidP="00F51716">
      <w:r w:rsidRPr="00AF6B06">
        <w:t>We will take all reasonable steps to protect people who make such disclosures from any detrimental action in reprisal for making the disclosure. We will also afford natural justice to the person who is the subject of the disclosure to the extent of it is legally possible.</w:t>
      </w:r>
    </w:p>
    <w:p w14:paraId="71987857" w14:textId="2D13F60F" w:rsidR="00192639" w:rsidRPr="00355BF7" w:rsidRDefault="00192639" w:rsidP="009C0026">
      <w:pPr>
        <w:pStyle w:val="Heading3"/>
      </w:pPr>
      <w:r w:rsidRPr="00355BF7">
        <w:t>Reporting procedures</w:t>
      </w:r>
    </w:p>
    <w:p w14:paraId="3A3CA8EA" w14:textId="038F4A79" w:rsidR="008D2FB6" w:rsidRPr="00AF6B06" w:rsidRDefault="008D2FB6" w:rsidP="00F51716">
      <w:r w:rsidRPr="00AF6B06">
        <w:t xml:space="preserve">We are not able to receive protected disclosures. However, you can make a protected disclosure about us or our </w:t>
      </w:r>
      <w:r w:rsidR="00910026">
        <w:t>b</w:t>
      </w:r>
      <w:r w:rsidRPr="00AF6B06">
        <w:t>oard members, officers or employees by contacting the Independent Broad-Based Anti-Corruption Commission (IBAC) as follows:</w:t>
      </w:r>
    </w:p>
    <w:p w14:paraId="4428FEFD" w14:textId="77777777" w:rsidR="008D2FB6" w:rsidRPr="00AF6B06" w:rsidRDefault="008D2FB6" w:rsidP="00CF3851">
      <w:pPr>
        <w:pStyle w:val="NoSpacing"/>
      </w:pPr>
      <w:r w:rsidRPr="00AF6B06">
        <w:t>Independent Broad-Based Anti-Corruption Commission (IBAC) Victoria</w:t>
      </w:r>
    </w:p>
    <w:p w14:paraId="73CAF704" w14:textId="3FE07885" w:rsidR="008D2FB6" w:rsidRPr="00AF6B06" w:rsidRDefault="008D2FB6" w:rsidP="00CF3851">
      <w:pPr>
        <w:pStyle w:val="NoSpacing"/>
      </w:pPr>
      <w:r w:rsidRPr="00AF6B06">
        <w:t>Address: Level 1, North Tower, 459 Collins Street, Melbourne Victoria 3000.</w:t>
      </w:r>
    </w:p>
    <w:p w14:paraId="4C733CC1" w14:textId="4BF88329" w:rsidR="008D2FB6" w:rsidRPr="00AF6B06" w:rsidRDefault="00910026" w:rsidP="00CF3851">
      <w:pPr>
        <w:pStyle w:val="NoSpacing"/>
      </w:pPr>
      <w:r>
        <w:t>Website</w:t>
      </w:r>
      <w:r w:rsidR="008D2FB6" w:rsidRPr="00AF6B06">
        <w:t>: ibac.vic.gov.au</w:t>
      </w:r>
    </w:p>
    <w:p w14:paraId="7BEE8BF4" w14:textId="75ACEB77" w:rsidR="008D2FB6" w:rsidRPr="00AF6B06" w:rsidRDefault="008D2FB6" w:rsidP="00CF3851">
      <w:pPr>
        <w:pStyle w:val="NoSpacing"/>
      </w:pPr>
      <w:r w:rsidRPr="00AF6B06">
        <w:t>Phone: 1300 735 135</w:t>
      </w:r>
    </w:p>
    <w:p w14:paraId="097C19AA" w14:textId="2E22CB8C" w:rsidR="008D2FB6" w:rsidRPr="00AF6B06" w:rsidRDefault="008D2FB6" w:rsidP="00CF3851">
      <w:pPr>
        <w:pStyle w:val="NoSpacing"/>
      </w:pPr>
      <w:r w:rsidRPr="00AF6B06">
        <w:t xml:space="preserve">Email: </w:t>
      </w:r>
      <w:r w:rsidRPr="00AF6B06">
        <w:tab/>
        <w:t>See website above for the secure email disclosure process, which also provides for anonymous disclosures.</w:t>
      </w:r>
    </w:p>
    <w:p w14:paraId="3DA3B607" w14:textId="562668FD" w:rsidR="00192639" w:rsidRPr="00AF6B06" w:rsidRDefault="00192639" w:rsidP="009C0026">
      <w:pPr>
        <w:pStyle w:val="Heading3"/>
      </w:pPr>
      <w:r w:rsidRPr="00AF6B06">
        <w:t>Further information</w:t>
      </w:r>
    </w:p>
    <w:p w14:paraId="1A96A5E7" w14:textId="306A602A" w:rsidR="00192639" w:rsidRPr="00AF6B06" w:rsidRDefault="008D2FB6" w:rsidP="00F51716">
      <w:r w:rsidRPr="00AF6B06">
        <w:t xml:space="preserve">Our </w:t>
      </w:r>
      <w:r w:rsidR="008A54B1">
        <w:t>Public Interest</w:t>
      </w:r>
      <w:r w:rsidR="008A54B1" w:rsidRPr="00AF6B06">
        <w:t xml:space="preserve"> </w:t>
      </w:r>
      <w:r w:rsidRPr="00AF6B06">
        <w:t xml:space="preserve">Disclosure Policy and Procedures, which outline the system for reporting disclosures of improper conduct or detrimental action by us or any of our employees and/or officers, are available on our website at </w:t>
      </w:r>
      <w:hyperlink r:id="rId38" w:history="1">
        <w:r w:rsidR="00910026">
          <w:rPr>
            <w:rStyle w:val="Hyperlink"/>
            <w:rFonts w:cstheme="minorBidi"/>
          </w:rPr>
          <w:t>sustainability.vic.gov.au</w:t>
        </w:r>
      </w:hyperlink>
    </w:p>
    <w:p w14:paraId="390DAF6F" w14:textId="65ED2755" w:rsidR="00192639" w:rsidRPr="00A637F1" w:rsidRDefault="00192639" w:rsidP="00F51716">
      <w:pPr>
        <w:pStyle w:val="Heading2"/>
      </w:pPr>
      <w:bookmarkStart w:id="139" w:name="_Toc56627355"/>
      <w:bookmarkStart w:id="140" w:name="_Toc57039890"/>
      <w:bookmarkStart w:id="141" w:name="_Toc59624225"/>
      <w:r w:rsidRPr="00A637F1">
        <w:t>Compliance with DataVic Access Policy</w:t>
      </w:r>
      <w:bookmarkEnd w:id="139"/>
      <w:bookmarkEnd w:id="140"/>
      <w:bookmarkEnd w:id="141"/>
    </w:p>
    <w:p w14:paraId="79E5575D" w14:textId="7BF80279" w:rsidR="008D2FB6" w:rsidRPr="00AF6B06" w:rsidRDefault="008D2FB6" w:rsidP="00F51716">
      <w:bookmarkStart w:id="142" w:name="_Hlk43733606"/>
      <w:r w:rsidRPr="00AF6B06">
        <w:t xml:space="preserve">Consistent with the DataVic Access Policy issued by the Victorian Government in 2012, the following information is available at </w:t>
      </w:r>
      <w:hyperlink r:id="rId39" w:history="1">
        <w:r w:rsidRPr="00910026">
          <w:rPr>
            <w:rStyle w:val="Hyperlink"/>
            <w:rFonts w:cstheme="minorBidi"/>
          </w:rPr>
          <w:t>data.vic.gov.au</w:t>
        </w:r>
      </w:hyperlink>
      <w:r w:rsidRPr="00AF6B06">
        <w:t xml:space="preserve"> in electronic readable format:</w:t>
      </w:r>
    </w:p>
    <w:p w14:paraId="5D11BCCF" w14:textId="2AB5437C" w:rsidR="00016EE4" w:rsidRPr="00E40D2C" w:rsidRDefault="00016EE4" w:rsidP="00F51716">
      <w:pPr>
        <w:pStyle w:val="ListBullet"/>
      </w:pPr>
      <w:r w:rsidRPr="00E40D2C">
        <w:t xml:space="preserve">Victorian Local Government Annual Waste Service Report </w:t>
      </w:r>
      <w:r w:rsidR="00801DD3">
        <w:t>2017–18</w:t>
      </w:r>
      <w:r w:rsidRPr="00E40D2C">
        <w:br/>
        <w:t>(previously known as the Victorian Local Government Annual Survey)</w:t>
      </w:r>
    </w:p>
    <w:p w14:paraId="7CB2A879" w14:textId="7374F826" w:rsidR="00016EE4" w:rsidRPr="00E40D2C" w:rsidRDefault="00016EE4" w:rsidP="00F51716">
      <w:pPr>
        <w:pStyle w:val="ListBullet"/>
      </w:pPr>
      <w:r w:rsidRPr="00E40D2C">
        <w:t xml:space="preserve">Victorian Local Government Waste Services Report Excel Workbook </w:t>
      </w:r>
      <w:r w:rsidR="00801DD3">
        <w:t>2017–18</w:t>
      </w:r>
    </w:p>
    <w:p w14:paraId="64785255" w14:textId="3F7AB456" w:rsidR="00016EE4" w:rsidRPr="00E40D2C" w:rsidRDefault="00016EE4" w:rsidP="00F51716">
      <w:pPr>
        <w:pStyle w:val="ListBullet"/>
      </w:pPr>
      <w:r w:rsidRPr="00E40D2C">
        <w:t xml:space="preserve">Victorian Recycling Industry Annual Report </w:t>
      </w:r>
      <w:r w:rsidR="00801DD3">
        <w:t>2017–18</w:t>
      </w:r>
      <w:r w:rsidRPr="00E40D2C">
        <w:br/>
        <w:t>(previously known as the Victorian Recycling Industry Annual Survey)</w:t>
      </w:r>
    </w:p>
    <w:p w14:paraId="6F1DFDF6" w14:textId="7E79A265" w:rsidR="00016EE4" w:rsidRPr="00E40D2C" w:rsidRDefault="00016EE4" w:rsidP="00F51716">
      <w:pPr>
        <w:pStyle w:val="ListBullet"/>
      </w:pPr>
      <w:r w:rsidRPr="00E40D2C">
        <w:t xml:space="preserve">Victorian Recycling Industry Waste Services Excel Workbook </w:t>
      </w:r>
      <w:r w:rsidR="00801DD3">
        <w:t>2017–18</w:t>
      </w:r>
    </w:p>
    <w:p w14:paraId="61324F8E" w14:textId="71BA4A1F" w:rsidR="008D2FB6" w:rsidRPr="007071D2" w:rsidRDefault="008D2FB6" w:rsidP="00F51716">
      <w:pPr>
        <w:pStyle w:val="ListBullet"/>
      </w:pPr>
      <w:r w:rsidRPr="007071D2">
        <w:t>Aggregates, masonry and soils recovery in Victoria 2015–16</w:t>
      </w:r>
      <w:r w:rsidR="00910026">
        <w:t xml:space="preserve"> </w:t>
      </w:r>
      <w:r w:rsidRPr="007071D2">
        <w:t>(part of the Victorian Recycling Industry Annual Survey 2015–16)</w:t>
      </w:r>
    </w:p>
    <w:p w14:paraId="7288EE3A" w14:textId="7E44BE82" w:rsidR="008D2FB6" w:rsidRPr="007071D2" w:rsidRDefault="008D2FB6" w:rsidP="00F51716">
      <w:pPr>
        <w:pStyle w:val="ListBullet"/>
      </w:pPr>
      <w:r w:rsidRPr="007071D2">
        <w:t>Victorian Local Government Annual Survey 2013–14 (</w:t>
      </w:r>
      <w:r w:rsidR="004972BF">
        <w:t>c</w:t>
      </w:r>
      <w:r w:rsidRPr="007071D2">
        <w:t>ensus of all 79 Victorian Local Governments)</w:t>
      </w:r>
    </w:p>
    <w:p w14:paraId="0A280BDA" w14:textId="3E46DFF5" w:rsidR="008D2FB6" w:rsidRPr="007071D2" w:rsidRDefault="008D2FB6" w:rsidP="00F51716">
      <w:pPr>
        <w:pStyle w:val="ListBullet"/>
        <w:rPr>
          <w:color w:val="82C341"/>
        </w:rPr>
      </w:pPr>
      <w:r w:rsidRPr="007071D2">
        <w:t xml:space="preserve">Victorian Local Government Annual Waste Service Report </w:t>
      </w:r>
      <w:r w:rsidR="00801DD3">
        <w:t>2015–16</w:t>
      </w:r>
      <w:r w:rsidR="004972BF">
        <w:t xml:space="preserve"> </w:t>
      </w:r>
      <w:r w:rsidRPr="007071D2">
        <w:t>(</w:t>
      </w:r>
      <w:r w:rsidR="004972BF">
        <w:t>c</w:t>
      </w:r>
      <w:r w:rsidRPr="007071D2">
        <w:t>ensus of all 79 Victorian Local Governments)</w:t>
      </w:r>
    </w:p>
    <w:p w14:paraId="3D5B6983" w14:textId="0B0D5840" w:rsidR="008D2FB6" w:rsidRPr="007071D2" w:rsidRDefault="008D2FB6" w:rsidP="00F51716">
      <w:pPr>
        <w:pStyle w:val="ListBullet"/>
      </w:pPr>
      <w:r w:rsidRPr="007071D2">
        <w:t xml:space="preserve">Victorian Local Government Annual Waste Service Workbook </w:t>
      </w:r>
      <w:r w:rsidR="00801DD3">
        <w:t>2016–17</w:t>
      </w:r>
      <w:r w:rsidR="004972BF">
        <w:t xml:space="preserve"> </w:t>
      </w:r>
      <w:r w:rsidRPr="007071D2">
        <w:t>(</w:t>
      </w:r>
      <w:r w:rsidR="004972BF">
        <w:t>c</w:t>
      </w:r>
      <w:r w:rsidRPr="007071D2">
        <w:t>ensus of all 79 Victorian Local Governments)</w:t>
      </w:r>
    </w:p>
    <w:p w14:paraId="76EB8CB8" w14:textId="5D36B3C6" w:rsidR="008D2FB6" w:rsidRPr="007071D2" w:rsidRDefault="008D2FB6" w:rsidP="00F51716">
      <w:pPr>
        <w:pStyle w:val="ListBullet"/>
        <w:rPr>
          <w:color w:val="82C341"/>
        </w:rPr>
      </w:pPr>
      <w:r w:rsidRPr="007071D2">
        <w:t xml:space="preserve">Victorian Recycling Industry Waste Services Workbook </w:t>
      </w:r>
      <w:r w:rsidR="00801DD3">
        <w:t>2016–17</w:t>
      </w:r>
    </w:p>
    <w:p w14:paraId="45826FA5" w14:textId="4616E409" w:rsidR="008D2FB6" w:rsidRPr="007071D2" w:rsidRDefault="008D2FB6" w:rsidP="00F51716">
      <w:pPr>
        <w:pStyle w:val="ListBullet"/>
      </w:pPr>
      <w:r w:rsidRPr="007071D2">
        <w:t>Rubber recovery in Victoria 2015–16</w:t>
      </w:r>
      <w:r w:rsidR="004972BF">
        <w:t xml:space="preserve"> </w:t>
      </w:r>
      <w:r w:rsidRPr="007071D2">
        <w:t>(part of the Victorian Recycling Industry Annual Survey 2015–16)</w:t>
      </w:r>
    </w:p>
    <w:p w14:paraId="3801F013" w14:textId="4A8769C4" w:rsidR="008D2FB6" w:rsidRPr="007071D2" w:rsidRDefault="008D2FB6" w:rsidP="00F51716">
      <w:pPr>
        <w:pStyle w:val="ListBullet"/>
      </w:pPr>
      <w:r w:rsidRPr="007071D2">
        <w:t>Plastics recovery in Victoria 2015–16</w:t>
      </w:r>
      <w:r w:rsidR="004972BF">
        <w:t xml:space="preserve"> </w:t>
      </w:r>
      <w:r w:rsidRPr="007071D2">
        <w:t>(part of the Victorian Recycling Industry Annual Survey 2015–16)</w:t>
      </w:r>
    </w:p>
    <w:p w14:paraId="3D63C84B" w14:textId="592D6303" w:rsidR="008D2FB6" w:rsidRPr="007071D2" w:rsidRDefault="008D2FB6" w:rsidP="00F51716">
      <w:pPr>
        <w:pStyle w:val="ListBullet"/>
        <w:rPr>
          <w:color w:val="82C341"/>
        </w:rPr>
      </w:pPr>
      <w:r w:rsidRPr="007071D2">
        <w:t xml:space="preserve">Organics recovery in Victoria </w:t>
      </w:r>
      <w:r w:rsidR="00801DD3">
        <w:t>2015–16</w:t>
      </w:r>
      <w:r w:rsidR="004972BF">
        <w:t xml:space="preserve"> </w:t>
      </w:r>
      <w:r w:rsidRPr="007071D2">
        <w:t xml:space="preserve">(part of the Victorian Recycling Industry Annual Survey </w:t>
      </w:r>
      <w:r w:rsidR="00801DD3">
        <w:t>2015–16</w:t>
      </w:r>
      <w:r w:rsidRPr="007071D2">
        <w:t>)</w:t>
      </w:r>
    </w:p>
    <w:p w14:paraId="3807B259" w14:textId="3D3C6114" w:rsidR="008D2FB6" w:rsidRPr="007071D2" w:rsidRDefault="008D2FB6" w:rsidP="00F51716">
      <w:pPr>
        <w:pStyle w:val="ListBullet"/>
      </w:pPr>
      <w:r w:rsidRPr="007071D2">
        <w:t>LCA kerbside recycling calculator: to determine the environmental benefits of recycling</w:t>
      </w:r>
    </w:p>
    <w:p w14:paraId="1A51D6A7" w14:textId="458C5E20" w:rsidR="008D2FB6" w:rsidRPr="007071D2" w:rsidRDefault="008D2FB6" w:rsidP="00F51716">
      <w:pPr>
        <w:pStyle w:val="ListBullet"/>
      </w:pPr>
      <w:r w:rsidRPr="007071D2">
        <w:t>Glass recovery in Victoria 2015–16</w:t>
      </w:r>
      <w:r w:rsidR="004972BF">
        <w:t xml:space="preserve"> </w:t>
      </w:r>
      <w:r w:rsidRPr="007071D2">
        <w:t>(part of the Victorian Recycling Industry Annual Survey 2013–14)</w:t>
      </w:r>
    </w:p>
    <w:p w14:paraId="50A481BC" w14:textId="6D314AF2" w:rsidR="008D2FB6" w:rsidRPr="007071D2" w:rsidRDefault="008D2FB6" w:rsidP="00F51716">
      <w:pPr>
        <w:pStyle w:val="ListBullet"/>
      </w:pPr>
      <w:r w:rsidRPr="007071D2">
        <w:t>Paper and cardboard recovery in Victoria 2015–16 (part of the Victorian Recycling Industry Annual Survey 2015–16)</w:t>
      </w:r>
    </w:p>
    <w:p w14:paraId="5211E48F" w14:textId="1CA9F52B" w:rsidR="008D2FB6" w:rsidRPr="007071D2" w:rsidRDefault="008D2FB6" w:rsidP="00F51716">
      <w:pPr>
        <w:pStyle w:val="ListBullet"/>
      </w:pPr>
      <w:r w:rsidRPr="007071D2">
        <w:t>Victorian Recycling Industry Annual Survey 2015–16</w:t>
      </w:r>
    </w:p>
    <w:p w14:paraId="4FE79647" w14:textId="3DC4F140" w:rsidR="008D2FB6" w:rsidRPr="007071D2" w:rsidRDefault="008D2FB6" w:rsidP="00F51716">
      <w:pPr>
        <w:pStyle w:val="ListBullet"/>
      </w:pPr>
      <w:r w:rsidRPr="007071D2">
        <w:t>Metal recovery in Victoria 2015–16 (part of the Victorian Recycling Industry Annual Survey 2015–16)</w:t>
      </w:r>
    </w:p>
    <w:p w14:paraId="0F21CF49" w14:textId="222328A5" w:rsidR="008D2FB6" w:rsidRPr="007071D2" w:rsidRDefault="008D2FB6" w:rsidP="00F51716">
      <w:pPr>
        <w:pStyle w:val="ListBullet"/>
      </w:pPr>
      <w:r w:rsidRPr="007071D2">
        <w:t>2001</w:t>
      </w:r>
      <w:r w:rsidR="00801DD3">
        <w:t>–</w:t>
      </w:r>
      <w:r w:rsidRPr="007071D2">
        <w:t>02 to 2007</w:t>
      </w:r>
      <w:r w:rsidR="00801DD3">
        <w:t>–</w:t>
      </w:r>
      <w:r w:rsidRPr="007071D2">
        <w:t>08 Local Government Waste and Recycling Services Survey</w:t>
      </w:r>
    </w:p>
    <w:p w14:paraId="3FD8009A" w14:textId="1FA04760" w:rsidR="008D2FB6" w:rsidRPr="007071D2" w:rsidRDefault="008D2FB6" w:rsidP="00F51716">
      <w:pPr>
        <w:pStyle w:val="ListBullet"/>
      </w:pPr>
      <w:r w:rsidRPr="007071D2">
        <w:t>Solar Report</w:t>
      </w:r>
      <w:r w:rsidR="00801DD3">
        <w:t xml:space="preserve"> </w:t>
      </w:r>
      <w:r w:rsidRPr="007071D2">
        <w:t>2009 Green Light Report - Environmental Attitudes Survey</w:t>
      </w:r>
    </w:p>
    <w:p w14:paraId="5C9BEA1D" w14:textId="3350FC15" w:rsidR="008D2FB6" w:rsidRPr="007071D2" w:rsidRDefault="008D2FB6" w:rsidP="00F51716">
      <w:pPr>
        <w:pStyle w:val="ListBullet"/>
      </w:pPr>
      <w:r w:rsidRPr="007071D2">
        <w:t>Byteback Drop</w:t>
      </w:r>
      <w:r w:rsidR="000729FA">
        <w:t>-</w:t>
      </w:r>
      <w:r w:rsidRPr="007071D2">
        <w:t>Off Points</w:t>
      </w:r>
    </w:p>
    <w:p w14:paraId="64713007" w14:textId="7FEC0C4F" w:rsidR="008D2FB6" w:rsidRPr="007071D2" w:rsidRDefault="008D2FB6" w:rsidP="00F51716">
      <w:pPr>
        <w:pStyle w:val="ListBullet"/>
      </w:pPr>
      <w:r w:rsidRPr="007071D2">
        <w:t>ResourceSmart Retailers</w:t>
      </w:r>
    </w:p>
    <w:p w14:paraId="0D84DCD2" w14:textId="4B7E216D" w:rsidR="00D51A25" w:rsidRPr="00AF6B06" w:rsidRDefault="008D2FB6" w:rsidP="00F51716">
      <w:pPr>
        <w:pStyle w:val="ListBullet"/>
      </w:pPr>
      <w:r w:rsidRPr="007071D2">
        <w:t>Detox Your Home Disposal Points</w:t>
      </w:r>
    </w:p>
    <w:bookmarkEnd w:id="142"/>
    <w:p w14:paraId="7A9AB879" w14:textId="48DA22C3" w:rsidR="00D51A25" w:rsidRPr="000D0406" w:rsidRDefault="00D51A25" w:rsidP="00F51716"/>
    <w:p w14:paraId="3D870008" w14:textId="4A0CE26E" w:rsidR="00D51A25" w:rsidRPr="000D0406" w:rsidRDefault="00D51A25" w:rsidP="00F51716"/>
    <w:p w14:paraId="73745ED0" w14:textId="12785639" w:rsidR="00D51A25" w:rsidRDefault="00D51A25" w:rsidP="00F51716">
      <w:pPr>
        <w:pStyle w:val="SectionDividerTitle"/>
        <w:framePr w:wrap="around"/>
      </w:pPr>
      <w:bookmarkStart w:id="143" w:name="_Toc59624226"/>
      <w:bookmarkStart w:id="144" w:name="_Toc56627356"/>
      <w:bookmarkStart w:id="145" w:name="_Toc57039891"/>
      <w:r w:rsidRPr="00D51A25">
        <w:t>Annual ﬁnancial statements</w:t>
      </w:r>
      <w:bookmarkEnd w:id="143"/>
      <w:r w:rsidR="00035D74">
        <w:t xml:space="preserve"> </w:t>
      </w:r>
      <w:bookmarkEnd w:id="144"/>
      <w:bookmarkEnd w:id="145"/>
    </w:p>
    <w:p w14:paraId="05323CF3" w14:textId="7284AC5F" w:rsidR="00195D9D" w:rsidRPr="00195D9D" w:rsidRDefault="00195D9D" w:rsidP="00F51716">
      <w:pPr>
        <w:pStyle w:val="Heading1"/>
      </w:pPr>
      <w:bookmarkStart w:id="146" w:name="_Toc56627357"/>
      <w:bookmarkStart w:id="147" w:name="_Toc57039892"/>
      <w:bookmarkStart w:id="148" w:name="_Toc59624227"/>
      <w:r w:rsidRPr="00195D9D">
        <w:t>Available as a separate docume</w:t>
      </w:r>
      <w:r>
        <w:t>n</w:t>
      </w:r>
      <w:r w:rsidRPr="00195D9D">
        <w:t>t</w:t>
      </w:r>
      <w:bookmarkEnd w:id="146"/>
      <w:bookmarkEnd w:id="147"/>
      <w:bookmarkEnd w:id="148"/>
    </w:p>
    <w:p w14:paraId="585094CF" w14:textId="6AFF35D1" w:rsidR="00D51A25" w:rsidRDefault="00D51A25" w:rsidP="00F51716">
      <w:pPr>
        <w:pStyle w:val="Heading2"/>
      </w:pPr>
      <w:bookmarkStart w:id="149" w:name="_Toc56627358"/>
      <w:bookmarkStart w:id="150" w:name="_Toc57039893"/>
      <w:bookmarkStart w:id="151" w:name="_Toc59624228"/>
      <w:r w:rsidRPr="00D51A25">
        <w:t>How this report is structured</w:t>
      </w:r>
      <w:bookmarkEnd w:id="149"/>
      <w:bookmarkEnd w:id="150"/>
      <w:bookmarkEnd w:id="151"/>
    </w:p>
    <w:p w14:paraId="1F93F079" w14:textId="04330343" w:rsidR="000D79EE" w:rsidRPr="004972BF" w:rsidRDefault="000D79EE" w:rsidP="00F51716">
      <w:pPr>
        <w:pStyle w:val="Heading1"/>
      </w:pPr>
      <w:bookmarkStart w:id="152" w:name="_Toc56627359"/>
      <w:bookmarkStart w:id="153" w:name="_Toc57039894"/>
      <w:bookmarkStart w:id="154" w:name="_Toc59624229"/>
      <w:r w:rsidRPr="004972BF">
        <w:t>Notes to the ﬁnancial statements</w:t>
      </w:r>
      <w:bookmarkEnd w:id="152"/>
      <w:bookmarkEnd w:id="153"/>
      <w:bookmarkEnd w:id="154"/>
    </w:p>
    <w:p w14:paraId="016F4BC3" w14:textId="19C0D626" w:rsidR="000D79EE" w:rsidRDefault="000D79EE" w:rsidP="009C0026">
      <w:pPr>
        <w:pStyle w:val="Heading3"/>
      </w:pPr>
      <w:bookmarkStart w:id="155" w:name="_Toc56627360"/>
      <w:r>
        <w:t>N</w:t>
      </w:r>
      <w:r w:rsidRPr="000D79EE">
        <w:t>ote 1: About this Report</w:t>
      </w:r>
      <w:bookmarkEnd w:id="155"/>
    </w:p>
    <w:p w14:paraId="2CC732F6" w14:textId="1D7CF1DB" w:rsidR="000D79EE" w:rsidRDefault="000D79EE" w:rsidP="009C0026">
      <w:pPr>
        <w:pStyle w:val="Heading3"/>
      </w:pPr>
      <w:bookmarkStart w:id="156" w:name="_Toc56627361"/>
      <w:r w:rsidRPr="000D79EE">
        <w:t>Note 2</w:t>
      </w:r>
      <w:r w:rsidR="004972BF">
        <w:t>:</w:t>
      </w:r>
      <w:r w:rsidRPr="000D79EE">
        <w:t xml:space="preserve"> Funding Delivery of our Serv</w:t>
      </w:r>
      <w:r>
        <w:t>ices</w:t>
      </w:r>
      <w:bookmarkEnd w:id="156"/>
    </w:p>
    <w:p w14:paraId="77A7A1F4" w14:textId="457B4F21" w:rsidR="000D79EE" w:rsidRDefault="000D79EE" w:rsidP="009C0026">
      <w:pPr>
        <w:pStyle w:val="Heading3"/>
      </w:pPr>
      <w:bookmarkStart w:id="157" w:name="_Toc56627362"/>
      <w:r>
        <w:t>N</w:t>
      </w:r>
      <w:r w:rsidRPr="000D79EE">
        <w:t>ote 3: The Cost of Delivering Services</w:t>
      </w:r>
      <w:bookmarkEnd w:id="157"/>
    </w:p>
    <w:p w14:paraId="091F3DFA" w14:textId="715EB5C4" w:rsidR="000D79EE" w:rsidRDefault="000D79EE" w:rsidP="009C0026">
      <w:pPr>
        <w:pStyle w:val="Heading3"/>
      </w:pPr>
      <w:bookmarkStart w:id="158" w:name="_Toc56627363"/>
      <w:r>
        <w:t>N</w:t>
      </w:r>
      <w:r w:rsidRPr="000D79EE">
        <w:t>ote 4: Key assets available to support output delivery</w:t>
      </w:r>
      <w:bookmarkEnd w:id="158"/>
    </w:p>
    <w:p w14:paraId="483C55F6" w14:textId="10EF8290" w:rsidR="000D79EE" w:rsidRDefault="000D79EE" w:rsidP="009C0026">
      <w:pPr>
        <w:pStyle w:val="Heading3"/>
      </w:pPr>
      <w:bookmarkStart w:id="159" w:name="_Toc56627364"/>
      <w:r>
        <w:t>N</w:t>
      </w:r>
      <w:r w:rsidRPr="000D79EE">
        <w:t>ote 5: Other Assets and Liabilities</w:t>
      </w:r>
      <w:bookmarkEnd w:id="159"/>
    </w:p>
    <w:p w14:paraId="15E353F2" w14:textId="4C944233" w:rsidR="000D79EE" w:rsidRDefault="000D79EE" w:rsidP="009C0026">
      <w:pPr>
        <w:pStyle w:val="Heading3"/>
      </w:pPr>
      <w:bookmarkStart w:id="160" w:name="_Toc56627365"/>
      <w:r>
        <w:t>N</w:t>
      </w:r>
      <w:r w:rsidRPr="000D79EE">
        <w:t>ote 6: How we financed our operations</w:t>
      </w:r>
      <w:bookmarkEnd w:id="160"/>
    </w:p>
    <w:p w14:paraId="51F132CE" w14:textId="543D4A4D" w:rsidR="000D79EE" w:rsidRDefault="000D79EE" w:rsidP="009C0026">
      <w:pPr>
        <w:pStyle w:val="Heading3"/>
      </w:pPr>
      <w:bookmarkStart w:id="161" w:name="_Toc56627366"/>
      <w:r>
        <w:t>N</w:t>
      </w:r>
      <w:r w:rsidRPr="000D79EE">
        <w:t>ote 7: Risk, contingencies and valuation judgements</w:t>
      </w:r>
      <w:bookmarkEnd w:id="161"/>
    </w:p>
    <w:p w14:paraId="76FB1456" w14:textId="76749159" w:rsidR="00685074" w:rsidRDefault="000D79EE" w:rsidP="009C0026">
      <w:pPr>
        <w:pStyle w:val="Heading3"/>
      </w:pPr>
      <w:bookmarkStart w:id="162" w:name="_Toc56627367"/>
      <w:r>
        <w:t>N</w:t>
      </w:r>
      <w:r w:rsidRPr="000D79EE">
        <w:t>ote 8: Other disclosures</w:t>
      </w:r>
      <w:bookmarkEnd w:id="162"/>
    </w:p>
    <w:p w14:paraId="5DA03AA2" w14:textId="1B9182DB" w:rsidR="00167C77" w:rsidRDefault="00685074" w:rsidP="00F51716">
      <w:r>
        <w:br w:type="page"/>
      </w:r>
    </w:p>
    <w:p w14:paraId="0BF821CC" w14:textId="2888921D" w:rsidR="00685074" w:rsidRDefault="00A3143C" w:rsidP="00F51716">
      <w:pPr>
        <w:pStyle w:val="Heading1"/>
      </w:pPr>
      <w:bookmarkStart w:id="163" w:name="_Toc59624230"/>
      <w:bookmarkStart w:id="164" w:name="_Toc56627368"/>
      <w:bookmarkStart w:id="165" w:name="_Toc57039895"/>
      <w:r w:rsidRPr="00A3143C">
        <w:t>Appendix 1: Disclosure index</w:t>
      </w:r>
      <w:bookmarkEnd w:id="163"/>
      <w:r w:rsidR="00035D74">
        <w:t xml:space="preserve"> </w:t>
      </w:r>
      <w:bookmarkEnd w:id="164"/>
      <w:bookmarkEnd w:id="165"/>
    </w:p>
    <w:p w14:paraId="561258A3" w14:textId="2B853316" w:rsidR="00520B14" w:rsidRPr="0038159E" w:rsidRDefault="00144C82" w:rsidP="00F51716">
      <w:pPr>
        <w:rPr>
          <w:lang w:eastAsia="en-AU"/>
        </w:rPr>
      </w:pPr>
      <w:r>
        <w:rPr>
          <w:lang w:eastAsia="en-AU"/>
        </w:rPr>
        <w:t xml:space="preserve">SV’s </w:t>
      </w:r>
      <w:r w:rsidR="00520B14" w:rsidRPr="0038159E">
        <w:rPr>
          <w:lang w:eastAsia="en-AU"/>
        </w:rPr>
        <w:t xml:space="preserve">annual report is prepared in accordance with all relevant Victorian legislations and pronouncements. This index has been prepared to facilitate identification of </w:t>
      </w:r>
      <w:r>
        <w:rPr>
          <w:lang w:eastAsia="en-AU"/>
        </w:rPr>
        <w:t>SV</w:t>
      </w:r>
      <w:r w:rsidR="00520B14" w:rsidRPr="0038159E">
        <w:rPr>
          <w:lang w:eastAsia="en-AU"/>
        </w:rPr>
        <w:t>’s compliance with statutory disclosure requirements.</w:t>
      </w:r>
    </w:p>
    <w:p w14:paraId="63B17511" w14:textId="04B75FA1" w:rsidR="00737CD9" w:rsidRDefault="00737CD9" w:rsidP="00F51716">
      <w:r w:rsidRPr="000662CA">
        <w:t xml:space="preserve">Note: page references </w:t>
      </w:r>
      <w:r w:rsidR="003D2C51">
        <w:t>were</w:t>
      </w:r>
      <w:r w:rsidRPr="000662CA">
        <w:t xml:space="preserve"> remove</w:t>
      </w:r>
      <w:r w:rsidR="00D31C9C">
        <w:t>d</w:t>
      </w:r>
      <w:r w:rsidRPr="000662CA">
        <w:t xml:space="preserve"> from the disclosure index.</w:t>
      </w:r>
    </w:p>
    <w:tbl>
      <w:tblPr>
        <w:tblW w:w="8931" w:type="dxa"/>
        <w:tblBorders>
          <w:insideH w:val="single" w:sz="4" w:space="0" w:color="auto"/>
        </w:tblBorders>
        <w:tblLook w:val="04A0" w:firstRow="1" w:lastRow="0" w:firstColumn="1" w:lastColumn="0" w:noHBand="0" w:noVBand="1"/>
      </w:tblPr>
      <w:tblGrid>
        <w:gridCol w:w="2552"/>
        <w:gridCol w:w="288"/>
        <w:gridCol w:w="4248"/>
        <w:gridCol w:w="1843"/>
      </w:tblGrid>
      <w:tr w:rsidR="009E3948" w:rsidRPr="009E3948" w14:paraId="52AF3507" w14:textId="77777777" w:rsidTr="00AB668E">
        <w:trPr>
          <w:trHeight w:val="450"/>
        </w:trPr>
        <w:tc>
          <w:tcPr>
            <w:tcW w:w="2552" w:type="dxa"/>
            <w:shd w:val="clear" w:color="auto" w:fill="82C341" w:themeFill="accent1"/>
            <w:vAlign w:val="center"/>
            <w:hideMark/>
          </w:tcPr>
          <w:p w14:paraId="2BDA859F" w14:textId="77777777" w:rsidR="009E3948" w:rsidRPr="009E3948" w:rsidRDefault="009E3948" w:rsidP="00F51716">
            <w:pPr>
              <w:rPr>
                <w:lang w:eastAsia="en-AU"/>
              </w:rPr>
            </w:pPr>
            <w:r w:rsidRPr="009E3948">
              <w:rPr>
                <w:lang w:eastAsia="en-AU"/>
              </w:rPr>
              <w:t>Legislation</w:t>
            </w:r>
          </w:p>
        </w:tc>
        <w:tc>
          <w:tcPr>
            <w:tcW w:w="4536" w:type="dxa"/>
            <w:gridSpan w:val="2"/>
            <w:shd w:val="clear" w:color="auto" w:fill="82C341" w:themeFill="accent1"/>
            <w:vAlign w:val="center"/>
            <w:hideMark/>
          </w:tcPr>
          <w:p w14:paraId="7944F2D5" w14:textId="77777777" w:rsidR="009E3948" w:rsidRPr="009E3948" w:rsidRDefault="009E3948" w:rsidP="00F51716">
            <w:pPr>
              <w:rPr>
                <w:lang w:eastAsia="en-AU"/>
              </w:rPr>
            </w:pPr>
            <w:r w:rsidRPr="009E3948">
              <w:rPr>
                <w:lang w:eastAsia="en-AU"/>
              </w:rPr>
              <w:t>Requirement</w:t>
            </w:r>
          </w:p>
        </w:tc>
        <w:tc>
          <w:tcPr>
            <w:tcW w:w="1843" w:type="dxa"/>
            <w:shd w:val="clear" w:color="auto" w:fill="82C341" w:themeFill="accent1"/>
            <w:vAlign w:val="center"/>
            <w:hideMark/>
          </w:tcPr>
          <w:p w14:paraId="6524DFEB" w14:textId="77777777" w:rsidR="009E3948" w:rsidRPr="009E3948" w:rsidRDefault="009E3948" w:rsidP="00F51716">
            <w:pPr>
              <w:rPr>
                <w:lang w:eastAsia="en-AU"/>
              </w:rPr>
            </w:pPr>
            <w:r w:rsidRPr="009E3948">
              <w:rPr>
                <w:lang w:eastAsia="en-AU"/>
              </w:rPr>
              <w:t>Page reference</w:t>
            </w:r>
          </w:p>
        </w:tc>
      </w:tr>
      <w:tr w:rsidR="009E3948" w:rsidRPr="009E3948" w14:paraId="51FA7562" w14:textId="77777777" w:rsidTr="00AB668E">
        <w:trPr>
          <w:cantSplit/>
          <w:trHeight w:val="450"/>
        </w:trPr>
        <w:tc>
          <w:tcPr>
            <w:tcW w:w="8931" w:type="dxa"/>
            <w:gridSpan w:val="4"/>
            <w:shd w:val="clear" w:color="000000" w:fill="595959"/>
            <w:vAlign w:val="center"/>
            <w:hideMark/>
          </w:tcPr>
          <w:p w14:paraId="269234A5" w14:textId="10969F46" w:rsidR="009E3948" w:rsidRPr="009E3948" w:rsidRDefault="009E3948" w:rsidP="00F51716">
            <w:pPr>
              <w:rPr>
                <w:lang w:eastAsia="en-AU"/>
              </w:rPr>
            </w:pPr>
            <w:bookmarkStart w:id="166" w:name="_Toc133203935"/>
            <w:bookmarkStart w:id="167" w:name="RANGE!A5"/>
            <w:r w:rsidRPr="009E3948">
              <w:rPr>
                <w:lang w:eastAsia="en-AU"/>
              </w:rPr>
              <w:t>Standing Directions &amp; Financial Reporting Directions</w:t>
            </w:r>
            <w:bookmarkEnd w:id="166"/>
            <w:bookmarkEnd w:id="167"/>
          </w:p>
        </w:tc>
      </w:tr>
      <w:tr w:rsidR="009E3948" w:rsidRPr="009E3948" w14:paraId="1B560468" w14:textId="77777777" w:rsidTr="00AB668E">
        <w:trPr>
          <w:cantSplit/>
          <w:trHeight w:val="300"/>
        </w:trPr>
        <w:tc>
          <w:tcPr>
            <w:tcW w:w="8931" w:type="dxa"/>
            <w:gridSpan w:val="4"/>
            <w:shd w:val="clear" w:color="000000" w:fill="EBEBEB"/>
            <w:vAlign w:val="center"/>
            <w:hideMark/>
          </w:tcPr>
          <w:p w14:paraId="10760978" w14:textId="77777777" w:rsidR="009E3948" w:rsidRPr="009E3948" w:rsidRDefault="009E3948" w:rsidP="00F51716">
            <w:pPr>
              <w:rPr>
                <w:lang w:eastAsia="en-AU"/>
              </w:rPr>
            </w:pPr>
            <w:r w:rsidRPr="009E3948">
              <w:rPr>
                <w:lang w:eastAsia="en-AU"/>
              </w:rPr>
              <w:t xml:space="preserve">Report of operations </w:t>
            </w:r>
          </w:p>
        </w:tc>
      </w:tr>
      <w:tr w:rsidR="009E3948" w:rsidRPr="009E3948" w14:paraId="1CE6A52C" w14:textId="77777777" w:rsidTr="00AB668E">
        <w:trPr>
          <w:cantSplit/>
          <w:trHeight w:val="300"/>
        </w:trPr>
        <w:tc>
          <w:tcPr>
            <w:tcW w:w="8931" w:type="dxa"/>
            <w:gridSpan w:val="4"/>
            <w:shd w:val="clear" w:color="auto" w:fill="auto"/>
            <w:vAlign w:val="center"/>
            <w:hideMark/>
          </w:tcPr>
          <w:p w14:paraId="4DF3CC04" w14:textId="77777777" w:rsidR="009E3948" w:rsidRPr="009E3948" w:rsidRDefault="009E3948" w:rsidP="00F51716">
            <w:pPr>
              <w:rPr>
                <w:lang w:eastAsia="en-AU"/>
              </w:rPr>
            </w:pPr>
            <w:r w:rsidRPr="009E3948">
              <w:rPr>
                <w:lang w:eastAsia="en-AU"/>
              </w:rPr>
              <w:t>Charter and purpose</w:t>
            </w:r>
          </w:p>
        </w:tc>
      </w:tr>
      <w:tr w:rsidR="009E3948" w:rsidRPr="009E3948" w14:paraId="228C1FAD" w14:textId="77777777" w:rsidTr="00AB668E">
        <w:trPr>
          <w:cantSplit/>
          <w:trHeight w:val="675"/>
        </w:trPr>
        <w:tc>
          <w:tcPr>
            <w:tcW w:w="2552" w:type="dxa"/>
            <w:shd w:val="clear" w:color="auto" w:fill="auto"/>
            <w:vAlign w:val="center"/>
            <w:hideMark/>
          </w:tcPr>
          <w:p w14:paraId="575B5C27" w14:textId="77777777" w:rsidR="009E3948" w:rsidRPr="009E3948" w:rsidRDefault="009E3948" w:rsidP="00F51716">
            <w:pPr>
              <w:rPr>
                <w:lang w:eastAsia="en-AU"/>
              </w:rPr>
            </w:pPr>
            <w:r w:rsidRPr="009E3948">
              <w:rPr>
                <w:lang w:eastAsia="en-AU"/>
              </w:rPr>
              <w:t>FRD 22H</w:t>
            </w:r>
          </w:p>
        </w:tc>
        <w:tc>
          <w:tcPr>
            <w:tcW w:w="4536" w:type="dxa"/>
            <w:gridSpan w:val="2"/>
            <w:shd w:val="clear" w:color="auto" w:fill="auto"/>
            <w:vAlign w:val="center"/>
            <w:hideMark/>
          </w:tcPr>
          <w:p w14:paraId="66EB35D5" w14:textId="77777777" w:rsidR="009E3948" w:rsidRPr="009E3948" w:rsidRDefault="009E3948" w:rsidP="00F51716">
            <w:pPr>
              <w:rPr>
                <w:lang w:eastAsia="en-AU"/>
              </w:rPr>
            </w:pPr>
            <w:r w:rsidRPr="009E3948">
              <w:rPr>
                <w:lang w:eastAsia="en-AU"/>
              </w:rPr>
              <w:t>Manner of establishment and the relevant Ministers</w:t>
            </w:r>
          </w:p>
        </w:tc>
        <w:tc>
          <w:tcPr>
            <w:tcW w:w="1843" w:type="dxa"/>
            <w:shd w:val="clear" w:color="auto" w:fill="auto"/>
            <w:vAlign w:val="center"/>
            <w:hideMark/>
          </w:tcPr>
          <w:p w14:paraId="687D1B45" w14:textId="77777777" w:rsidR="009E3948" w:rsidRPr="009E3948" w:rsidRDefault="009E3948" w:rsidP="00F51716">
            <w:pPr>
              <w:rPr>
                <w:lang w:eastAsia="en-AU"/>
              </w:rPr>
            </w:pPr>
            <w:r w:rsidRPr="009E3948">
              <w:rPr>
                <w:lang w:eastAsia="en-AU"/>
              </w:rPr>
              <w:t> </w:t>
            </w:r>
          </w:p>
        </w:tc>
      </w:tr>
      <w:tr w:rsidR="009E3948" w:rsidRPr="009E3948" w14:paraId="53FE2781" w14:textId="77777777" w:rsidTr="00AB668E">
        <w:trPr>
          <w:cantSplit/>
          <w:trHeight w:val="450"/>
        </w:trPr>
        <w:tc>
          <w:tcPr>
            <w:tcW w:w="2552" w:type="dxa"/>
            <w:tcBorders>
              <w:bottom w:val="nil"/>
            </w:tcBorders>
            <w:shd w:val="clear" w:color="auto" w:fill="auto"/>
            <w:vAlign w:val="center"/>
            <w:hideMark/>
          </w:tcPr>
          <w:p w14:paraId="74A8021E" w14:textId="77777777" w:rsidR="009E3948" w:rsidRPr="009E3948" w:rsidRDefault="009E3948" w:rsidP="00F51716">
            <w:pPr>
              <w:rPr>
                <w:lang w:eastAsia="en-AU"/>
              </w:rPr>
            </w:pPr>
            <w:r w:rsidRPr="009E3948">
              <w:rPr>
                <w:lang w:eastAsia="en-AU"/>
              </w:rPr>
              <w:t>FRD 22H</w:t>
            </w:r>
          </w:p>
        </w:tc>
        <w:tc>
          <w:tcPr>
            <w:tcW w:w="4536" w:type="dxa"/>
            <w:gridSpan w:val="2"/>
            <w:tcBorders>
              <w:bottom w:val="nil"/>
            </w:tcBorders>
            <w:shd w:val="clear" w:color="auto" w:fill="auto"/>
            <w:vAlign w:val="center"/>
            <w:hideMark/>
          </w:tcPr>
          <w:p w14:paraId="6C6623AB" w14:textId="77777777" w:rsidR="009E3948" w:rsidRPr="009E3948" w:rsidRDefault="009E3948" w:rsidP="00F51716">
            <w:pPr>
              <w:rPr>
                <w:lang w:eastAsia="en-AU"/>
              </w:rPr>
            </w:pPr>
            <w:r w:rsidRPr="009E3948">
              <w:rPr>
                <w:lang w:eastAsia="en-AU"/>
              </w:rPr>
              <w:t xml:space="preserve">Purpose, functions, powers and duties </w:t>
            </w:r>
          </w:p>
        </w:tc>
        <w:tc>
          <w:tcPr>
            <w:tcW w:w="1843" w:type="dxa"/>
            <w:tcBorders>
              <w:bottom w:val="nil"/>
            </w:tcBorders>
            <w:shd w:val="clear" w:color="auto" w:fill="auto"/>
            <w:vAlign w:val="center"/>
            <w:hideMark/>
          </w:tcPr>
          <w:p w14:paraId="2573512E" w14:textId="77777777" w:rsidR="009E3948" w:rsidRPr="009E3948" w:rsidRDefault="009E3948" w:rsidP="00F51716">
            <w:pPr>
              <w:rPr>
                <w:lang w:eastAsia="en-AU"/>
              </w:rPr>
            </w:pPr>
            <w:r w:rsidRPr="009E3948">
              <w:rPr>
                <w:lang w:eastAsia="en-AU"/>
              </w:rPr>
              <w:t> </w:t>
            </w:r>
          </w:p>
        </w:tc>
      </w:tr>
      <w:tr w:rsidR="009E3948" w:rsidRPr="009E3948" w14:paraId="008E2A0A" w14:textId="77777777" w:rsidTr="00AB668E">
        <w:trPr>
          <w:cantSplit/>
          <w:trHeight w:val="450"/>
        </w:trPr>
        <w:tc>
          <w:tcPr>
            <w:tcW w:w="2552" w:type="dxa"/>
            <w:tcBorders>
              <w:top w:val="nil"/>
              <w:bottom w:val="nil"/>
            </w:tcBorders>
            <w:shd w:val="clear" w:color="auto" w:fill="auto"/>
            <w:vAlign w:val="center"/>
            <w:hideMark/>
          </w:tcPr>
          <w:p w14:paraId="583E58E0" w14:textId="2F47680A" w:rsidR="009E3948" w:rsidRPr="009E3948" w:rsidRDefault="009E3948" w:rsidP="00F51716">
            <w:pPr>
              <w:rPr>
                <w:lang w:eastAsia="en-AU"/>
              </w:rPr>
            </w:pPr>
            <w:r w:rsidRPr="009E3948">
              <w:rPr>
                <w:lang w:eastAsia="en-AU"/>
              </w:rPr>
              <w:t>FRD 8</w:t>
            </w:r>
            <w:r w:rsidR="007536F1">
              <w:rPr>
                <w:lang w:eastAsia="en-AU"/>
              </w:rPr>
              <w:t> D</w:t>
            </w:r>
            <w:r w:rsidRPr="009E3948">
              <w:rPr>
                <w:lang w:eastAsia="en-AU"/>
              </w:rPr>
              <w:t xml:space="preserve"> </w:t>
            </w:r>
          </w:p>
        </w:tc>
        <w:tc>
          <w:tcPr>
            <w:tcW w:w="4536" w:type="dxa"/>
            <w:gridSpan w:val="2"/>
            <w:tcBorders>
              <w:top w:val="nil"/>
              <w:bottom w:val="nil"/>
            </w:tcBorders>
            <w:shd w:val="clear" w:color="auto" w:fill="auto"/>
            <w:vAlign w:val="center"/>
            <w:hideMark/>
          </w:tcPr>
          <w:p w14:paraId="6AE4817C" w14:textId="77777777" w:rsidR="009E3948" w:rsidRPr="009E3948" w:rsidRDefault="009E3948" w:rsidP="00F51716">
            <w:pPr>
              <w:rPr>
                <w:lang w:eastAsia="en-AU"/>
              </w:rPr>
            </w:pPr>
            <w:r w:rsidRPr="009E3948">
              <w:rPr>
                <w:lang w:eastAsia="en-AU"/>
              </w:rPr>
              <w:t>Departmental objectives, indicators and outputs</w:t>
            </w:r>
          </w:p>
        </w:tc>
        <w:tc>
          <w:tcPr>
            <w:tcW w:w="1843" w:type="dxa"/>
            <w:tcBorders>
              <w:top w:val="nil"/>
              <w:bottom w:val="nil"/>
            </w:tcBorders>
            <w:shd w:val="clear" w:color="auto" w:fill="auto"/>
            <w:vAlign w:val="center"/>
            <w:hideMark/>
          </w:tcPr>
          <w:p w14:paraId="5B485267" w14:textId="77777777" w:rsidR="009E3948" w:rsidRPr="009E3948" w:rsidRDefault="009E3948" w:rsidP="00F51716">
            <w:pPr>
              <w:rPr>
                <w:lang w:eastAsia="en-AU"/>
              </w:rPr>
            </w:pPr>
            <w:r w:rsidRPr="009E3948">
              <w:rPr>
                <w:lang w:eastAsia="en-AU"/>
              </w:rPr>
              <w:t> </w:t>
            </w:r>
          </w:p>
        </w:tc>
      </w:tr>
      <w:tr w:rsidR="009E3948" w:rsidRPr="009E3948" w14:paraId="580921F8" w14:textId="77777777" w:rsidTr="00AB668E">
        <w:trPr>
          <w:cantSplit/>
          <w:trHeight w:val="450"/>
        </w:trPr>
        <w:tc>
          <w:tcPr>
            <w:tcW w:w="2552" w:type="dxa"/>
            <w:tcBorders>
              <w:top w:val="nil"/>
            </w:tcBorders>
            <w:shd w:val="clear" w:color="auto" w:fill="auto"/>
            <w:vAlign w:val="center"/>
            <w:hideMark/>
          </w:tcPr>
          <w:p w14:paraId="68EF7555" w14:textId="77777777" w:rsidR="009E3948" w:rsidRPr="009E3948" w:rsidRDefault="009E3948" w:rsidP="00F51716">
            <w:pPr>
              <w:rPr>
                <w:lang w:eastAsia="en-AU"/>
              </w:rPr>
            </w:pPr>
            <w:r w:rsidRPr="009E3948">
              <w:rPr>
                <w:lang w:eastAsia="en-AU"/>
              </w:rPr>
              <w:t>FRD 22H</w:t>
            </w:r>
          </w:p>
        </w:tc>
        <w:tc>
          <w:tcPr>
            <w:tcW w:w="4536" w:type="dxa"/>
            <w:gridSpan w:val="2"/>
            <w:tcBorders>
              <w:top w:val="nil"/>
            </w:tcBorders>
            <w:shd w:val="clear" w:color="auto" w:fill="auto"/>
            <w:vAlign w:val="center"/>
            <w:hideMark/>
          </w:tcPr>
          <w:p w14:paraId="45752475" w14:textId="77777777" w:rsidR="009E3948" w:rsidRPr="009E3948" w:rsidRDefault="009E3948" w:rsidP="00F51716">
            <w:pPr>
              <w:rPr>
                <w:lang w:eastAsia="en-AU"/>
              </w:rPr>
            </w:pPr>
            <w:r w:rsidRPr="009E3948">
              <w:rPr>
                <w:lang w:eastAsia="en-AU"/>
              </w:rPr>
              <w:t>Key initiatives and projects</w:t>
            </w:r>
          </w:p>
        </w:tc>
        <w:tc>
          <w:tcPr>
            <w:tcW w:w="1843" w:type="dxa"/>
            <w:tcBorders>
              <w:top w:val="nil"/>
            </w:tcBorders>
            <w:shd w:val="clear" w:color="auto" w:fill="auto"/>
            <w:vAlign w:val="center"/>
            <w:hideMark/>
          </w:tcPr>
          <w:p w14:paraId="3A0474FF" w14:textId="77777777" w:rsidR="009E3948" w:rsidRPr="009E3948" w:rsidRDefault="009E3948" w:rsidP="00F51716">
            <w:pPr>
              <w:rPr>
                <w:lang w:eastAsia="en-AU"/>
              </w:rPr>
            </w:pPr>
            <w:r w:rsidRPr="009E3948">
              <w:rPr>
                <w:lang w:eastAsia="en-AU"/>
              </w:rPr>
              <w:t> </w:t>
            </w:r>
          </w:p>
        </w:tc>
      </w:tr>
      <w:tr w:rsidR="009E3948" w:rsidRPr="009E3948" w14:paraId="0B0B2FE7" w14:textId="77777777" w:rsidTr="00AB668E">
        <w:trPr>
          <w:cantSplit/>
          <w:trHeight w:val="450"/>
        </w:trPr>
        <w:tc>
          <w:tcPr>
            <w:tcW w:w="2552" w:type="dxa"/>
            <w:shd w:val="clear" w:color="auto" w:fill="auto"/>
            <w:vAlign w:val="center"/>
            <w:hideMark/>
          </w:tcPr>
          <w:p w14:paraId="7168FDEF" w14:textId="77777777" w:rsidR="009E3948" w:rsidRPr="009E3948" w:rsidRDefault="009E3948" w:rsidP="00F51716">
            <w:pPr>
              <w:rPr>
                <w:lang w:eastAsia="en-AU"/>
              </w:rPr>
            </w:pPr>
            <w:r w:rsidRPr="009E3948">
              <w:rPr>
                <w:lang w:eastAsia="en-AU"/>
              </w:rPr>
              <w:t>FRD 22H</w:t>
            </w:r>
          </w:p>
        </w:tc>
        <w:tc>
          <w:tcPr>
            <w:tcW w:w="4536" w:type="dxa"/>
            <w:gridSpan w:val="2"/>
            <w:shd w:val="clear" w:color="auto" w:fill="auto"/>
            <w:vAlign w:val="center"/>
            <w:hideMark/>
          </w:tcPr>
          <w:p w14:paraId="63E2A7AB" w14:textId="77777777" w:rsidR="009E3948" w:rsidRPr="009E3948" w:rsidRDefault="009E3948" w:rsidP="00F51716">
            <w:pPr>
              <w:rPr>
                <w:lang w:eastAsia="en-AU"/>
              </w:rPr>
            </w:pPr>
            <w:r w:rsidRPr="009E3948">
              <w:rPr>
                <w:lang w:eastAsia="en-AU"/>
              </w:rPr>
              <w:t>Nature and range of services provided</w:t>
            </w:r>
          </w:p>
        </w:tc>
        <w:tc>
          <w:tcPr>
            <w:tcW w:w="1843" w:type="dxa"/>
            <w:shd w:val="clear" w:color="auto" w:fill="auto"/>
            <w:vAlign w:val="center"/>
            <w:hideMark/>
          </w:tcPr>
          <w:p w14:paraId="0947300E" w14:textId="77777777" w:rsidR="009E3948" w:rsidRPr="009E3948" w:rsidRDefault="009E3948" w:rsidP="00F51716">
            <w:pPr>
              <w:rPr>
                <w:lang w:eastAsia="en-AU"/>
              </w:rPr>
            </w:pPr>
            <w:r w:rsidRPr="009E3948">
              <w:rPr>
                <w:lang w:eastAsia="en-AU"/>
              </w:rPr>
              <w:t> </w:t>
            </w:r>
          </w:p>
        </w:tc>
      </w:tr>
      <w:tr w:rsidR="009E3948" w:rsidRPr="009E3948" w14:paraId="0051826B" w14:textId="77777777" w:rsidTr="00AB668E">
        <w:trPr>
          <w:cantSplit/>
          <w:trHeight w:val="300"/>
        </w:trPr>
        <w:tc>
          <w:tcPr>
            <w:tcW w:w="8931" w:type="dxa"/>
            <w:gridSpan w:val="4"/>
            <w:shd w:val="clear" w:color="auto" w:fill="auto"/>
            <w:vAlign w:val="center"/>
            <w:hideMark/>
          </w:tcPr>
          <w:p w14:paraId="473967D7" w14:textId="77777777" w:rsidR="009E3948" w:rsidRPr="009E3948" w:rsidRDefault="009E3948" w:rsidP="00F51716">
            <w:pPr>
              <w:rPr>
                <w:lang w:eastAsia="en-AU"/>
              </w:rPr>
            </w:pPr>
            <w:r w:rsidRPr="009E3948">
              <w:rPr>
                <w:lang w:eastAsia="en-AU"/>
              </w:rPr>
              <w:t>Management and structure</w:t>
            </w:r>
          </w:p>
        </w:tc>
      </w:tr>
      <w:tr w:rsidR="009E3948" w:rsidRPr="009E3948" w14:paraId="5965FF5F" w14:textId="77777777" w:rsidTr="00AB668E">
        <w:trPr>
          <w:cantSplit/>
          <w:trHeight w:val="300"/>
        </w:trPr>
        <w:tc>
          <w:tcPr>
            <w:tcW w:w="2552" w:type="dxa"/>
            <w:shd w:val="clear" w:color="auto" w:fill="auto"/>
            <w:vAlign w:val="center"/>
            <w:hideMark/>
          </w:tcPr>
          <w:p w14:paraId="5204F825" w14:textId="77777777" w:rsidR="009E3948" w:rsidRPr="009E3948" w:rsidRDefault="009E3948" w:rsidP="00F51716">
            <w:pPr>
              <w:rPr>
                <w:lang w:eastAsia="en-AU"/>
              </w:rPr>
            </w:pPr>
            <w:r w:rsidRPr="009E3948">
              <w:rPr>
                <w:lang w:eastAsia="en-AU"/>
              </w:rPr>
              <w:t>FRD 22H</w:t>
            </w:r>
          </w:p>
        </w:tc>
        <w:tc>
          <w:tcPr>
            <w:tcW w:w="4536" w:type="dxa"/>
            <w:gridSpan w:val="2"/>
            <w:shd w:val="clear" w:color="auto" w:fill="auto"/>
            <w:vAlign w:val="center"/>
            <w:hideMark/>
          </w:tcPr>
          <w:p w14:paraId="23B082E7" w14:textId="77777777" w:rsidR="009E3948" w:rsidRPr="009E3948" w:rsidRDefault="009E3948" w:rsidP="00F51716">
            <w:pPr>
              <w:rPr>
                <w:lang w:eastAsia="en-AU"/>
              </w:rPr>
            </w:pPr>
            <w:r w:rsidRPr="009E3948">
              <w:rPr>
                <w:lang w:eastAsia="en-AU"/>
              </w:rPr>
              <w:t xml:space="preserve">Organisational structure </w:t>
            </w:r>
          </w:p>
        </w:tc>
        <w:tc>
          <w:tcPr>
            <w:tcW w:w="1843" w:type="dxa"/>
            <w:shd w:val="clear" w:color="auto" w:fill="auto"/>
            <w:vAlign w:val="center"/>
            <w:hideMark/>
          </w:tcPr>
          <w:p w14:paraId="459AA984" w14:textId="77777777" w:rsidR="009E3948" w:rsidRPr="009E3948" w:rsidRDefault="009E3948" w:rsidP="00F51716">
            <w:pPr>
              <w:rPr>
                <w:lang w:eastAsia="en-AU"/>
              </w:rPr>
            </w:pPr>
            <w:r w:rsidRPr="009E3948">
              <w:rPr>
                <w:lang w:eastAsia="en-AU"/>
              </w:rPr>
              <w:t> </w:t>
            </w:r>
          </w:p>
        </w:tc>
      </w:tr>
      <w:tr w:rsidR="009E3948" w:rsidRPr="009E3948" w14:paraId="3D2DCE16" w14:textId="77777777" w:rsidTr="00AB668E">
        <w:trPr>
          <w:cantSplit/>
          <w:trHeight w:val="300"/>
        </w:trPr>
        <w:tc>
          <w:tcPr>
            <w:tcW w:w="8931" w:type="dxa"/>
            <w:gridSpan w:val="4"/>
            <w:shd w:val="clear" w:color="auto" w:fill="auto"/>
            <w:vAlign w:val="center"/>
            <w:hideMark/>
          </w:tcPr>
          <w:p w14:paraId="3902D839" w14:textId="77777777" w:rsidR="009E3948" w:rsidRPr="009E3948" w:rsidRDefault="009E3948" w:rsidP="00F51716">
            <w:pPr>
              <w:rPr>
                <w:lang w:eastAsia="en-AU"/>
              </w:rPr>
            </w:pPr>
            <w:r w:rsidRPr="009E3948">
              <w:rPr>
                <w:lang w:eastAsia="en-AU"/>
              </w:rPr>
              <w:t>Financial and other information</w:t>
            </w:r>
          </w:p>
        </w:tc>
      </w:tr>
      <w:tr w:rsidR="009E3948" w:rsidRPr="009E3948" w14:paraId="7EBF52C6" w14:textId="77777777" w:rsidTr="00AB668E">
        <w:trPr>
          <w:cantSplit/>
          <w:trHeight w:val="675"/>
        </w:trPr>
        <w:tc>
          <w:tcPr>
            <w:tcW w:w="2552" w:type="dxa"/>
            <w:shd w:val="clear" w:color="auto" w:fill="auto"/>
            <w:vAlign w:val="center"/>
            <w:hideMark/>
          </w:tcPr>
          <w:p w14:paraId="2147F17E" w14:textId="54673A45" w:rsidR="009E3948" w:rsidRPr="009E3948" w:rsidRDefault="009E3948" w:rsidP="00F51716">
            <w:pPr>
              <w:rPr>
                <w:lang w:eastAsia="en-AU"/>
              </w:rPr>
            </w:pPr>
            <w:r w:rsidRPr="009E3948">
              <w:rPr>
                <w:lang w:eastAsia="en-AU"/>
              </w:rPr>
              <w:t>FRD 8</w:t>
            </w:r>
            <w:r w:rsidR="007536F1">
              <w:rPr>
                <w:lang w:eastAsia="en-AU"/>
              </w:rPr>
              <w:t> D</w:t>
            </w:r>
          </w:p>
        </w:tc>
        <w:tc>
          <w:tcPr>
            <w:tcW w:w="4536" w:type="dxa"/>
            <w:gridSpan w:val="2"/>
            <w:shd w:val="clear" w:color="auto" w:fill="auto"/>
            <w:vAlign w:val="center"/>
            <w:hideMark/>
          </w:tcPr>
          <w:p w14:paraId="60083DE5" w14:textId="77777777" w:rsidR="009E3948" w:rsidRPr="009E3948" w:rsidRDefault="009E3948" w:rsidP="00F51716">
            <w:pPr>
              <w:rPr>
                <w:lang w:eastAsia="en-AU"/>
              </w:rPr>
            </w:pPr>
            <w:r w:rsidRPr="009E3948">
              <w:rPr>
                <w:lang w:eastAsia="en-AU"/>
              </w:rPr>
              <w:t xml:space="preserve">Performance against output performance measures </w:t>
            </w:r>
          </w:p>
        </w:tc>
        <w:tc>
          <w:tcPr>
            <w:tcW w:w="1843" w:type="dxa"/>
            <w:shd w:val="clear" w:color="auto" w:fill="auto"/>
            <w:vAlign w:val="center"/>
            <w:hideMark/>
          </w:tcPr>
          <w:p w14:paraId="373B7334" w14:textId="77777777" w:rsidR="009E3948" w:rsidRPr="009E3948" w:rsidRDefault="009E3948" w:rsidP="00F51716">
            <w:pPr>
              <w:rPr>
                <w:lang w:eastAsia="en-AU"/>
              </w:rPr>
            </w:pPr>
            <w:r w:rsidRPr="009E3948">
              <w:rPr>
                <w:lang w:eastAsia="en-AU"/>
              </w:rPr>
              <w:t> </w:t>
            </w:r>
          </w:p>
        </w:tc>
      </w:tr>
      <w:tr w:rsidR="009E3948" w:rsidRPr="009E3948" w14:paraId="4AE1C361" w14:textId="77777777" w:rsidTr="00AB668E">
        <w:trPr>
          <w:cantSplit/>
          <w:trHeight w:val="450"/>
        </w:trPr>
        <w:tc>
          <w:tcPr>
            <w:tcW w:w="2552" w:type="dxa"/>
            <w:shd w:val="clear" w:color="auto" w:fill="auto"/>
            <w:vAlign w:val="center"/>
            <w:hideMark/>
          </w:tcPr>
          <w:p w14:paraId="0CD781AD" w14:textId="43291BE6" w:rsidR="009E3948" w:rsidRPr="009E3948" w:rsidRDefault="009E3948" w:rsidP="00F51716">
            <w:pPr>
              <w:rPr>
                <w:lang w:eastAsia="en-AU"/>
              </w:rPr>
            </w:pPr>
            <w:r w:rsidRPr="009E3948">
              <w:rPr>
                <w:lang w:eastAsia="en-AU"/>
              </w:rPr>
              <w:t>FRD 8</w:t>
            </w:r>
            <w:r w:rsidR="007536F1">
              <w:rPr>
                <w:lang w:eastAsia="en-AU"/>
              </w:rPr>
              <w:t> D</w:t>
            </w:r>
            <w:r w:rsidRPr="009E3948">
              <w:rPr>
                <w:lang w:eastAsia="en-AU"/>
              </w:rPr>
              <w:t xml:space="preserve"> </w:t>
            </w:r>
          </w:p>
        </w:tc>
        <w:tc>
          <w:tcPr>
            <w:tcW w:w="4536" w:type="dxa"/>
            <w:gridSpan w:val="2"/>
            <w:shd w:val="clear" w:color="auto" w:fill="auto"/>
            <w:vAlign w:val="center"/>
            <w:hideMark/>
          </w:tcPr>
          <w:p w14:paraId="4296742F" w14:textId="77777777" w:rsidR="009E3948" w:rsidRPr="009E3948" w:rsidRDefault="009E3948" w:rsidP="00F51716">
            <w:pPr>
              <w:rPr>
                <w:lang w:eastAsia="en-AU"/>
              </w:rPr>
            </w:pPr>
            <w:r w:rsidRPr="009E3948">
              <w:rPr>
                <w:lang w:eastAsia="en-AU"/>
              </w:rPr>
              <w:t>Budget portfolio outcomes</w:t>
            </w:r>
          </w:p>
        </w:tc>
        <w:tc>
          <w:tcPr>
            <w:tcW w:w="1843" w:type="dxa"/>
            <w:shd w:val="clear" w:color="auto" w:fill="auto"/>
            <w:vAlign w:val="center"/>
            <w:hideMark/>
          </w:tcPr>
          <w:p w14:paraId="20F3FA9B" w14:textId="77777777" w:rsidR="009E3948" w:rsidRPr="009E3948" w:rsidRDefault="009E3948" w:rsidP="00F51716">
            <w:pPr>
              <w:rPr>
                <w:lang w:eastAsia="en-AU"/>
              </w:rPr>
            </w:pPr>
            <w:r w:rsidRPr="009E3948">
              <w:rPr>
                <w:lang w:eastAsia="en-AU"/>
              </w:rPr>
              <w:t> </w:t>
            </w:r>
          </w:p>
        </w:tc>
      </w:tr>
      <w:tr w:rsidR="009E3948" w:rsidRPr="009E3948" w14:paraId="0A942283" w14:textId="77777777" w:rsidTr="00AB668E">
        <w:trPr>
          <w:cantSplit/>
          <w:trHeight w:val="300"/>
        </w:trPr>
        <w:tc>
          <w:tcPr>
            <w:tcW w:w="2552" w:type="dxa"/>
            <w:shd w:val="clear" w:color="auto" w:fill="auto"/>
            <w:vAlign w:val="center"/>
            <w:hideMark/>
          </w:tcPr>
          <w:p w14:paraId="52114D7C" w14:textId="684FBA82" w:rsidR="009E3948" w:rsidRPr="009E3948" w:rsidRDefault="009E3948" w:rsidP="00F51716">
            <w:pPr>
              <w:rPr>
                <w:lang w:eastAsia="en-AU"/>
              </w:rPr>
            </w:pPr>
            <w:r w:rsidRPr="009E3948">
              <w:rPr>
                <w:lang w:eastAsia="en-AU"/>
              </w:rPr>
              <w:t>FRD 10</w:t>
            </w:r>
            <w:r w:rsidR="007536F1">
              <w:rPr>
                <w:lang w:eastAsia="en-AU"/>
              </w:rPr>
              <w:t> A</w:t>
            </w:r>
            <w:r w:rsidRPr="009E3948">
              <w:rPr>
                <w:lang w:eastAsia="en-AU"/>
              </w:rPr>
              <w:t xml:space="preserve"> </w:t>
            </w:r>
          </w:p>
        </w:tc>
        <w:tc>
          <w:tcPr>
            <w:tcW w:w="4536" w:type="dxa"/>
            <w:gridSpan w:val="2"/>
            <w:shd w:val="clear" w:color="auto" w:fill="auto"/>
            <w:vAlign w:val="center"/>
            <w:hideMark/>
          </w:tcPr>
          <w:p w14:paraId="7CD66170" w14:textId="77777777" w:rsidR="009E3948" w:rsidRPr="009E3948" w:rsidRDefault="009E3948" w:rsidP="00F51716">
            <w:pPr>
              <w:rPr>
                <w:lang w:eastAsia="en-AU"/>
              </w:rPr>
            </w:pPr>
            <w:r w:rsidRPr="009E3948">
              <w:rPr>
                <w:lang w:eastAsia="en-AU"/>
              </w:rPr>
              <w:t>Disclosure index</w:t>
            </w:r>
          </w:p>
        </w:tc>
        <w:tc>
          <w:tcPr>
            <w:tcW w:w="1843" w:type="dxa"/>
            <w:shd w:val="clear" w:color="auto" w:fill="auto"/>
            <w:vAlign w:val="center"/>
            <w:hideMark/>
          </w:tcPr>
          <w:p w14:paraId="47650C42" w14:textId="77777777" w:rsidR="009E3948" w:rsidRPr="009E3948" w:rsidRDefault="009E3948" w:rsidP="00F51716">
            <w:pPr>
              <w:rPr>
                <w:lang w:eastAsia="en-AU"/>
              </w:rPr>
            </w:pPr>
            <w:r w:rsidRPr="009E3948">
              <w:rPr>
                <w:lang w:eastAsia="en-AU"/>
              </w:rPr>
              <w:t> </w:t>
            </w:r>
          </w:p>
        </w:tc>
      </w:tr>
      <w:tr w:rsidR="009E3948" w:rsidRPr="009E3948" w14:paraId="1524F001" w14:textId="77777777" w:rsidTr="00AB668E">
        <w:trPr>
          <w:cantSplit/>
          <w:trHeight w:val="450"/>
        </w:trPr>
        <w:tc>
          <w:tcPr>
            <w:tcW w:w="2552" w:type="dxa"/>
            <w:shd w:val="clear" w:color="auto" w:fill="auto"/>
            <w:vAlign w:val="center"/>
            <w:hideMark/>
          </w:tcPr>
          <w:p w14:paraId="6FFCA998" w14:textId="77777777" w:rsidR="009E3948" w:rsidRPr="009E3948" w:rsidRDefault="009E3948" w:rsidP="00F51716">
            <w:pPr>
              <w:rPr>
                <w:lang w:eastAsia="en-AU"/>
              </w:rPr>
            </w:pPr>
            <w:r w:rsidRPr="009E3948">
              <w:rPr>
                <w:lang w:eastAsia="en-AU"/>
              </w:rPr>
              <w:t>FRD 12B</w:t>
            </w:r>
          </w:p>
        </w:tc>
        <w:tc>
          <w:tcPr>
            <w:tcW w:w="4536" w:type="dxa"/>
            <w:gridSpan w:val="2"/>
            <w:shd w:val="clear" w:color="auto" w:fill="auto"/>
            <w:vAlign w:val="center"/>
            <w:hideMark/>
          </w:tcPr>
          <w:p w14:paraId="4B031A4A" w14:textId="77777777" w:rsidR="009E3948" w:rsidRPr="009E3948" w:rsidRDefault="009E3948" w:rsidP="00F51716">
            <w:pPr>
              <w:rPr>
                <w:lang w:eastAsia="en-AU"/>
              </w:rPr>
            </w:pPr>
            <w:r w:rsidRPr="009E3948">
              <w:rPr>
                <w:lang w:eastAsia="en-AU"/>
              </w:rPr>
              <w:t>Disclosure of major contracts</w:t>
            </w:r>
          </w:p>
        </w:tc>
        <w:tc>
          <w:tcPr>
            <w:tcW w:w="1843" w:type="dxa"/>
            <w:shd w:val="clear" w:color="auto" w:fill="auto"/>
            <w:vAlign w:val="center"/>
            <w:hideMark/>
          </w:tcPr>
          <w:p w14:paraId="51145C47" w14:textId="77777777" w:rsidR="009E3948" w:rsidRPr="009E3948" w:rsidRDefault="009E3948" w:rsidP="00F51716">
            <w:pPr>
              <w:rPr>
                <w:lang w:eastAsia="en-AU"/>
              </w:rPr>
            </w:pPr>
            <w:r w:rsidRPr="009E3948">
              <w:rPr>
                <w:lang w:eastAsia="en-AU"/>
              </w:rPr>
              <w:t> </w:t>
            </w:r>
          </w:p>
        </w:tc>
      </w:tr>
      <w:tr w:rsidR="009E3948" w:rsidRPr="009E3948" w14:paraId="261EBC52" w14:textId="77777777" w:rsidTr="00AB668E">
        <w:trPr>
          <w:cantSplit/>
          <w:trHeight w:val="450"/>
        </w:trPr>
        <w:tc>
          <w:tcPr>
            <w:tcW w:w="2552" w:type="dxa"/>
            <w:shd w:val="clear" w:color="auto" w:fill="auto"/>
            <w:vAlign w:val="center"/>
            <w:hideMark/>
          </w:tcPr>
          <w:p w14:paraId="45181288" w14:textId="77777777" w:rsidR="009E3948" w:rsidRPr="009E3948" w:rsidRDefault="009E3948" w:rsidP="00F51716">
            <w:pPr>
              <w:rPr>
                <w:lang w:eastAsia="en-AU"/>
              </w:rPr>
            </w:pPr>
            <w:r w:rsidRPr="009E3948">
              <w:rPr>
                <w:lang w:eastAsia="en-AU"/>
              </w:rPr>
              <w:t xml:space="preserve">FRD 15E </w:t>
            </w:r>
          </w:p>
        </w:tc>
        <w:tc>
          <w:tcPr>
            <w:tcW w:w="4536" w:type="dxa"/>
            <w:gridSpan w:val="2"/>
            <w:shd w:val="clear" w:color="auto" w:fill="auto"/>
            <w:vAlign w:val="center"/>
            <w:hideMark/>
          </w:tcPr>
          <w:p w14:paraId="478BBFC6" w14:textId="77777777" w:rsidR="009E3948" w:rsidRPr="009E3948" w:rsidRDefault="009E3948" w:rsidP="00F51716">
            <w:pPr>
              <w:rPr>
                <w:lang w:eastAsia="en-AU"/>
              </w:rPr>
            </w:pPr>
            <w:r w:rsidRPr="009E3948">
              <w:rPr>
                <w:lang w:eastAsia="en-AU"/>
              </w:rPr>
              <w:t>Executive officer disclosures</w:t>
            </w:r>
          </w:p>
        </w:tc>
        <w:tc>
          <w:tcPr>
            <w:tcW w:w="1843" w:type="dxa"/>
            <w:shd w:val="clear" w:color="auto" w:fill="auto"/>
            <w:vAlign w:val="center"/>
            <w:hideMark/>
          </w:tcPr>
          <w:p w14:paraId="5748FD00" w14:textId="77777777" w:rsidR="009E3948" w:rsidRPr="009E3948" w:rsidRDefault="009E3948" w:rsidP="00F51716">
            <w:pPr>
              <w:rPr>
                <w:lang w:eastAsia="en-AU"/>
              </w:rPr>
            </w:pPr>
            <w:r w:rsidRPr="009E3948">
              <w:rPr>
                <w:lang w:eastAsia="en-AU"/>
              </w:rPr>
              <w:t> </w:t>
            </w:r>
          </w:p>
        </w:tc>
      </w:tr>
      <w:tr w:rsidR="009E3948" w:rsidRPr="009E3948" w14:paraId="4D8CB01F" w14:textId="77777777" w:rsidTr="00AB668E">
        <w:trPr>
          <w:cantSplit/>
          <w:trHeight w:val="450"/>
        </w:trPr>
        <w:tc>
          <w:tcPr>
            <w:tcW w:w="2552" w:type="dxa"/>
            <w:shd w:val="clear" w:color="auto" w:fill="auto"/>
            <w:vAlign w:val="center"/>
            <w:hideMark/>
          </w:tcPr>
          <w:p w14:paraId="042B6F08" w14:textId="77777777" w:rsidR="009E3948" w:rsidRPr="009E3948" w:rsidRDefault="009E3948" w:rsidP="00F51716">
            <w:pPr>
              <w:rPr>
                <w:lang w:eastAsia="en-AU"/>
              </w:rPr>
            </w:pPr>
            <w:r w:rsidRPr="009E3948">
              <w:rPr>
                <w:lang w:eastAsia="en-AU"/>
              </w:rPr>
              <w:t>FRD 22H</w:t>
            </w:r>
          </w:p>
        </w:tc>
        <w:tc>
          <w:tcPr>
            <w:tcW w:w="4536" w:type="dxa"/>
            <w:gridSpan w:val="2"/>
            <w:shd w:val="clear" w:color="auto" w:fill="auto"/>
            <w:vAlign w:val="center"/>
            <w:hideMark/>
          </w:tcPr>
          <w:p w14:paraId="114F4633" w14:textId="77777777" w:rsidR="009E3948" w:rsidRPr="009E3948" w:rsidRDefault="009E3948" w:rsidP="00F51716">
            <w:pPr>
              <w:rPr>
                <w:lang w:eastAsia="en-AU"/>
              </w:rPr>
            </w:pPr>
            <w:r w:rsidRPr="009E3948">
              <w:rPr>
                <w:lang w:eastAsia="en-AU"/>
              </w:rPr>
              <w:t>Employment and conduct principles</w:t>
            </w:r>
          </w:p>
        </w:tc>
        <w:tc>
          <w:tcPr>
            <w:tcW w:w="1843" w:type="dxa"/>
            <w:shd w:val="clear" w:color="auto" w:fill="auto"/>
            <w:vAlign w:val="center"/>
            <w:hideMark/>
          </w:tcPr>
          <w:p w14:paraId="2944C029" w14:textId="77777777" w:rsidR="009E3948" w:rsidRPr="009E3948" w:rsidRDefault="009E3948" w:rsidP="00F51716">
            <w:pPr>
              <w:rPr>
                <w:lang w:eastAsia="en-AU"/>
              </w:rPr>
            </w:pPr>
            <w:r w:rsidRPr="009E3948">
              <w:rPr>
                <w:lang w:eastAsia="en-AU"/>
              </w:rPr>
              <w:t> </w:t>
            </w:r>
          </w:p>
        </w:tc>
      </w:tr>
      <w:tr w:rsidR="009E3948" w:rsidRPr="009E3948" w14:paraId="59F59D3A" w14:textId="77777777" w:rsidTr="00AB668E">
        <w:trPr>
          <w:cantSplit/>
          <w:trHeight w:val="450"/>
        </w:trPr>
        <w:tc>
          <w:tcPr>
            <w:tcW w:w="2552" w:type="dxa"/>
            <w:shd w:val="clear" w:color="auto" w:fill="auto"/>
            <w:vAlign w:val="center"/>
            <w:hideMark/>
          </w:tcPr>
          <w:p w14:paraId="294D7D30" w14:textId="77777777" w:rsidR="009E3948" w:rsidRPr="009E3948" w:rsidRDefault="009E3948" w:rsidP="00F51716">
            <w:pPr>
              <w:rPr>
                <w:lang w:eastAsia="en-AU"/>
              </w:rPr>
            </w:pPr>
            <w:r w:rsidRPr="009E3948">
              <w:rPr>
                <w:lang w:eastAsia="en-AU"/>
              </w:rPr>
              <w:t>FRD 22H</w:t>
            </w:r>
          </w:p>
        </w:tc>
        <w:tc>
          <w:tcPr>
            <w:tcW w:w="4536" w:type="dxa"/>
            <w:gridSpan w:val="2"/>
            <w:shd w:val="clear" w:color="auto" w:fill="auto"/>
            <w:vAlign w:val="center"/>
            <w:hideMark/>
          </w:tcPr>
          <w:p w14:paraId="1CC871CE" w14:textId="77777777" w:rsidR="009E3948" w:rsidRPr="009E3948" w:rsidRDefault="009E3948" w:rsidP="00F51716">
            <w:pPr>
              <w:rPr>
                <w:lang w:eastAsia="en-AU"/>
              </w:rPr>
            </w:pPr>
            <w:r w:rsidRPr="009E3948">
              <w:rPr>
                <w:lang w:eastAsia="en-AU"/>
              </w:rPr>
              <w:t>Occupational health and safety policy</w:t>
            </w:r>
          </w:p>
        </w:tc>
        <w:tc>
          <w:tcPr>
            <w:tcW w:w="1843" w:type="dxa"/>
            <w:shd w:val="clear" w:color="auto" w:fill="auto"/>
            <w:vAlign w:val="center"/>
            <w:hideMark/>
          </w:tcPr>
          <w:p w14:paraId="50C2BDBB" w14:textId="77777777" w:rsidR="009E3948" w:rsidRPr="009E3948" w:rsidRDefault="009E3948" w:rsidP="00F51716">
            <w:pPr>
              <w:rPr>
                <w:lang w:eastAsia="en-AU"/>
              </w:rPr>
            </w:pPr>
            <w:r w:rsidRPr="009E3948">
              <w:rPr>
                <w:lang w:eastAsia="en-AU"/>
              </w:rPr>
              <w:t> </w:t>
            </w:r>
          </w:p>
        </w:tc>
      </w:tr>
      <w:tr w:rsidR="009E3948" w:rsidRPr="009E3948" w14:paraId="79164E14" w14:textId="77777777" w:rsidTr="00AB668E">
        <w:trPr>
          <w:cantSplit/>
          <w:trHeight w:val="450"/>
        </w:trPr>
        <w:tc>
          <w:tcPr>
            <w:tcW w:w="2552" w:type="dxa"/>
            <w:shd w:val="clear" w:color="auto" w:fill="auto"/>
            <w:vAlign w:val="center"/>
            <w:hideMark/>
          </w:tcPr>
          <w:p w14:paraId="3E9DA24C" w14:textId="77777777" w:rsidR="009E3948" w:rsidRPr="009E3948" w:rsidRDefault="009E3948" w:rsidP="00F51716">
            <w:pPr>
              <w:rPr>
                <w:lang w:eastAsia="en-AU"/>
              </w:rPr>
            </w:pPr>
            <w:r w:rsidRPr="009E3948">
              <w:rPr>
                <w:lang w:eastAsia="en-AU"/>
              </w:rPr>
              <w:t>FRD 22H</w:t>
            </w:r>
          </w:p>
        </w:tc>
        <w:tc>
          <w:tcPr>
            <w:tcW w:w="4536" w:type="dxa"/>
            <w:gridSpan w:val="2"/>
            <w:shd w:val="clear" w:color="auto" w:fill="auto"/>
            <w:vAlign w:val="center"/>
            <w:hideMark/>
          </w:tcPr>
          <w:p w14:paraId="40680A7C" w14:textId="77777777" w:rsidR="009E3948" w:rsidRPr="009E3948" w:rsidRDefault="009E3948" w:rsidP="00F51716">
            <w:pPr>
              <w:rPr>
                <w:lang w:eastAsia="en-AU"/>
              </w:rPr>
            </w:pPr>
            <w:r w:rsidRPr="009E3948">
              <w:rPr>
                <w:lang w:eastAsia="en-AU"/>
              </w:rPr>
              <w:t xml:space="preserve">Summary of the financial results for the year </w:t>
            </w:r>
          </w:p>
        </w:tc>
        <w:tc>
          <w:tcPr>
            <w:tcW w:w="1843" w:type="dxa"/>
            <w:shd w:val="clear" w:color="auto" w:fill="auto"/>
            <w:vAlign w:val="center"/>
            <w:hideMark/>
          </w:tcPr>
          <w:p w14:paraId="72671ED2" w14:textId="77777777" w:rsidR="009E3948" w:rsidRPr="009E3948" w:rsidRDefault="009E3948" w:rsidP="00F51716">
            <w:pPr>
              <w:rPr>
                <w:lang w:eastAsia="en-AU"/>
              </w:rPr>
            </w:pPr>
            <w:r w:rsidRPr="009E3948">
              <w:rPr>
                <w:lang w:eastAsia="en-AU"/>
              </w:rPr>
              <w:t> </w:t>
            </w:r>
          </w:p>
        </w:tc>
      </w:tr>
      <w:tr w:rsidR="009E3948" w:rsidRPr="009E3948" w14:paraId="1D0A51A6" w14:textId="77777777" w:rsidTr="00AB668E">
        <w:trPr>
          <w:cantSplit/>
          <w:trHeight w:val="675"/>
        </w:trPr>
        <w:tc>
          <w:tcPr>
            <w:tcW w:w="2552" w:type="dxa"/>
            <w:shd w:val="clear" w:color="auto" w:fill="auto"/>
            <w:vAlign w:val="center"/>
            <w:hideMark/>
          </w:tcPr>
          <w:p w14:paraId="67BE55C4" w14:textId="77777777" w:rsidR="009E3948" w:rsidRPr="009E3948" w:rsidRDefault="009E3948" w:rsidP="00F51716">
            <w:pPr>
              <w:rPr>
                <w:lang w:eastAsia="en-AU"/>
              </w:rPr>
            </w:pPr>
            <w:r w:rsidRPr="009E3948">
              <w:rPr>
                <w:lang w:eastAsia="en-AU"/>
              </w:rPr>
              <w:t>FRD 22H</w:t>
            </w:r>
          </w:p>
        </w:tc>
        <w:tc>
          <w:tcPr>
            <w:tcW w:w="4536" w:type="dxa"/>
            <w:gridSpan w:val="2"/>
            <w:shd w:val="clear" w:color="auto" w:fill="auto"/>
            <w:vAlign w:val="center"/>
            <w:hideMark/>
          </w:tcPr>
          <w:p w14:paraId="0BED2DD4" w14:textId="77777777" w:rsidR="009E3948" w:rsidRPr="009E3948" w:rsidRDefault="009E3948" w:rsidP="00F51716">
            <w:pPr>
              <w:rPr>
                <w:lang w:eastAsia="en-AU"/>
              </w:rPr>
            </w:pPr>
            <w:r w:rsidRPr="009E3948">
              <w:rPr>
                <w:lang w:eastAsia="en-AU"/>
              </w:rPr>
              <w:t xml:space="preserve">Significant changes in financial position during the year </w:t>
            </w:r>
          </w:p>
        </w:tc>
        <w:tc>
          <w:tcPr>
            <w:tcW w:w="1843" w:type="dxa"/>
            <w:shd w:val="clear" w:color="auto" w:fill="auto"/>
            <w:vAlign w:val="center"/>
            <w:hideMark/>
          </w:tcPr>
          <w:p w14:paraId="2503C787" w14:textId="77777777" w:rsidR="009E3948" w:rsidRPr="009E3948" w:rsidRDefault="009E3948" w:rsidP="00F51716">
            <w:pPr>
              <w:rPr>
                <w:lang w:eastAsia="en-AU"/>
              </w:rPr>
            </w:pPr>
            <w:r w:rsidRPr="009E3948">
              <w:rPr>
                <w:lang w:eastAsia="en-AU"/>
              </w:rPr>
              <w:t> </w:t>
            </w:r>
          </w:p>
        </w:tc>
      </w:tr>
      <w:tr w:rsidR="009E3948" w:rsidRPr="009E3948" w14:paraId="3440AC19" w14:textId="77777777" w:rsidTr="00AB668E">
        <w:trPr>
          <w:cantSplit/>
          <w:trHeight w:val="450"/>
        </w:trPr>
        <w:tc>
          <w:tcPr>
            <w:tcW w:w="2552" w:type="dxa"/>
            <w:shd w:val="clear" w:color="auto" w:fill="auto"/>
            <w:vAlign w:val="center"/>
            <w:hideMark/>
          </w:tcPr>
          <w:p w14:paraId="2FEB0B59" w14:textId="77777777" w:rsidR="009E3948" w:rsidRPr="009E3948" w:rsidRDefault="009E3948" w:rsidP="00F51716">
            <w:pPr>
              <w:rPr>
                <w:lang w:eastAsia="en-AU"/>
              </w:rPr>
            </w:pPr>
            <w:r w:rsidRPr="009E3948">
              <w:rPr>
                <w:lang w:eastAsia="en-AU"/>
              </w:rPr>
              <w:t>FRD 22H</w:t>
            </w:r>
          </w:p>
        </w:tc>
        <w:tc>
          <w:tcPr>
            <w:tcW w:w="4536" w:type="dxa"/>
            <w:gridSpan w:val="2"/>
            <w:shd w:val="clear" w:color="auto" w:fill="auto"/>
            <w:vAlign w:val="center"/>
            <w:hideMark/>
          </w:tcPr>
          <w:p w14:paraId="671F1817" w14:textId="77777777" w:rsidR="009E3948" w:rsidRPr="009E3948" w:rsidRDefault="009E3948" w:rsidP="00F51716">
            <w:pPr>
              <w:rPr>
                <w:lang w:eastAsia="en-AU"/>
              </w:rPr>
            </w:pPr>
            <w:r w:rsidRPr="009E3948">
              <w:rPr>
                <w:lang w:eastAsia="en-AU"/>
              </w:rPr>
              <w:t xml:space="preserve">Major changes or factors affecting performance </w:t>
            </w:r>
          </w:p>
        </w:tc>
        <w:tc>
          <w:tcPr>
            <w:tcW w:w="1843" w:type="dxa"/>
            <w:shd w:val="clear" w:color="auto" w:fill="auto"/>
            <w:vAlign w:val="center"/>
            <w:hideMark/>
          </w:tcPr>
          <w:p w14:paraId="2EEC247D" w14:textId="77777777" w:rsidR="009E3948" w:rsidRPr="009E3948" w:rsidRDefault="009E3948" w:rsidP="00F51716">
            <w:pPr>
              <w:rPr>
                <w:lang w:eastAsia="en-AU"/>
              </w:rPr>
            </w:pPr>
            <w:r w:rsidRPr="009E3948">
              <w:rPr>
                <w:lang w:eastAsia="en-AU"/>
              </w:rPr>
              <w:t> </w:t>
            </w:r>
          </w:p>
        </w:tc>
      </w:tr>
      <w:tr w:rsidR="009E3948" w:rsidRPr="009E3948" w14:paraId="1117341F" w14:textId="77777777" w:rsidTr="00AB668E">
        <w:trPr>
          <w:cantSplit/>
          <w:trHeight w:val="300"/>
        </w:trPr>
        <w:tc>
          <w:tcPr>
            <w:tcW w:w="2552" w:type="dxa"/>
            <w:shd w:val="clear" w:color="auto" w:fill="auto"/>
            <w:vAlign w:val="center"/>
            <w:hideMark/>
          </w:tcPr>
          <w:p w14:paraId="30170902" w14:textId="77777777" w:rsidR="009E3948" w:rsidRPr="009E3948" w:rsidRDefault="009E3948" w:rsidP="00F51716">
            <w:pPr>
              <w:rPr>
                <w:lang w:eastAsia="en-AU"/>
              </w:rPr>
            </w:pPr>
            <w:r w:rsidRPr="009E3948">
              <w:rPr>
                <w:lang w:eastAsia="en-AU"/>
              </w:rPr>
              <w:t>FRD 22H</w:t>
            </w:r>
          </w:p>
        </w:tc>
        <w:tc>
          <w:tcPr>
            <w:tcW w:w="4536" w:type="dxa"/>
            <w:gridSpan w:val="2"/>
            <w:shd w:val="clear" w:color="auto" w:fill="auto"/>
            <w:vAlign w:val="center"/>
            <w:hideMark/>
          </w:tcPr>
          <w:p w14:paraId="7EC167F7" w14:textId="77777777" w:rsidR="009E3948" w:rsidRPr="009E3948" w:rsidRDefault="009E3948" w:rsidP="00F51716">
            <w:pPr>
              <w:rPr>
                <w:lang w:eastAsia="en-AU"/>
              </w:rPr>
            </w:pPr>
            <w:r w:rsidRPr="009E3948">
              <w:rPr>
                <w:lang w:eastAsia="en-AU"/>
              </w:rPr>
              <w:t>Subsequent events</w:t>
            </w:r>
          </w:p>
        </w:tc>
        <w:tc>
          <w:tcPr>
            <w:tcW w:w="1843" w:type="dxa"/>
            <w:shd w:val="clear" w:color="auto" w:fill="auto"/>
            <w:vAlign w:val="center"/>
            <w:hideMark/>
          </w:tcPr>
          <w:p w14:paraId="5CBE718E" w14:textId="77777777" w:rsidR="009E3948" w:rsidRPr="009E3948" w:rsidRDefault="009E3948" w:rsidP="00F51716">
            <w:pPr>
              <w:rPr>
                <w:lang w:eastAsia="en-AU"/>
              </w:rPr>
            </w:pPr>
            <w:r w:rsidRPr="009E3948">
              <w:rPr>
                <w:lang w:eastAsia="en-AU"/>
              </w:rPr>
              <w:t> </w:t>
            </w:r>
          </w:p>
        </w:tc>
      </w:tr>
      <w:tr w:rsidR="009E3948" w:rsidRPr="009E3948" w14:paraId="1BCF00BB" w14:textId="77777777" w:rsidTr="00AB668E">
        <w:trPr>
          <w:cantSplit/>
          <w:trHeight w:val="675"/>
        </w:trPr>
        <w:tc>
          <w:tcPr>
            <w:tcW w:w="2552" w:type="dxa"/>
            <w:shd w:val="clear" w:color="auto" w:fill="auto"/>
            <w:vAlign w:val="center"/>
            <w:hideMark/>
          </w:tcPr>
          <w:p w14:paraId="42375371" w14:textId="77777777" w:rsidR="009E3948" w:rsidRPr="009E3948" w:rsidRDefault="009E3948" w:rsidP="00F51716">
            <w:pPr>
              <w:rPr>
                <w:lang w:eastAsia="en-AU"/>
              </w:rPr>
            </w:pPr>
            <w:r w:rsidRPr="009E3948">
              <w:rPr>
                <w:lang w:eastAsia="en-AU"/>
              </w:rPr>
              <w:t>FRD 22H</w:t>
            </w:r>
          </w:p>
        </w:tc>
        <w:tc>
          <w:tcPr>
            <w:tcW w:w="4536" w:type="dxa"/>
            <w:gridSpan w:val="2"/>
            <w:shd w:val="clear" w:color="auto" w:fill="auto"/>
            <w:vAlign w:val="center"/>
            <w:hideMark/>
          </w:tcPr>
          <w:p w14:paraId="5F88E925" w14:textId="77777777" w:rsidR="009E3948" w:rsidRPr="009E3948" w:rsidRDefault="009E3948" w:rsidP="00F51716">
            <w:pPr>
              <w:rPr>
                <w:lang w:eastAsia="en-AU"/>
              </w:rPr>
            </w:pPr>
            <w:r w:rsidRPr="009E3948">
              <w:rPr>
                <w:lang w:eastAsia="en-AU"/>
              </w:rPr>
              <w:t xml:space="preserve">Application and operation of </w:t>
            </w:r>
            <w:r w:rsidRPr="00CF3851">
              <w:rPr>
                <w:i/>
                <w:iCs/>
                <w:lang w:eastAsia="en-AU"/>
              </w:rPr>
              <w:t>Freedom of Information Act 1982</w:t>
            </w:r>
            <w:r w:rsidRPr="009E3948">
              <w:rPr>
                <w:lang w:eastAsia="en-AU"/>
              </w:rPr>
              <w:t xml:space="preserve"> </w:t>
            </w:r>
          </w:p>
        </w:tc>
        <w:tc>
          <w:tcPr>
            <w:tcW w:w="1843" w:type="dxa"/>
            <w:shd w:val="clear" w:color="auto" w:fill="auto"/>
            <w:vAlign w:val="center"/>
            <w:hideMark/>
          </w:tcPr>
          <w:p w14:paraId="22651B24" w14:textId="77777777" w:rsidR="009E3948" w:rsidRPr="009E3948" w:rsidRDefault="009E3948" w:rsidP="00F51716">
            <w:pPr>
              <w:rPr>
                <w:lang w:eastAsia="en-AU"/>
              </w:rPr>
            </w:pPr>
            <w:r w:rsidRPr="009E3948">
              <w:rPr>
                <w:lang w:eastAsia="en-AU"/>
              </w:rPr>
              <w:t> </w:t>
            </w:r>
          </w:p>
        </w:tc>
      </w:tr>
      <w:tr w:rsidR="009E3948" w:rsidRPr="009E3948" w14:paraId="4F47077B" w14:textId="77777777" w:rsidTr="00AB668E">
        <w:trPr>
          <w:cantSplit/>
          <w:trHeight w:val="900"/>
        </w:trPr>
        <w:tc>
          <w:tcPr>
            <w:tcW w:w="2552" w:type="dxa"/>
            <w:shd w:val="clear" w:color="auto" w:fill="auto"/>
            <w:vAlign w:val="center"/>
            <w:hideMark/>
          </w:tcPr>
          <w:p w14:paraId="6F5BD8CD" w14:textId="77777777" w:rsidR="009E3948" w:rsidRPr="009E3948" w:rsidRDefault="009E3948" w:rsidP="00F51716">
            <w:pPr>
              <w:rPr>
                <w:lang w:eastAsia="en-AU"/>
              </w:rPr>
            </w:pPr>
            <w:r w:rsidRPr="009E3948">
              <w:rPr>
                <w:lang w:eastAsia="en-AU"/>
              </w:rPr>
              <w:t>FRD 22H</w:t>
            </w:r>
          </w:p>
        </w:tc>
        <w:tc>
          <w:tcPr>
            <w:tcW w:w="4536" w:type="dxa"/>
            <w:gridSpan w:val="2"/>
            <w:shd w:val="clear" w:color="auto" w:fill="auto"/>
            <w:vAlign w:val="center"/>
            <w:hideMark/>
          </w:tcPr>
          <w:p w14:paraId="31992CA1" w14:textId="77777777" w:rsidR="009E3948" w:rsidRPr="009E3948" w:rsidRDefault="009E3948" w:rsidP="00F51716">
            <w:pPr>
              <w:rPr>
                <w:lang w:eastAsia="en-AU"/>
              </w:rPr>
            </w:pPr>
            <w:r w:rsidRPr="009E3948">
              <w:rPr>
                <w:lang w:eastAsia="en-AU"/>
              </w:rPr>
              <w:t xml:space="preserve">Compliance with building and maintenance provisions of </w:t>
            </w:r>
            <w:r w:rsidRPr="009E3948">
              <w:rPr>
                <w:i/>
                <w:iCs/>
                <w:lang w:eastAsia="en-AU"/>
              </w:rPr>
              <w:t>Building Act 1993</w:t>
            </w:r>
          </w:p>
        </w:tc>
        <w:tc>
          <w:tcPr>
            <w:tcW w:w="1843" w:type="dxa"/>
            <w:shd w:val="clear" w:color="auto" w:fill="auto"/>
            <w:vAlign w:val="center"/>
            <w:hideMark/>
          </w:tcPr>
          <w:p w14:paraId="5C51F594" w14:textId="77777777" w:rsidR="009E3948" w:rsidRPr="009E3948" w:rsidRDefault="009E3948" w:rsidP="00F51716">
            <w:pPr>
              <w:rPr>
                <w:lang w:eastAsia="en-AU"/>
              </w:rPr>
            </w:pPr>
            <w:r w:rsidRPr="009E3948">
              <w:rPr>
                <w:lang w:eastAsia="en-AU"/>
              </w:rPr>
              <w:t> </w:t>
            </w:r>
          </w:p>
        </w:tc>
      </w:tr>
      <w:tr w:rsidR="009E3948" w:rsidRPr="009E3948" w14:paraId="7341D372" w14:textId="77777777" w:rsidTr="00AB668E">
        <w:trPr>
          <w:cantSplit/>
          <w:trHeight w:val="450"/>
        </w:trPr>
        <w:tc>
          <w:tcPr>
            <w:tcW w:w="2552" w:type="dxa"/>
            <w:shd w:val="clear" w:color="auto" w:fill="auto"/>
            <w:vAlign w:val="center"/>
            <w:hideMark/>
          </w:tcPr>
          <w:p w14:paraId="72F6D5EB" w14:textId="77777777" w:rsidR="009E3948" w:rsidRPr="009E3948" w:rsidRDefault="009E3948" w:rsidP="00F51716">
            <w:pPr>
              <w:rPr>
                <w:lang w:eastAsia="en-AU"/>
              </w:rPr>
            </w:pPr>
            <w:r w:rsidRPr="009E3948">
              <w:rPr>
                <w:lang w:eastAsia="en-AU"/>
              </w:rPr>
              <w:t>FRD 22H</w:t>
            </w:r>
          </w:p>
        </w:tc>
        <w:tc>
          <w:tcPr>
            <w:tcW w:w="4536" w:type="dxa"/>
            <w:gridSpan w:val="2"/>
            <w:shd w:val="clear" w:color="auto" w:fill="auto"/>
            <w:vAlign w:val="center"/>
            <w:hideMark/>
          </w:tcPr>
          <w:p w14:paraId="02798938" w14:textId="77777777" w:rsidR="009E3948" w:rsidRPr="009E3948" w:rsidRDefault="009E3948" w:rsidP="00F51716">
            <w:pPr>
              <w:rPr>
                <w:lang w:eastAsia="en-AU"/>
              </w:rPr>
            </w:pPr>
            <w:r w:rsidRPr="009E3948">
              <w:rPr>
                <w:lang w:eastAsia="en-AU"/>
              </w:rPr>
              <w:t xml:space="preserve">Statement on National Competition Policy </w:t>
            </w:r>
          </w:p>
        </w:tc>
        <w:tc>
          <w:tcPr>
            <w:tcW w:w="1843" w:type="dxa"/>
            <w:shd w:val="clear" w:color="auto" w:fill="auto"/>
            <w:vAlign w:val="center"/>
            <w:hideMark/>
          </w:tcPr>
          <w:p w14:paraId="0B91CBBD" w14:textId="77777777" w:rsidR="009E3948" w:rsidRPr="009E3948" w:rsidRDefault="009E3948" w:rsidP="00F51716">
            <w:pPr>
              <w:rPr>
                <w:lang w:eastAsia="en-AU"/>
              </w:rPr>
            </w:pPr>
            <w:r w:rsidRPr="009E3948">
              <w:rPr>
                <w:lang w:eastAsia="en-AU"/>
              </w:rPr>
              <w:t> </w:t>
            </w:r>
          </w:p>
        </w:tc>
      </w:tr>
      <w:tr w:rsidR="009E3948" w:rsidRPr="009E3948" w14:paraId="7685150B" w14:textId="77777777" w:rsidTr="00AB668E">
        <w:trPr>
          <w:cantSplit/>
          <w:trHeight w:val="675"/>
        </w:trPr>
        <w:tc>
          <w:tcPr>
            <w:tcW w:w="2552" w:type="dxa"/>
            <w:shd w:val="clear" w:color="auto" w:fill="auto"/>
            <w:vAlign w:val="center"/>
            <w:hideMark/>
          </w:tcPr>
          <w:p w14:paraId="3F59BFAE" w14:textId="77777777" w:rsidR="009E3948" w:rsidRPr="009E3948" w:rsidRDefault="009E3948" w:rsidP="00F51716">
            <w:pPr>
              <w:rPr>
                <w:lang w:eastAsia="en-AU"/>
              </w:rPr>
            </w:pPr>
            <w:r w:rsidRPr="009E3948">
              <w:rPr>
                <w:lang w:eastAsia="en-AU"/>
              </w:rPr>
              <w:t>FRD 22H</w:t>
            </w:r>
          </w:p>
        </w:tc>
        <w:tc>
          <w:tcPr>
            <w:tcW w:w="4536" w:type="dxa"/>
            <w:gridSpan w:val="2"/>
            <w:shd w:val="clear" w:color="auto" w:fill="auto"/>
            <w:vAlign w:val="center"/>
            <w:hideMark/>
          </w:tcPr>
          <w:p w14:paraId="711B49E7" w14:textId="77777777" w:rsidR="009E3948" w:rsidRPr="009E3948" w:rsidRDefault="009E3948" w:rsidP="00F51716">
            <w:pPr>
              <w:rPr>
                <w:lang w:eastAsia="en-AU"/>
              </w:rPr>
            </w:pPr>
            <w:r w:rsidRPr="009E3948">
              <w:rPr>
                <w:lang w:eastAsia="en-AU"/>
              </w:rPr>
              <w:t xml:space="preserve">Application and operation of the </w:t>
            </w:r>
            <w:r w:rsidRPr="009E3948">
              <w:rPr>
                <w:i/>
                <w:iCs/>
                <w:lang w:eastAsia="en-AU"/>
              </w:rPr>
              <w:t>Protected Disclosure Act 2012</w:t>
            </w:r>
          </w:p>
        </w:tc>
        <w:tc>
          <w:tcPr>
            <w:tcW w:w="1843" w:type="dxa"/>
            <w:shd w:val="clear" w:color="auto" w:fill="auto"/>
            <w:vAlign w:val="center"/>
            <w:hideMark/>
          </w:tcPr>
          <w:p w14:paraId="3EEF1F00" w14:textId="77777777" w:rsidR="009E3948" w:rsidRPr="009E3948" w:rsidRDefault="009E3948" w:rsidP="00F51716">
            <w:pPr>
              <w:rPr>
                <w:lang w:eastAsia="en-AU"/>
              </w:rPr>
            </w:pPr>
            <w:r w:rsidRPr="009E3948">
              <w:rPr>
                <w:lang w:eastAsia="en-AU"/>
              </w:rPr>
              <w:t> </w:t>
            </w:r>
          </w:p>
        </w:tc>
      </w:tr>
      <w:tr w:rsidR="009E3948" w:rsidRPr="009E3948" w14:paraId="4B30B0A1" w14:textId="77777777" w:rsidTr="00AB668E">
        <w:trPr>
          <w:cantSplit/>
          <w:trHeight w:val="675"/>
        </w:trPr>
        <w:tc>
          <w:tcPr>
            <w:tcW w:w="2552" w:type="dxa"/>
            <w:shd w:val="clear" w:color="auto" w:fill="auto"/>
            <w:vAlign w:val="center"/>
            <w:hideMark/>
          </w:tcPr>
          <w:p w14:paraId="6A85433A" w14:textId="77777777" w:rsidR="009E3948" w:rsidRPr="009E3948" w:rsidRDefault="009E3948" w:rsidP="00F51716">
            <w:pPr>
              <w:rPr>
                <w:lang w:eastAsia="en-AU"/>
              </w:rPr>
            </w:pPr>
            <w:r w:rsidRPr="009E3948">
              <w:rPr>
                <w:lang w:eastAsia="en-AU"/>
              </w:rPr>
              <w:t>FRD 22H</w:t>
            </w:r>
          </w:p>
        </w:tc>
        <w:tc>
          <w:tcPr>
            <w:tcW w:w="4536" w:type="dxa"/>
            <w:gridSpan w:val="2"/>
            <w:shd w:val="clear" w:color="auto" w:fill="auto"/>
            <w:vAlign w:val="center"/>
            <w:hideMark/>
          </w:tcPr>
          <w:p w14:paraId="1570E835" w14:textId="77777777" w:rsidR="009E3948" w:rsidRPr="009E3948" w:rsidRDefault="009E3948" w:rsidP="00F51716">
            <w:pPr>
              <w:rPr>
                <w:lang w:eastAsia="en-AU"/>
              </w:rPr>
            </w:pPr>
            <w:r w:rsidRPr="009E3948">
              <w:rPr>
                <w:lang w:eastAsia="en-AU"/>
              </w:rPr>
              <w:t xml:space="preserve">Application and operation of the </w:t>
            </w:r>
            <w:r w:rsidRPr="009E3948">
              <w:rPr>
                <w:i/>
                <w:iCs/>
                <w:lang w:eastAsia="en-AU"/>
              </w:rPr>
              <w:t>Carers Recognition Act 2012</w:t>
            </w:r>
          </w:p>
        </w:tc>
        <w:tc>
          <w:tcPr>
            <w:tcW w:w="1843" w:type="dxa"/>
            <w:shd w:val="clear" w:color="auto" w:fill="auto"/>
            <w:vAlign w:val="center"/>
            <w:hideMark/>
          </w:tcPr>
          <w:p w14:paraId="2788EE74" w14:textId="77777777" w:rsidR="009E3948" w:rsidRPr="009E3948" w:rsidRDefault="009E3948" w:rsidP="00F51716">
            <w:pPr>
              <w:rPr>
                <w:lang w:eastAsia="en-AU"/>
              </w:rPr>
            </w:pPr>
            <w:r w:rsidRPr="009E3948">
              <w:rPr>
                <w:lang w:eastAsia="en-AU"/>
              </w:rPr>
              <w:t> </w:t>
            </w:r>
          </w:p>
        </w:tc>
      </w:tr>
      <w:tr w:rsidR="009E3948" w:rsidRPr="009E3948" w14:paraId="684274F9" w14:textId="77777777" w:rsidTr="00AB668E">
        <w:trPr>
          <w:cantSplit/>
          <w:trHeight w:val="450"/>
        </w:trPr>
        <w:tc>
          <w:tcPr>
            <w:tcW w:w="2552" w:type="dxa"/>
            <w:shd w:val="clear" w:color="auto" w:fill="auto"/>
            <w:vAlign w:val="center"/>
            <w:hideMark/>
          </w:tcPr>
          <w:p w14:paraId="25F4FE2F" w14:textId="77777777" w:rsidR="009E3948" w:rsidRPr="009E3948" w:rsidRDefault="009E3948" w:rsidP="00F51716">
            <w:pPr>
              <w:rPr>
                <w:lang w:eastAsia="en-AU"/>
              </w:rPr>
            </w:pPr>
            <w:r w:rsidRPr="009E3948">
              <w:rPr>
                <w:lang w:eastAsia="en-AU"/>
              </w:rPr>
              <w:t>FRD 22H</w:t>
            </w:r>
          </w:p>
        </w:tc>
        <w:tc>
          <w:tcPr>
            <w:tcW w:w="4536" w:type="dxa"/>
            <w:gridSpan w:val="2"/>
            <w:shd w:val="clear" w:color="auto" w:fill="auto"/>
            <w:vAlign w:val="center"/>
            <w:hideMark/>
          </w:tcPr>
          <w:p w14:paraId="42C827EB" w14:textId="44FA90F0" w:rsidR="009E3948" w:rsidRPr="009E3948" w:rsidRDefault="009E3948" w:rsidP="00F51716">
            <w:pPr>
              <w:rPr>
                <w:lang w:eastAsia="en-AU"/>
              </w:rPr>
            </w:pPr>
            <w:r w:rsidRPr="009E3948">
              <w:rPr>
                <w:lang w:eastAsia="en-AU"/>
              </w:rPr>
              <w:t>Details of consultancies over $10</w:t>
            </w:r>
            <w:r w:rsidR="00CF3851">
              <w:rPr>
                <w:lang w:eastAsia="en-AU"/>
              </w:rPr>
              <w:t>,</w:t>
            </w:r>
            <w:r w:rsidRPr="009E3948">
              <w:rPr>
                <w:lang w:eastAsia="en-AU"/>
              </w:rPr>
              <w:t xml:space="preserve">000 </w:t>
            </w:r>
          </w:p>
        </w:tc>
        <w:tc>
          <w:tcPr>
            <w:tcW w:w="1843" w:type="dxa"/>
            <w:shd w:val="clear" w:color="auto" w:fill="auto"/>
            <w:vAlign w:val="center"/>
            <w:hideMark/>
          </w:tcPr>
          <w:p w14:paraId="13B029DB" w14:textId="77777777" w:rsidR="009E3948" w:rsidRPr="009E3948" w:rsidRDefault="009E3948" w:rsidP="00F51716">
            <w:pPr>
              <w:rPr>
                <w:lang w:eastAsia="en-AU"/>
              </w:rPr>
            </w:pPr>
            <w:r w:rsidRPr="009E3948">
              <w:rPr>
                <w:lang w:eastAsia="en-AU"/>
              </w:rPr>
              <w:t> </w:t>
            </w:r>
          </w:p>
        </w:tc>
      </w:tr>
      <w:tr w:rsidR="009E3948" w:rsidRPr="009E3948" w14:paraId="5C9152EB" w14:textId="77777777" w:rsidTr="00AB668E">
        <w:trPr>
          <w:cantSplit/>
          <w:trHeight w:val="450"/>
        </w:trPr>
        <w:tc>
          <w:tcPr>
            <w:tcW w:w="2552" w:type="dxa"/>
            <w:shd w:val="clear" w:color="auto" w:fill="auto"/>
            <w:vAlign w:val="center"/>
            <w:hideMark/>
          </w:tcPr>
          <w:p w14:paraId="588E5A0F" w14:textId="77777777" w:rsidR="009E3948" w:rsidRPr="009E3948" w:rsidRDefault="009E3948" w:rsidP="00F51716">
            <w:pPr>
              <w:rPr>
                <w:lang w:eastAsia="en-AU"/>
              </w:rPr>
            </w:pPr>
            <w:r w:rsidRPr="009E3948">
              <w:rPr>
                <w:lang w:eastAsia="en-AU"/>
              </w:rPr>
              <w:t>FRD 22H</w:t>
            </w:r>
          </w:p>
        </w:tc>
        <w:tc>
          <w:tcPr>
            <w:tcW w:w="4536" w:type="dxa"/>
            <w:gridSpan w:val="2"/>
            <w:shd w:val="clear" w:color="auto" w:fill="auto"/>
            <w:vAlign w:val="center"/>
            <w:hideMark/>
          </w:tcPr>
          <w:p w14:paraId="6821D6FA" w14:textId="4D7976A2" w:rsidR="009E3948" w:rsidRPr="009E3948" w:rsidRDefault="009E3948" w:rsidP="00F51716">
            <w:pPr>
              <w:rPr>
                <w:lang w:eastAsia="en-AU"/>
              </w:rPr>
            </w:pPr>
            <w:r w:rsidRPr="009E3948">
              <w:rPr>
                <w:lang w:eastAsia="en-AU"/>
              </w:rPr>
              <w:t>Details of consultancies under $10</w:t>
            </w:r>
            <w:r w:rsidR="00CF3851">
              <w:rPr>
                <w:lang w:eastAsia="en-AU"/>
              </w:rPr>
              <w:t>,</w:t>
            </w:r>
            <w:r w:rsidRPr="009E3948">
              <w:rPr>
                <w:lang w:eastAsia="en-AU"/>
              </w:rPr>
              <w:t xml:space="preserve">000 </w:t>
            </w:r>
          </w:p>
        </w:tc>
        <w:tc>
          <w:tcPr>
            <w:tcW w:w="1843" w:type="dxa"/>
            <w:shd w:val="clear" w:color="auto" w:fill="auto"/>
            <w:vAlign w:val="center"/>
            <w:hideMark/>
          </w:tcPr>
          <w:p w14:paraId="75411360" w14:textId="77777777" w:rsidR="009E3948" w:rsidRPr="009E3948" w:rsidRDefault="009E3948" w:rsidP="00F51716">
            <w:pPr>
              <w:rPr>
                <w:lang w:eastAsia="en-AU"/>
              </w:rPr>
            </w:pPr>
            <w:r w:rsidRPr="009E3948">
              <w:rPr>
                <w:lang w:eastAsia="en-AU"/>
              </w:rPr>
              <w:t> </w:t>
            </w:r>
          </w:p>
        </w:tc>
      </w:tr>
      <w:tr w:rsidR="009E3948" w:rsidRPr="009E3948" w14:paraId="65AF6AC5" w14:textId="77777777" w:rsidTr="00AB668E">
        <w:trPr>
          <w:cantSplit/>
          <w:trHeight w:val="675"/>
        </w:trPr>
        <w:tc>
          <w:tcPr>
            <w:tcW w:w="2552" w:type="dxa"/>
            <w:shd w:val="clear" w:color="auto" w:fill="auto"/>
            <w:vAlign w:val="center"/>
            <w:hideMark/>
          </w:tcPr>
          <w:p w14:paraId="4E26E3C0" w14:textId="77777777" w:rsidR="009E3948" w:rsidRPr="009E3948" w:rsidRDefault="009E3948" w:rsidP="00F51716">
            <w:pPr>
              <w:rPr>
                <w:lang w:eastAsia="en-AU"/>
              </w:rPr>
            </w:pPr>
            <w:r w:rsidRPr="009E3948">
              <w:rPr>
                <w:lang w:eastAsia="en-AU"/>
              </w:rPr>
              <w:t>FRD 22H</w:t>
            </w:r>
          </w:p>
        </w:tc>
        <w:tc>
          <w:tcPr>
            <w:tcW w:w="4536" w:type="dxa"/>
            <w:gridSpan w:val="2"/>
            <w:shd w:val="clear" w:color="auto" w:fill="auto"/>
            <w:vAlign w:val="center"/>
            <w:hideMark/>
          </w:tcPr>
          <w:p w14:paraId="44FC298C" w14:textId="77777777" w:rsidR="009E3948" w:rsidRPr="009E3948" w:rsidRDefault="009E3948" w:rsidP="00F51716">
            <w:pPr>
              <w:rPr>
                <w:lang w:eastAsia="en-AU"/>
              </w:rPr>
            </w:pPr>
            <w:r w:rsidRPr="009E3948">
              <w:rPr>
                <w:lang w:eastAsia="en-AU"/>
              </w:rPr>
              <w:t>Disclosure of government advertising expenditure</w:t>
            </w:r>
          </w:p>
        </w:tc>
        <w:tc>
          <w:tcPr>
            <w:tcW w:w="1843" w:type="dxa"/>
            <w:shd w:val="clear" w:color="auto" w:fill="auto"/>
            <w:vAlign w:val="center"/>
            <w:hideMark/>
          </w:tcPr>
          <w:p w14:paraId="18D2AFD0" w14:textId="77777777" w:rsidR="009E3948" w:rsidRPr="009E3948" w:rsidRDefault="009E3948" w:rsidP="00F51716">
            <w:pPr>
              <w:rPr>
                <w:lang w:eastAsia="en-AU"/>
              </w:rPr>
            </w:pPr>
            <w:r w:rsidRPr="009E3948">
              <w:rPr>
                <w:lang w:eastAsia="en-AU"/>
              </w:rPr>
              <w:t> </w:t>
            </w:r>
          </w:p>
        </w:tc>
      </w:tr>
      <w:tr w:rsidR="009E3948" w:rsidRPr="009E3948" w14:paraId="6EC0D411" w14:textId="77777777" w:rsidTr="00AB668E">
        <w:trPr>
          <w:cantSplit/>
          <w:trHeight w:val="450"/>
        </w:trPr>
        <w:tc>
          <w:tcPr>
            <w:tcW w:w="2552" w:type="dxa"/>
            <w:shd w:val="clear" w:color="auto" w:fill="auto"/>
            <w:vAlign w:val="center"/>
            <w:hideMark/>
          </w:tcPr>
          <w:p w14:paraId="159FE7DA" w14:textId="77777777" w:rsidR="009E3948" w:rsidRPr="009E3948" w:rsidRDefault="009E3948" w:rsidP="00F51716">
            <w:pPr>
              <w:rPr>
                <w:lang w:eastAsia="en-AU"/>
              </w:rPr>
            </w:pPr>
            <w:r w:rsidRPr="009E3948">
              <w:rPr>
                <w:lang w:eastAsia="en-AU"/>
              </w:rPr>
              <w:t>FRD 22H</w:t>
            </w:r>
          </w:p>
        </w:tc>
        <w:tc>
          <w:tcPr>
            <w:tcW w:w="4536" w:type="dxa"/>
            <w:gridSpan w:val="2"/>
            <w:shd w:val="clear" w:color="auto" w:fill="auto"/>
            <w:vAlign w:val="center"/>
            <w:hideMark/>
          </w:tcPr>
          <w:p w14:paraId="328E5955" w14:textId="77777777" w:rsidR="009E3948" w:rsidRPr="009E3948" w:rsidRDefault="009E3948" w:rsidP="00F51716">
            <w:pPr>
              <w:rPr>
                <w:lang w:eastAsia="en-AU"/>
              </w:rPr>
            </w:pPr>
            <w:r w:rsidRPr="009E3948">
              <w:rPr>
                <w:lang w:eastAsia="en-AU"/>
              </w:rPr>
              <w:t>Disclosure of ICT expenditure</w:t>
            </w:r>
          </w:p>
        </w:tc>
        <w:tc>
          <w:tcPr>
            <w:tcW w:w="1843" w:type="dxa"/>
            <w:shd w:val="clear" w:color="auto" w:fill="auto"/>
            <w:vAlign w:val="center"/>
            <w:hideMark/>
          </w:tcPr>
          <w:p w14:paraId="1A05E221" w14:textId="77777777" w:rsidR="009E3948" w:rsidRPr="009E3948" w:rsidRDefault="009E3948" w:rsidP="00F51716">
            <w:pPr>
              <w:rPr>
                <w:lang w:eastAsia="en-AU"/>
              </w:rPr>
            </w:pPr>
            <w:r w:rsidRPr="009E3948">
              <w:rPr>
                <w:lang w:eastAsia="en-AU"/>
              </w:rPr>
              <w:t> </w:t>
            </w:r>
          </w:p>
        </w:tc>
      </w:tr>
      <w:tr w:rsidR="009E3948" w:rsidRPr="009E3948" w14:paraId="782A2415" w14:textId="77777777" w:rsidTr="00AB668E">
        <w:trPr>
          <w:cantSplit/>
          <w:trHeight w:val="450"/>
        </w:trPr>
        <w:tc>
          <w:tcPr>
            <w:tcW w:w="2552" w:type="dxa"/>
            <w:shd w:val="clear" w:color="auto" w:fill="auto"/>
            <w:vAlign w:val="center"/>
            <w:hideMark/>
          </w:tcPr>
          <w:p w14:paraId="76948656" w14:textId="77777777" w:rsidR="009E3948" w:rsidRPr="009E3948" w:rsidRDefault="009E3948" w:rsidP="00F51716">
            <w:pPr>
              <w:rPr>
                <w:lang w:eastAsia="en-AU"/>
              </w:rPr>
            </w:pPr>
            <w:r w:rsidRPr="009E3948">
              <w:rPr>
                <w:lang w:eastAsia="en-AU"/>
              </w:rPr>
              <w:t>FRD 22H</w:t>
            </w:r>
          </w:p>
        </w:tc>
        <w:tc>
          <w:tcPr>
            <w:tcW w:w="4536" w:type="dxa"/>
            <w:gridSpan w:val="2"/>
            <w:shd w:val="clear" w:color="auto" w:fill="auto"/>
            <w:vAlign w:val="center"/>
            <w:hideMark/>
          </w:tcPr>
          <w:p w14:paraId="3AF27C51" w14:textId="77777777" w:rsidR="009E3948" w:rsidRPr="009E3948" w:rsidRDefault="009E3948" w:rsidP="00F51716">
            <w:pPr>
              <w:rPr>
                <w:lang w:eastAsia="en-AU"/>
              </w:rPr>
            </w:pPr>
            <w:r w:rsidRPr="009E3948">
              <w:rPr>
                <w:lang w:eastAsia="en-AU"/>
              </w:rPr>
              <w:t xml:space="preserve">Statement of availability of other information </w:t>
            </w:r>
          </w:p>
        </w:tc>
        <w:tc>
          <w:tcPr>
            <w:tcW w:w="1843" w:type="dxa"/>
            <w:shd w:val="clear" w:color="auto" w:fill="auto"/>
            <w:vAlign w:val="center"/>
            <w:hideMark/>
          </w:tcPr>
          <w:p w14:paraId="0397F8A2" w14:textId="77777777" w:rsidR="009E3948" w:rsidRPr="009E3948" w:rsidRDefault="009E3948" w:rsidP="00F51716">
            <w:pPr>
              <w:rPr>
                <w:lang w:eastAsia="en-AU"/>
              </w:rPr>
            </w:pPr>
            <w:r w:rsidRPr="009E3948">
              <w:rPr>
                <w:lang w:eastAsia="en-AU"/>
              </w:rPr>
              <w:t> </w:t>
            </w:r>
          </w:p>
        </w:tc>
      </w:tr>
      <w:tr w:rsidR="009E3948" w:rsidRPr="009E3948" w14:paraId="0DBADD9F" w14:textId="77777777" w:rsidTr="00AB668E">
        <w:trPr>
          <w:cantSplit/>
          <w:trHeight w:val="675"/>
        </w:trPr>
        <w:tc>
          <w:tcPr>
            <w:tcW w:w="2552" w:type="dxa"/>
            <w:shd w:val="clear" w:color="auto" w:fill="auto"/>
            <w:vAlign w:val="center"/>
            <w:hideMark/>
          </w:tcPr>
          <w:p w14:paraId="03B7338B" w14:textId="2F0983D4" w:rsidR="009E3948" w:rsidRPr="009E3948" w:rsidRDefault="009E3948" w:rsidP="00F51716">
            <w:pPr>
              <w:rPr>
                <w:lang w:eastAsia="en-AU"/>
              </w:rPr>
            </w:pPr>
            <w:r w:rsidRPr="009E3948">
              <w:rPr>
                <w:lang w:eastAsia="en-AU"/>
              </w:rPr>
              <w:t>FRD 24</w:t>
            </w:r>
            <w:r w:rsidR="007536F1">
              <w:rPr>
                <w:lang w:eastAsia="en-AU"/>
              </w:rPr>
              <w:t> D</w:t>
            </w:r>
          </w:p>
        </w:tc>
        <w:tc>
          <w:tcPr>
            <w:tcW w:w="4536" w:type="dxa"/>
            <w:gridSpan w:val="2"/>
            <w:shd w:val="clear" w:color="auto" w:fill="auto"/>
            <w:vAlign w:val="center"/>
            <w:hideMark/>
          </w:tcPr>
          <w:p w14:paraId="2640FCFE" w14:textId="77777777" w:rsidR="009E3948" w:rsidRPr="009E3948" w:rsidRDefault="009E3948" w:rsidP="00F51716">
            <w:pPr>
              <w:rPr>
                <w:lang w:eastAsia="en-AU"/>
              </w:rPr>
            </w:pPr>
            <w:r w:rsidRPr="009E3948">
              <w:rPr>
                <w:lang w:eastAsia="en-AU"/>
              </w:rPr>
              <w:t>Reporting of office</w:t>
            </w:r>
            <w:r w:rsidRPr="009E3948">
              <w:rPr>
                <w:lang w:eastAsia="en-AU"/>
              </w:rPr>
              <w:noBreakHyphen/>
              <w:t>based environmental impacts</w:t>
            </w:r>
          </w:p>
        </w:tc>
        <w:tc>
          <w:tcPr>
            <w:tcW w:w="1843" w:type="dxa"/>
            <w:shd w:val="clear" w:color="auto" w:fill="auto"/>
            <w:vAlign w:val="center"/>
            <w:hideMark/>
          </w:tcPr>
          <w:p w14:paraId="2636572B" w14:textId="77777777" w:rsidR="009E3948" w:rsidRPr="009E3948" w:rsidRDefault="009E3948" w:rsidP="00F51716">
            <w:pPr>
              <w:rPr>
                <w:lang w:eastAsia="en-AU"/>
              </w:rPr>
            </w:pPr>
            <w:r w:rsidRPr="009E3948">
              <w:rPr>
                <w:lang w:eastAsia="en-AU"/>
              </w:rPr>
              <w:t> </w:t>
            </w:r>
          </w:p>
        </w:tc>
      </w:tr>
      <w:tr w:rsidR="009E3948" w:rsidRPr="009E3948" w14:paraId="1440A97F" w14:textId="77777777" w:rsidTr="00AB668E">
        <w:trPr>
          <w:cantSplit/>
          <w:trHeight w:val="300"/>
        </w:trPr>
        <w:tc>
          <w:tcPr>
            <w:tcW w:w="2552" w:type="dxa"/>
            <w:shd w:val="clear" w:color="auto" w:fill="auto"/>
            <w:vAlign w:val="center"/>
            <w:hideMark/>
          </w:tcPr>
          <w:p w14:paraId="54D4DDCC" w14:textId="134703BD" w:rsidR="009E3948" w:rsidRPr="009E3948" w:rsidRDefault="009E3948" w:rsidP="00F51716">
            <w:pPr>
              <w:rPr>
                <w:lang w:eastAsia="en-AU"/>
              </w:rPr>
            </w:pPr>
            <w:r w:rsidRPr="009E3948">
              <w:rPr>
                <w:lang w:eastAsia="en-AU"/>
              </w:rPr>
              <w:t>FRD 25</w:t>
            </w:r>
            <w:r w:rsidR="007536F1">
              <w:rPr>
                <w:lang w:eastAsia="en-AU"/>
              </w:rPr>
              <w:t> D</w:t>
            </w:r>
          </w:p>
        </w:tc>
        <w:tc>
          <w:tcPr>
            <w:tcW w:w="4536" w:type="dxa"/>
            <w:gridSpan w:val="2"/>
            <w:shd w:val="clear" w:color="auto" w:fill="auto"/>
            <w:vAlign w:val="center"/>
            <w:hideMark/>
          </w:tcPr>
          <w:p w14:paraId="054DCE6E" w14:textId="77777777" w:rsidR="009E3948" w:rsidRPr="009E3948" w:rsidRDefault="009E3948" w:rsidP="00F51716">
            <w:pPr>
              <w:rPr>
                <w:lang w:eastAsia="en-AU"/>
              </w:rPr>
            </w:pPr>
            <w:r w:rsidRPr="009E3948">
              <w:rPr>
                <w:lang w:eastAsia="en-AU"/>
              </w:rPr>
              <w:t>Local Jobs First</w:t>
            </w:r>
          </w:p>
        </w:tc>
        <w:tc>
          <w:tcPr>
            <w:tcW w:w="1843" w:type="dxa"/>
            <w:shd w:val="clear" w:color="auto" w:fill="auto"/>
            <w:vAlign w:val="center"/>
            <w:hideMark/>
          </w:tcPr>
          <w:p w14:paraId="14F4F3FB" w14:textId="77777777" w:rsidR="009E3948" w:rsidRPr="009E3948" w:rsidRDefault="009E3948" w:rsidP="00F51716">
            <w:pPr>
              <w:rPr>
                <w:lang w:eastAsia="en-AU"/>
              </w:rPr>
            </w:pPr>
            <w:r w:rsidRPr="009E3948">
              <w:rPr>
                <w:lang w:eastAsia="en-AU"/>
              </w:rPr>
              <w:t> </w:t>
            </w:r>
          </w:p>
        </w:tc>
      </w:tr>
      <w:tr w:rsidR="009E3948" w:rsidRPr="009E3948" w14:paraId="713D587D" w14:textId="77777777" w:rsidTr="00AB668E">
        <w:trPr>
          <w:cantSplit/>
          <w:trHeight w:val="450"/>
        </w:trPr>
        <w:tc>
          <w:tcPr>
            <w:tcW w:w="2552" w:type="dxa"/>
            <w:shd w:val="clear" w:color="auto" w:fill="auto"/>
            <w:vAlign w:val="center"/>
            <w:hideMark/>
          </w:tcPr>
          <w:p w14:paraId="0FB3214A" w14:textId="77777777" w:rsidR="009E3948" w:rsidRPr="009E3948" w:rsidRDefault="009E3948" w:rsidP="00F51716">
            <w:pPr>
              <w:rPr>
                <w:lang w:eastAsia="en-AU"/>
              </w:rPr>
            </w:pPr>
            <w:r w:rsidRPr="009E3948">
              <w:rPr>
                <w:lang w:eastAsia="en-AU"/>
              </w:rPr>
              <w:t>FRD 29C</w:t>
            </w:r>
          </w:p>
        </w:tc>
        <w:tc>
          <w:tcPr>
            <w:tcW w:w="4536" w:type="dxa"/>
            <w:gridSpan w:val="2"/>
            <w:shd w:val="clear" w:color="auto" w:fill="auto"/>
            <w:vAlign w:val="center"/>
            <w:hideMark/>
          </w:tcPr>
          <w:p w14:paraId="6610D78B" w14:textId="77777777" w:rsidR="009E3948" w:rsidRPr="009E3948" w:rsidRDefault="009E3948" w:rsidP="00F51716">
            <w:pPr>
              <w:rPr>
                <w:lang w:eastAsia="en-AU"/>
              </w:rPr>
            </w:pPr>
            <w:r w:rsidRPr="009E3948">
              <w:rPr>
                <w:lang w:eastAsia="en-AU"/>
              </w:rPr>
              <w:t>Workforce Data disclosures</w:t>
            </w:r>
          </w:p>
        </w:tc>
        <w:tc>
          <w:tcPr>
            <w:tcW w:w="1843" w:type="dxa"/>
            <w:shd w:val="clear" w:color="auto" w:fill="auto"/>
            <w:vAlign w:val="center"/>
            <w:hideMark/>
          </w:tcPr>
          <w:p w14:paraId="2F29CA29" w14:textId="77777777" w:rsidR="009E3948" w:rsidRPr="009E3948" w:rsidRDefault="009E3948" w:rsidP="00F51716">
            <w:pPr>
              <w:rPr>
                <w:lang w:eastAsia="en-AU"/>
              </w:rPr>
            </w:pPr>
            <w:r w:rsidRPr="009E3948">
              <w:rPr>
                <w:lang w:eastAsia="en-AU"/>
              </w:rPr>
              <w:t> </w:t>
            </w:r>
          </w:p>
        </w:tc>
      </w:tr>
      <w:tr w:rsidR="009E3948" w:rsidRPr="009E3948" w14:paraId="01BF6199" w14:textId="77777777" w:rsidTr="00AB668E">
        <w:trPr>
          <w:cantSplit/>
          <w:trHeight w:val="675"/>
        </w:trPr>
        <w:tc>
          <w:tcPr>
            <w:tcW w:w="2552" w:type="dxa"/>
            <w:shd w:val="clear" w:color="auto" w:fill="auto"/>
            <w:vAlign w:val="center"/>
            <w:hideMark/>
          </w:tcPr>
          <w:p w14:paraId="5978AC31" w14:textId="77777777" w:rsidR="009E3948" w:rsidRPr="009E3948" w:rsidRDefault="009E3948" w:rsidP="00F51716">
            <w:pPr>
              <w:rPr>
                <w:lang w:eastAsia="en-AU"/>
              </w:rPr>
            </w:pPr>
            <w:r w:rsidRPr="009E3948">
              <w:rPr>
                <w:lang w:eastAsia="en-AU"/>
              </w:rPr>
              <w:t>SD 5.2</w:t>
            </w:r>
          </w:p>
        </w:tc>
        <w:tc>
          <w:tcPr>
            <w:tcW w:w="4536" w:type="dxa"/>
            <w:gridSpan w:val="2"/>
            <w:shd w:val="clear" w:color="auto" w:fill="auto"/>
            <w:vAlign w:val="center"/>
            <w:hideMark/>
          </w:tcPr>
          <w:p w14:paraId="0572CC84" w14:textId="77777777" w:rsidR="009E3948" w:rsidRPr="009E3948" w:rsidRDefault="009E3948" w:rsidP="00F51716">
            <w:pPr>
              <w:rPr>
                <w:lang w:eastAsia="en-AU"/>
              </w:rPr>
            </w:pPr>
            <w:r w:rsidRPr="009E3948">
              <w:rPr>
                <w:lang w:eastAsia="en-AU"/>
              </w:rPr>
              <w:t>Specific requirements under Standing Direction 5.2</w:t>
            </w:r>
          </w:p>
        </w:tc>
        <w:tc>
          <w:tcPr>
            <w:tcW w:w="1843" w:type="dxa"/>
            <w:shd w:val="clear" w:color="auto" w:fill="auto"/>
            <w:vAlign w:val="center"/>
            <w:hideMark/>
          </w:tcPr>
          <w:p w14:paraId="201C88F8" w14:textId="77777777" w:rsidR="009E3948" w:rsidRPr="009E3948" w:rsidRDefault="009E3948" w:rsidP="00F51716">
            <w:pPr>
              <w:rPr>
                <w:lang w:eastAsia="en-AU"/>
              </w:rPr>
            </w:pPr>
            <w:r w:rsidRPr="009E3948">
              <w:rPr>
                <w:lang w:eastAsia="en-AU"/>
              </w:rPr>
              <w:t> </w:t>
            </w:r>
          </w:p>
        </w:tc>
      </w:tr>
      <w:tr w:rsidR="009E3948" w:rsidRPr="009E3948" w14:paraId="482BA99E" w14:textId="77777777" w:rsidTr="00AB668E">
        <w:trPr>
          <w:cantSplit/>
          <w:trHeight w:val="300"/>
        </w:trPr>
        <w:tc>
          <w:tcPr>
            <w:tcW w:w="8931" w:type="dxa"/>
            <w:gridSpan w:val="4"/>
            <w:shd w:val="clear" w:color="auto" w:fill="auto"/>
            <w:vAlign w:val="center"/>
            <w:hideMark/>
          </w:tcPr>
          <w:p w14:paraId="260FD358" w14:textId="77777777" w:rsidR="009E3948" w:rsidRPr="009E3948" w:rsidRDefault="009E3948" w:rsidP="00F51716">
            <w:pPr>
              <w:rPr>
                <w:lang w:eastAsia="en-AU"/>
              </w:rPr>
            </w:pPr>
            <w:r w:rsidRPr="009E3948">
              <w:rPr>
                <w:lang w:eastAsia="en-AU"/>
              </w:rPr>
              <w:t>Compliance attestation and declaration</w:t>
            </w:r>
          </w:p>
        </w:tc>
      </w:tr>
      <w:tr w:rsidR="009E3948" w:rsidRPr="009E3948" w14:paraId="01B65B86" w14:textId="77777777" w:rsidTr="00AB668E">
        <w:trPr>
          <w:cantSplit/>
          <w:trHeight w:val="900"/>
        </w:trPr>
        <w:tc>
          <w:tcPr>
            <w:tcW w:w="2552" w:type="dxa"/>
            <w:shd w:val="clear" w:color="auto" w:fill="auto"/>
            <w:vAlign w:val="center"/>
            <w:hideMark/>
          </w:tcPr>
          <w:p w14:paraId="4E16EA4A" w14:textId="77777777" w:rsidR="009E3948" w:rsidRPr="009E3948" w:rsidRDefault="009E3948" w:rsidP="00F51716">
            <w:pPr>
              <w:rPr>
                <w:lang w:eastAsia="en-AU"/>
              </w:rPr>
            </w:pPr>
            <w:r w:rsidRPr="009E3948">
              <w:rPr>
                <w:lang w:eastAsia="en-AU"/>
              </w:rPr>
              <w:t>SD 5.4.1</w:t>
            </w:r>
          </w:p>
        </w:tc>
        <w:tc>
          <w:tcPr>
            <w:tcW w:w="4536" w:type="dxa"/>
            <w:gridSpan w:val="2"/>
            <w:shd w:val="clear" w:color="auto" w:fill="auto"/>
            <w:vAlign w:val="center"/>
            <w:hideMark/>
          </w:tcPr>
          <w:p w14:paraId="6026F531" w14:textId="77777777" w:rsidR="009E3948" w:rsidRPr="009E3948" w:rsidRDefault="009E3948" w:rsidP="00F51716">
            <w:pPr>
              <w:rPr>
                <w:lang w:eastAsia="en-AU"/>
              </w:rPr>
            </w:pPr>
            <w:r w:rsidRPr="009E3948">
              <w:rPr>
                <w:lang w:eastAsia="en-AU"/>
              </w:rPr>
              <w:t>Attestation for compliance with Ministerial Standing Direction</w:t>
            </w:r>
          </w:p>
        </w:tc>
        <w:tc>
          <w:tcPr>
            <w:tcW w:w="1843" w:type="dxa"/>
            <w:shd w:val="clear" w:color="auto" w:fill="auto"/>
            <w:vAlign w:val="center"/>
            <w:hideMark/>
          </w:tcPr>
          <w:p w14:paraId="5199509C" w14:textId="77777777" w:rsidR="009E3948" w:rsidRPr="009E3948" w:rsidRDefault="009E3948" w:rsidP="00F51716">
            <w:pPr>
              <w:rPr>
                <w:lang w:eastAsia="en-AU"/>
              </w:rPr>
            </w:pPr>
            <w:r w:rsidRPr="009E3948">
              <w:rPr>
                <w:lang w:eastAsia="en-AU"/>
              </w:rPr>
              <w:t> </w:t>
            </w:r>
          </w:p>
        </w:tc>
      </w:tr>
      <w:tr w:rsidR="009E3948" w:rsidRPr="009E3948" w14:paraId="1C1349B5" w14:textId="77777777" w:rsidTr="00AB668E">
        <w:trPr>
          <w:cantSplit/>
          <w:trHeight w:val="450"/>
        </w:trPr>
        <w:tc>
          <w:tcPr>
            <w:tcW w:w="2552" w:type="dxa"/>
            <w:shd w:val="clear" w:color="auto" w:fill="auto"/>
            <w:vAlign w:val="center"/>
            <w:hideMark/>
          </w:tcPr>
          <w:p w14:paraId="4BE1D7E8" w14:textId="77777777" w:rsidR="009E3948" w:rsidRPr="009E3948" w:rsidRDefault="009E3948" w:rsidP="00F51716">
            <w:pPr>
              <w:rPr>
                <w:lang w:eastAsia="en-AU"/>
              </w:rPr>
            </w:pPr>
            <w:r w:rsidRPr="009E3948">
              <w:rPr>
                <w:lang w:eastAsia="en-AU"/>
              </w:rPr>
              <w:t>SD 5.2.3</w:t>
            </w:r>
          </w:p>
        </w:tc>
        <w:tc>
          <w:tcPr>
            <w:tcW w:w="4536" w:type="dxa"/>
            <w:gridSpan w:val="2"/>
            <w:shd w:val="clear" w:color="auto" w:fill="auto"/>
            <w:vAlign w:val="center"/>
            <w:hideMark/>
          </w:tcPr>
          <w:p w14:paraId="3224A9EA" w14:textId="77777777" w:rsidR="009E3948" w:rsidRPr="009E3948" w:rsidRDefault="009E3948" w:rsidP="00F51716">
            <w:pPr>
              <w:rPr>
                <w:lang w:eastAsia="en-AU"/>
              </w:rPr>
            </w:pPr>
            <w:r w:rsidRPr="009E3948">
              <w:rPr>
                <w:lang w:eastAsia="en-AU"/>
              </w:rPr>
              <w:t>Declaration in report of operations</w:t>
            </w:r>
          </w:p>
        </w:tc>
        <w:tc>
          <w:tcPr>
            <w:tcW w:w="1843" w:type="dxa"/>
            <w:shd w:val="clear" w:color="auto" w:fill="auto"/>
            <w:vAlign w:val="center"/>
            <w:hideMark/>
          </w:tcPr>
          <w:p w14:paraId="43973D31" w14:textId="77777777" w:rsidR="009E3948" w:rsidRPr="009E3948" w:rsidRDefault="009E3948" w:rsidP="00F51716">
            <w:pPr>
              <w:rPr>
                <w:lang w:eastAsia="en-AU"/>
              </w:rPr>
            </w:pPr>
            <w:r w:rsidRPr="009E3948">
              <w:rPr>
                <w:lang w:eastAsia="en-AU"/>
              </w:rPr>
              <w:t> </w:t>
            </w:r>
          </w:p>
        </w:tc>
      </w:tr>
      <w:tr w:rsidR="009E3948" w:rsidRPr="009E3948" w14:paraId="7D2B52FA" w14:textId="77777777" w:rsidTr="00AB668E">
        <w:trPr>
          <w:cantSplit/>
          <w:trHeight w:val="300"/>
        </w:trPr>
        <w:tc>
          <w:tcPr>
            <w:tcW w:w="7088" w:type="dxa"/>
            <w:gridSpan w:val="3"/>
            <w:shd w:val="clear" w:color="000000" w:fill="EBEBEB"/>
            <w:vAlign w:val="center"/>
            <w:hideMark/>
          </w:tcPr>
          <w:p w14:paraId="2AFF747B" w14:textId="77777777" w:rsidR="009E3948" w:rsidRPr="009E3948" w:rsidRDefault="009E3948" w:rsidP="00F51716">
            <w:pPr>
              <w:rPr>
                <w:lang w:eastAsia="en-AU"/>
              </w:rPr>
            </w:pPr>
            <w:r w:rsidRPr="009E3948">
              <w:rPr>
                <w:lang w:eastAsia="en-AU"/>
              </w:rPr>
              <w:t>Financial statements</w:t>
            </w:r>
          </w:p>
        </w:tc>
        <w:tc>
          <w:tcPr>
            <w:tcW w:w="1843" w:type="dxa"/>
            <w:shd w:val="clear" w:color="000000" w:fill="EBEBEB"/>
            <w:vAlign w:val="center"/>
            <w:hideMark/>
          </w:tcPr>
          <w:p w14:paraId="2524505A" w14:textId="77777777" w:rsidR="009E3948" w:rsidRPr="009E3948" w:rsidRDefault="009E3948" w:rsidP="00F51716">
            <w:pPr>
              <w:rPr>
                <w:lang w:eastAsia="en-AU"/>
              </w:rPr>
            </w:pPr>
            <w:r w:rsidRPr="009E3948">
              <w:rPr>
                <w:lang w:eastAsia="en-AU"/>
              </w:rPr>
              <w:t> </w:t>
            </w:r>
          </w:p>
        </w:tc>
      </w:tr>
      <w:tr w:rsidR="009E3948" w:rsidRPr="009E3948" w14:paraId="60EF1121" w14:textId="77777777" w:rsidTr="00AB668E">
        <w:trPr>
          <w:cantSplit/>
          <w:trHeight w:val="300"/>
        </w:trPr>
        <w:tc>
          <w:tcPr>
            <w:tcW w:w="2552" w:type="dxa"/>
            <w:shd w:val="clear" w:color="auto" w:fill="auto"/>
            <w:vAlign w:val="center"/>
            <w:hideMark/>
          </w:tcPr>
          <w:p w14:paraId="021B2933" w14:textId="77777777" w:rsidR="009E3948" w:rsidRPr="009E3948" w:rsidRDefault="009E3948" w:rsidP="00F51716">
            <w:pPr>
              <w:rPr>
                <w:lang w:eastAsia="en-AU"/>
              </w:rPr>
            </w:pPr>
            <w:r w:rsidRPr="009E3948">
              <w:rPr>
                <w:lang w:eastAsia="en-AU"/>
              </w:rPr>
              <w:t>Declaration</w:t>
            </w:r>
          </w:p>
        </w:tc>
        <w:tc>
          <w:tcPr>
            <w:tcW w:w="4536" w:type="dxa"/>
            <w:gridSpan w:val="2"/>
            <w:shd w:val="clear" w:color="auto" w:fill="auto"/>
            <w:vAlign w:val="center"/>
            <w:hideMark/>
          </w:tcPr>
          <w:p w14:paraId="67083E0D" w14:textId="77777777" w:rsidR="009E3948" w:rsidRPr="009E3948" w:rsidRDefault="009E3948" w:rsidP="00F51716">
            <w:pPr>
              <w:rPr>
                <w:lang w:eastAsia="en-AU"/>
              </w:rPr>
            </w:pPr>
            <w:r w:rsidRPr="009E3948">
              <w:rPr>
                <w:lang w:eastAsia="en-AU"/>
              </w:rPr>
              <w:t> </w:t>
            </w:r>
          </w:p>
        </w:tc>
        <w:tc>
          <w:tcPr>
            <w:tcW w:w="1843" w:type="dxa"/>
            <w:shd w:val="clear" w:color="auto" w:fill="auto"/>
            <w:vAlign w:val="center"/>
            <w:hideMark/>
          </w:tcPr>
          <w:p w14:paraId="42415F3A" w14:textId="77777777" w:rsidR="009E3948" w:rsidRPr="009E3948" w:rsidRDefault="009E3948" w:rsidP="00F51716">
            <w:pPr>
              <w:rPr>
                <w:lang w:eastAsia="en-AU"/>
              </w:rPr>
            </w:pPr>
            <w:r w:rsidRPr="009E3948">
              <w:rPr>
                <w:lang w:eastAsia="en-AU"/>
              </w:rPr>
              <w:t> </w:t>
            </w:r>
          </w:p>
        </w:tc>
      </w:tr>
      <w:tr w:rsidR="009E3948" w:rsidRPr="009E3948" w14:paraId="18BB95CA" w14:textId="77777777" w:rsidTr="00AB668E">
        <w:trPr>
          <w:cantSplit/>
          <w:trHeight w:val="450"/>
        </w:trPr>
        <w:tc>
          <w:tcPr>
            <w:tcW w:w="2552" w:type="dxa"/>
            <w:shd w:val="clear" w:color="auto" w:fill="auto"/>
            <w:vAlign w:val="center"/>
            <w:hideMark/>
          </w:tcPr>
          <w:p w14:paraId="4E710FC1" w14:textId="77777777" w:rsidR="009E3948" w:rsidRPr="009E3948" w:rsidRDefault="009E3948" w:rsidP="00F51716">
            <w:pPr>
              <w:rPr>
                <w:lang w:eastAsia="en-AU"/>
              </w:rPr>
            </w:pPr>
            <w:r w:rsidRPr="009E3948">
              <w:rPr>
                <w:lang w:eastAsia="en-AU"/>
              </w:rPr>
              <w:t>SD 5.2.2</w:t>
            </w:r>
          </w:p>
        </w:tc>
        <w:tc>
          <w:tcPr>
            <w:tcW w:w="4536" w:type="dxa"/>
            <w:gridSpan w:val="2"/>
            <w:shd w:val="clear" w:color="auto" w:fill="auto"/>
            <w:vAlign w:val="center"/>
            <w:hideMark/>
          </w:tcPr>
          <w:p w14:paraId="6276471D" w14:textId="77777777" w:rsidR="009E3948" w:rsidRPr="009E3948" w:rsidRDefault="009E3948" w:rsidP="00F51716">
            <w:pPr>
              <w:rPr>
                <w:lang w:eastAsia="en-AU"/>
              </w:rPr>
            </w:pPr>
            <w:r w:rsidRPr="009E3948">
              <w:rPr>
                <w:lang w:eastAsia="en-AU"/>
              </w:rPr>
              <w:t>Declaration in financial statements</w:t>
            </w:r>
          </w:p>
        </w:tc>
        <w:tc>
          <w:tcPr>
            <w:tcW w:w="1843" w:type="dxa"/>
            <w:shd w:val="clear" w:color="auto" w:fill="auto"/>
            <w:vAlign w:val="center"/>
            <w:hideMark/>
          </w:tcPr>
          <w:p w14:paraId="6E9301DE" w14:textId="77777777" w:rsidR="009E3948" w:rsidRPr="009E3948" w:rsidRDefault="009E3948" w:rsidP="00F51716">
            <w:pPr>
              <w:rPr>
                <w:lang w:eastAsia="en-AU"/>
              </w:rPr>
            </w:pPr>
            <w:r w:rsidRPr="009E3948">
              <w:rPr>
                <w:lang w:eastAsia="en-AU"/>
              </w:rPr>
              <w:t> </w:t>
            </w:r>
          </w:p>
        </w:tc>
      </w:tr>
      <w:tr w:rsidR="009E3948" w:rsidRPr="009E3948" w14:paraId="4B9A3247" w14:textId="77777777" w:rsidTr="00AB668E">
        <w:trPr>
          <w:trHeight w:val="300"/>
        </w:trPr>
        <w:tc>
          <w:tcPr>
            <w:tcW w:w="2552" w:type="dxa"/>
            <w:shd w:val="clear" w:color="auto" w:fill="auto"/>
            <w:vAlign w:val="center"/>
            <w:hideMark/>
          </w:tcPr>
          <w:p w14:paraId="6F6E2ED6" w14:textId="77777777" w:rsidR="009E3948" w:rsidRPr="009E3948" w:rsidRDefault="009E3948" w:rsidP="00F51716">
            <w:pPr>
              <w:rPr>
                <w:lang w:eastAsia="en-AU"/>
              </w:rPr>
            </w:pPr>
            <w:r w:rsidRPr="009E3948">
              <w:rPr>
                <w:lang w:eastAsia="en-AU"/>
              </w:rPr>
              <w:t> </w:t>
            </w:r>
          </w:p>
        </w:tc>
        <w:tc>
          <w:tcPr>
            <w:tcW w:w="288" w:type="dxa"/>
            <w:shd w:val="clear" w:color="auto" w:fill="auto"/>
            <w:vAlign w:val="center"/>
            <w:hideMark/>
          </w:tcPr>
          <w:p w14:paraId="7107BA61" w14:textId="77777777" w:rsidR="009E3948" w:rsidRPr="009E3948" w:rsidRDefault="009E3948" w:rsidP="00F51716">
            <w:pPr>
              <w:rPr>
                <w:lang w:eastAsia="en-AU"/>
              </w:rPr>
            </w:pPr>
            <w:r w:rsidRPr="009E3948">
              <w:rPr>
                <w:lang w:eastAsia="en-AU"/>
              </w:rPr>
              <w:t> </w:t>
            </w:r>
          </w:p>
        </w:tc>
        <w:tc>
          <w:tcPr>
            <w:tcW w:w="4248" w:type="dxa"/>
            <w:shd w:val="clear" w:color="auto" w:fill="auto"/>
            <w:vAlign w:val="center"/>
            <w:hideMark/>
          </w:tcPr>
          <w:p w14:paraId="50861825" w14:textId="77777777" w:rsidR="009E3948" w:rsidRPr="009E3948" w:rsidRDefault="009E3948" w:rsidP="00F51716">
            <w:pPr>
              <w:rPr>
                <w:lang w:eastAsia="en-AU"/>
              </w:rPr>
            </w:pPr>
            <w:r w:rsidRPr="009E3948">
              <w:rPr>
                <w:lang w:eastAsia="en-AU"/>
              </w:rPr>
              <w:t> </w:t>
            </w:r>
          </w:p>
        </w:tc>
        <w:tc>
          <w:tcPr>
            <w:tcW w:w="1843" w:type="dxa"/>
            <w:shd w:val="clear" w:color="auto" w:fill="auto"/>
            <w:vAlign w:val="center"/>
            <w:hideMark/>
          </w:tcPr>
          <w:p w14:paraId="4359157D" w14:textId="77777777" w:rsidR="009E3948" w:rsidRPr="009E3948" w:rsidRDefault="009E3948" w:rsidP="00F51716">
            <w:pPr>
              <w:rPr>
                <w:lang w:eastAsia="en-AU"/>
              </w:rPr>
            </w:pPr>
            <w:r w:rsidRPr="009E3948">
              <w:rPr>
                <w:lang w:eastAsia="en-AU"/>
              </w:rPr>
              <w:t> </w:t>
            </w:r>
          </w:p>
        </w:tc>
      </w:tr>
      <w:tr w:rsidR="009E3948" w:rsidRPr="009E3948" w14:paraId="3D4E3416" w14:textId="77777777" w:rsidTr="00AB668E">
        <w:trPr>
          <w:trHeight w:val="300"/>
        </w:trPr>
        <w:tc>
          <w:tcPr>
            <w:tcW w:w="2552" w:type="dxa"/>
            <w:shd w:val="clear" w:color="auto" w:fill="auto"/>
            <w:noWrap/>
            <w:vAlign w:val="bottom"/>
            <w:hideMark/>
          </w:tcPr>
          <w:p w14:paraId="7587ADC6" w14:textId="77777777" w:rsidR="009E3948" w:rsidRPr="009E3948" w:rsidRDefault="009E3948" w:rsidP="00F51716">
            <w:pPr>
              <w:rPr>
                <w:lang w:eastAsia="en-AU"/>
              </w:rPr>
            </w:pPr>
            <w:r w:rsidRPr="009E3948">
              <w:rPr>
                <w:lang w:eastAsia="en-AU"/>
              </w:rPr>
              <w:t> </w:t>
            </w:r>
          </w:p>
        </w:tc>
        <w:tc>
          <w:tcPr>
            <w:tcW w:w="288" w:type="dxa"/>
            <w:shd w:val="clear" w:color="auto" w:fill="auto"/>
            <w:noWrap/>
            <w:vAlign w:val="bottom"/>
            <w:hideMark/>
          </w:tcPr>
          <w:p w14:paraId="712278EA" w14:textId="77777777" w:rsidR="009E3948" w:rsidRPr="009E3948" w:rsidRDefault="009E3948" w:rsidP="00F51716">
            <w:pPr>
              <w:rPr>
                <w:lang w:eastAsia="en-AU"/>
              </w:rPr>
            </w:pPr>
            <w:r w:rsidRPr="009E3948">
              <w:rPr>
                <w:lang w:eastAsia="en-AU"/>
              </w:rPr>
              <w:t> </w:t>
            </w:r>
          </w:p>
        </w:tc>
        <w:tc>
          <w:tcPr>
            <w:tcW w:w="4248" w:type="dxa"/>
            <w:shd w:val="clear" w:color="auto" w:fill="auto"/>
            <w:noWrap/>
            <w:vAlign w:val="bottom"/>
            <w:hideMark/>
          </w:tcPr>
          <w:p w14:paraId="5285B01A" w14:textId="77777777" w:rsidR="009E3948" w:rsidRPr="009E3948" w:rsidRDefault="009E3948" w:rsidP="00F51716">
            <w:pPr>
              <w:rPr>
                <w:lang w:eastAsia="en-AU"/>
              </w:rPr>
            </w:pPr>
            <w:r w:rsidRPr="009E3948">
              <w:rPr>
                <w:lang w:eastAsia="en-AU"/>
              </w:rPr>
              <w:t> </w:t>
            </w:r>
          </w:p>
        </w:tc>
        <w:tc>
          <w:tcPr>
            <w:tcW w:w="1843" w:type="dxa"/>
            <w:shd w:val="clear" w:color="auto" w:fill="auto"/>
            <w:noWrap/>
            <w:vAlign w:val="bottom"/>
            <w:hideMark/>
          </w:tcPr>
          <w:p w14:paraId="6DC1C277" w14:textId="77777777" w:rsidR="009E3948" w:rsidRPr="009E3948" w:rsidRDefault="009E3948" w:rsidP="00F51716">
            <w:pPr>
              <w:rPr>
                <w:lang w:eastAsia="en-AU"/>
              </w:rPr>
            </w:pPr>
            <w:r w:rsidRPr="009E3948">
              <w:rPr>
                <w:lang w:eastAsia="en-AU"/>
              </w:rPr>
              <w:t> </w:t>
            </w:r>
          </w:p>
        </w:tc>
      </w:tr>
      <w:tr w:rsidR="009E3948" w:rsidRPr="009E3948" w14:paraId="4FE41FDB" w14:textId="77777777" w:rsidTr="00AB668E">
        <w:trPr>
          <w:trHeight w:val="375"/>
        </w:trPr>
        <w:tc>
          <w:tcPr>
            <w:tcW w:w="2552" w:type="dxa"/>
            <w:shd w:val="clear" w:color="auto" w:fill="82C341" w:themeFill="accent1"/>
            <w:vAlign w:val="center"/>
            <w:hideMark/>
          </w:tcPr>
          <w:p w14:paraId="7C30F659" w14:textId="77777777" w:rsidR="009E3948" w:rsidRPr="009E3948" w:rsidRDefault="009E3948" w:rsidP="00F51716">
            <w:pPr>
              <w:rPr>
                <w:lang w:eastAsia="en-AU"/>
              </w:rPr>
            </w:pPr>
            <w:r w:rsidRPr="009E3948">
              <w:rPr>
                <w:lang w:eastAsia="en-AU"/>
              </w:rPr>
              <w:t>Legislation</w:t>
            </w:r>
          </w:p>
        </w:tc>
        <w:tc>
          <w:tcPr>
            <w:tcW w:w="4536" w:type="dxa"/>
            <w:gridSpan w:val="2"/>
            <w:shd w:val="clear" w:color="auto" w:fill="82C341" w:themeFill="accent1"/>
            <w:vAlign w:val="center"/>
            <w:hideMark/>
          </w:tcPr>
          <w:p w14:paraId="7D67A3AC" w14:textId="77777777" w:rsidR="009E3948" w:rsidRPr="009E3948" w:rsidRDefault="009E3948" w:rsidP="00F51716">
            <w:pPr>
              <w:rPr>
                <w:lang w:eastAsia="en-AU"/>
              </w:rPr>
            </w:pPr>
            <w:r w:rsidRPr="009E3948">
              <w:rPr>
                <w:lang w:eastAsia="en-AU"/>
              </w:rPr>
              <w:t>Requirement</w:t>
            </w:r>
          </w:p>
        </w:tc>
        <w:tc>
          <w:tcPr>
            <w:tcW w:w="1843" w:type="dxa"/>
            <w:shd w:val="clear" w:color="auto" w:fill="82C341" w:themeFill="accent1"/>
            <w:vAlign w:val="center"/>
            <w:hideMark/>
          </w:tcPr>
          <w:p w14:paraId="0BFEFAB1" w14:textId="77777777" w:rsidR="009E3948" w:rsidRPr="009E3948" w:rsidRDefault="009E3948" w:rsidP="00F51716">
            <w:pPr>
              <w:rPr>
                <w:lang w:eastAsia="en-AU"/>
              </w:rPr>
            </w:pPr>
            <w:r w:rsidRPr="009E3948">
              <w:rPr>
                <w:lang w:eastAsia="en-AU"/>
              </w:rPr>
              <w:t>Page reference</w:t>
            </w:r>
          </w:p>
        </w:tc>
      </w:tr>
      <w:tr w:rsidR="009E3948" w:rsidRPr="009E3948" w14:paraId="0AC391D2" w14:textId="77777777" w:rsidTr="00AB668E">
        <w:trPr>
          <w:cantSplit/>
          <w:trHeight w:val="450"/>
        </w:trPr>
        <w:tc>
          <w:tcPr>
            <w:tcW w:w="8931" w:type="dxa"/>
            <w:gridSpan w:val="4"/>
            <w:shd w:val="clear" w:color="000000" w:fill="595959"/>
            <w:vAlign w:val="center"/>
            <w:hideMark/>
          </w:tcPr>
          <w:p w14:paraId="7DA7004D" w14:textId="77777777" w:rsidR="009E3948" w:rsidRPr="009E3948" w:rsidRDefault="009E3948" w:rsidP="00F51716">
            <w:pPr>
              <w:rPr>
                <w:lang w:eastAsia="en-AU"/>
              </w:rPr>
            </w:pPr>
            <w:r w:rsidRPr="009E3948">
              <w:rPr>
                <w:lang w:eastAsia="en-AU"/>
              </w:rPr>
              <w:t>Standing Directions &amp; Financial Reporting Directions</w:t>
            </w:r>
          </w:p>
        </w:tc>
      </w:tr>
      <w:tr w:rsidR="009E3948" w:rsidRPr="009E3948" w14:paraId="0F0353ED" w14:textId="77777777" w:rsidTr="00AB668E">
        <w:trPr>
          <w:cantSplit/>
          <w:trHeight w:val="450"/>
        </w:trPr>
        <w:tc>
          <w:tcPr>
            <w:tcW w:w="8931" w:type="dxa"/>
            <w:gridSpan w:val="4"/>
            <w:shd w:val="clear" w:color="auto" w:fill="auto"/>
            <w:vAlign w:val="center"/>
            <w:hideMark/>
          </w:tcPr>
          <w:p w14:paraId="0BBDE4E8" w14:textId="77777777" w:rsidR="009E3948" w:rsidRPr="009E3948" w:rsidRDefault="009E3948" w:rsidP="00F51716">
            <w:pPr>
              <w:rPr>
                <w:lang w:eastAsia="en-AU"/>
              </w:rPr>
            </w:pPr>
            <w:r w:rsidRPr="009E3948">
              <w:rPr>
                <w:lang w:eastAsia="en-AU"/>
              </w:rPr>
              <w:t>Other requirements under Standing Directions 5.2</w:t>
            </w:r>
          </w:p>
        </w:tc>
      </w:tr>
      <w:tr w:rsidR="009E3948" w:rsidRPr="009E3948" w14:paraId="113BE94E" w14:textId="77777777" w:rsidTr="00AB668E">
        <w:trPr>
          <w:cantSplit/>
          <w:trHeight w:val="1125"/>
        </w:trPr>
        <w:tc>
          <w:tcPr>
            <w:tcW w:w="2552" w:type="dxa"/>
            <w:shd w:val="clear" w:color="auto" w:fill="auto"/>
            <w:vAlign w:val="center"/>
            <w:hideMark/>
          </w:tcPr>
          <w:p w14:paraId="0DB7750E" w14:textId="77777777" w:rsidR="009E3948" w:rsidRPr="009E3948" w:rsidRDefault="009E3948" w:rsidP="00F51716">
            <w:pPr>
              <w:rPr>
                <w:lang w:eastAsia="en-AU"/>
              </w:rPr>
            </w:pPr>
            <w:r w:rsidRPr="009E3948">
              <w:rPr>
                <w:lang w:eastAsia="en-AU"/>
              </w:rPr>
              <w:t>SD 5.2.1(a)</w:t>
            </w:r>
          </w:p>
        </w:tc>
        <w:tc>
          <w:tcPr>
            <w:tcW w:w="4536" w:type="dxa"/>
            <w:gridSpan w:val="2"/>
            <w:shd w:val="clear" w:color="auto" w:fill="auto"/>
            <w:vAlign w:val="center"/>
            <w:hideMark/>
          </w:tcPr>
          <w:p w14:paraId="52125847" w14:textId="77777777" w:rsidR="009E3948" w:rsidRPr="009E3948" w:rsidRDefault="009E3948" w:rsidP="00F51716">
            <w:pPr>
              <w:rPr>
                <w:lang w:eastAsia="en-AU"/>
              </w:rPr>
            </w:pPr>
            <w:r w:rsidRPr="009E3948">
              <w:rPr>
                <w:lang w:eastAsia="en-AU"/>
              </w:rPr>
              <w:t>Compliance with Australian accounting standards and other authoritative pronouncements</w:t>
            </w:r>
          </w:p>
        </w:tc>
        <w:tc>
          <w:tcPr>
            <w:tcW w:w="1843" w:type="dxa"/>
            <w:shd w:val="clear" w:color="auto" w:fill="auto"/>
            <w:vAlign w:val="center"/>
            <w:hideMark/>
          </w:tcPr>
          <w:p w14:paraId="24D16C7E" w14:textId="77777777" w:rsidR="009E3948" w:rsidRPr="009E3948" w:rsidRDefault="009E3948" w:rsidP="00F51716">
            <w:pPr>
              <w:rPr>
                <w:lang w:eastAsia="en-AU"/>
              </w:rPr>
            </w:pPr>
            <w:r w:rsidRPr="009E3948">
              <w:rPr>
                <w:lang w:eastAsia="en-AU"/>
              </w:rPr>
              <w:t> </w:t>
            </w:r>
          </w:p>
        </w:tc>
      </w:tr>
      <w:tr w:rsidR="009E3948" w:rsidRPr="009E3948" w14:paraId="5B08F165" w14:textId="77777777" w:rsidTr="00AB668E">
        <w:trPr>
          <w:cantSplit/>
          <w:trHeight w:val="450"/>
        </w:trPr>
        <w:tc>
          <w:tcPr>
            <w:tcW w:w="2552" w:type="dxa"/>
            <w:shd w:val="clear" w:color="auto" w:fill="auto"/>
            <w:vAlign w:val="center"/>
            <w:hideMark/>
          </w:tcPr>
          <w:p w14:paraId="42720C69" w14:textId="77777777" w:rsidR="009E3948" w:rsidRPr="009E3948" w:rsidRDefault="009E3948" w:rsidP="00F51716">
            <w:pPr>
              <w:rPr>
                <w:lang w:eastAsia="en-AU"/>
              </w:rPr>
            </w:pPr>
            <w:r w:rsidRPr="009E3948">
              <w:rPr>
                <w:lang w:eastAsia="en-AU"/>
              </w:rPr>
              <w:t>SD 5.2.1(a)</w:t>
            </w:r>
          </w:p>
        </w:tc>
        <w:tc>
          <w:tcPr>
            <w:tcW w:w="4536" w:type="dxa"/>
            <w:gridSpan w:val="2"/>
            <w:shd w:val="clear" w:color="auto" w:fill="auto"/>
            <w:vAlign w:val="center"/>
            <w:hideMark/>
          </w:tcPr>
          <w:p w14:paraId="2C52DF07" w14:textId="77777777" w:rsidR="009E3948" w:rsidRPr="009E3948" w:rsidRDefault="009E3948" w:rsidP="00F51716">
            <w:pPr>
              <w:rPr>
                <w:lang w:eastAsia="en-AU"/>
              </w:rPr>
            </w:pPr>
            <w:r w:rsidRPr="009E3948">
              <w:rPr>
                <w:lang w:eastAsia="en-AU"/>
              </w:rPr>
              <w:t>Compliance with Standing Directions</w:t>
            </w:r>
          </w:p>
        </w:tc>
        <w:tc>
          <w:tcPr>
            <w:tcW w:w="1843" w:type="dxa"/>
            <w:shd w:val="clear" w:color="auto" w:fill="auto"/>
            <w:vAlign w:val="center"/>
            <w:hideMark/>
          </w:tcPr>
          <w:p w14:paraId="0242E2F1" w14:textId="77777777" w:rsidR="009E3948" w:rsidRPr="009E3948" w:rsidRDefault="009E3948" w:rsidP="00F51716">
            <w:pPr>
              <w:rPr>
                <w:lang w:eastAsia="en-AU"/>
              </w:rPr>
            </w:pPr>
            <w:r w:rsidRPr="009E3948">
              <w:rPr>
                <w:lang w:eastAsia="en-AU"/>
              </w:rPr>
              <w:t> </w:t>
            </w:r>
          </w:p>
        </w:tc>
      </w:tr>
      <w:tr w:rsidR="009E3948" w:rsidRPr="009E3948" w14:paraId="07648AC1" w14:textId="77777777" w:rsidTr="00AB668E">
        <w:trPr>
          <w:cantSplit/>
          <w:trHeight w:val="300"/>
        </w:trPr>
        <w:tc>
          <w:tcPr>
            <w:tcW w:w="2552" w:type="dxa"/>
            <w:shd w:val="clear" w:color="auto" w:fill="auto"/>
            <w:vAlign w:val="center"/>
            <w:hideMark/>
          </w:tcPr>
          <w:p w14:paraId="0121923B" w14:textId="77777777" w:rsidR="009E3948" w:rsidRPr="009E3948" w:rsidRDefault="009E3948" w:rsidP="00F51716">
            <w:pPr>
              <w:rPr>
                <w:lang w:eastAsia="en-AU"/>
              </w:rPr>
            </w:pPr>
            <w:r w:rsidRPr="009E3948">
              <w:rPr>
                <w:lang w:eastAsia="en-AU"/>
              </w:rPr>
              <w:t>SD 5.2.1(b)</w:t>
            </w:r>
          </w:p>
        </w:tc>
        <w:tc>
          <w:tcPr>
            <w:tcW w:w="4536" w:type="dxa"/>
            <w:gridSpan w:val="2"/>
            <w:shd w:val="clear" w:color="auto" w:fill="auto"/>
            <w:vAlign w:val="center"/>
            <w:hideMark/>
          </w:tcPr>
          <w:p w14:paraId="7FF38013" w14:textId="77777777" w:rsidR="009E3948" w:rsidRPr="009E3948" w:rsidRDefault="009E3948" w:rsidP="00F51716">
            <w:pPr>
              <w:rPr>
                <w:lang w:eastAsia="en-AU"/>
              </w:rPr>
            </w:pPr>
            <w:r w:rsidRPr="009E3948">
              <w:rPr>
                <w:lang w:eastAsia="en-AU"/>
              </w:rPr>
              <w:t>Compliance with Model Financial Report</w:t>
            </w:r>
          </w:p>
        </w:tc>
        <w:tc>
          <w:tcPr>
            <w:tcW w:w="1843" w:type="dxa"/>
            <w:shd w:val="clear" w:color="auto" w:fill="auto"/>
            <w:vAlign w:val="center"/>
            <w:hideMark/>
          </w:tcPr>
          <w:p w14:paraId="3B856445" w14:textId="77777777" w:rsidR="009E3948" w:rsidRPr="009E3948" w:rsidRDefault="009E3948" w:rsidP="00F51716">
            <w:pPr>
              <w:rPr>
                <w:lang w:eastAsia="en-AU"/>
              </w:rPr>
            </w:pPr>
            <w:r w:rsidRPr="009E3948">
              <w:rPr>
                <w:lang w:eastAsia="en-AU"/>
              </w:rPr>
              <w:t> </w:t>
            </w:r>
          </w:p>
        </w:tc>
      </w:tr>
      <w:tr w:rsidR="009E3948" w:rsidRPr="009E3948" w14:paraId="246C7281" w14:textId="77777777" w:rsidTr="00AB668E">
        <w:trPr>
          <w:cantSplit/>
          <w:trHeight w:val="450"/>
        </w:trPr>
        <w:tc>
          <w:tcPr>
            <w:tcW w:w="8931" w:type="dxa"/>
            <w:gridSpan w:val="4"/>
            <w:shd w:val="clear" w:color="auto" w:fill="auto"/>
            <w:vAlign w:val="center"/>
            <w:hideMark/>
          </w:tcPr>
          <w:p w14:paraId="372BBFDE" w14:textId="77777777" w:rsidR="009E3948" w:rsidRPr="009E3948" w:rsidRDefault="009E3948" w:rsidP="00F51716">
            <w:pPr>
              <w:rPr>
                <w:lang w:eastAsia="en-AU"/>
              </w:rPr>
            </w:pPr>
            <w:r w:rsidRPr="009E3948">
              <w:rPr>
                <w:lang w:eastAsia="en-AU"/>
              </w:rPr>
              <w:t xml:space="preserve">Other disclosures as required by FRDs in notes to the financial statements </w:t>
            </w:r>
            <w:r w:rsidRPr="009E3948">
              <w:rPr>
                <w:vertAlign w:val="superscript"/>
                <w:lang w:eastAsia="en-AU"/>
              </w:rPr>
              <w:t>(a)</w:t>
            </w:r>
          </w:p>
        </w:tc>
      </w:tr>
      <w:tr w:rsidR="009E3948" w:rsidRPr="009E3948" w14:paraId="7D7DEEE4" w14:textId="77777777" w:rsidTr="00AB668E">
        <w:trPr>
          <w:cantSplit/>
          <w:trHeight w:val="675"/>
        </w:trPr>
        <w:tc>
          <w:tcPr>
            <w:tcW w:w="2552" w:type="dxa"/>
            <w:shd w:val="clear" w:color="auto" w:fill="auto"/>
            <w:vAlign w:val="center"/>
            <w:hideMark/>
          </w:tcPr>
          <w:p w14:paraId="6F7183F2" w14:textId="77777777" w:rsidR="009E3948" w:rsidRPr="009E3948" w:rsidRDefault="009E3948" w:rsidP="00F51716">
            <w:pPr>
              <w:rPr>
                <w:lang w:eastAsia="en-AU"/>
              </w:rPr>
            </w:pPr>
            <w:r w:rsidRPr="009E3948">
              <w:rPr>
                <w:lang w:eastAsia="en-AU"/>
              </w:rPr>
              <w:t>FRD 9B</w:t>
            </w:r>
          </w:p>
        </w:tc>
        <w:tc>
          <w:tcPr>
            <w:tcW w:w="4536" w:type="dxa"/>
            <w:gridSpan w:val="2"/>
            <w:shd w:val="clear" w:color="auto" w:fill="auto"/>
            <w:vAlign w:val="center"/>
            <w:hideMark/>
          </w:tcPr>
          <w:p w14:paraId="70DFC6E2" w14:textId="77777777" w:rsidR="009E3948" w:rsidRPr="009E3948" w:rsidRDefault="009E3948" w:rsidP="00F51716">
            <w:pPr>
              <w:rPr>
                <w:lang w:eastAsia="en-AU"/>
              </w:rPr>
            </w:pPr>
            <w:r w:rsidRPr="009E3948">
              <w:rPr>
                <w:lang w:eastAsia="en-AU"/>
              </w:rPr>
              <w:t>Departmental Disclosure of Administered Assets and Liabilities by Activity</w:t>
            </w:r>
          </w:p>
        </w:tc>
        <w:tc>
          <w:tcPr>
            <w:tcW w:w="1843" w:type="dxa"/>
            <w:shd w:val="clear" w:color="auto" w:fill="auto"/>
            <w:vAlign w:val="center"/>
            <w:hideMark/>
          </w:tcPr>
          <w:p w14:paraId="53DDC290" w14:textId="77777777" w:rsidR="009E3948" w:rsidRPr="009E3948" w:rsidRDefault="009E3948" w:rsidP="00F51716">
            <w:pPr>
              <w:rPr>
                <w:lang w:eastAsia="en-AU"/>
              </w:rPr>
            </w:pPr>
            <w:r w:rsidRPr="009E3948">
              <w:rPr>
                <w:lang w:eastAsia="en-AU"/>
              </w:rPr>
              <w:t> </w:t>
            </w:r>
          </w:p>
        </w:tc>
      </w:tr>
      <w:tr w:rsidR="009E3948" w:rsidRPr="009E3948" w14:paraId="51723EBF" w14:textId="77777777" w:rsidTr="00AB668E">
        <w:trPr>
          <w:cantSplit/>
          <w:trHeight w:val="450"/>
        </w:trPr>
        <w:tc>
          <w:tcPr>
            <w:tcW w:w="2552" w:type="dxa"/>
            <w:shd w:val="clear" w:color="auto" w:fill="auto"/>
            <w:vAlign w:val="center"/>
            <w:hideMark/>
          </w:tcPr>
          <w:p w14:paraId="6342A633" w14:textId="1F4EF9EA" w:rsidR="009E3948" w:rsidRPr="009E3948" w:rsidRDefault="009E3948" w:rsidP="00F51716">
            <w:pPr>
              <w:rPr>
                <w:lang w:eastAsia="en-AU"/>
              </w:rPr>
            </w:pPr>
            <w:r w:rsidRPr="009E3948">
              <w:rPr>
                <w:lang w:eastAsia="en-AU"/>
              </w:rPr>
              <w:t>FRD 11</w:t>
            </w:r>
            <w:r w:rsidR="007536F1">
              <w:rPr>
                <w:lang w:eastAsia="en-AU"/>
              </w:rPr>
              <w:t> A</w:t>
            </w:r>
          </w:p>
        </w:tc>
        <w:tc>
          <w:tcPr>
            <w:tcW w:w="4536" w:type="dxa"/>
            <w:gridSpan w:val="2"/>
            <w:shd w:val="clear" w:color="auto" w:fill="auto"/>
            <w:vAlign w:val="center"/>
            <w:hideMark/>
          </w:tcPr>
          <w:p w14:paraId="0EEED8A8" w14:textId="77777777" w:rsidR="009E3948" w:rsidRPr="009E3948" w:rsidRDefault="009E3948" w:rsidP="00F51716">
            <w:pPr>
              <w:rPr>
                <w:lang w:eastAsia="en-AU"/>
              </w:rPr>
            </w:pPr>
            <w:r w:rsidRPr="009E3948">
              <w:rPr>
                <w:lang w:eastAsia="en-AU"/>
              </w:rPr>
              <w:t>Disclosure of Ex gratia Expenses</w:t>
            </w:r>
          </w:p>
        </w:tc>
        <w:tc>
          <w:tcPr>
            <w:tcW w:w="1843" w:type="dxa"/>
            <w:shd w:val="clear" w:color="auto" w:fill="auto"/>
            <w:vAlign w:val="center"/>
            <w:hideMark/>
          </w:tcPr>
          <w:p w14:paraId="7BFA6E9C" w14:textId="77777777" w:rsidR="009E3948" w:rsidRPr="009E3948" w:rsidRDefault="009E3948" w:rsidP="00F51716">
            <w:pPr>
              <w:rPr>
                <w:lang w:eastAsia="en-AU"/>
              </w:rPr>
            </w:pPr>
            <w:r w:rsidRPr="009E3948">
              <w:rPr>
                <w:lang w:eastAsia="en-AU"/>
              </w:rPr>
              <w:t> </w:t>
            </w:r>
          </w:p>
        </w:tc>
      </w:tr>
      <w:tr w:rsidR="009E3948" w:rsidRPr="009E3948" w14:paraId="189EC6F6" w14:textId="77777777" w:rsidTr="00AB668E">
        <w:trPr>
          <w:cantSplit/>
          <w:trHeight w:val="675"/>
        </w:trPr>
        <w:tc>
          <w:tcPr>
            <w:tcW w:w="2552" w:type="dxa"/>
            <w:shd w:val="clear" w:color="auto" w:fill="auto"/>
            <w:vAlign w:val="center"/>
            <w:hideMark/>
          </w:tcPr>
          <w:p w14:paraId="26DE0AC4" w14:textId="77777777" w:rsidR="009E3948" w:rsidRPr="009E3948" w:rsidRDefault="009E3948" w:rsidP="00F51716">
            <w:pPr>
              <w:rPr>
                <w:lang w:eastAsia="en-AU"/>
              </w:rPr>
            </w:pPr>
            <w:r w:rsidRPr="009E3948">
              <w:rPr>
                <w:lang w:eastAsia="en-AU"/>
              </w:rPr>
              <w:t>FRD 13</w:t>
            </w:r>
          </w:p>
        </w:tc>
        <w:tc>
          <w:tcPr>
            <w:tcW w:w="4536" w:type="dxa"/>
            <w:gridSpan w:val="2"/>
            <w:shd w:val="clear" w:color="auto" w:fill="auto"/>
            <w:vAlign w:val="center"/>
            <w:hideMark/>
          </w:tcPr>
          <w:p w14:paraId="2F4FD1D4" w14:textId="77777777" w:rsidR="009E3948" w:rsidRPr="009E3948" w:rsidRDefault="009E3948" w:rsidP="00F51716">
            <w:pPr>
              <w:rPr>
                <w:lang w:eastAsia="en-AU"/>
              </w:rPr>
            </w:pPr>
            <w:r w:rsidRPr="009E3948">
              <w:rPr>
                <w:lang w:eastAsia="en-AU"/>
              </w:rPr>
              <w:t>Disclosure of Parliamentary Appropriations</w:t>
            </w:r>
          </w:p>
        </w:tc>
        <w:tc>
          <w:tcPr>
            <w:tcW w:w="1843" w:type="dxa"/>
            <w:shd w:val="clear" w:color="auto" w:fill="auto"/>
            <w:vAlign w:val="center"/>
            <w:hideMark/>
          </w:tcPr>
          <w:p w14:paraId="24317694" w14:textId="77777777" w:rsidR="009E3948" w:rsidRPr="009E3948" w:rsidRDefault="009E3948" w:rsidP="00F51716">
            <w:pPr>
              <w:rPr>
                <w:lang w:eastAsia="en-AU"/>
              </w:rPr>
            </w:pPr>
            <w:r w:rsidRPr="009E3948">
              <w:rPr>
                <w:lang w:eastAsia="en-AU"/>
              </w:rPr>
              <w:t> </w:t>
            </w:r>
          </w:p>
        </w:tc>
      </w:tr>
      <w:tr w:rsidR="009E3948" w:rsidRPr="009E3948" w14:paraId="1A570953" w14:textId="77777777" w:rsidTr="00CF3851">
        <w:trPr>
          <w:cantSplit/>
          <w:trHeight w:val="1514"/>
        </w:trPr>
        <w:tc>
          <w:tcPr>
            <w:tcW w:w="2552" w:type="dxa"/>
            <w:shd w:val="clear" w:color="auto" w:fill="auto"/>
            <w:vAlign w:val="center"/>
            <w:hideMark/>
          </w:tcPr>
          <w:p w14:paraId="1E4391E1" w14:textId="77777777" w:rsidR="009E3948" w:rsidRPr="009E3948" w:rsidRDefault="009E3948" w:rsidP="00F51716">
            <w:pPr>
              <w:rPr>
                <w:lang w:eastAsia="en-AU"/>
              </w:rPr>
            </w:pPr>
            <w:r w:rsidRPr="009E3948">
              <w:rPr>
                <w:lang w:eastAsia="en-AU"/>
              </w:rPr>
              <w:t>FRD 21C</w:t>
            </w:r>
          </w:p>
        </w:tc>
        <w:tc>
          <w:tcPr>
            <w:tcW w:w="4536" w:type="dxa"/>
            <w:gridSpan w:val="2"/>
            <w:shd w:val="clear" w:color="auto" w:fill="auto"/>
            <w:vAlign w:val="center"/>
            <w:hideMark/>
          </w:tcPr>
          <w:p w14:paraId="2140154B" w14:textId="77777777" w:rsidR="009E3948" w:rsidRPr="009E3948" w:rsidRDefault="009E3948" w:rsidP="00F51716">
            <w:pPr>
              <w:rPr>
                <w:lang w:eastAsia="en-AU"/>
              </w:rPr>
            </w:pPr>
            <w:r w:rsidRPr="009E3948">
              <w:rPr>
                <w:lang w:eastAsia="en-AU"/>
              </w:rPr>
              <w:t>Disclosures of Responsible Persons, Executive Officers and other Personnel (Contractors with Significant Management Responsibilities) in the Financial Report</w:t>
            </w:r>
          </w:p>
        </w:tc>
        <w:tc>
          <w:tcPr>
            <w:tcW w:w="1843" w:type="dxa"/>
            <w:shd w:val="clear" w:color="auto" w:fill="auto"/>
            <w:vAlign w:val="center"/>
            <w:hideMark/>
          </w:tcPr>
          <w:p w14:paraId="327DACB2" w14:textId="77777777" w:rsidR="009E3948" w:rsidRPr="009E3948" w:rsidRDefault="009E3948" w:rsidP="00F51716">
            <w:pPr>
              <w:rPr>
                <w:lang w:eastAsia="en-AU"/>
              </w:rPr>
            </w:pPr>
            <w:r w:rsidRPr="009E3948">
              <w:rPr>
                <w:lang w:eastAsia="en-AU"/>
              </w:rPr>
              <w:t> </w:t>
            </w:r>
          </w:p>
        </w:tc>
      </w:tr>
      <w:tr w:rsidR="009E3948" w:rsidRPr="009E3948" w14:paraId="272BCF98" w14:textId="77777777" w:rsidTr="00AB668E">
        <w:trPr>
          <w:cantSplit/>
          <w:trHeight w:val="450"/>
        </w:trPr>
        <w:tc>
          <w:tcPr>
            <w:tcW w:w="2552" w:type="dxa"/>
            <w:shd w:val="clear" w:color="auto" w:fill="auto"/>
            <w:vAlign w:val="center"/>
            <w:hideMark/>
          </w:tcPr>
          <w:p w14:paraId="180D74C5" w14:textId="77777777" w:rsidR="009E3948" w:rsidRPr="009E3948" w:rsidRDefault="009E3948" w:rsidP="00F51716">
            <w:pPr>
              <w:rPr>
                <w:lang w:eastAsia="en-AU"/>
              </w:rPr>
            </w:pPr>
            <w:r w:rsidRPr="009E3948">
              <w:rPr>
                <w:lang w:eastAsia="en-AU"/>
              </w:rPr>
              <w:t>FRD 103H</w:t>
            </w:r>
          </w:p>
        </w:tc>
        <w:tc>
          <w:tcPr>
            <w:tcW w:w="4536" w:type="dxa"/>
            <w:gridSpan w:val="2"/>
            <w:shd w:val="clear" w:color="auto" w:fill="auto"/>
            <w:vAlign w:val="center"/>
            <w:hideMark/>
          </w:tcPr>
          <w:p w14:paraId="57456535" w14:textId="77777777" w:rsidR="009E3948" w:rsidRPr="009E3948" w:rsidRDefault="009E3948" w:rsidP="00F51716">
            <w:pPr>
              <w:rPr>
                <w:lang w:eastAsia="en-AU"/>
              </w:rPr>
            </w:pPr>
            <w:r w:rsidRPr="009E3948">
              <w:rPr>
                <w:lang w:eastAsia="en-AU"/>
              </w:rPr>
              <w:t>Non</w:t>
            </w:r>
            <w:r w:rsidRPr="009E3948">
              <w:rPr>
                <w:lang w:eastAsia="en-AU"/>
              </w:rPr>
              <w:noBreakHyphen/>
              <w:t>Financial Physical Assets</w:t>
            </w:r>
          </w:p>
        </w:tc>
        <w:tc>
          <w:tcPr>
            <w:tcW w:w="1843" w:type="dxa"/>
            <w:shd w:val="clear" w:color="auto" w:fill="auto"/>
            <w:vAlign w:val="center"/>
            <w:hideMark/>
          </w:tcPr>
          <w:p w14:paraId="1C489293" w14:textId="77777777" w:rsidR="009E3948" w:rsidRPr="009E3948" w:rsidRDefault="009E3948" w:rsidP="00F51716">
            <w:pPr>
              <w:rPr>
                <w:lang w:eastAsia="en-AU"/>
              </w:rPr>
            </w:pPr>
            <w:r w:rsidRPr="009E3948">
              <w:rPr>
                <w:lang w:eastAsia="en-AU"/>
              </w:rPr>
              <w:t> </w:t>
            </w:r>
          </w:p>
        </w:tc>
      </w:tr>
      <w:tr w:rsidR="009E3948" w:rsidRPr="009E3948" w14:paraId="0FBEDF29" w14:textId="77777777" w:rsidTr="00AB668E">
        <w:trPr>
          <w:cantSplit/>
          <w:trHeight w:val="300"/>
        </w:trPr>
        <w:tc>
          <w:tcPr>
            <w:tcW w:w="2552" w:type="dxa"/>
            <w:shd w:val="clear" w:color="auto" w:fill="auto"/>
            <w:vAlign w:val="center"/>
            <w:hideMark/>
          </w:tcPr>
          <w:p w14:paraId="56C7CAEA" w14:textId="43793A02" w:rsidR="009E3948" w:rsidRPr="009E3948" w:rsidRDefault="009E3948" w:rsidP="00F51716">
            <w:pPr>
              <w:rPr>
                <w:lang w:eastAsia="en-AU"/>
              </w:rPr>
            </w:pPr>
            <w:r w:rsidRPr="009E3948">
              <w:rPr>
                <w:lang w:eastAsia="en-AU"/>
              </w:rPr>
              <w:t>FRD 110</w:t>
            </w:r>
            <w:r w:rsidR="007536F1">
              <w:rPr>
                <w:lang w:eastAsia="en-AU"/>
              </w:rPr>
              <w:t> A</w:t>
            </w:r>
            <w:r w:rsidRPr="009E3948">
              <w:rPr>
                <w:lang w:eastAsia="en-AU"/>
              </w:rPr>
              <w:t xml:space="preserve"> </w:t>
            </w:r>
          </w:p>
        </w:tc>
        <w:tc>
          <w:tcPr>
            <w:tcW w:w="4536" w:type="dxa"/>
            <w:gridSpan w:val="2"/>
            <w:shd w:val="clear" w:color="auto" w:fill="auto"/>
            <w:vAlign w:val="center"/>
            <w:hideMark/>
          </w:tcPr>
          <w:p w14:paraId="49C064E6" w14:textId="77777777" w:rsidR="009E3948" w:rsidRPr="009E3948" w:rsidRDefault="009E3948" w:rsidP="00F51716">
            <w:pPr>
              <w:rPr>
                <w:lang w:eastAsia="en-AU"/>
              </w:rPr>
            </w:pPr>
            <w:r w:rsidRPr="009E3948">
              <w:rPr>
                <w:lang w:eastAsia="en-AU"/>
              </w:rPr>
              <w:t>Cash Flow Statements</w:t>
            </w:r>
          </w:p>
        </w:tc>
        <w:tc>
          <w:tcPr>
            <w:tcW w:w="1843" w:type="dxa"/>
            <w:shd w:val="clear" w:color="auto" w:fill="auto"/>
            <w:vAlign w:val="center"/>
            <w:hideMark/>
          </w:tcPr>
          <w:p w14:paraId="74EBA8FD" w14:textId="77777777" w:rsidR="009E3948" w:rsidRPr="009E3948" w:rsidRDefault="009E3948" w:rsidP="00F51716">
            <w:pPr>
              <w:rPr>
                <w:lang w:eastAsia="en-AU"/>
              </w:rPr>
            </w:pPr>
            <w:r w:rsidRPr="009E3948">
              <w:rPr>
                <w:lang w:eastAsia="en-AU"/>
              </w:rPr>
              <w:t> </w:t>
            </w:r>
          </w:p>
        </w:tc>
      </w:tr>
      <w:tr w:rsidR="009E3948" w:rsidRPr="009E3948" w14:paraId="52656B6C" w14:textId="77777777" w:rsidTr="00AB668E">
        <w:trPr>
          <w:cantSplit/>
          <w:trHeight w:val="675"/>
        </w:trPr>
        <w:tc>
          <w:tcPr>
            <w:tcW w:w="2552" w:type="dxa"/>
            <w:shd w:val="clear" w:color="auto" w:fill="auto"/>
            <w:vAlign w:val="center"/>
            <w:hideMark/>
          </w:tcPr>
          <w:p w14:paraId="2883D514" w14:textId="26A55082" w:rsidR="009E3948" w:rsidRPr="009E3948" w:rsidRDefault="009E3948" w:rsidP="00F51716">
            <w:pPr>
              <w:rPr>
                <w:lang w:eastAsia="en-AU"/>
              </w:rPr>
            </w:pPr>
            <w:r w:rsidRPr="009E3948">
              <w:rPr>
                <w:lang w:eastAsia="en-AU"/>
              </w:rPr>
              <w:t>FRD 112</w:t>
            </w:r>
            <w:r w:rsidR="007536F1">
              <w:rPr>
                <w:lang w:eastAsia="en-AU"/>
              </w:rPr>
              <w:t> D</w:t>
            </w:r>
          </w:p>
        </w:tc>
        <w:tc>
          <w:tcPr>
            <w:tcW w:w="4536" w:type="dxa"/>
            <w:gridSpan w:val="2"/>
            <w:shd w:val="clear" w:color="auto" w:fill="auto"/>
            <w:vAlign w:val="center"/>
            <w:hideMark/>
          </w:tcPr>
          <w:p w14:paraId="6492280C" w14:textId="77777777" w:rsidR="009E3948" w:rsidRPr="009E3948" w:rsidRDefault="009E3948" w:rsidP="00F51716">
            <w:pPr>
              <w:rPr>
                <w:lang w:eastAsia="en-AU"/>
              </w:rPr>
            </w:pPr>
            <w:r w:rsidRPr="009E3948">
              <w:rPr>
                <w:lang w:eastAsia="en-AU"/>
              </w:rPr>
              <w:t>Defined Benefit Superannuation Obligations</w:t>
            </w:r>
          </w:p>
        </w:tc>
        <w:tc>
          <w:tcPr>
            <w:tcW w:w="1843" w:type="dxa"/>
            <w:shd w:val="clear" w:color="auto" w:fill="auto"/>
            <w:vAlign w:val="center"/>
            <w:hideMark/>
          </w:tcPr>
          <w:p w14:paraId="56172EA6" w14:textId="77777777" w:rsidR="009E3948" w:rsidRPr="009E3948" w:rsidRDefault="009E3948" w:rsidP="00F51716">
            <w:pPr>
              <w:rPr>
                <w:lang w:eastAsia="en-AU"/>
              </w:rPr>
            </w:pPr>
            <w:r w:rsidRPr="009E3948">
              <w:rPr>
                <w:lang w:eastAsia="en-AU"/>
              </w:rPr>
              <w:t> </w:t>
            </w:r>
          </w:p>
        </w:tc>
      </w:tr>
      <w:tr w:rsidR="009E3948" w:rsidRPr="009E3948" w14:paraId="22CEBFA9" w14:textId="77777777" w:rsidTr="00AB668E">
        <w:trPr>
          <w:cantSplit/>
          <w:trHeight w:val="900"/>
        </w:trPr>
        <w:tc>
          <w:tcPr>
            <w:tcW w:w="2552" w:type="dxa"/>
            <w:shd w:val="clear" w:color="auto" w:fill="auto"/>
            <w:vAlign w:val="center"/>
            <w:hideMark/>
          </w:tcPr>
          <w:p w14:paraId="17D6F543" w14:textId="77777777" w:rsidR="009E3948" w:rsidRPr="009E3948" w:rsidRDefault="009E3948" w:rsidP="00F51716">
            <w:pPr>
              <w:rPr>
                <w:lang w:eastAsia="en-AU"/>
              </w:rPr>
            </w:pPr>
            <w:r w:rsidRPr="009E3948">
              <w:rPr>
                <w:lang w:eastAsia="en-AU"/>
              </w:rPr>
              <w:t>FRD 114C</w:t>
            </w:r>
          </w:p>
        </w:tc>
        <w:tc>
          <w:tcPr>
            <w:tcW w:w="4536" w:type="dxa"/>
            <w:gridSpan w:val="2"/>
            <w:shd w:val="clear" w:color="auto" w:fill="auto"/>
            <w:vAlign w:val="center"/>
            <w:hideMark/>
          </w:tcPr>
          <w:p w14:paraId="2C8BDBD0" w14:textId="77777777" w:rsidR="009E3948" w:rsidRPr="009E3948" w:rsidRDefault="009E3948" w:rsidP="00F51716">
            <w:pPr>
              <w:rPr>
                <w:lang w:eastAsia="en-AU"/>
              </w:rPr>
            </w:pPr>
            <w:r w:rsidRPr="009E3948">
              <w:rPr>
                <w:lang w:eastAsia="en-AU"/>
              </w:rPr>
              <w:t>Financial Instruments – general government entities and public non-financial corporations</w:t>
            </w:r>
          </w:p>
        </w:tc>
        <w:tc>
          <w:tcPr>
            <w:tcW w:w="1843" w:type="dxa"/>
            <w:shd w:val="clear" w:color="auto" w:fill="auto"/>
            <w:vAlign w:val="center"/>
            <w:hideMark/>
          </w:tcPr>
          <w:p w14:paraId="0C7C978D" w14:textId="77777777" w:rsidR="009E3948" w:rsidRPr="009E3948" w:rsidRDefault="009E3948" w:rsidP="00F51716">
            <w:pPr>
              <w:rPr>
                <w:lang w:eastAsia="en-AU"/>
              </w:rPr>
            </w:pPr>
            <w:r w:rsidRPr="009E3948">
              <w:rPr>
                <w:lang w:eastAsia="en-AU"/>
              </w:rPr>
              <w:t> </w:t>
            </w:r>
          </w:p>
        </w:tc>
      </w:tr>
      <w:tr w:rsidR="009E3948" w:rsidRPr="009E3948" w14:paraId="17F6C221" w14:textId="77777777" w:rsidTr="00AB668E">
        <w:trPr>
          <w:cantSplit/>
          <w:trHeight w:val="300"/>
        </w:trPr>
        <w:tc>
          <w:tcPr>
            <w:tcW w:w="8931" w:type="dxa"/>
            <w:gridSpan w:val="4"/>
            <w:shd w:val="clear" w:color="auto" w:fill="auto"/>
            <w:vAlign w:val="center"/>
            <w:hideMark/>
          </w:tcPr>
          <w:p w14:paraId="709B7C26" w14:textId="77777777" w:rsidR="009E3948" w:rsidRPr="009E3948" w:rsidRDefault="009E3948" w:rsidP="00F51716">
            <w:pPr>
              <w:rPr>
                <w:szCs w:val="19"/>
                <w:lang w:eastAsia="en-AU"/>
              </w:rPr>
            </w:pPr>
            <w:r w:rsidRPr="009E3948">
              <w:rPr>
                <w:lang w:eastAsia="en-AU"/>
              </w:rPr>
              <w:t xml:space="preserve">Note: </w:t>
            </w:r>
          </w:p>
        </w:tc>
      </w:tr>
      <w:tr w:rsidR="009E3948" w:rsidRPr="009E3948" w14:paraId="4F7BB62C" w14:textId="77777777" w:rsidTr="00AB668E">
        <w:trPr>
          <w:trHeight w:val="540"/>
        </w:trPr>
        <w:tc>
          <w:tcPr>
            <w:tcW w:w="8931" w:type="dxa"/>
            <w:gridSpan w:val="4"/>
            <w:shd w:val="clear" w:color="auto" w:fill="auto"/>
            <w:vAlign w:val="center"/>
            <w:hideMark/>
          </w:tcPr>
          <w:p w14:paraId="70823D6F" w14:textId="77777777" w:rsidR="009E3948" w:rsidRPr="009E3948" w:rsidRDefault="009E3948" w:rsidP="00F51716">
            <w:pPr>
              <w:rPr>
                <w:szCs w:val="19"/>
                <w:lang w:eastAsia="en-AU"/>
              </w:rPr>
            </w:pPr>
            <w:r w:rsidRPr="009E3948">
              <w:rPr>
                <w:lang w:eastAsia="en-AU"/>
              </w:rPr>
              <w:t>(a) References to FRDs have been removed from the Disclosure Index if the specific FRDs do not contain requirements that are of the nature of disclosure.</w:t>
            </w:r>
          </w:p>
        </w:tc>
      </w:tr>
      <w:tr w:rsidR="009E3948" w:rsidRPr="009E3948" w14:paraId="5F76373A" w14:textId="77777777" w:rsidTr="00AB668E">
        <w:trPr>
          <w:cantSplit/>
          <w:trHeight w:val="300"/>
        </w:trPr>
        <w:tc>
          <w:tcPr>
            <w:tcW w:w="7088" w:type="dxa"/>
            <w:gridSpan w:val="3"/>
            <w:shd w:val="clear" w:color="000000" w:fill="EBEBEB"/>
            <w:vAlign w:val="center"/>
            <w:hideMark/>
          </w:tcPr>
          <w:p w14:paraId="580890B9" w14:textId="77777777" w:rsidR="009E3948" w:rsidRPr="009E3948" w:rsidRDefault="009E3948" w:rsidP="00F51716">
            <w:pPr>
              <w:rPr>
                <w:lang w:eastAsia="en-AU"/>
              </w:rPr>
            </w:pPr>
            <w:r w:rsidRPr="009E3948">
              <w:rPr>
                <w:lang w:eastAsia="en-AU"/>
              </w:rPr>
              <w:t>Legislation</w:t>
            </w:r>
          </w:p>
        </w:tc>
        <w:tc>
          <w:tcPr>
            <w:tcW w:w="1843" w:type="dxa"/>
            <w:shd w:val="clear" w:color="000000" w:fill="EBEBEB"/>
            <w:vAlign w:val="center"/>
            <w:hideMark/>
          </w:tcPr>
          <w:p w14:paraId="5BA4E1C5" w14:textId="77777777" w:rsidR="009E3948" w:rsidRPr="009E3948" w:rsidRDefault="009E3948" w:rsidP="00F51716">
            <w:pPr>
              <w:rPr>
                <w:lang w:eastAsia="en-AU"/>
              </w:rPr>
            </w:pPr>
            <w:r w:rsidRPr="009E3948">
              <w:rPr>
                <w:lang w:eastAsia="en-AU"/>
              </w:rPr>
              <w:t> </w:t>
            </w:r>
          </w:p>
        </w:tc>
      </w:tr>
      <w:tr w:rsidR="009E3948" w:rsidRPr="009E3948" w14:paraId="601D3238" w14:textId="77777777" w:rsidTr="00AB668E">
        <w:trPr>
          <w:cantSplit/>
          <w:trHeight w:val="300"/>
        </w:trPr>
        <w:tc>
          <w:tcPr>
            <w:tcW w:w="7088" w:type="dxa"/>
            <w:gridSpan w:val="3"/>
            <w:shd w:val="clear" w:color="auto" w:fill="auto"/>
            <w:vAlign w:val="center"/>
            <w:hideMark/>
          </w:tcPr>
          <w:p w14:paraId="5531A527" w14:textId="77777777" w:rsidR="009E3948" w:rsidRPr="009E3948" w:rsidRDefault="009E3948" w:rsidP="00F51716">
            <w:pPr>
              <w:rPr>
                <w:lang w:eastAsia="en-AU"/>
              </w:rPr>
            </w:pPr>
            <w:r w:rsidRPr="009E3948">
              <w:rPr>
                <w:lang w:eastAsia="en-AU"/>
              </w:rPr>
              <w:t>Freedom of Information Act 1982</w:t>
            </w:r>
          </w:p>
        </w:tc>
        <w:tc>
          <w:tcPr>
            <w:tcW w:w="1843" w:type="dxa"/>
            <w:shd w:val="clear" w:color="auto" w:fill="auto"/>
            <w:vAlign w:val="center"/>
            <w:hideMark/>
          </w:tcPr>
          <w:p w14:paraId="6C99B763" w14:textId="77777777" w:rsidR="009E3948" w:rsidRPr="009E3948" w:rsidRDefault="009E3948" w:rsidP="00F51716">
            <w:pPr>
              <w:rPr>
                <w:lang w:eastAsia="en-AU"/>
              </w:rPr>
            </w:pPr>
            <w:r w:rsidRPr="009E3948">
              <w:rPr>
                <w:lang w:eastAsia="en-AU"/>
              </w:rPr>
              <w:t> </w:t>
            </w:r>
          </w:p>
        </w:tc>
      </w:tr>
      <w:tr w:rsidR="009E3948" w:rsidRPr="009E3948" w14:paraId="1309D97B" w14:textId="77777777" w:rsidTr="00AB668E">
        <w:trPr>
          <w:cantSplit/>
          <w:trHeight w:val="300"/>
        </w:trPr>
        <w:tc>
          <w:tcPr>
            <w:tcW w:w="7088" w:type="dxa"/>
            <w:gridSpan w:val="3"/>
            <w:shd w:val="clear" w:color="auto" w:fill="auto"/>
            <w:vAlign w:val="center"/>
            <w:hideMark/>
          </w:tcPr>
          <w:p w14:paraId="5B1C85DA" w14:textId="77777777" w:rsidR="009E3948" w:rsidRPr="009E3948" w:rsidRDefault="009E3948" w:rsidP="00F51716">
            <w:pPr>
              <w:rPr>
                <w:lang w:eastAsia="en-AU"/>
              </w:rPr>
            </w:pPr>
            <w:r w:rsidRPr="009E3948">
              <w:rPr>
                <w:lang w:eastAsia="en-AU"/>
              </w:rPr>
              <w:t>Building Act 1993</w:t>
            </w:r>
          </w:p>
        </w:tc>
        <w:tc>
          <w:tcPr>
            <w:tcW w:w="1843" w:type="dxa"/>
            <w:shd w:val="clear" w:color="auto" w:fill="auto"/>
            <w:vAlign w:val="center"/>
            <w:hideMark/>
          </w:tcPr>
          <w:p w14:paraId="7047F188" w14:textId="77777777" w:rsidR="009E3948" w:rsidRPr="009E3948" w:rsidRDefault="009E3948" w:rsidP="00F51716">
            <w:pPr>
              <w:rPr>
                <w:lang w:eastAsia="en-AU"/>
              </w:rPr>
            </w:pPr>
            <w:r w:rsidRPr="009E3948">
              <w:rPr>
                <w:lang w:eastAsia="en-AU"/>
              </w:rPr>
              <w:t> </w:t>
            </w:r>
          </w:p>
        </w:tc>
      </w:tr>
      <w:tr w:rsidR="009E3948" w:rsidRPr="009E3948" w14:paraId="3E92D55C" w14:textId="77777777" w:rsidTr="00AB668E">
        <w:trPr>
          <w:cantSplit/>
          <w:trHeight w:val="300"/>
        </w:trPr>
        <w:tc>
          <w:tcPr>
            <w:tcW w:w="7088" w:type="dxa"/>
            <w:gridSpan w:val="3"/>
            <w:shd w:val="clear" w:color="auto" w:fill="auto"/>
            <w:vAlign w:val="center"/>
            <w:hideMark/>
          </w:tcPr>
          <w:p w14:paraId="7BE90CE3" w14:textId="77777777" w:rsidR="009E3948" w:rsidRPr="009E3948" w:rsidRDefault="009E3948" w:rsidP="00F51716">
            <w:pPr>
              <w:rPr>
                <w:lang w:eastAsia="en-AU"/>
              </w:rPr>
            </w:pPr>
            <w:r w:rsidRPr="009E3948">
              <w:rPr>
                <w:lang w:eastAsia="en-AU"/>
              </w:rPr>
              <w:t>Protected Disclosure Act 2012</w:t>
            </w:r>
          </w:p>
        </w:tc>
        <w:tc>
          <w:tcPr>
            <w:tcW w:w="1843" w:type="dxa"/>
            <w:shd w:val="clear" w:color="auto" w:fill="auto"/>
            <w:vAlign w:val="center"/>
            <w:hideMark/>
          </w:tcPr>
          <w:p w14:paraId="36A04C10" w14:textId="77777777" w:rsidR="009E3948" w:rsidRPr="009E3948" w:rsidRDefault="009E3948" w:rsidP="00F51716">
            <w:pPr>
              <w:rPr>
                <w:lang w:eastAsia="en-AU"/>
              </w:rPr>
            </w:pPr>
            <w:r w:rsidRPr="009E3948">
              <w:rPr>
                <w:lang w:eastAsia="en-AU"/>
              </w:rPr>
              <w:t> </w:t>
            </w:r>
          </w:p>
        </w:tc>
      </w:tr>
      <w:tr w:rsidR="009E3948" w:rsidRPr="009E3948" w14:paraId="1440ACD5" w14:textId="77777777" w:rsidTr="00AB668E">
        <w:trPr>
          <w:cantSplit/>
          <w:trHeight w:val="300"/>
        </w:trPr>
        <w:tc>
          <w:tcPr>
            <w:tcW w:w="7088" w:type="dxa"/>
            <w:gridSpan w:val="3"/>
            <w:shd w:val="clear" w:color="auto" w:fill="auto"/>
            <w:vAlign w:val="center"/>
            <w:hideMark/>
          </w:tcPr>
          <w:p w14:paraId="220FF235" w14:textId="77777777" w:rsidR="009E3948" w:rsidRPr="009E3948" w:rsidRDefault="009E3948" w:rsidP="00F51716">
            <w:pPr>
              <w:rPr>
                <w:lang w:eastAsia="en-AU"/>
              </w:rPr>
            </w:pPr>
            <w:r w:rsidRPr="009E3948">
              <w:rPr>
                <w:lang w:eastAsia="en-AU"/>
              </w:rPr>
              <w:t>Carers Recognition Act 2012</w:t>
            </w:r>
          </w:p>
        </w:tc>
        <w:tc>
          <w:tcPr>
            <w:tcW w:w="1843" w:type="dxa"/>
            <w:shd w:val="clear" w:color="auto" w:fill="auto"/>
            <w:vAlign w:val="center"/>
            <w:hideMark/>
          </w:tcPr>
          <w:p w14:paraId="58CB8F2E" w14:textId="77777777" w:rsidR="009E3948" w:rsidRPr="009E3948" w:rsidRDefault="009E3948" w:rsidP="00F51716">
            <w:pPr>
              <w:rPr>
                <w:lang w:eastAsia="en-AU"/>
              </w:rPr>
            </w:pPr>
            <w:r w:rsidRPr="009E3948">
              <w:rPr>
                <w:lang w:eastAsia="en-AU"/>
              </w:rPr>
              <w:t> </w:t>
            </w:r>
          </w:p>
        </w:tc>
      </w:tr>
      <w:tr w:rsidR="009E3948" w:rsidRPr="009E3948" w14:paraId="69961E94" w14:textId="77777777" w:rsidTr="00AB668E">
        <w:trPr>
          <w:cantSplit/>
          <w:trHeight w:val="300"/>
        </w:trPr>
        <w:tc>
          <w:tcPr>
            <w:tcW w:w="7088" w:type="dxa"/>
            <w:gridSpan w:val="3"/>
            <w:shd w:val="clear" w:color="auto" w:fill="auto"/>
            <w:vAlign w:val="center"/>
            <w:hideMark/>
          </w:tcPr>
          <w:p w14:paraId="1033280C" w14:textId="77777777" w:rsidR="009E3948" w:rsidRPr="009E3948" w:rsidRDefault="009E3948" w:rsidP="00F51716">
            <w:pPr>
              <w:rPr>
                <w:lang w:eastAsia="en-AU"/>
              </w:rPr>
            </w:pPr>
            <w:r w:rsidRPr="009E3948">
              <w:rPr>
                <w:lang w:eastAsia="en-AU"/>
              </w:rPr>
              <w:t>Disability Act 2006</w:t>
            </w:r>
          </w:p>
        </w:tc>
        <w:tc>
          <w:tcPr>
            <w:tcW w:w="1843" w:type="dxa"/>
            <w:shd w:val="clear" w:color="auto" w:fill="auto"/>
            <w:vAlign w:val="center"/>
            <w:hideMark/>
          </w:tcPr>
          <w:p w14:paraId="1593FE79" w14:textId="77777777" w:rsidR="009E3948" w:rsidRPr="009E3948" w:rsidRDefault="009E3948" w:rsidP="00F51716">
            <w:pPr>
              <w:rPr>
                <w:lang w:eastAsia="en-AU"/>
              </w:rPr>
            </w:pPr>
            <w:r w:rsidRPr="009E3948">
              <w:rPr>
                <w:lang w:eastAsia="en-AU"/>
              </w:rPr>
              <w:t> </w:t>
            </w:r>
          </w:p>
        </w:tc>
      </w:tr>
      <w:tr w:rsidR="009E3948" w:rsidRPr="009E3948" w14:paraId="068CA54A" w14:textId="77777777" w:rsidTr="00AB668E">
        <w:trPr>
          <w:cantSplit/>
          <w:trHeight w:val="300"/>
        </w:trPr>
        <w:tc>
          <w:tcPr>
            <w:tcW w:w="7088" w:type="dxa"/>
            <w:gridSpan w:val="3"/>
            <w:shd w:val="clear" w:color="auto" w:fill="auto"/>
            <w:vAlign w:val="center"/>
            <w:hideMark/>
          </w:tcPr>
          <w:p w14:paraId="3F1FFD91" w14:textId="77777777" w:rsidR="009E3948" w:rsidRPr="009E3948" w:rsidRDefault="009E3948" w:rsidP="00F51716">
            <w:pPr>
              <w:rPr>
                <w:lang w:eastAsia="en-AU"/>
              </w:rPr>
            </w:pPr>
            <w:r w:rsidRPr="009E3948">
              <w:rPr>
                <w:lang w:eastAsia="en-AU"/>
              </w:rPr>
              <w:t>Local Jobs Act 2003</w:t>
            </w:r>
          </w:p>
        </w:tc>
        <w:tc>
          <w:tcPr>
            <w:tcW w:w="1843" w:type="dxa"/>
            <w:shd w:val="clear" w:color="auto" w:fill="auto"/>
            <w:vAlign w:val="center"/>
            <w:hideMark/>
          </w:tcPr>
          <w:p w14:paraId="494F696F" w14:textId="77777777" w:rsidR="009E3948" w:rsidRPr="009E3948" w:rsidRDefault="009E3948" w:rsidP="00F51716">
            <w:pPr>
              <w:rPr>
                <w:lang w:eastAsia="en-AU"/>
              </w:rPr>
            </w:pPr>
            <w:r w:rsidRPr="009E3948">
              <w:rPr>
                <w:lang w:eastAsia="en-AU"/>
              </w:rPr>
              <w:t> </w:t>
            </w:r>
          </w:p>
        </w:tc>
      </w:tr>
      <w:tr w:rsidR="009E3948" w:rsidRPr="009E3948" w14:paraId="57D86C92" w14:textId="77777777" w:rsidTr="00AB668E">
        <w:trPr>
          <w:cantSplit/>
          <w:trHeight w:val="300"/>
        </w:trPr>
        <w:tc>
          <w:tcPr>
            <w:tcW w:w="7088" w:type="dxa"/>
            <w:gridSpan w:val="3"/>
            <w:shd w:val="clear" w:color="auto" w:fill="auto"/>
            <w:vAlign w:val="center"/>
            <w:hideMark/>
          </w:tcPr>
          <w:p w14:paraId="5CADB2D1" w14:textId="77777777" w:rsidR="009E3948" w:rsidRPr="009E3948" w:rsidRDefault="009E3948" w:rsidP="00F51716">
            <w:pPr>
              <w:rPr>
                <w:lang w:eastAsia="en-AU"/>
              </w:rPr>
            </w:pPr>
            <w:r w:rsidRPr="009E3948">
              <w:rPr>
                <w:lang w:eastAsia="en-AU"/>
              </w:rPr>
              <w:t>Financial Management Act 1994</w:t>
            </w:r>
          </w:p>
        </w:tc>
        <w:tc>
          <w:tcPr>
            <w:tcW w:w="1843" w:type="dxa"/>
            <w:shd w:val="clear" w:color="auto" w:fill="auto"/>
            <w:vAlign w:val="center"/>
            <w:hideMark/>
          </w:tcPr>
          <w:p w14:paraId="0EB1D8D7" w14:textId="1CA514AF" w:rsidR="009E3948" w:rsidRPr="009E3948" w:rsidRDefault="009E3948" w:rsidP="00F51716">
            <w:pPr>
              <w:rPr>
                <w:lang w:eastAsia="en-AU"/>
              </w:rPr>
            </w:pPr>
            <w:r w:rsidRPr="009E3948">
              <w:rPr>
                <w:lang w:eastAsia="en-AU"/>
              </w:rPr>
              <w:t> </w:t>
            </w:r>
          </w:p>
        </w:tc>
      </w:tr>
    </w:tbl>
    <w:p w14:paraId="71FC4A6B" w14:textId="77777777" w:rsidR="00520B14" w:rsidRDefault="00520B14" w:rsidP="00F51716"/>
    <w:p w14:paraId="2836C864" w14:textId="12299652" w:rsidR="00520B14" w:rsidRDefault="00520B14" w:rsidP="00F51716"/>
    <w:p w14:paraId="60788A19" w14:textId="32BBC26F" w:rsidR="00737CD9" w:rsidRDefault="00737CD9" w:rsidP="00F51716"/>
    <w:p w14:paraId="6C99B466" w14:textId="77777777" w:rsidR="00B13BFA" w:rsidRDefault="00B13BFA" w:rsidP="00F51716"/>
    <w:p w14:paraId="7C6474F5" w14:textId="46A862E9" w:rsidR="005678B9" w:rsidRPr="00BA1111" w:rsidRDefault="0077589D" w:rsidP="00F51716">
      <w:pPr>
        <w:pStyle w:val="Heading1"/>
      </w:pPr>
      <w:bookmarkStart w:id="168" w:name="_Toc56627369"/>
      <w:bookmarkStart w:id="169" w:name="_Toc57039896"/>
      <w:bookmarkStart w:id="170" w:name="_Toc59624231"/>
      <w:r w:rsidRPr="00BA1111">
        <w:t>Appendix 2: Office</w:t>
      </w:r>
      <w:r w:rsidR="00105AEC">
        <w:t>-</w:t>
      </w:r>
      <w:r w:rsidRPr="00BA1111">
        <w:t>based environmental performance</w:t>
      </w:r>
      <w:bookmarkEnd w:id="168"/>
      <w:bookmarkEnd w:id="169"/>
      <w:bookmarkEnd w:id="170"/>
    </w:p>
    <w:p w14:paraId="08FBF3EA" w14:textId="095C680F" w:rsidR="001B0E4E" w:rsidRDefault="001E0606" w:rsidP="00F51716">
      <w:r w:rsidRPr="001B0E4E">
        <w:rPr>
          <w:noProof/>
          <w:lang w:eastAsia="en-AU"/>
        </w:rPr>
        <w:drawing>
          <wp:inline distT="0" distB="0" distL="0" distR="0" wp14:anchorId="3910B3A8" wp14:editId="50C91450">
            <wp:extent cx="5475698" cy="79514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477598" cy="7954229"/>
                    </a:xfrm>
                    <a:prstGeom prst="rect">
                      <a:avLst/>
                    </a:prstGeom>
                    <a:noFill/>
                    <a:ln>
                      <a:noFill/>
                    </a:ln>
                  </pic:spPr>
                </pic:pic>
              </a:graphicData>
            </a:graphic>
          </wp:inline>
        </w:drawing>
      </w:r>
    </w:p>
    <w:p w14:paraId="7957040D" w14:textId="225E86A8" w:rsidR="009A7188" w:rsidRDefault="009A7188" w:rsidP="00F51716"/>
    <w:p w14:paraId="67C794DE" w14:textId="7E5C6F60" w:rsidR="0077589D" w:rsidRDefault="0077589D" w:rsidP="00F51716">
      <w:pPr>
        <w:pStyle w:val="Heading1"/>
      </w:pPr>
      <w:bookmarkStart w:id="171" w:name="_Toc56627370"/>
      <w:bookmarkStart w:id="172" w:name="_Toc57039897"/>
      <w:bookmarkStart w:id="173" w:name="_Toc59624232"/>
      <w:r w:rsidRPr="0077589D">
        <w:t>Appendix 3: Office</w:t>
      </w:r>
      <w:r w:rsidR="00105AEC">
        <w:t>-</w:t>
      </w:r>
      <w:r w:rsidRPr="0077589D">
        <w:t>based environmental impacts</w:t>
      </w:r>
      <w:bookmarkEnd w:id="171"/>
      <w:bookmarkEnd w:id="172"/>
      <w:bookmarkEnd w:id="173"/>
    </w:p>
    <w:p w14:paraId="4B6E1CFF" w14:textId="22337FE6" w:rsidR="009A7188" w:rsidRPr="009A7188" w:rsidRDefault="003F15CC" w:rsidP="003F15CC">
      <w:pPr>
        <w:pStyle w:val="Caption"/>
      </w:pPr>
      <w:r>
        <w:t xml:space="preserve">Table </w:t>
      </w:r>
      <w:fldSimple w:instr=" SEQ Table \* ARABIC ">
        <w:r>
          <w:rPr>
            <w:noProof/>
          </w:rPr>
          <w:t>33</w:t>
        </w:r>
      </w:fldSimple>
      <w:r>
        <w:t>: Office-based environmental impacts</w:t>
      </w:r>
    </w:p>
    <w:tbl>
      <w:tblPr>
        <w:tblW w:w="97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1"/>
        <w:gridCol w:w="1746"/>
        <w:gridCol w:w="1239"/>
        <w:gridCol w:w="1018"/>
        <w:gridCol w:w="1018"/>
        <w:gridCol w:w="1018"/>
        <w:gridCol w:w="1018"/>
        <w:gridCol w:w="1018"/>
      </w:tblGrid>
      <w:tr w:rsidR="00535DF2" w:rsidRPr="00AB668E" w14:paraId="61196A0C" w14:textId="77777777" w:rsidTr="003F15CC">
        <w:trPr>
          <w:trHeight w:val="608"/>
          <w:tblHeader/>
        </w:trPr>
        <w:tc>
          <w:tcPr>
            <w:tcW w:w="1651" w:type="dxa"/>
            <w:shd w:val="clear" w:color="000000" w:fill="92D050"/>
            <w:vAlign w:val="center"/>
            <w:hideMark/>
          </w:tcPr>
          <w:p w14:paraId="06D82CCA" w14:textId="021C5930" w:rsidR="00535DF2" w:rsidRPr="00AB668E" w:rsidRDefault="00535DF2" w:rsidP="00F51716">
            <w:pPr>
              <w:rPr>
                <w:lang w:eastAsia="en-AU"/>
              </w:rPr>
            </w:pPr>
            <w:r w:rsidRPr="00AB668E">
              <w:rPr>
                <w:lang w:eastAsia="en-AU"/>
              </w:rPr>
              <w:t xml:space="preserve">Environmental </w:t>
            </w:r>
            <w:r w:rsidR="00653AB9">
              <w:rPr>
                <w:lang w:eastAsia="en-AU"/>
              </w:rPr>
              <w:t>a</w:t>
            </w:r>
            <w:r w:rsidRPr="00AB668E">
              <w:rPr>
                <w:lang w:eastAsia="en-AU"/>
              </w:rPr>
              <w:t>spect</w:t>
            </w:r>
            <w:r w:rsidRPr="00AB668E">
              <w:rPr>
                <w:vertAlign w:val="superscript"/>
                <w:lang w:eastAsia="en-AU"/>
              </w:rPr>
              <w:t>1</w:t>
            </w:r>
          </w:p>
        </w:tc>
        <w:tc>
          <w:tcPr>
            <w:tcW w:w="1746" w:type="dxa"/>
            <w:shd w:val="clear" w:color="000000" w:fill="92D050"/>
            <w:vAlign w:val="center"/>
            <w:hideMark/>
          </w:tcPr>
          <w:p w14:paraId="2E3AFF46" w14:textId="77777777" w:rsidR="00535DF2" w:rsidRPr="00AB668E" w:rsidRDefault="00535DF2" w:rsidP="00F51716">
            <w:pPr>
              <w:rPr>
                <w:lang w:eastAsia="en-AU"/>
              </w:rPr>
            </w:pPr>
            <w:r w:rsidRPr="00AB668E">
              <w:rPr>
                <w:lang w:eastAsia="en-AU"/>
              </w:rPr>
              <w:t>Description</w:t>
            </w:r>
          </w:p>
        </w:tc>
        <w:tc>
          <w:tcPr>
            <w:tcW w:w="1239" w:type="dxa"/>
            <w:shd w:val="clear" w:color="000000" w:fill="92D050"/>
            <w:vAlign w:val="center"/>
            <w:hideMark/>
          </w:tcPr>
          <w:p w14:paraId="285FFB9F" w14:textId="23C255EE" w:rsidR="00535DF2" w:rsidRPr="00AB668E" w:rsidRDefault="00535DF2" w:rsidP="00F51716">
            <w:pPr>
              <w:rPr>
                <w:lang w:eastAsia="en-AU"/>
              </w:rPr>
            </w:pPr>
            <w:r w:rsidRPr="00AB668E">
              <w:rPr>
                <w:lang w:eastAsia="en-AU"/>
              </w:rPr>
              <w:t xml:space="preserve">Unit of </w:t>
            </w:r>
            <w:r w:rsidR="00653AB9">
              <w:rPr>
                <w:lang w:eastAsia="en-AU"/>
              </w:rPr>
              <w:t>m</w:t>
            </w:r>
            <w:r w:rsidRPr="00AB668E">
              <w:rPr>
                <w:lang w:eastAsia="en-AU"/>
              </w:rPr>
              <w:t>easure</w:t>
            </w:r>
          </w:p>
        </w:tc>
        <w:tc>
          <w:tcPr>
            <w:tcW w:w="1018" w:type="dxa"/>
            <w:shd w:val="clear" w:color="000000" w:fill="92D050"/>
            <w:vAlign w:val="center"/>
            <w:hideMark/>
          </w:tcPr>
          <w:p w14:paraId="59CFAA99" w14:textId="3098BD24" w:rsidR="00535DF2" w:rsidRPr="00AB668E" w:rsidRDefault="00535DF2" w:rsidP="00F51716">
            <w:pPr>
              <w:rPr>
                <w:lang w:eastAsia="en-AU"/>
              </w:rPr>
            </w:pPr>
            <w:r w:rsidRPr="00AB668E">
              <w:rPr>
                <w:lang w:eastAsia="en-AU"/>
              </w:rPr>
              <w:t>2015</w:t>
            </w:r>
            <w:r w:rsidR="00653AB9" w:rsidRPr="00AB668E">
              <w:rPr>
                <w:lang w:eastAsia="en-AU"/>
              </w:rPr>
              <w:t>–</w:t>
            </w:r>
            <w:r w:rsidRPr="00AB668E">
              <w:rPr>
                <w:lang w:eastAsia="en-AU"/>
              </w:rPr>
              <w:t>16</w:t>
            </w:r>
          </w:p>
        </w:tc>
        <w:tc>
          <w:tcPr>
            <w:tcW w:w="1018" w:type="dxa"/>
            <w:shd w:val="clear" w:color="000000" w:fill="92D050"/>
            <w:vAlign w:val="center"/>
            <w:hideMark/>
          </w:tcPr>
          <w:p w14:paraId="0ED088AD" w14:textId="6E9CD09D" w:rsidR="00535DF2" w:rsidRPr="00AB668E" w:rsidRDefault="00535DF2" w:rsidP="00F51716">
            <w:pPr>
              <w:rPr>
                <w:lang w:eastAsia="en-AU"/>
              </w:rPr>
            </w:pPr>
            <w:r w:rsidRPr="00AB668E">
              <w:rPr>
                <w:lang w:eastAsia="en-AU"/>
              </w:rPr>
              <w:t>2016</w:t>
            </w:r>
            <w:r w:rsidR="00653AB9" w:rsidRPr="00AB668E">
              <w:rPr>
                <w:lang w:eastAsia="en-AU"/>
              </w:rPr>
              <w:t>–</w:t>
            </w:r>
            <w:r w:rsidRPr="00AB668E">
              <w:rPr>
                <w:lang w:eastAsia="en-AU"/>
              </w:rPr>
              <w:t>17</w:t>
            </w:r>
          </w:p>
        </w:tc>
        <w:tc>
          <w:tcPr>
            <w:tcW w:w="1018" w:type="dxa"/>
            <w:shd w:val="clear" w:color="000000" w:fill="92D050"/>
            <w:vAlign w:val="center"/>
            <w:hideMark/>
          </w:tcPr>
          <w:p w14:paraId="71180732" w14:textId="10FBFC44" w:rsidR="00535DF2" w:rsidRPr="00AB668E" w:rsidRDefault="00535DF2" w:rsidP="00F51716">
            <w:pPr>
              <w:rPr>
                <w:lang w:eastAsia="en-AU"/>
              </w:rPr>
            </w:pPr>
            <w:r w:rsidRPr="00AB668E">
              <w:rPr>
                <w:lang w:eastAsia="en-AU"/>
              </w:rPr>
              <w:t>2017</w:t>
            </w:r>
            <w:r w:rsidR="00653AB9" w:rsidRPr="00AB668E">
              <w:rPr>
                <w:lang w:eastAsia="en-AU"/>
              </w:rPr>
              <w:t>–</w:t>
            </w:r>
            <w:r w:rsidRPr="00AB668E">
              <w:rPr>
                <w:lang w:eastAsia="en-AU"/>
              </w:rPr>
              <w:t>18</w:t>
            </w:r>
          </w:p>
        </w:tc>
        <w:tc>
          <w:tcPr>
            <w:tcW w:w="1018" w:type="dxa"/>
            <w:shd w:val="clear" w:color="000000" w:fill="92D050"/>
            <w:vAlign w:val="center"/>
            <w:hideMark/>
          </w:tcPr>
          <w:p w14:paraId="41D90BC4" w14:textId="2E097F77" w:rsidR="00535DF2" w:rsidRPr="00AB668E" w:rsidRDefault="00535DF2" w:rsidP="00F51716">
            <w:pPr>
              <w:rPr>
                <w:lang w:eastAsia="en-AU"/>
              </w:rPr>
            </w:pPr>
            <w:r w:rsidRPr="00AB668E">
              <w:rPr>
                <w:lang w:eastAsia="en-AU"/>
              </w:rPr>
              <w:t>2018</w:t>
            </w:r>
            <w:r w:rsidR="00653AB9" w:rsidRPr="00AB668E">
              <w:rPr>
                <w:lang w:eastAsia="en-AU"/>
              </w:rPr>
              <w:t>–</w:t>
            </w:r>
            <w:r w:rsidRPr="00AB668E">
              <w:rPr>
                <w:lang w:eastAsia="en-AU"/>
              </w:rPr>
              <w:t>19</w:t>
            </w:r>
          </w:p>
        </w:tc>
        <w:tc>
          <w:tcPr>
            <w:tcW w:w="1018" w:type="dxa"/>
            <w:shd w:val="clear" w:color="auto" w:fill="92D050"/>
            <w:vAlign w:val="center"/>
            <w:hideMark/>
          </w:tcPr>
          <w:p w14:paraId="3EA528C2" w14:textId="6E26EACB" w:rsidR="00535DF2" w:rsidRPr="00AB668E" w:rsidRDefault="00535DF2" w:rsidP="00F51716">
            <w:pPr>
              <w:rPr>
                <w:lang w:eastAsia="en-AU"/>
              </w:rPr>
            </w:pPr>
            <w:r w:rsidRPr="00AB668E">
              <w:rPr>
                <w:lang w:eastAsia="en-AU"/>
              </w:rPr>
              <w:t>2019</w:t>
            </w:r>
            <w:r w:rsidR="00653AB9" w:rsidRPr="00AB668E">
              <w:rPr>
                <w:lang w:eastAsia="en-AU"/>
              </w:rPr>
              <w:t>–</w:t>
            </w:r>
            <w:r w:rsidRPr="00AB668E">
              <w:rPr>
                <w:lang w:eastAsia="en-AU"/>
              </w:rPr>
              <w:t>20</w:t>
            </w:r>
          </w:p>
        </w:tc>
      </w:tr>
      <w:tr w:rsidR="00535DF2" w:rsidRPr="00535DF2" w14:paraId="4B9121CB" w14:textId="77777777" w:rsidTr="003F15CC">
        <w:trPr>
          <w:trHeight w:val="213"/>
        </w:trPr>
        <w:tc>
          <w:tcPr>
            <w:tcW w:w="1651" w:type="dxa"/>
            <w:vMerge w:val="restart"/>
            <w:shd w:val="clear" w:color="auto" w:fill="auto"/>
            <w:vAlign w:val="center"/>
            <w:hideMark/>
          </w:tcPr>
          <w:p w14:paraId="27064AD1" w14:textId="77777777" w:rsidR="00535DF2" w:rsidRPr="00535DF2" w:rsidRDefault="00535DF2" w:rsidP="00F51716">
            <w:pPr>
              <w:pStyle w:val="Tabletext0"/>
            </w:pPr>
            <w:r w:rsidRPr="00535DF2">
              <w:t>Energy</w:t>
            </w:r>
            <w:r w:rsidRPr="00535DF2">
              <w:rPr>
                <w:vertAlign w:val="superscript"/>
              </w:rPr>
              <w:t xml:space="preserve"> </w:t>
            </w:r>
          </w:p>
        </w:tc>
        <w:tc>
          <w:tcPr>
            <w:tcW w:w="1746" w:type="dxa"/>
            <w:shd w:val="clear" w:color="auto" w:fill="auto"/>
            <w:vAlign w:val="center"/>
            <w:hideMark/>
          </w:tcPr>
          <w:p w14:paraId="37710274" w14:textId="6B194089" w:rsidR="00535DF2" w:rsidRPr="00535DF2" w:rsidRDefault="00535DF2" w:rsidP="00F51716">
            <w:pPr>
              <w:pStyle w:val="Tabletext0"/>
            </w:pPr>
            <w:r w:rsidRPr="00535DF2">
              <w:t>Office tenant light and power</w:t>
            </w:r>
            <w:r w:rsidR="00730D2B">
              <w:t xml:space="preserve"> (OTLP)</w:t>
            </w:r>
            <w:r w:rsidRPr="00535DF2">
              <w:t xml:space="preserve"> use per THC</w:t>
            </w:r>
            <w:r w:rsidRPr="00535DF2">
              <w:rPr>
                <w:vertAlign w:val="superscript"/>
              </w:rPr>
              <w:t>2</w:t>
            </w:r>
          </w:p>
        </w:tc>
        <w:tc>
          <w:tcPr>
            <w:tcW w:w="1239" w:type="dxa"/>
            <w:shd w:val="clear" w:color="auto" w:fill="auto"/>
            <w:vAlign w:val="center"/>
            <w:hideMark/>
          </w:tcPr>
          <w:p w14:paraId="0577DD68" w14:textId="77777777" w:rsidR="00535DF2" w:rsidRPr="00535DF2" w:rsidRDefault="00535DF2" w:rsidP="00F51716">
            <w:pPr>
              <w:pStyle w:val="Tabletext0"/>
            </w:pPr>
            <w:r w:rsidRPr="00535DF2">
              <w:t>Megajoules per THC</w:t>
            </w:r>
          </w:p>
        </w:tc>
        <w:tc>
          <w:tcPr>
            <w:tcW w:w="1018" w:type="dxa"/>
            <w:shd w:val="clear" w:color="auto" w:fill="auto"/>
            <w:noWrap/>
            <w:vAlign w:val="center"/>
            <w:hideMark/>
          </w:tcPr>
          <w:p w14:paraId="71CB5EFE" w14:textId="77777777" w:rsidR="00535DF2" w:rsidRPr="00535DF2" w:rsidRDefault="00535DF2" w:rsidP="00F51716">
            <w:pPr>
              <w:pStyle w:val="tableright"/>
            </w:pPr>
            <w:r w:rsidRPr="00535DF2">
              <w:t>3746</w:t>
            </w:r>
          </w:p>
        </w:tc>
        <w:tc>
          <w:tcPr>
            <w:tcW w:w="1018" w:type="dxa"/>
            <w:shd w:val="clear" w:color="auto" w:fill="auto"/>
            <w:noWrap/>
            <w:vAlign w:val="center"/>
            <w:hideMark/>
          </w:tcPr>
          <w:p w14:paraId="22082C96" w14:textId="77777777" w:rsidR="00535DF2" w:rsidRPr="00535DF2" w:rsidRDefault="00535DF2" w:rsidP="00F51716">
            <w:pPr>
              <w:pStyle w:val="tableright"/>
            </w:pPr>
            <w:r w:rsidRPr="00535DF2">
              <w:t>3426</w:t>
            </w:r>
          </w:p>
        </w:tc>
        <w:tc>
          <w:tcPr>
            <w:tcW w:w="1018" w:type="dxa"/>
            <w:shd w:val="clear" w:color="auto" w:fill="auto"/>
            <w:noWrap/>
            <w:vAlign w:val="center"/>
            <w:hideMark/>
          </w:tcPr>
          <w:p w14:paraId="2EA34924" w14:textId="77777777" w:rsidR="00535DF2" w:rsidRPr="00535DF2" w:rsidRDefault="00535DF2" w:rsidP="00F51716">
            <w:pPr>
              <w:pStyle w:val="tableright"/>
            </w:pPr>
            <w:r w:rsidRPr="00535DF2">
              <w:t>3533</w:t>
            </w:r>
          </w:p>
        </w:tc>
        <w:tc>
          <w:tcPr>
            <w:tcW w:w="1018" w:type="dxa"/>
            <w:shd w:val="clear" w:color="auto" w:fill="auto"/>
            <w:noWrap/>
            <w:vAlign w:val="center"/>
            <w:hideMark/>
          </w:tcPr>
          <w:p w14:paraId="4939AAF7" w14:textId="77777777" w:rsidR="00535DF2" w:rsidRPr="00535DF2" w:rsidRDefault="00535DF2" w:rsidP="00F51716">
            <w:pPr>
              <w:pStyle w:val="tableright"/>
            </w:pPr>
            <w:r w:rsidRPr="00535DF2">
              <w:t>3218</w:t>
            </w:r>
          </w:p>
        </w:tc>
        <w:tc>
          <w:tcPr>
            <w:tcW w:w="1018" w:type="dxa"/>
            <w:shd w:val="clear" w:color="auto" w:fill="auto"/>
            <w:noWrap/>
            <w:vAlign w:val="center"/>
            <w:hideMark/>
          </w:tcPr>
          <w:p w14:paraId="4460AB1C" w14:textId="1160D208" w:rsidR="00535DF2" w:rsidRPr="00535DF2" w:rsidRDefault="00CB502B" w:rsidP="00F51716">
            <w:pPr>
              <w:pStyle w:val="tableright"/>
              <w:rPr>
                <w:rFonts w:eastAsia="Times New Roman"/>
              </w:rPr>
            </w:pPr>
            <w:r>
              <w:t>2671</w:t>
            </w:r>
          </w:p>
        </w:tc>
      </w:tr>
      <w:tr w:rsidR="00535DF2" w:rsidRPr="00535DF2" w14:paraId="347ABCA5" w14:textId="77777777" w:rsidTr="003F15CC">
        <w:trPr>
          <w:trHeight w:val="213"/>
        </w:trPr>
        <w:tc>
          <w:tcPr>
            <w:tcW w:w="1651" w:type="dxa"/>
            <w:vMerge/>
            <w:vAlign w:val="center"/>
            <w:hideMark/>
          </w:tcPr>
          <w:p w14:paraId="19CA53AC" w14:textId="77777777" w:rsidR="00535DF2" w:rsidRPr="00535DF2" w:rsidRDefault="00535DF2" w:rsidP="00F51716">
            <w:pPr>
              <w:pStyle w:val="Tabletext0"/>
            </w:pPr>
          </w:p>
        </w:tc>
        <w:tc>
          <w:tcPr>
            <w:tcW w:w="1746" w:type="dxa"/>
            <w:shd w:val="clear" w:color="auto" w:fill="auto"/>
            <w:vAlign w:val="center"/>
            <w:hideMark/>
          </w:tcPr>
          <w:p w14:paraId="01F8A8AF" w14:textId="5A516363" w:rsidR="00535DF2" w:rsidRPr="00535DF2" w:rsidRDefault="00730D2B" w:rsidP="00F51716">
            <w:pPr>
              <w:pStyle w:val="Tabletext0"/>
            </w:pPr>
            <w:r>
              <w:t>OTLP</w:t>
            </w:r>
            <w:r w:rsidR="00535DF2" w:rsidRPr="00535DF2">
              <w:t xml:space="preserve"> use per FTE</w:t>
            </w:r>
            <w:r w:rsidR="00535DF2" w:rsidRPr="00535DF2">
              <w:rPr>
                <w:vertAlign w:val="superscript"/>
              </w:rPr>
              <w:t>3</w:t>
            </w:r>
          </w:p>
        </w:tc>
        <w:tc>
          <w:tcPr>
            <w:tcW w:w="1239" w:type="dxa"/>
            <w:shd w:val="clear" w:color="auto" w:fill="auto"/>
            <w:vAlign w:val="center"/>
            <w:hideMark/>
          </w:tcPr>
          <w:p w14:paraId="3B6BE1B8" w14:textId="77777777" w:rsidR="00535DF2" w:rsidRPr="00535DF2" w:rsidRDefault="00535DF2" w:rsidP="00F51716">
            <w:pPr>
              <w:pStyle w:val="Tabletext0"/>
            </w:pPr>
            <w:r w:rsidRPr="00535DF2">
              <w:t>Megajoules per FTE</w:t>
            </w:r>
          </w:p>
        </w:tc>
        <w:tc>
          <w:tcPr>
            <w:tcW w:w="1018" w:type="dxa"/>
            <w:shd w:val="clear" w:color="auto" w:fill="auto"/>
            <w:noWrap/>
            <w:vAlign w:val="bottom"/>
            <w:hideMark/>
          </w:tcPr>
          <w:p w14:paraId="1CFBD0D7" w14:textId="77777777" w:rsidR="00535DF2" w:rsidRPr="00535DF2" w:rsidRDefault="00535DF2" w:rsidP="00F51716">
            <w:pPr>
              <w:pStyle w:val="tableright"/>
            </w:pPr>
            <w:r w:rsidRPr="00535DF2">
              <w:t>4074</w:t>
            </w:r>
          </w:p>
        </w:tc>
        <w:tc>
          <w:tcPr>
            <w:tcW w:w="1018" w:type="dxa"/>
            <w:shd w:val="clear" w:color="auto" w:fill="auto"/>
            <w:noWrap/>
            <w:vAlign w:val="bottom"/>
            <w:hideMark/>
          </w:tcPr>
          <w:p w14:paraId="0387888C" w14:textId="77777777" w:rsidR="00535DF2" w:rsidRPr="00535DF2" w:rsidRDefault="00535DF2" w:rsidP="00F51716">
            <w:pPr>
              <w:pStyle w:val="tableright"/>
            </w:pPr>
            <w:r w:rsidRPr="00535DF2">
              <w:t>3642</w:t>
            </w:r>
          </w:p>
        </w:tc>
        <w:tc>
          <w:tcPr>
            <w:tcW w:w="1018" w:type="dxa"/>
            <w:shd w:val="clear" w:color="auto" w:fill="auto"/>
            <w:noWrap/>
            <w:vAlign w:val="bottom"/>
            <w:hideMark/>
          </w:tcPr>
          <w:p w14:paraId="018E1E6E" w14:textId="77777777" w:rsidR="00535DF2" w:rsidRPr="00535DF2" w:rsidRDefault="00535DF2" w:rsidP="00F51716">
            <w:pPr>
              <w:pStyle w:val="tableright"/>
            </w:pPr>
            <w:r w:rsidRPr="00535DF2">
              <w:t>3902</w:t>
            </w:r>
          </w:p>
        </w:tc>
        <w:tc>
          <w:tcPr>
            <w:tcW w:w="1018" w:type="dxa"/>
            <w:shd w:val="clear" w:color="auto" w:fill="auto"/>
            <w:noWrap/>
            <w:vAlign w:val="bottom"/>
            <w:hideMark/>
          </w:tcPr>
          <w:p w14:paraId="443224F2" w14:textId="77777777" w:rsidR="00535DF2" w:rsidRPr="00535DF2" w:rsidRDefault="00535DF2" w:rsidP="00F51716">
            <w:pPr>
              <w:pStyle w:val="tableright"/>
            </w:pPr>
            <w:r w:rsidRPr="00535DF2">
              <w:t>3842</w:t>
            </w:r>
          </w:p>
        </w:tc>
        <w:tc>
          <w:tcPr>
            <w:tcW w:w="1018" w:type="dxa"/>
            <w:shd w:val="clear" w:color="auto" w:fill="auto"/>
            <w:noWrap/>
            <w:vAlign w:val="bottom"/>
            <w:hideMark/>
          </w:tcPr>
          <w:p w14:paraId="52C04097" w14:textId="3C475222" w:rsidR="00535DF2" w:rsidRPr="00535DF2" w:rsidRDefault="00CB502B" w:rsidP="00F51716">
            <w:pPr>
              <w:pStyle w:val="tableright"/>
              <w:rPr>
                <w:rFonts w:eastAsia="Times New Roman"/>
              </w:rPr>
            </w:pPr>
            <w:r>
              <w:t>3040</w:t>
            </w:r>
          </w:p>
        </w:tc>
      </w:tr>
      <w:tr w:rsidR="00535DF2" w:rsidRPr="00535DF2" w14:paraId="3321FF92" w14:textId="77777777" w:rsidTr="003F15CC">
        <w:trPr>
          <w:trHeight w:val="213"/>
        </w:trPr>
        <w:tc>
          <w:tcPr>
            <w:tcW w:w="1651" w:type="dxa"/>
            <w:vMerge/>
            <w:vAlign w:val="center"/>
            <w:hideMark/>
          </w:tcPr>
          <w:p w14:paraId="63A3CCF9" w14:textId="77777777" w:rsidR="00535DF2" w:rsidRPr="00535DF2" w:rsidRDefault="00535DF2" w:rsidP="00F51716">
            <w:pPr>
              <w:pStyle w:val="Tabletext0"/>
            </w:pPr>
          </w:p>
        </w:tc>
        <w:tc>
          <w:tcPr>
            <w:tcW w:w="1746" w:type="dxa"/>
            <w:shd w:val="clear" w:color="auto" w:fill="auto"/>
            <w:vAlign w:val="center"/>
            <w:hideMark/>
          </w:tcPr>
          <w:p w14:paraId="1DFB4DCB" w14:textId="114632EE" w:rsidR="00535DF2" w:rsidRPr="00535DF2" w:rsidRDefault="00535DF2" w:rsidP="00F51716">
            <w:pPr>
              <w:pStyle w:val="Tabletext0"/>
            </w:pPr>
            <w:r w:rsidRPr="00535DF2">
              <w:t xml:space="preserve">Total Electricity use OTLP </w:t>
            </w:r>
          </w:p>
        </w:tc>
        <w:tc>
          <w:tcPr>
            <w:tcW w:w="1239" w:type="dxa"/>
            <w:shd w:val="clear" w:color="auto" w:fill="auto"/>
            <w:vAlign w:val="center"/>
            <w:hideMark/>
          </w:tcPr>
          <w:p w14:paraId="4CE41659" w14:textId="77777777" w:rsidR="00535DF2" w:rsidRPr="00535DF2" w:rsidRDefault="00535DF2" w:rsidP="00F51716">
            <w:pPr>
              <w:pStyle w:val="Tabletext0"/>
            </w:pPr>
            <w:r w:rsidRPr="00535DF2">
              <w:t>Megajoules</w:t>
            </w:r>
          </w:p>
        </w:tc>
        <w:tc>
          <w:tcPr>
            <w:tcW w:w="1018" w:type="dxa"/>
            <w:shd w:val="clear" w:color="auto" w:fill="auto"/>
            <w:noWrap/>
            <w:vAlign w:val="bottom"/>
            <w:hideMark/>
          </w:tcPr>
          <w:p w14:paraId="5A1567A5" w14:textId="77777777" w:rsidR="00535DF2" w:rsidRPr="00535DF2" w:rsidRDefault="00535DF2" w:rsidP="00F51716">
            <w:pPr>
              <w:pStyle w:val="tableright"/>
            </w:pPr>
            <w:r w:rsidRPr="00535DF2">
              <w:t>445,738</w:t>
            </w:r>
          </w:p>
        </w:tc>
        <w:tc>
          <w:tcPr>
            <w:tcW w:w="1018" w:type="dxa"/>
            <w:shd w:val="clear" w:color="auto" w:fill="auto"/>
            <w:noWrap/>
            <w:vAlign w:val="bottom"/>
            <w:hideMark/>
          </w:tcPr>
          <w:p w14:paraId="0235FC03" w14:textId="77777777" w:rsidR="00535DF2" w:rsidRPr="00535DF2" w:rsidRDefault="00535DF2" w:rsidP="00F51716">
            <w:pPr>
              <w:pStyle w:val="tableright"/>
            </w:pPr>
            <w:r w:rsidRPr="00535DF2">
              <w:t>430,539</w:t>
            </w:r>
          </w:p>
        </w:tc>
        <w:tc>
          <w:tcPr>
            <w:tcW w:w="1018" w:type="dxa"/>
            <w:shd w:val="clear" w:color="auto" w:fill="auto"/>
            <w:noWrap/>
            <w:vAlign w:val="bottom"/>
            <w:hideMark/>
          </w:tcPr>
          <w:p w14:paraId="6C11B51C" w14:textId="77777777" w:rsidR="00535DF2" w:rsidRPr="00535DF2" w:rsidRDefault="00535DF2" w:rsidP="00F51716">
            <w:pPr>
              <w:pStyle w:val="tableright"/>
            </w:pPr>
            <w:r w:rsidRPr="00535DF2">
              <w:t>438,153</w:t>
            </w:r>
          </w:p>
        </w:tc>
        <w:tc>
          <w:tcPr>
            <w:tcW w:w="1018" w:type="dxa"/>
            <w:shd w:val="clear" w:color="auto" w:fill="auto"/>
            <w:noWrap/>
            <w:vAlign w:val="bottom"/>
            <w:hideMark/>
          </w:tcPr>
          <w:p w14:paraId="7E5DF1F3" w14:textId="77777777" w:rsidR="00535DF2" w:rsidRPr="00535DF2" w:rsidRDefault="00535DF2" w:rsidP="00F51716">
            <w:pPr>
              <w:pStyle w:val="tableright"/>
            </w:pPr>
            <w:r w:rsidRPr="00535DF2">
              <w:t>479,540</w:t>
            </w:r>
          </w:p>
        </w:tc>
        <w:tc>
          <w:tcPr>
            <w:tcW w:w="1018" w:type="dxa"/>
            <w:shd w:val="clear" w:color="auto" w:fill="auto"/>
            <w:noWrap/>
            <w:vAlign w:val="bottom"/>
            <w:hideMark/>
          </w:tcPr>
          <w:p w14:paraId="7517F514" w14:textId="026F2F13" w:rsidR="00535DF2" w:rsidRPr="00535DF2" w:rsidRDefault="00CB502B" w:rsidP="00F51716">
            <w:pPr>
              <w:pStyle w:val="tableright"/>
              <w:rPr>
                <w:rFonts w:eastAsia="Times New Roman"/>
              </w:rPr>
            </w:pPr>
            <w:r>
              <w:t>395,246</w:t>
            </w:r>
          </w:p>
        </w:tc>
      </w:tr>
      <w:tr w:rsidR="00535DF2" w:rsidRPr="00535DF2" w14:paraId="39A6D5E5" w14:textId="77777777" w:rsidTr="003F15CC">
        <w:trPr>
          <w:trHeight w:val="213"/>
        </w:trPr>
        <w:tc>
          <w:tcPr>
            <w:tcW w:w="1651" w:type="dxa"/>
            <w:vMerge/>
            <w:vAlign w:val="center"/>
            <w:hideMark/>
          </w:tcPr>
          <w:p w14:paraId="3A564EE5" w14:textId="77777777" w:rsidR="00535DF2" w:rsidRPr="00535DF2" w:rsidRDefault="00535DF2" w:rsidP="00F51716">
            <w:pPr>
              <w:pStyle w:val="Tabletext0"/>
            </w:pPr>
          </w:p>
        </w:tc>
        <w:tc>
          <w:tcPr>
            <w:tcW w:w="1746" w:type="dxa"/>
            <w:shd w:val="clear" w:color="auto" w:fill="auto"/>
            <w:vAlign w:val="center"/>
            <w:hideMark/>
          </w:tcPr>
          <w:p w14:paraId="1C1D6C47" w14:textId="77777777" w:rsidR="00535DF2" w:rsidRPr="00535DF2" w:rsidRDefault="00535DF2" w:rsidP="00F51716">
            <w:pPr>
              <w:pStyle w:val="Tabletext0"/>
            </w:pPr>
            <w:r w:rsidRPr="00535DF2">
              <w:t>Use per square metre of office space</w:t>
            </w:r>
          </w:p>
        </w:tc>
        <w:tc>
          <w:tcPr>
            <w:tcW w:w="1239" w:type="dxa"/>
            <w:shd w:val="clear" w:color="auto" w:fill="auto"/>
            <w:vAlign w:val="center"/>
            <w:hideMark/>
          </w:tcPr>
          <w:p w14:paraId="2FCFA567" w14:textId="77777777" w:rsidR="00535DF2" w:rsidRPr="00535DF2" w:rsidRDefault="00535DF2" w:rsidP="00F51716">
            <w:pPr>
              <w:pStyle w:val="Tabletext0"/>
            </w:pPr>
            <w:r w:rsidRPr="00535DF2">
              <w:t>Megajoules per m</w:t>
            </w:r>
            <w:r w:rsidRPr="00535DF2">
              <w:rPr>
                <w:vertAlign w:val="superscript"/>
              </w:rPr>
              <w:t>2</w:t>
            </w:r>
          </w:p>
        </w:tc>
        <w:tc>
          <w:tcPr>
            <w:tcW w:w="1018" w:type="dxa"/>
            <w:shd w:val="clear" w:color="auto" w:fill="auto"/>
            <w:noWrap/>
            <w:vAlign w:val="center"/>
            <w:hideMark/>
          </w:tcPr>
          <w:p w14:paraId="2C4BD505" w14:textId="77777777" w:rsidR="00535DF2" w:rsidRPr="00535DF2" w:rsidRDefault="00535DF2" w:rsidP="00F51716">
            <w:pPr>
              <w:pStyle w:val="tableright"/>
            </w:pPr>
            <w:r w:rsidRPr="00535DF2">
              <w:t>228</w:t>
            </w:r>
          </w:p>
        </w:tc>
        <w:tc>
          <w:tcPr>
            <w:tcW w:w="1018" w:type="dxa"/>
            <w:shd w:val="clear" w:color="auto" w:fill="auto"/>
            <w:noWrap/>
            <w:vAlign w:val="center"/>
            <w:hideMark/>
          </w:tcPr>
          <w:p w14:paraId="7437E453" w14:textId="77777777" w:rsidR="00535DF2" w:rsidRPr="00535DF2" w:rsidRDefault="00535DF2" w:rsidP="00F51716">
            <w:pPr>
              <w:pStyle w:val="tableright"/>
            </w:pPr>
            <w:r w:rsidRPr="00535DF2">
              <w:t>221</w:t>
            </w:r>
          </w:p>
        </w:tc>
        <w:tc>
          <w:tcPr>
            <w:tcW w:w="1018" w:type="dxa"/>
            <w:shd w:val="clear" w:color="auto" w:fill="auto"/>
            <w:noWrap/>
            <w:vAlign w:val="center"/>
            <w:hideMark/>
          </w:tcPr>
          <w:p w14:paraId="1F3F373F" w14:textId="77777777" w:rsidR="00535DF2" w:rsidRPr="00535DF2" w:rsidRDefault="00535DF2" w:rsidP="00F51716">
            <w:pPr>
              <w:pStyle w:val="tableright"/>
            </w:pPr>
            <w:r w:rsidRPr="00535DF2">
              <w:t>225</w:t>
            </w:r>
          </w:p>
        </w:tc>
        <w:tc>
          <w:tcPr>
            <w:tcW w:w="1018" w:type="dxa"/>
            <w:shd w:val="clear" w:color="auto" w:fill="auto"/>
            <w:noWrap/>
            <w:vAlign w:val="center"/>
            <w:hideMark/>
          </w:tcPr>
          <w:p w14:paraId="57371F5D" w14:textId="77777777" w:rsidR="00535DF2" w:rsidRPr="00535DF2" w:rsidRDefault="00535DF2" w:rsidP="00F51716">
            <w:pPr>
              <w:pStyle w:val="tableright"/>
            </w:pPr>
            <w:r w:rsidRPr="00535DF2">
              <w:t>246</w:t>
            </w:r>
          </w:p>
        </w:tc>
        <w:tc>
          <w:tcPr>
            <w:tcW w:w="1018" w:type="dxa"/>
            <w:shd w:val="clear" w:color="auto" w:fill="auto"/>
            <w:noWrap/>
            <w:vAlign w:val="center"/>
            <w:hideMark/>
          </w:tcPr>
          <w:p w14:paraId="78BB0474" w14:textId="505EBC9C" w:rsidR="00535DF2" w:rsidRPr="00535DF2" w:rsidRDefault="00CB502B" w:rsidP="00F51716">
            <w:pPr>
              <w:pStyle w:val="tableright"/>
              <w:rPr>
                <w:rFonts w:eastAsia="Times New Roman"/>
              </w:rPr>
            </w:pPr>
            <w:r>
              <w:t>203</w:t>
            </w:r>
          </w:p>
        </w:tc>
      </w:tr>
      <w:tr w:rsidR="00535DF2" w:rsidRPr="00535DF2" w14:paraId="5276477B" w14:textId="77777777" w:rsidTr="003F15CC">
        <w:trPr>
          <w:trHeight w:val="213"/>
        </w:trPr>
        <w:tc>
          <w:tcPr>
            <w:tcW w:w="1651" w:type="dxa"/>
            <w:vMerge/>
            <w:vAlign w:val="center"/>
            <w:hideMark/>
          </w:tcPr>
          <w:p w14:paraId="5068807E" w14:textId="77777777" w:rsidR="00535DF2" w:rsidRPr="00535DF2" w:rsidRDefault="00535DF2" w:rsidP="00F51716">
            <w:pPr>
              <w:pStyle w:val="Tabletext0"/>
            </w:pPr>
          </w:p>
        </w:tc>
        <w:tc>
          <w:tcPr>
            <w:tcW w:w="1746" w:type="dxa"/>
            <w:shd w:val="clear" w:color="auto" w:fill="auto"/>
            <w:vAlign w:val="center"/>
            <w:hideMark/>
          </w:tcPr>
          <w:p w14:paraId="5416347E" w14:textId="77777777" w:rsidR="00535DF2" w:rsidRPr="00535DF2" w:rsidRDefault="00535DF2" w:rsidP="00F51716">
            <w:pPr>
              <w:pStyle w:val="Tabletext0"/>
            </w:pPr>
            <w:r w:rsidRPr="00535DF2">
              <w:t>Total Green Power</w:t>
            </w:r>
          </w:p>
        </w:tc>
        <w:tc>
          <w:tcPr>
            <w:tcW w:w="1239" w:type="dxa"/>
            <w:shd w:val="clear" w:color="auto" w:fill="auto"/>
            <w:vAlign w:val="center"/>
            <w:hideMark/>
          </w:tcPr>
          <w:p w14:paraId="72E8B3FD" w14:textId="1A0C805C" w:rsidR="00535DF2" w:rsidRPr="00535DF2" w:rsidRDefault="00653AB9" w:rsidP="00F51716">
            <w:pPr>
              <w:pStyle w:val="Tabletext0"/>
            </w:pPr>
            <w:r>
              <w:t>Per cent</w:t>
            </w:r>
          </w:p>
        </w:tc>
        <w:tc>
          <w:tcPr>
            <w:tcW w:w="1018" w:type="dxa"/>
            <w:shd w:val="clear" w:color="auto" w:fill="auto"/>
            <w:noWrap/>
            <w:vAlign w:val="center"/>
            <w:hideMark/>
          </w:tcPr>
          <w:p w14:paraId="3CECF890" w14:textId="77777777" w:rsidR="00535DF2" w:rsidRPr="00535DF2" w:rsidRDefault="00535DF2" w:rsidP="00F51716">
            <w:pPr>
              <w:pStyle w:val="tableright"/>
            </w:pPr>
            <w:r w:rsidRPr="00535DF2">
              <w:t>100%</w:t>
            </w:r>
          </w:p>
        </w:tc>
        <w:tc>
          <w:tcPr>
            <w:tcW w:w="1018" w:type="dxa"/>
            <w:shd w:val="clear" w:color="auto" w:fill="auto"/>
            <w:noWrap/>
            <w:vAlign w:val="center"/>
            <w:hideMark/>
          </w:tcPr>
          <w:p w14:paraId="6A087105" w14:textId="77777777" w:rsidR="00535DF2" w:rsidRPr="00535DF2" w:rsidRDefault="00535DF2" w:rsidP="00F51716">
            <w:pPr>
              <w:pStyle w:val="tableright"/>
            </w:pPr>
            <w:r w:rsidRPr="00535DF2">
              <w:t>100%</w:t>
            </w:r>
          </w:p>
        </w:tc>
        <w:tc>
          <w:tcPr>
            <w:tcW w:w="1018" w:type="dxa"/>
            <w:shd w:val="clear" w:color="auto" w:fill="auto"/>
            <w:noWrap/>
            <w:vAlign w:val="center"/>
            <w:hideMark/>
          </w:tcPr>
          <w:p w14:paraId="60E4BC4F" w14:textId="77777777" w:rsidR="00535DF2" w:rsidRPr="00535DF2" w:rsidRDefault="00535DF2" w:rsidP="00F51716">
            <w:pPr>
              <w:pStyle w:val="tableright"/>
            </w:pPr>
            <w:r w:rsidRPr="00535DF2">
              <w:t>100%</w:t>
            </w:r>
          </w:p>
        </w:tc>
        <w:tc>
          <w:tcPr>
            <w:tcW w:w="1018" w:type="dxa"/>
            <w:shd w:val="clear" w:color="auto" w:fill="auto"/>
            <w:noWrap/>
            <w:vAlign w:val="center"/>
            <w:hideMark/>
          </w:tcPr>
          <w:p w14:paraId="42190754" w14:textId="77777777" w:rsidR="00535DF2" w:rsidRPr="00535DF2" w:rsidRDefault="00535DF2" w:rsidP="00F51716">
            <w:pPr>
              <w:pStyle w:val="tableright"/>
            </w:pPr>
            <w:r w:rsidRPr="00535DF2">
              <w:t>100%</w:t>
            </w:r>
          </w:p>
        </w:tc>
        <w:tc>
          <w:tcPr>
            <w:tcW w:w="1018" w:type="dxa"/>
            <w:shd w:val="clear" w:color="auto" w:fill="auto"/>
            <w:noWrap/>
            <w:vAlign w:val="center"/>
            <w:hideMark/>
          </w:tcPr>
          <w:p w14:paraId="553AF92E" w14:textId="77777777" w:rsidR="00535DF2" w:rsidRPr="00535DF2" w:rsidRDefault="00535DF2" w:rsidP="00F51716">
            <w:pPr>
              <w:pStyle w:val="tableright"/>
            </w:pPr>
            <w:r w:rsidRPr="00535DF2">
              <w:t>100%</w:t>
            </w:r>
          </w:p>
        </w:tc>
      </w:tr>
      <w:tr w:rsidR="00535DF2" w:rsidRPr="00535DF2" w14:paraId="3FB45604" w14:textId="77777777" w:rsidTr="003F15CC">
        <w:trPr>
          <w:trHeight w:val="213"/>
        </w:trPr>
        <w:tc>
          <w:tcPr>
            <w:tcW w:w="1651" w:type="dxa"/>
            <w:vMerge/>
            <w:vAlign w:val="center"/>
            <w:hideMark/>
          </w:tcPr>
          <w:p w14:paraId="1EA1177F" w14:textId="77777777" w:rsidR="00535DF2" w:rsidRPr="00535DF2" w:rsidRDefault="00535DF2" w:rsidP="00F51716">
            <w:pPr>
              <w:pStyle w:val="Tabletext0"/>
            </w:pPr>
          </w:p>
        </w:tc>
        <w:tc>
          <w:tcPr>
            <w:tcW w:w="1746" w:type="dxa"/>
            <w:shd w:val="clear" w:color="000000" w:fill="FFFFFF"/>
            <w:vAlign w:val="center"/>
            <w:hideMark/>
          </w:tcPr>
          <w:p w14:paraId="250F2680" w14:textId="77777777" w:rsidR="00535DF2" w:rsidRPr="00535DF2" w:rsidRDefault="00535DF2" w:rsidP="00F51716">
            <w:pPr>
              <w:pStyle w:val="Tabletext0"/>
            </w:pPr>
            <w:r w:rsidRPr="00535DF2">
              <w:t>Base building apportioned electricity use</w:t>
            </w:r>
          </w:p>
        </w:tc>
        <w:tc>
          <w:tcPr>
            <w:tcW w:w="1239" w:type="dxa"/>
            <w:shd w:val="clear" w:color="000000" w:fill="FFFFFF"/>
            <w:vAlign w:val="center"/>
            <w:hideMark/>
          </w:tcPr>
          <w:p w14:paraId="5144BB4A" w14:textId="77777777" w:rsidR="00535DF2" w:rsidRPr="00535DF2" w:rsidRDefault="00535DF2" w:rsidP="00F51716">
            <w:pPr>
              <w:pStyle w:val="Tabletext0"/>
            </w:pPr>
            <w:r w:rsidRPr="00535DF2">
              <w:t>Megajoules</w:t>
            </w:r>
          </w:p>
        </w:tc>
        <w:tc>
          <w:tcPr>
            <w:tcW w:w="1018" w:type="dxa"/>
            <w:shd w:val="clear" w:color="auto" w:fill="auto"/>
            <w:noWrap/>
            <w:vAlign w:val="center"/>
            <w:hideMark/>
          </w:tcPr>
          <w:p w14:paraId="4B114A1A" w14:textId="77777777" w:rsidR="00535DF2" w:rsidRPr="00535DF2" w:rsidRDefault="00535DF2" w:rsidP="00F51716">
            <w:pPr>
              <w:pStyle w:val="tableright"/>
            </w:pPr>
            <w:r w:rsidRPr="00535DF2">
              <w:t>313,182</w:t>
            </w:r>
          </w:p>
        </w:tc>
        <w:tc>
          <w:tcPr>
            <w:tcW w:w="1018" w:type="dxa"/>
            <w:shd w:val="clear" w:color="auto" w:fill="auto"/>
            <w:noWrap/>
            <w:vAlign w:val="center"/>
            <w:hideMark/>
          </w:tcPr>
          <w:p w14:paraId="71549884" w14:textId="77777777" w:rsidR="00535DF2" w:rsidRPr="00535DF2" w:rsidRDefault="00535DF2" w:rsidP="00F51716">
            <w:pPr>
              <w:pStyle w:val="tableright"/>
            </w:pPr>
            <w:r w:rsidRPr="00535DF2">
              <w:t>312,487</w:t>
            </w:r>
          </w:p>
        </w:tc>
        <w:tc>
          <w:tcPr>
            <w:tcW w:w="1018" w:type="dxa"/>
            <w:shd w:val="clear" w:color="auto" w:fill="auto"/>
            <w:noWrap/>
            <w:vAlign w:val="center"/>
            <w:hideMark/>
          </w:tcPr>
          <w:p w14:paraId="556BEE52" w14:textId="77777777" w:rsidR="00535DF2" w:rsidRPr="00535DF2" w:rsidRDefault="00535DF2" w:rsidP="00F51716">
            <w:pPr>
              <w:pStyle w:val="tableright"/>
            </w:pPr>
            <w:r w:rsidRPr="00535DF2">
              <w:t>256,558</w:t>
            </w:r>
          </w:p>
        </w:tc>
        <w:tc>
          <w:tcPr>
            <w:tcW w:w="1018" w:type="dxa"/>
            <w:shd w:val="clear" w:color="auto" w:fill="auto"/>
            <w:noWrap/>
            <w:vAlign w:val="center"/>
            <w:hideMark/>
          </w:tcPr>
          <w:p w14:paraId="28A2AF0F" w14:textId="77777777" w:rsidR="00535DF2" w:rsidRPr="00535DF2" w:rsidRDefault="00535DF2" w:rsidP="00F51716">
            <w:pPr>
              <w:pStyle w:val="tableright"/>
            </w:pPr>
            <w:r w:rsidRPr="00535DF2">
              <w:t>225,900</w:t>
            </w:r>
          </w:p>
        </w:tc>
        <w:tc>
          <w:tcPr>
            <w:tcW w:w="1018" w:type="dxa"/>
            <w:shd w:val="clear" w:color="auto" w:fill="auto"/>
            <w:noWrap/>
            <w:vAlign w:val="center"/>
            <w:hideMark/>
          </w:tcPr>
          <w:p w14:paraId="0422A22D" w14:textId="77777777" w:rsidR="00535DF2" w:rsidRPr="00535DF2" w:rsidRDefault="00535DF2" w:rsidP="00F51716">
            <w:pPr>
              <w:pStyle w:val="tableright"/>
            </w:pPr>
            <w:r w:rsidRPr="00535DF2">
              <w:t>193,417</w:t>
            </w:r>
          </w:p>
        </w:tc>
      </w:tr>
      <w:tr w:rsidR="00535DF2" w:rsidRPr="00535DF2" w14:paraId="71DE34CF" w14:textId="77777777" w:rsidTr="003F15CC">
        <w:trPr>
          <w:trHeight w:val="213"/>
        </w:trPr>
        <w:tc>
          <w:tcPr>
            <w:tcW w:w="1651" w:type="dxa"/>
            <w:vMerge/>
            <w:vAlign w:val="center"/>
            <w:hideMark/>
          </w:tcPr>
          <w:p w14:paraId="04549DBD" w14:textId="77777777" w:rsidR="00535DF2" w:rsidRPr="00535DF2" w:rsidRDefault="00535DF2" w:rsidP="00F51716">
            <w:pPr>
              <w:pStyle w:val="Tabletext0"/>
            </w:pPr>
          </w:p>
        </w:tc>
        <w:tc>
          <w:tcPr>
            <w:tcW w:w="1746" w:type="dxa"/>
            <w:shd w:val="clear" w:color="000000" w:fill="FFFFFF"/>
            <w:vAlign w:val="center"/>
            <w:hideMark/>
          </w:tcPr>
          <w:p w14:paraId="3D341DAC" w14:textId="77777777" w:rsidR="00535DF2" w:rsidRPr="00535DF2" w:rsidRDefault="00535DF2" w:rsidP="00F51716">
            <w:pPr>
              <w:pStyle w:val="Tabletext0"/>
            </w:pPr>
            <w:r w:rsidRPr="00535DF2">
              <w:t>Base building apportioned natural gas use</w:t>
            </w:r>
            <w:r w:rsidRPr="00535DF2">
              <w:rPr>
                <w:vertAlign w:val="superscript"/>
              </w:rPr>
              <w:t>4</w:t>
            </w:r>
          </w:p>
        </w:tc>
        <w:tc>
          <w:tcPr>
            <w:tcW w:w="1239" w:type="dxa"/>
            <w:shd w:val="clear" w:color="000000" w:fill="FFFFFF"/>
            <w:vAlign w:val="center"/>
            <w:hideMark/>
          </w:tcPr>
          <w:p w14:paraId="13632A4D" w14:textId="77777777" w:rsidR="00535DF2" w:rsidRPr="00535DF2" w:rsidRDefault="00535DF2" w:rsidP="00F51716">
            <w:pPr>
              <w:pStyle w:val="Tabletext0"/>
            </w:pPr>
            <w:r w:rsidRPr="00535DF2">
              <w:t>Megajoules</w:t>
            </w:r>
          </w:p>
        </w:tc>
        <w:tc>
          <w:tcPr>
            <w:tcW w:w="1018" w:type="dxa"/>
            <w:shd w:val="clear" w:color="auto" w:fill="auto"/>
            <w:noWrap/>
            <w:vAlign w:val="center"/>
            <w:hideMark/>
          </w:tcPr>
          <w:p w14:paraId="4DAEF4DB" w14:textId="77777777" w:rsidR="00535DF2" w:rsidRPr="00535DF2" w:rsidRDefault="00535DF2" w:rsidP="00F51716">
            <w:pPr>
              <w:pStyle w:val="tableright"/>
            </w:pPr>
            <w:r w:rsidRPr="00535DF2">
              <w:t>242,643</w:t>
            </w:r>
          </w:p>
        </w:tc>
        <w:tc>
          <w:tcPr>
            <w:tcW w:w="1018" w:type="dxa"/>
            <w:shd w:val="clear" w:color="auto" w:fill="auto"/>
            <w:noWrap/>
            <w:vAlign w:val="center"/>
            <w:hideMark/>
          </w:tcPr>
          <w:p w14:paraId="4BF46042" w14:textId="77777777" w:rsidR="00535DF2" w:rsidRPr="00535DF2" w:rsidRDefault="00535DF2" w:rsidP="00F51716">
            <w:pPr>
              <w:pStyle w:val="tableright"/>
            </w:pPr>
            <w:r w:rsidRPr="00535DF2">
              <w:t>198,360</w:t>
            </w:r>
          </w:p>
        </w:tc>
        <w:tc>
          <w:tcPr>
            <w:tcW w:w="1018" w:type="dxa"/>
            <w:shd w:val="clear" w:color="auto" w:fill="auto"/>
            <w:noWrap/>
            <w:vAlign w:val="center"/>
            <w:hideMark/>
          </w:tcPr>
          <w:p w14:paraId="791D90A0" w14:textId="77777777" w:rsidR="00535DF2" w:rsidRPr="00535DF2" w:rsidRDefault="00535DF2" w:rsidP="00F51716">
            <w:pPr>
              <w:pStyle w:val="tableright"/>
            </w:pPr>
            <w:r w:rsidRPr="00535DF2">
              <w:t>196,642</w:t>
            </w:r>
          </w:p>
        </w:tc>
        <w:tc>
          <w:tcPr>
            <w:tcW w:w="1018" w:type="dxa"/>
            <w:shd w:val="clear" w:color="auto" w:fill="auto"/>
            <w:noWrap/>
            <w:vAlign w:val="center"/>
            <w:hideMark/>
          </w:tcPr>
          <w:p w14:paraId="7E42435B" w14:textId="77777777" w:rsidR="00535DF2" w:rsidRPr="00535DF2" w:rsidRDefault="00535DF2" w:rsidP="00F51716">
            <w:pPr>
              <w:pStyle w:val="tableright"/>
            </w:pPr>
            <w:r w:rsidRPr="00535DF2">
              <w:t>157,065</w:t>
            </w:r>
          </w:p>
        </w:tc>
        <w:tc>
          <w:tcPr>
            <w:tcW w:w="1018" w:type="dxa"/>
            <w:shd w:val="clear" w:color="auto" w:fill="auto"/>
            <w:noWrap/>
            <w:vAlign w:val="center"/>
            <w:hideMark/>
          </w:tcPr>
          <w:p w14:paraId="4F1EF65D" w14:textId="77777777" w:rsidR="00535DF2" w:rsidRPr="00535DF2" w:rsidRDefault="00535DF2" w:rsidP="00F51716">
            <w:pPr>
              <w:pStyle w:val="tableright"/>
            </w:pPr>
            <w:r w:rsidRPr="00535DF2">
              <w:t>163,000</w:t>
            </w:r>
          </w:p>
        </w:tc>
      </w:tr>
      <w:tr w:rsidR="00535DF2" w:rsidRPr="00535DF2" w14:paraId="14B5D411" w14:textId="77777777" w:rsidTr="003F15CC">
        <w:trPr>
          <w:trHeight w:val="213"/>
        </w:trPr>
        <w:tc>
          <w:tcPr>
            <w:tcW w:w="1651" w:type="dxa"/>
            <w:vMerge/>
            <w:vAlign w:val="center"/>
            <w:hideMark/>
          </w:tcPr>
          <w:p w14:paraId="749CE008" w14:textId="77777777" w:rsidR="00535DF2" w:rsidRPr="00535DF2" w:rsidRDefault="00535DF2" w:rsidP="00F51716">
            <w:pPr>
              <w:pStyle w:val="Tabletext0"/>
            </w:pPr>
          </w:p>
        </w:tc>
        <w:tc>
          <w:tcPr>
            <w:tcW w:w="1746" w:type="dxa"/>
            <w:shd w:val="clear" w:color="000000" w:fill="FFFFFF"/>
            <w:vAlign w:val="center"/>
            <w:hideMark/>
          </w:tcPr>
          <w:p w14:paraId="414B9668" w14:textId="77777777" w:rsidR="00535DF2" w:rsidRPr="00535DF2" w:rsidRDefault="00535DF2" w:rsidP="00F51716">
            <w:pPr>
              <w:pStyle w:val="Tabletext0"/>
            </w:pPr>
            <w:r w:rsidRPr="00535DF2">
              <w:t>Total GHG emissions associated with OTLP</w:t>
            </w:r>
          </w:p>
        </w:tc>
        <w:tc>
          <w:tcPr>
            <w:tcW w:w="1239" w:type="dxa"/>
            <w:shd w:val="clear" w:color="000000" w:fill="FFFFFF"/>
            <w:vAlign w:val="center"/>
            <w:hideMark/>
          </w:tcPr>
          <w:p w14:paraId="0BD5E53B" w14:textId="75162EBE" w:rsidR="00535DF2" w:rsidRPr="00535DF2" w:rsidRDefault="00535DF2" w:rsidP="00F51716">
            <w:pPr>
              <w:pStyle w:val="Tabletext0"/>
            </w:pPr>
            <w:r w:rsidRPr="00535DF2">
              <w:t>Tonnes of CO</w:t>
            </w:r>
            <w:r w:rsidRPr="00535DF2">
              <w:rPr>
                <w:vertAlign w:val="subscript"/>
              </w:rPr>
              <w:t>2</w:t>
            </w:r>
            <w:r w:rsidRPr="00535DF2">
              <w:t xml:space="preserve"> –e </w:t>
            </w:r>
          </w:p>
        </w:tc>
        <w:tc>
          <w:tcPr>
            <w:tcW w:w="1018" w:type="dxa"/>
            <w:shd w:val="clear" w:color="auto" w:fill="auto"/>
            <w:noWrap/>
            <w:vAlign w:val="center"/>
            <w:hideMark/>
          </w:tcPr>
          <w:p w14:paraId="0FA90100" w14:textId="77777777" w:rsidR="00535DF2" w:rsidRPr="00535DF2" w:rsidRDefault="00535DF2" w:rsidP="00F51716">
            <w:pPr>
              <w:pStyle w:val="tableright"/>
            </w:pPr>
            <w:r w:rsidRPr="00535DF2">
              <w:t>0</w:t>
            </w:r>
          </w:p>
        </w:tc>
        <w:tc>
          <w:tcPr>
            <w:tcW w:w="1018" w:type="dxa"/>
            <w:shd w:val="clear" w:color="auto" w:fill="auto"/>
            <w:noWrap/>
            <w:vAlign w:val="center"/>
            <w:hideMark/>
          </w:tcPr>
          <w:p w14:paraId="61980D2D" w14:textId="77777777" w:rsidR="00535DF2" w:rsidRPr="00535DF2" w:rsidRDefault="00535DF2" w:rsidP="00F51716">
            <w:pPr>
              <w:pStyle w:val="tableright"/>
            </w:pPr>
            <w:r w:rsidRPr="00535DF2">
              <w:t>0</w:t>
            </w:r>
          </w:p>
        </w:tc>
        <w:tc>
          <w:tcPr>
            <w:tcW w:w="1018" w:type="dxa"/>
            <w:shd w:val="clear" w:color="auto" w:fill="auto"/>
            <w:noWrap/>
            <w:vAlign w:val="center"/>
            <w:hideMark/>
          </w:tcPr>
          <w:p w14:paraId="213E6FAF" w14:textId="77777777" w:rsidR="00535DF2" w:rsidRPr="00535DF2" w:rsidRDefault="00535DF2" w:rsidP="00F51716">
            <w:pPr>
              <w:pStyle w:val="tableright"/>
            </w:pPr>
            <w:r w:rsidRPr="00535DF2">
              <w:t>0</w:t>
            </w:r>
          </w:p>
        </w:tc>
        <w:tc>
          <w:tcPr>
            <w:tcW w:w="1018" w:type="dxa"/>
            <w:shd w:val="clear" w:color="auto" w:fill="auto"/>
            <w:noWrap/>
            <w:vAlign w:val="center"/>
            <w:hideMark/>
          </w:tcPr>
          <w:p w14:paraId="734F5B79" w14:textId="77777777" w:rsidR="00535DF2" w:rsidRPr="00535DF2" w:rsidRDefault="00535DF2" w:rsidP="00F51716">
            <w:pPr>
              <w:pStyle w:val="tableright"/>
            </w:pPr>
            <w:r w:rsidRPr="00535DF2">
              <w:t>0</w:t>
            </w:r>
          </w:p>
        </w:tc>
        <w:tc>
          <w:tcPr>
            <w:tcW w:w="1018" w:type="dxa"/>
            <w:shd w:val="clear" w:color="auto" w:fill="auto"/>
            <w:noWrap/>
            <w:vAlign w:val="center"/>
            <w:hideMark/>
          </w:tcPr>
          <w:p w14:paraId="46751510" w14:textId="77777777" w:rsidR="00535DF2" w:rsidRPr="00535DF2" w:rsidRDefault="00535DF2" w:rsidP="00F51716">
            <w:pPr>
              <w:pStyle w:val="tableright"/>
            </w:pPr>
            <w:r w:rsidRPr="00535DF2">
              <w:t>0</w:t>
            </w:r>
          </w:p>
        </w:tc>
      </w:tr>
      <w:tr w:rsidR="00535DF2" w:rsidRPr="00535DF2" w14:paraId="71C8734B" w14:textId="77777777" w:rsidTr="003F15CC">
        <w:trPr>
          <w:trHeight w:val="320"/>
        </w:trPr>
        <w:tc>
          <w:tcPr>
            <w:tcW w:w="1651" w:type="dxa"/>
            <w:vMerge/>
            <w:vAlign w:val="center"/>
            <w:hideMark/>
          </w:tcPr>
          <w:p w14:paraId="1E954E12" w14:textId="77777777" w:rsidR="00535DF2" w:rsidRPr="00535DF2" w:rsidRDefault="00535DF2" w:rsidP="00F51716">
            <w:pPr>
              <w:pStyle w:val="Tabletext0"/>
            </w:pPr>
          </w:p>
        </w:tc>
        <w:tc>
          <w:tcPr>
            <w:tcW w:w="1746" w:type="dxa"/>
            <w:shd w:val="clear" w:color="000000" w:fill="FFFFFF"/>
            <w:vAlign w:val="center"/>
            <w:hideMark/>
          </w:tcPr>
          <w:p w14:paraId="60E0BD5D" w14:textId="77777777" w:rsidR="00535DF2" w:rsidRPr="00535DF2" w:rsidRDefault="00535DF2" w:rsidP="00F51716">
            <w:pPr>
              <w:pStyle w:val="Tabletext0"/>
            </w:pPr>
            <w:bookmarkStart w:id="174" w:name="RANGE!C10"/>
            <w:r w:rsidRPr="00535DF2">
              <w:t>Total GHG emissions associated with apportioned electricity use</w:t>
            </w:r>
            <w:bookmarkEnd w:id="174"/>
          </w:p>
        </w:tc>
        <w:tc>
          <w:tcPr>
            <w:tcW w:w="1239" w:type="dxa"/>
            <w:shd w:val="clear" w:color="000000" w:fill="FFFFFF"/>
            <w:vAlign w:val="center"/>
            <w:hideMark/>
          </w:tcPr>
          <w:p w14:paraId="28CD74CD" w14:textId="6F0C239C" w:rsidR="00535DF2" w:rsidRPr="00535DF2" w:rsidRDefault="00535DF2" w:rsidP="00F51716">
            <w:pPr>
              <w:pStyle w:val="Tabletext0"/>
            </w:pPr>
            <w:r w:rsidRPr="00535DF2">
              <w:t>Tonnes of CO</w:t>
            </w:r>
            <w:r w:rsidRPr="00535DF2">
              <w:rPr>
                <w:vertAlign w:val="subscript"/>
              </w:rPr>
              <w:t>2</w:t>
            </w:r>
            <w:r w:rsidRPr="00535DF2">
              <w:t xml:space="preserve"> –e </w:t>
            </w:r>
          </w:p>
        </w:tc>
        <w:tc>
          <w:tcPr>
            <w:tcW w:w="1018" w:type="dxa"/>
            <w:shd w:val="clear" w:color="auto" w:fill="auto"/>
            <w:noWrap/>
            <w:vAlign w:val="center"/>
            <w:hideMark/>
          </w:tcPr>
          <w:p w14:paraId="7D428EC0" w14:textId="77777777" w:rsidR="00535DF2" w:rsidRPr="00535DF2" w:rsidRDefault="00535DF2" w:rsidP="00F51716">
            <w:pPr>
              <w:pStyle w:val="tableright"/>
            </w:pPr>
            <w:r w:rsidRPr="00535DF2">
              <w:t>109.61</w:t>
            </w:r>
          </w:p>
        </w:tc>
        <w:tc>
          <w:tcPr>
            <w:tcW w:w="1018" w:type="dxa"/>
            <w:shd w:val="clear" w:color="auto" w:fill="auto"/>
            <w:noWrap/>
            <w:vAlign w:val="center"/>
            <w:hideMark/>
          </w:tcPr>
          <w:p w14:paraId="7D6B68C3" w14:textId="77777777" w:rsidR="00535DF2" w:rsidRPr="00535DF2" w:rsidRDefault="00535DF2" w:rsidP="00F51716">
            <w:pPr>
              <w:pStyle w:val="tableright"/>
            </w:pPr>
            <w:r w:rsidRPr="00535DF2">
              <w:t>103.29</w:t>
            </w:r>
          </w:p>
        </w:tc>
        <w:tc>
          <w:tcPr>
            <w:tcW w:w="1018" w:type="dxa"/>
            <w:shd w:val="clear" w:color="auto" w:fill="auto"/>
            <w:noWrap/>
            <w:vAlign w:val="center"/>
            <w:hideMark/>
          </w:tcPr>
          <w:p w14:paraId="1C9EFB5A" w14:textId="77777777" w:rsidR="00535DF2" w:rsidRPr="00535DF2" w:rsidRDefault="00535DF2" w:rsidP="00F51716">
            <w:pPr>
              <w:pStyle w:val="tableright"/>
            </w:pPr>
            <w:r w:rsidRPr="00535DF2">
              <w:t>84.09</w:t>
            </w:r>
          </w:p>
        </w:tc>
        <w:tc>
          <w:tcPr>
            <w:tcW w:w="1018" w:type="dxa"/>
            <w:shd w:val="clear" w:color="auto" w:fill="auto"/>
            <w:noWrap/>
            <w:vAlign w:val="center"/>
            <w:hideMark/>
          </w:tcPr>
          <w:p w14:paraId="1A1D5E93" w14:textId="77777777" w:rsidR="00535DF2" w:rsidRPr="00535DF2" w:rsidRDefault="00535DF2" w:rsidP="00F51716">
            <w:pPr>
              <w:pStyle w:val="tableright"/>
            </w:pPr>
            <w:r w:rsidRPr="00535DF2">
              <w:t>73.42</w:t>
            </w:r>
          </w:p>
        </w:tc>
        <w:tc>
          <w:tcPr>
            <w:tcW w:w="1018" w:type="dxa"/>
            <w:shd w:val="clear" w:color="auto" w:fill="auto"/>
            <w:noWrap/>
            <w:vAlign w:val="center"/>
            <w:hideMark/>
          </w:tcPr>
          <w:p w14:paraId="73C1EDB0" w14:textId="0041FE4C" w:rsidR="00535DF2" w:rsidRPr="00535DF2" w:rsidRDefault="00CB502B" w:rsidP="00F51716">
            <w:pPr>
              <w:pStyle w:val="tableright"/>
              <w:rPr>
                <w:rFonts w:eastAsia="Times New Roman"/>
              </w:rPr>
            </w:pPr>
            <w:r>
              <w:t>60.17</w:t>
            </w:r>
          </w:p>
        </w:tc>
      </w:tr>
      <w:tr w:rsidR="00535DF2" w:rsidRPr="00535DF2" w14:paraId="5D7A6007" w14:textId="77777777" w:rsidTr="003F15CC">
        <w:trPr>
          <w:trHeight w:val="331"/>
        </w:trPr>
        <w:tc>
          <w:tcPr>
            <w:tcW w:w="1651" w:type="dxa"/>
            <w:vMerge/>
            <w:vAlign w:val="center"/>
            <w:hideMark/>
          </w:tcPr>
          <w:p w14:paraId="31FBF5EA" w14:textId="77777777" w:rsidR="00535DF2" w:rsidRPr="00535DF2" w:rsidRDefault="00535DF2" w:rsidP="00F51716">
            <w:pPr>
              <w:pStyle w:val="Tabletext0"/>
            </w:pPr>
          </w:p>
        </w:tc>
        <w:tc>
          <w:tcPr>
            <w:tcW w:w="1746" w:type="dxa"/>
            <w:shd w:val="clear" w:color="000000" w:fill="FFFFFF"/>
            <w:vAlign w:val="center"/>
            <w:hideMark/>
          </w:tcPr>
          <w:p w14:paraId="2A15DA9D" w14:textId="77777777" w:rsidR="00535DF2" w:rsidRPr="00535DF2" w:rsidRDefault="00535DF2" w:rsidP="00F51716">
            <w:pPr>
              <w:pStyle w:val="Tabletext0"/>
            </w:pPr>
            <w:r w:rsidRPr="00535DF2">
              <w:t>Total GHG emissions associated with apportioned gas use</w:t>
            </w:r>
          </w:p>
        </w:tc>
        <w:tc>
          <w:tcPr>
            <w:tcW w:w="1239" w:type="dxa"/>
            <w:shd w:val="clear" w:color="000000" w:fill="FFFFFF"/>
            <w:vAlign w:val="center"/>
            <w:hideMark/>
          </w:tcPr>
          <w:p w14:paraId="23709340" w14:textId="2BEBC82D" w:rsidR="00535DF2" w:rsidRPr="00535DF2" w:rsidRDefault="00535DF2" w:rsidP="00F51716">
            <w:pPr>
              <w:pStyle w:val="Tabletext0"/>
            </w:pPr>
            <w:r w:rsidRPr="00535DF2">
              <w:t>Tonnes of CO</w:t>
            </w:r>
            <w:r w:rsidRPr="00535DF2">
              <w:rPr>
                <w:vertAlign w:val="subscript"/>
              </w:rPr>
              <w:t>2</w:t>
            </w:r>
            <w:r w:rsidRPr="00535DF2">
              <w:t xml:space="preserve"> –e </w:t>
            </w:r>
          </w:p>
        </w:tc>
        <w:tc>
          <w:tcPr>
            <w:tcW w:w="1018" w:type="dxa"/>
            <w:shd w:val="clear" w:color="auto" w:fill="auto"/>
            <w:noWrap/>
            <w:vAlign w:val="center"/>
            <w:hideMark/>
          </w:tcPr>
          <w:p w14:paraId="193CAAFE" w14:textId="77777777" w:rsidR="00535DF2" w:rsidRPr="00535DF2" w:rsidRDefault="00535DF2" w:rsidP="00F51716">
            <w:pPr>
              <w:pStyle w:val="tableright"/>
            </w:pPr>
            <w:r w:rsidRPr="00535DF2">
              <w:t>13.40</w:t>
            </w:r>
          </w:p>
        </w:tc>
        <w:tc>
          <w:tcPr>
            <w:tcW w:w="1018" w:type="dxa"/>
            <w:shd w:val="clear" w:color="auto" w:fill="auto"/>
            <w:noWrap/>
            <w:vAlign w:val="center"/>
            <w:hideMark/>
          </w:tcPr>
          <w:p w14:paraId="47788C6B" w14:textId="77777777" w:rsidR="00535DF2" w:rsidRPr="00535DF2" w:rsidRDefault="00535DF2" w:rsidP="00F51716">
            <w:pPr>
              <w:pStyle w:val="tableright"/>
            </w:pPr>
            <w:r w:rsidRPr="00535DF2">
              <w:t>11.01</w:t>
            </w:r>
          </w:p>
        </w:tc>
        <w:tc>
          <w:tcPr>
            <w:tcW w:w="1018" w:type="dxa"/>
            <w:shd w:val="clear" w:color="auto" w:fill="auto"/>
            <w:noWrap/>
            <w:vAlign w:val="center"/>
            <w:hideMark/>
          </w:tcPr>
          <w:p w14:paraId="76AFBCE9" w14:textId="77777777" w:rsidR="00535DF2" w:rsidRPr="00535DF2" w:rsidRDefault="00535DF2" w:rsidP="00F51716">
            <w:pPr>
              <w:pStyle w:val="tableright"/>
            </w:pPr>
            <w:r w:rsidRPr="00535DF2">
              <w:t>10.87</w:t>
            </w:r>
          </w:p>
        </w:tc>
        <w:tc>
          <w:tcPr>
            <w:tcW w:w="1018" w:type="dxa"/>
            <w:shd w:val="clear" w:color="auto" w:fill="auto"/>
            <w:noWrap/>
            <w:vAlign w:val="center"/>
            <w:hideMark/>
          </w:tcPr>
          <w:p w14:paraId="4EEF20E4" w14:textId="77777777" w:rsidR="00535DF2" w:rsidRPr="00535DF2" w:rsidRDefault="00535DF2" w:rsidP="00F51716">
            <w:pPr>
              <w:pStyle w:val="tableright"/>
            </w:pPr>
            <w:r w:rsidRPr="00535DF2">
              <w:t>8.71</w:t>
            </w:r>
          </w:p>
        </w:tc>
        <w:tc>
          <w:tcPr>
            <w:tcW w:w="1018" w:type="dxa"/>
            <w:shd w:val="clear" w:color="auto" w:fill="auto"/>
            <w:noWrap/>
            <w:vAlign w:val="center"/>
            <w:hideMark/>
          </w:tcPr>
          <w:p w14:paraId="46CDBA8C" w14:textId="77777777" w:rsidR="00535DF2" w:rsidRPr="00535DF2" w:rsidRDefault="00535DF2" w:rsidP="00F51716">
            <w:pPr>
              <w:pStyle w:val="tableright"/>
            </w:pPr>
            <w:r w:rsidRPr="00535DF2">
              <w:t>9.04</w:t>
            </w:r>
          </w:p>
        </w:tc>
      </w:tr>
      <w:tr w:rsidR="00535DF2" w:rsidRPr="00535DF2" w14:paraId="661A8F30" w14:textId="77777777" w:rsidTr="003F15CC">
        <w:trPr>
          <w:trHeight w:val="213"/>
        </w:trPr>
        <w:tc>
          <w:tcPr>
            <w:tcW w:w="1651" w:type="dxa"/>
            <w:vMerge w:val="restart"/>
            <w:shd w:val="clear" w:color="auto" w:fill="auto"/>
            <w:vAlign w:val="center"/>
            <w:hideMark/>
          </w:tcPr>
          <w:p w14:paraId="3AC2DE36" w14:textId="77777777" w:rsidR="00535DF2" w:rsidRPr="00535DF2" w:rsidRDefault="00535DF2" w:rsidP="00F51716">
            <w:pPr>
              <w:pStyle w:val="Tabletext0"/>
            </w:pPr>
            <w:r w:rsidRPr="00535DF2">
              <w:t>Paper</w:t>
            </w:r>
            <w:r w:rsidRPr="00535DF2">
              <w:rPr>
                <w:vertAlign w:val="superscript"/>
              </w:rPr>
              <w:t>5</w:t>
            </w:r>
          </w:p>
        </w:tc>
        <w:tc>
          <w:tcPr>
            <w:tcW w:w="1746" w:type="dxa"/>
            <w:shd w:val="clear" w:color="000000" w:fill="FFFFFF"/>
            <w:vAlign w:val="center"/>
            <w:hideMark/>
          </w:tcPr>
          <w:p w14:paraId="60D38625" w14:textId="77777777" w:rsidR="00535DF2" w:rsidRPr="00535DF2" w:rsidRDefault="00535DF2" w:rsidP="00F51716">
            <w:pPr>
              <w:pStyle w:val="Tabletext0"/>
            </w:pPr>
            <w:r w:rsidRPr="00535DF2">
              <w:t>Use per THC</w:t>
            </w:r>
          </w:p>
        </w:tc>
        <w:tc>
          <w:tcPr>
            <w:tcW w:w="1239" w:type="dxa"/>
            <w:shd w:val="clear" w:color="000000" w:fill="FFFFFF"/>
            <w:vAlign w:val="center"/>
            <w:hideMark/>
          </w:tcPr>
          <w:p w14:paraId="2DCE330D" w14:textId="77777777" w:rsidR="00535DF2" w:rsidRPr="00535DF2" w:rsidRDefault="00535DF2" w:rsidP="00F51716">
            <w:pPr>
              <w:pStyle w:val="Tabletext0"/>
            </w:pPr>
            <w:r w:rsidRPr="00535DF2">
              <w:t>Reams per THC</w:t>
            </w:r>
          </w:p>
        </w:tc>
        <w:tc>
          <w:tcPr>
            <w:tcW w:w="1018" w:type="dxa"/>
            <w:shd w:val="clear" w:color="auto" w:fill="auto"/>
            <w:noWrap/>
            <w:vAlign w:val="center"/>
            <w:hideMark/>
          </w:tcPr>
          <w:p w14:paraId="7500B1FA" w14:textId="77777777" w:rsidR="00535DF2" w:rsidRPr="00535DF2" w:rsidRDefault="00535DF2" w:rsidP="00F51716">
            <w:pPr>
              <w:pStyle w:val="tableright"/>
            </w:pPr>
            <w:r w:rsidRPr="00535DF2">
              <w:t>4.7</w:t>
            </w:r>
          </w:p>
        </w:tc>
        <w:tc>
          <w:tcPr>
            <w:tcW w:w="1018" w:type="dxa"/>
            <w:shd w:val="clear" w:color="auto" w:fill="auto"/>
            <w:noWrap/>
            <w:vAlign w:val="center"/>
            <w:hideMark/>
          </w:tcPr>
          <w:p w14:paraId="36B8B8EF" w14:textId="77777777" w:rsidR="00535DF2" w:rsidRPr="00535DF2" w:rsidRDefault="00535DF2" w:rsidP="00F51716">
            <w:pPr>
              <w:pStyle w:val="tableright"/>
            </w:pPr>
            <w:r w:rsidRPr="00535DF2">
              <w:t>4.1</w:t>
            </w:r>
          </w:p>
        </w:tc>
        <w:tc>
          <w:tcPr>
            <w:tcW w:w="1018" w:type="dxa"/>
            <w:shd w:val="clear" w:color="auto" w:fill="auto"/>
            <w:noWrap/>
            <w:vAlign w:val="center"/>
            <w:hideMark/>
          </w:tcPr>
          <w:p w14:paraId="679B7F11" w14:textId="77777777" w:rsidR="00535DF2" w:rsidRPr="00535DF2" w:rsidRDefault="00535DF2" w:rsidP="00F51716">
            <w:pPr>
              <w:pStyle w:val="tableright"/>
            </w:pPr>
            <w:r w:rsidRPr="00535DF2">
              <w:t>4.7</w:t>
            </w:r>
          </w:p>
        </w:tc>
        <w:tc>
          <w:tcPr>
            <w:tcW w:w="1018" w:type="dxa"/>
            <w:shd w:val="clear" w:color="auto" w:fill="auto"/>
            <w:noWrap/>
            <w:vAlign w:val="center"/>
            <w:hideMark/>
          </w:tcPr>
          <w:p w14:paraId="53668BA3" w14:textId="77777777" w:rsidR="00535DF2" w:rsidRPr="00535DF2" w:rsidRDefault="00535DF2" w:rsidP="00F51716">
            <w:pPr>
              <w:pStyle w:val="tableright"/>
            </w:pPr>
            <w:r w:rsidRPr="00535DF2">
              <w:t>5.09</w:t>
            </w:r>
          </w:p>
        </w:tc>
        <w:tc>
          <w:tcPr>
            <w:tcW w:w="1018" w:type="dxa"/>
            <w:shd w:val="clear" w:color="auto" w:fill="auto"/>
            <w:noWrap/>
            <w:vAlign w:val="center"/>
            <w:hideMark/>
          </w:tcPr>
          <w:p w14:paraId="2007CB9A" w14:textId="77777777" w:rsidR="00535DF2" w:rsidRPr="00535DF2" w:rsidRDefault="00535DF2" w:rsidP="00F51716">
            <w:pPr>
              <w:pStyle w:val="tableright"/>
            </w:pPr>
            <w:r w:rsidRPr="00535DF2">
              <w:t>1.86</w:t>
            </w:r>
          </w:p>
        </w:tc>
      </w:tr>
      <w:tr w:rsidR="00535DF2" w:rsidRPr="00535DF2" w14:paraId="0141CEF5" w14:textId="77777777" w:rsidTr="003F15CC">
        <w:trPr>
          <w:trHeight w:val="213"/>
        </w:trPr>
        <w:tc>
          <w:tcPr>
            <w:tcW w:w="1651" w:type="dxa"/>
            <w:vMerge/>
            <w:vAlign w:val="center"/>
            <w:hideMark/>
          </w:tcPr>
          <w:p w14:paraId="23F3FFC7" w14:textId="77777777" w:rsidR="00535DF2" w:rsidRPr="00535DF2" w:rsidRDefault="00535DF2" w:rsidP="00F51716">
            <w:pPr>
              <w:pStyle w:val="Tabletext0"/>
            </w:pPr>
          </w:p>
        </w:tc>
        <w:tc>
          <w:tcPr>
            <w:tcW w:w="1746" w:type="dxa"/>
            <w:shd w:val="clear" w:color="000000" w:fill="FFFFFF"/>
            <w:vAlign w:val="center"/>
            <w:hideMark/>
          </w:tcPr>
          <w:p w14:paraId="62A838E0" w14:textId="77777777" w:rsidR="00535DF2" w:rsidRPr="00535DF2" w:rsidRDefault="00535DF2" w:rsidP="00F51716">
            <w:pPr>
              <w:pStyle w:val="Tabletext0"/>
            </w:pPr>
            <w:r w:rsidRPr="00535DF2">
              <w:t>Use per FTE</w:t>
            </w:r>
          </w:p>
        </w:tc>
        <w:tc>
          <w:tcPr>
            <w:tcW w:w="1239" w:type="dxa"/>
            <w:shd w:val="clear" w:color="000000" w:fill="FFFFFF"/>
            <w:vAlign w:val="center"/>
            <w:hideMark/>
          </w:tcPr>
          <w:p w14:paraId="6A9AE36E" w14:textId="77777777" w:rsidR="00535DF2" w:rsidRPr="00535DF2" w:rsidRDefault="00535DF2" w:rsidP="00F51716">
            <w:pPr>
              <w:pStyle w:val="Tabletext0"/>
            </w:pPr>
            <w:r w:rsidRPr="00535DF2">
              <w:t xml:space="preserve">Reams per FTE </w:t>
            </w:r>
          </w:p>
        </w:tc>
        <w:tc>
          <w:tcPr>
            <w:tcW w:w="1018" w:type="dxa"/>
            <w:shd w:val="clear" w:color="auto" w:fill="auto"/>
            <w:noWrap/>
            <w:vAlign w:val="center"/>
            <w:hideMark/>
          </w:tcPr>
          <w:p w14:paraId="5839BADD" w14:textId="77777777" w:rsidR="00535DF2" w:rsidRPr="00535DF2" w:rsidRDefault="00535DF2" w:rsidP="00F51716">
            <w:pPr>
              <w:pStyle w:val="tableright"/>
            </w:pPr>
            <w:r w:rsidRPr="00535DF2">
              <w:t>5.1</w:t>
            </w:r>
          </w:p>
        </w:tc>
        <w:tc>
          <w:tcPr>
            <w:tcW w:w="1018" w:type="dxa"/>
            <w:shd w:val="clear" w:color="auto" w:fill="auto"/>
            <w:noWrap/>
            <w:vAlign w:val="center"/>
            <w:hideMark/>
          </w:tcPr>
          <w:p w14:paraId="39C29045" w14:textId="77777777" w:rsidR="00535DF2" w:rsidRPr="00535DF2" w:rsidRDefault="00535DF2" w:rsidP="00F51716">
            <w:pPr>
              <w:pStyle w:val="tableright"/>
            </w:pPr>
            <w:r w:rsidRPr="00535DF2">
              <w:t>4.4</w:t>
            </w:r>
          </w:p>
        </w:tc>
        <w:tc>
          <w:tcPr>
            <w:tcW w:w="1018" w:type="dxa"/>
            <w:shd w:val="clear" w:color="auto" w:fill="auto"/>
            <w:noWrap/>
            <w:vAlign w:val="center"/>
            <w:hideMark/>
          </w:tcPr>
          <w:p w14:paraId="782574B0" w14:textId="77777777" w:rsidR="00535DF2" w:rsidRPr="00535DF2" w:rsidRDefault="00535DF2" w:rsidP="00F51716">
            <w:pPr>
              <w:pStyle w:val="tableright"/>
            </w:pPr>
            <w:r w:rsidRPr="00535DF2">
              <w:t>5.2</w:t>
            </w:r>
          </w:p>
        </w:tc>
        <w:tc>
          <w:tcPr>
            <w:tcW w:w="1018" w:type="dxa"/>
            <w:shd w:val="clear" w:color="auto" w:fill="auto"/>
            <w:noWrap/>
            <w:vAlign w:val="center"/>
            <w:hideMark/>
          </w:tcPr>
          <w:p w14:paraId="4FFA8B08" w14:textId="77777777" w:rsidR="00535DF2" w:rsidRPr="00535DF2" w:rsidRDefault="00535DF2" w:rsidP="00F51716">
            <w:pPr>
              <w:pStyle w:val="tableright"/>
            </w:pPr>
            <w:r w:rsidRPr="00535DF2">
              <w:t>6.07</w:t>
            </w:r>
          </w:p>
        </w:tc>
        <w:tc>
          <w:tcPr>
            <w:tcW w:w="1018" w:type="dxa"/>
            <w:shd w:val="clear" w:color="auto" w:fill="auto"/>
            <w:noWrap/>
            <w:vAlign w:val="center"/>
            <w:hideMark/>
          </w:tcPr>
          <w:p w14:paraId="59B49EED" w14:textId="77777777" w:rsidR="00535DF2" w:rsidRPr="00535DF2" w:rsidRDefault="00535DF2" w:rsidP="00F51716">
            <w:pPr>
              <w:pStyle w:val="tableright"/>
            </w:pPr>
            <w:r w:rsidRPr="00535DF2">
              <w:t>2.12</w:t>
            </w:r>
          </w:p>
        </w:tc>
      </w:tr>
      <w:tr w:rsidR="00535DF2" w:rsidRPr="00535DF2" w14:paraId="3CD4E551" w14:textId="77777777" w:rsidTr="003F15CC">
        <w:trPr>
          <w:trHeight w:val="213"/>
        </w:trPr>
        <w:tc>
          <w:tcPr>
            <w:tcW w:w="1651" w:type="dxa"/>
            <w:vMerge/>
            <w:vAlign w:val="center"/>
            <w:hideMark/>
          </w:tcPr>
          <w:p w14:paraId="54AD2CD9" w14:textId="77777777" w:rsidR="00535DF2" w:rsidRPr="00535DF2" w:rsidRDefault="00535DF2" w:rsidP="00F51716">
            <w:pPr>
              <w:pStyle w:val="Tabletext0"/>
            </w:pPr>
          </w:p>
        </w:tc>
        <w:tc>
          <w:tcPr>
            <w:tcW w:w="1746" w:type="dxa"/>
            <w:shd w:val="clear" w:color="000000" w:fill="FFFFFF"/>
            <w:vAlign w:val="center"/>
            <w:hideMark/>
          </w:tcPr>
          <w:p w14:paraId="129E623E" w14:textId="77777777" w:rsidR="00535DF2" w:rsidRPr="00535DF2" w:rsidRDefault="00535DF2" w:rsidP="00F51716">
            <w:pPr>
              <w:pStyle w:val="Tabletext0"/>
            </w:pPr>
            <w:r w:rsidRPr="00535DF2">
              <w:t>Recycled content</w:t>
            </w:r>
          </w:p>
        </w:tc>
        <w:tc>
          <w:tcPr>
            <w:tcW w:w="1239" w:type="dxa"/>
            <w:shd w:val="clear" w:color="000000" w:fill="FFFFFF"/>
            <w:vAlign w:val="center"/>
            <w:hideMark/>
          </w:tcPr>
          <w:p w14:paraId="612BA88E" w14:textId="77777777" w:rsidR="00535DF2" w:rsidRPr="00535DF2" w:rsidRDefault="00535DF2" w:rsidP="00F51716">
            <w:pPr>
              <w:pStyle w:val="Tabletext0"/>
            </w:pPr>
            <w:r w:rsidRPr="00535DF2">
              <w:t>Percentage total</w:t>
            </w:r>
          </w:p>
        </w:tc>
        <w:tc>
          <w:tcPr>
            <w:tcW w:w="1018" w:type="dxa"/>
            <w:shd w:val="clear" w:color="auto" w:fill="auto"/>
            <w:noWrap/>
            <w:vAlign w:val="center"/>
            <w:hideMark/>
          </w:tcPr>
          <w:p w14:paraId="6BA87069" w14:textId="77777777" w:rsidR="00535DF2" w:rsidRPr="00535DF2" w:rsidRDefault="00535DF2" w:rsidP="00F51716">
            <w:pPr>
              <w:pStyle w:val="tableright"/>
            </w:pPr>
            <w:r w:rsidRPr="00535DF2">
              <w:t>100%</w:t>
            </w:r>
          </w:p>
        </w:tc>
        <w:tc>
          <w:tcPr>
            <w:tcW w:w="1018" w:type="dxa"/>
            <w:shd w:val="clear" w:color="auto" w:fill="auto"/>
            <w:noWrap/>
            <w:vAlign w:val="center"/>
            <w:hideMark/>
          </w:tcPr>
          <w:p w14:paraId="37ED5352" w14:textId="77777777" w:rsidR="00535DF2" w:rsidRPr="00535DF2" w:rsidRDefault="00535DF2" w:rsidP="00F51716">
            <w:pPr>
              <w:pStyle w:val="tableright"/>
            </w:pPr>
            <w:r w:rsidRPr="00535DF2">
              <w:t>100%</w:t>
            </w:r>
          </w:p>
        </w:tc>
        <w:tc>
          <w:tcPr>
            <w:tcW w:w="1018" w:type="dxa"/>
            <w:shd w:val="clear" w:color="auto" w:fill="auto"/>
            <w:noWrap/>
            <w:vAlign w:val="center"/>
            <w:hideMark/>
          </w:tcPr>
          <w:p w14:paraId="26A24F47" w14:textId="77777777" w:rsidR="00535DF2" w:rsidRPr="00535DF2" w:rsidRDefault="00535DF2" w:rsidP="00F51716">
            <w:pPr>
              <w:pStyle w:val="tableright"/>
            </w:pPr>
            <w:r w:rsidRPr="00535DF2">
              <w:t>100%</w:t>
            </w:r>
          </w:p>
        </w:tc>
        <w:tc>
          <w:tcPr>
            <w:tcW w:w="1018" w:type="dxa"/>
            <w:shd w:val="clear" w:color="auto" w:fill="auto"/>
            <w:noWrap/>
            <w:vAlign w:val="center"/>
            <w:hideMark/>
          </w:tcPr>
          <w:p w14:paraId="3BC80C24" w14:textId="77777777" w:rsidR="00535DF2" w:rsidRPr="00535DF2" w:rsidRDefault="00535DF2" w:rsidP="00F51716">
            <w:pPr>
              <w:pStyle w:val="tableright"/>
            </w:pPr>
            <w:r w:rsidRPr="00535DF2">
              <w:t>100%</w:t>
            </w:r>
          </w:p>
        </w:tc>
        <w:tc>
          <w:tcPr>
            <w:tcW w:w="1018" w:type="dxa"/>
            <w:shd w:val="clear" w:color="auto" w:fill="auto"/>
            <w:noWrap/>
            <w:vAlign w:val="center"/>
            <w:hideMark/>
          </w:tcPr>
          <w:p w14:paraId="0486A782" w14:textId="77777777" w:rsidR="00535DF2" w:rsidRPr="00535DF2" w:rsidRDefault="00535DF2" w:rsidP="00F51716">
            <w:pPr>
              <w:pStyle w:val="tableright"/>
            </w:pPr>
            <w:r w:rsidRPr="00535DF2">
              <w:t>100%</w:t>
            </w:r>
          </w:p>
        </w:tc>
      </w:tr>
      <w:tr w:rsidR="00535DF2" w:rsidRPr="00535DF2" w14:paraId="1F6C26B5" w14:textId="77777777" w:rsidTr="003F15CC">
        <w:trPr>
          <w:trHeight w:val="213"/>
        </w:trPr>
        <w:tc>
          <w:tcPr>
            <w:tcW w:w="1651" w:type="dxa"/>
            <w:vMerge/>
            <w:vAlign w:val="center"/>
            <w:hideMark/>
          </w:tcPr>
          <w:p w14:paraId="4E6E2C04" w14:textId="77777777" w:rsidR="00535DF2" w:rsidRPr="00535DF2" w:rsidRDefault="00535DF2" w:rsidP="00F51716">
            <w:pPr>
              <w:pStyle w:val="Tabletext0"/>
            </w:pPr>
          </w:p>
        </w:tc>
        <w:tc>
          <w:tcPr>
            <w:tcW w:w="1746" w:type="dxa"/>
            <w:shd w:val="clear" w:color="auto" w:fill="auto"/>
            <w:vAlign w:val="center"/>
            <w:hideMark/>
          </w:tcPr>
          <w:p w14:paraId="739B7C40" w14:textId="77777777" w:rsidR="00535DF2" w:rsidRPr="00535DF2" w:rsidRDefault="00535DF2" w:rsidP="00F51716">
            <w:pPr>
              <w:pStyle w:val="Tabletext0"/>
            </w:pPr>
            <w:r w:rsidRPr="00535DF2">
              <w:t>Total use</w:t>
            </w:r>
          </w:p>
        </w:tc>
        <w:tc>
          <w:tcPr>
            <w:tcW w:w="1239" w:type="dxa"/>
            <w:shd w:val="clear" w:color="auto" w:fill="auto"/>
            <w:vAlign w:val="center"/>
            <w:hideMark/>
          </w:tcPr>
          <w:p w14:paraId="2EFAAB8C" w14:textId="77777777" w:rsidR="00535DF2" w:rsidRPr="00535DF2" w:rsidRDefault="00535DF2" w:rsidP="00F51716">
            <w:pPr>
              <w:pStyle w:val="Tabletext0"/>
            </w:pPr>
            <w:r w:rsidRPr="00535DF2">
              <w:t>Reams</w:t>
            </w:r>
          </w:p>
        </w:tc>
        <w:tc>
          <w:tcPr>
            <w:tcW w:w="1018" w:type="dxa"/>
            <w:shd w:val="clear" w:color="auto" w:fill="auto"/>
            <w:noWrap/>
            <w:vAlign w:val="center"/>
            <w:hideMark/>
          </w:tcPr>
          <w:p w14:paraId="0BD94CA9" w14:textId="77777777" w:rsidR="00535DF2" w:rsidRPr="00535DF2" w:rsidRDefault="00535DF2" w:rsidP="00F51716">
            <w:pPr>
              <w:pStyle w:val="tableright"/>
            </w:pPr>
            <w:r w:rsidRPr="00535DF2">
              <w:t>563</w:t>
            </w:r>
          </w:p>
        </w:tc>
        <w:tc>
          <w:tcPr>
            <w:tcW w:w="1018" w:type="dxa"/>
            <w:shd w:val="clear" w:color="auto" w:fill="auto"/>
            <w:noWrap/>
            <w:vAlign w:val="center"/>
            <w:hideMark/>
          </w:tcPr>
          <w:p w14:paraId="2A5E9875" w14:textId="77777777" w:rsidR="00535DF2" w:rsidRPr="00535DF2" w:rsidRDefault="00535DF2" w:rsidP="00F51716">
            <w:pPr>
              <w:pStyle w:val="tableright"/>
            </w:pPr>
            <w:r w:rsidRPr="00535DF2">
              <w:t>515</w:t>
            </w:r>
          </w:p>
        </w:tc>
        <w:tc>
          <w:tcPr>
            <w:tcW w:w="1018" w:type="dxa"/>
            <w:shd w:val="clear" w:color="auto" w:fill="auto"/>
            <w:noWrap/>
            <w:vAlign w:val="center"/>
            <w:hideMark/>
          </w:tcPr>
          <w:p w14:paraId="0A0B942A" w14:textId="77777777" w:rsidR="00535DF2" w:rsidRPr="00535DF2" w:rsidRDefault="00535DF2" w:rsidP="00F51716">
            <w:pPr>
              <w:pStyle w:val="tableright"/>
            </w:pPr>
            <w:r w:rsidRPr="00535DF2">
              <w:t>583</w:t>
            </w:r>
          </w:p>
        </w:tc>
        <w:tc>
          <w:tcPr>
            <w:tcW w:w="1018" w:type="dxa"/>
            <w:shd w:val="clear" w:color="auto" w:fill="auto"/>
            <w:noWrap/>
            <w:vAlign w:val="center"/>
            <w:hideMark/>
          </w:tcPr>
          <w:p w14:paraId="793FCE4F" w14:textId="77777777" w:rsidR="00535DF2" w:rsidRPr="00535DF2" w:rsidRDefault="00535DF2" w:rsidP="00F51716">
            <w:pPr>
              <w:pStyle w:val="tableright"/>
            </w:pPr>
            <w:r w:rsidRPr="00535DF2">
              <w:t>758</w:t>
            </w:r>
          </w:p>
        </w:tc>
        <w:tc>
          <w:tcPr>
            <w:tcW w:w="1018" w:type="dxa"/>
            <w:shd w:val="clear" w:color="auto" w:fill="auto"/>
            <w:noWrap/>
            <w:vAlign w:val="center"/>
            <w:hideMark/>
          </w:tcPr>
          <w:p w14:paraId="1FDA93FD" w14:textId="77777777" w:rsidR="00535DF2" w:rsidRPr="00535DF2" w:rsidRDefault="00535DF2" w:rsidP="00F51716">
            <w:pPr>
              <w:pStyle w:val="tableright"/>
            </w:pPr>
            <w:r w:rsidRPr="00535DF2">
              <w:t>276</w:t>
            </w:r>
          </w:p>
        </w:tc>
      </w:tr>
      <w:tr w:rsidR="00535DF2" w:rsidRPr="00535DF2" w14:paraId="6C7839FE" w14:textId="77777777" w:rsidTr="003F15CC">
        <w:trPr>
          <w:trHeight w:val="223"/>
        </w:trPr>
        <w:tc>
          <w:tcPr>
            <w:tcW w:w="1651" w:type="dxa"/>
            <w:vMerge/>
            <w:vAlign w:val="center"/>
            <w:hideMark/>
          </w:tcPr>
          <w:p w14:paraId="1315A069" w14:textId="77777777" w:rsidR="00535DF2" w:rsidRPr="00535DF2" w:rsidRDefault="00535DF2" w:rsidP="00F51716">
            <w:pPr>
              <w:pStyle w:val="Tabletext0"/>
            </w:pPr>
          </w:p>
        </w:tc>
        <w:tc>
          <w:tcPr>
            <w:tcW w:w="1746" w:type="dxa"/>
            <w:shd w:val="clear" w:color="auto" w:fill="auto"/>
            <w:vAlign w:val="center"/>
            <w:hideMark/>
          </w:tcPr>
          <w:p w14:paraId="3FB78787" w14:textId="77777777" w:rsidR="00535DF2" w:rsidRPr="00535DF2" w:rsidRDefault="00535DF2" w:rsidP="00F51716">
            <w:pPr>
              <w:pStyle w:val="Tabletext0"/>
            </w:pPr>
            <w:r w:rsidRPr="00535DF2">
              <w:t>Paper GHG emissions</w:t>
            </w:r>
          </w:p>
        </w:tc>
        <w:tc>
          <w:tcPr>
            <w:tcW w:w="1239" w:type="dxa"/>
            <w:shd w:val="clear" w:color="auto" w:fill="auto"/>
            <w:vAlign w:val="center"/>
            <w:hideMark/>
          </w:tcPr>
          <w:p w14:paraId="7ED72666" w14:textId="20726794" w:rsidR="00535DF2" w:rsidRPr="00535DF2" w:rsidRDefault="00535DF2" w:rsidP="00F51716">
            <w:pPr>
              <w:pStyle w:val="Tabletext0"/>
            </w:pPr>
            <w:r w:rsidRPr="00535DF2">
              <w:t>Tonnes of CO</w:t>
            </w:r>
            <w:r w:rsidRPr="00535DF2">
              <w:rPr>
                <w:vertAlign w:val="subscript"/>
              </w:rPr>
              <w:t>2</w:t>
            </w:r>
            <w:r w:rsidRPr="00535DF2">
              <w:t xml:space="preserve"> –e </w:t>
            </w:r>
          </w:p>
        </w:tc>
        <w:tc>
          <w:tcPr>
            <w:tcW w:w="1018" w:type="dxa"/>
            <w:shd w:val="clear" w:color="auto" w:fill="auto"/>
            <w:noWrap/>
            <w:vAlign w:val="center"/>
            <w:hideMark/>
          </w:tcPr>
          <w:p w14:paraId="5F818C86" w14:textId="77777777" w:rsidR="00535DF2" w:rsidRPr="00535DF2" w:rsidRDefault="00535DF2" w:rsidP="00F51716">
            <w:pPr>
              <w:pStyle w:val="tableright"/>
            </w:pPr>
            <w:r w:rsidRPr="00535DF2">
              <w:t>2</w:t>
            </w:r>
          </w:p>
        </w:tc>
        <w:tc>
          <w:tcPr>
            <w:tcW w:w="1018" w:type="dxa"/>
            <w:shd w:val="clear" w:color="auto" w:fill="auto"/>
            <w:noWrap/>
            <w:vAlign w:val="center"/>
            <w:hideMark/>
          </w:tcPr>
          <w:p w14:paraId="07F8DF34" w14:textId="77777777" w:rsidR="00535DF2" w:rsidRPr="00535DF2" w:rsidRDefault="00535DF2" w:rsidP="00F51716">
            <w:pPr>
              <w:pStyle w:val="tableright"/>
            </w:pPr>
            <w:r w:rsidRPr="00535DF2">
              <w:t>2</w:t>
            </w:r>
          </w:p>
        </w:tc>
        <w:tc>
          <w:tcPr>
            <w:tcW w:w="1018" w:type="dxa"/>
            <w:shd w:val="clear" w:color="auto" w:fill="auto"/>
            <w:noWrap/>
            <w:vAlign w:val="center"/>
            <w:hideMark/>
          </w:tcPr>
          <w:p w14:paraId="71977E4B" w14:textId="77777777" w:rsidR="00535DF2" w:rsidRPr="00535DF2" w:rsidRDefault="00535DF2" w:rsidP="00F51716">
            <w:pPr>
              <w:pStyle w:val="tableright"/>
            </w:pPr>
            <w:r w:rsidRPr="00535DF2">
              <w:t>2</w:t>
            </w:r>
          </w:p>
        </w:tc>
        <w:tc>
          <w:tcPr>
            <w:tcW w:w="1018" w:type="dxa"/>
            <w:shd w:val="clear" w:color="auto" w:fill="auto"/>
            <w:noWrap/>
            <w:vAlign w:val="center"/>
            <w:hideMark/>
          </w:tcPr>
          <w:p w14:paraId="5BD4EA1F" w14:textId="77777777" w:rsidR="00535DF2" w:rsidRPr="00535DF2" w:rsidRDefault="00535DF2" w:rsidP="00F51716">
            <w:pPr>
              <w:pStyle w:val="tableright"/>
            </w:pPr>
            <w:r w:rsidRPr="00535DF2">
              <w:t>3</w:t>
            </w:r>
          </w:p>
        </w:tc>
        <w:tc>
          <w:tcPr>
            <w:tcW w:w="1018" w:type="dxa"/>
            <w:shd w:val="clear" w:color="auto" w:fill="auto"/>
            <w:noWrap/>
            <w:vAlign w:val="center"/>
            <w:hideMark/>
          </w:tcPr>
          <w:p w14:paraId="1226903D" w14:textId="77777777" w:rsidR="00535DF2" w:rsidRPr="00535DF2" w:rsidRDefault="00535DF2" w:rsidP="00F51716">
            <w:pPr>
              <w:pStyle w:val="tableright"/>
            </w:pPr>
            <w:r w:rsidRPr="00535DF2">
              <w:t>1</w:t>
            </w:r>
          </w:p>
        </w:tc>
      </w:tr>
      <w:tr w:rsidR="00535DF2" w:rsidRPr="00535DF2" w14:paraId="29F42DC0" w14:textId="77777777" w:rsidTr="003F15CC">
        <w:trPr>
          <w:trHeight w:val="213"/>
        </w:trPr>
        <w:tc>
          <w:tcPr>
            <w:tcW w:w="1651" w:type="dxa"/>
            <w:vMerge w:val="restart"/>
            <w:shd w:val="clear" w:color="auto" w:fill="auto"/>
            <w:vAlign w:val="center"/>
            <w:hideMark/>
          </w:tcPr>
          <w:p w14:paraId="5B55AA33" w14:textId="77777777" w:rsidR="00535DF2" w:rsidRPr="00535DF2" w:rsidRDefault="00535DF2" w:rsidP="00F51716">
            <w:pPr>
              <w:pStyle w:val="Tabletext0"/>
            </w:pPr>
            <w:r w:rsidRPr="00535DF2">
              <w:t>Waste</w:t>
            </w:r>
            <w:r w:rsidRPr="00535DF2">
              <w:rPr>
                <w:vertAlign w:val="superscript"/>
              </w:rPr>
              <w:t>6</w:t>
            </w:r>
          </w:p>
        </w:tc>
        <w:tc>
          <w:tcPr>
            <w:tcW w:w="1746" w:type="dxa"/>
            <w:shd w:val="clear" w:color="auto" w:fill="auto"/>
            <w:vAlign w:val="center"/>
            <w:hideMark/>
          </w:tcPr>
          <w:p w14:paraId="006F5A25" w14:textId="77777777" w:rsidR="00535DF2" w:rsidRPr="00535DF2" w:rsidRDefault="00535DF2" w:rsidP="00F51716">
            <w:pPr>
              <w:pStyle w:val="Tabletext0"/>
            </w:pPr>
            <w:r w:rsidRPr="00535DF2">
              <w:t>Generated per THC</w:t>
            </w:r>
          </w:p>
        </w:tc>
        <w:tc>
          <w:tcPr>
            <w:tcW w:w="1239" w:type="dxa"/>
            <w:shd w:val="clear" w:color="auto" w:fill="auto"/>
            <w:vAlign w:val="center"/>
            <w:hideMark/>
          </w:tcPr>
          <w:p w14:paraId="4AE1FB55" w14:textId="77777777" w:rsidR="00535DF2" w:rsidRPr="00535DF2" w:rsidRDefault="00535DF2" w:rsidP="00F51716">
            <w:pPr>
              <w:pStyle w:val="Tabletext0"/>
            </w:pPr>
            <w:r w:rsidRPr="00535DF2">
              <w:t>Kilograms per THC</w:t>
            </w:r>
          </w:p>
        </w:tc>
        <w:tc>
          <w:tcPr>
            <w:tcW w:w="1018" w:type="dxa"/>
            <w:shd w:val="clear" w:color="auto" w:fill="auto"/>
            <w:vAlign w:val="center"/>
            <w:hideMark/>
          </w:tcPr>
          <w:p w14:paraId="32A6E097" w14:textId="77777777" w:rsidR="00535DF2" w:rsidRPr="00535DF2" w:rsidRDefault="00535DF2" w:rsidP="00F51716">
            <w:pPr>
              <w:pStyle w:val="tableright"/>
            </w:pPr>
            <w:r w:rsidRPr="00535DF2">
              <w:t>42</w:t>
            </w:r>
          </w:p>
        </w:tc>
        <w:tc>
          <w:tcPr>
            <w:tcW w:w="1018" w:type="dxa"/>
            <w:shd w:val="clear" w:color="auto" w:fill="auto"/>
            <w:vAlign w:val="center"/>
            <w:hideMark/>
          </w:tcPr>
          <w:p w14:paraId="4702C51D" w14:textId="77777777" w:rsidR="00535DF2" w:rsidRPr="00535DF2" w:rsidRDefault="00535DF2" w:rsidP="00F51716">
            <w:pPr>
              <w:pStyle w:val="tableright"/>
            </w:pPr>
            <w:r w:rsidRPr="00535DF2">
              <w:t>32</w:t>
            </w:r>
          </w:p>
        </w:tc>
        <w:tc>
          <w:tcPr>
            <w:tcW w:w="1018" w:type="dxa"/>
            <w:shd w:val="clear" w:color="auto" w:fill="auto"/>
            <w:vAlign w:val="center"/>
            <w:hideMark/>
          </w:tcPr>
          <w:p w14:paraId="5050D595" w14:textId="77777777" w:rsidR="00535DF2" w:rsidRPr="00535DF2" w:rsidRDefault="00535DF2" w:rsidP="00F51716">
            <w:pPr>
              <w:pStyle w:val="tableright"/>
            </w:pPr>
            <w:r w:rsidRPr="00535DF2">
              <w:t>42</w:t>
            </w:r>
          </w:p>
        </w:tc>
        <w:tc>
          <w:tcPr>
            <w:tcW w:w="1018" w:type="dxa"/>
            <w:shd w:val="clear" w:color="auto" w:fill="auto"/>
            <w:vAlign w:val="center"/>
            <w:hideMark/>
          </w:tcPr>
          <w:p w14:paraId="481E8C1F" w14:textId="77777777" w:rsidR="00535DF2" w:rsidRPr="00535DF2" w:rsidRDefault="00535DF2" w:rsidP="00F51716">
            <w:pPr>
              <w:pStyle w:val="tableright"/>
            </w:pPr>
            <w:r w:rsidRPr="00535DF2">
              <w:t>26</w:t>
            </w:r>
          </w:p>
        </w:tc>
        <w:tc>
          <w:tcPr>
            <w:tcW w:w="1018" w:type="dxa"/>
            <w:shd w:val="clear" w:color="auto" w:fill="auto"/>
            <w:vAlign w:val="center"/>
            <w:hideMark/>
          </w:tcPr>
          <w:p w14:paraId="56F256AE" w14:textId="1B1B5FBA" w:rsidR="00535DF2" w:rsidRPr="00535DF2" w:rsidRDefault="00CB502B" w:rsidP="00F51716">
            <w:pPr>
              <w:pStyle w:val="tableright"/>
              <w:rPr>
                <w:rFonts w:eastAsia="Times New Roman"/>
              </w:rPr>
            </w:pPr>
            <w:r>
              <w:t>21</w:t>
            </w:r>
          </w:p>
        </w:tc>
      </w:tr>
      <w:tr w:rsidR="00535DF2" w:rsidRPr="00535DF2" w14:paraId="138D62CF" w14:textId="77777777" w:rsidTr="003F15CC">
        <w:trPr>
          <w:trHeight w:val="213"/>
        </w:trPr>
        <w:tc>
          <w:tcPr>
            <w:tcW w:w="1651" w:type="dxa"/>
            <w:vMerge/>
            <w:vAlign w:val="center"/>
            <w:hideMark/>
          </w:tcPr>
          <w:p w14:paraId="178BDEBE" w14:textId="77777777" w:rsidR="00535DF2" w:rsidRPr="00535DF2" w:rsidRDefault="00535DF2" w:rsidP="00F51716">
            <w:pPr>
              <w:pStyle w:val="Tabletext0"/>
            </w:pPr>
          </w:p>
        </w:tc>
        <w:tc>
          <w:tcPr>
            <w:tcW w:w="1746" w:type="dxa"/>
            <w:shd w:val="clear" w:color="auto" w:fill="auto"/>
            <w:vAlign w:val="center"/>
            <w:hideMark/>
          </w:tcPr>
          <w:p w14:paraId="6BECD724" w14:textId="77777777" w:rsidR="00535DF2" w:rsidRPr="00535DF2" w:rsidRDefault="00535DF2" w:rsidP="00F51716">
            <w:pPr>
              <w:pStyle w:val="Tabletext0"/>
            </w:pPr>
            <w:r w:rsidRPr="00535DF2">
              <w:t>Generated per FTE</w:t>
            </w:r>
          </w:p>
        </w:tc>
        <w:tc>
          <w:tcPr>
            <w:tcW w:w="1239" w:type="dxa"/>
            <w:shd w:val="clear" w:color="auto" w:fill="auto"/>
            <w:vAlign w:val="center"/>
            <w:hideMark/>
          </w:tcPr>
          <w:p w14:paraId="78068227" w14:textId="77777777" w:rsidR="00535DF2" w:rsidRPr="00535DF2" w:rsidRDefault="00535DF2" w:rsidP="00F51716">
            <w:pPr>
              <w:pStyle w:val="Tabletext0"/>
            </w:pPr>
            <w:r w:rsidRPr="00535DF2">
              <w:t>Kilograms per FTE</w:t>
            </w:r>
          </w:p>
        </w:tc>
        <w:tc>
          <w:tcPr>
            <w:tcW w:w="1018" w:type="dxa"/>
            <w:shd w:val="clear" w:color="auto" w:fill="auto"/>
            <w:vAlign w:val="center"/>
            <w:hideMark/>
          </w:tcPr>
          <w:p w14:paraId="3054B1F3" w14:textId="77777777" w:rsidR="00535DF2" w:rsidRPr="00535DF2" w:rsidRDefault="00535DF2" w:rsidP="00F51716">
            <w:pPr>
              <w:pStyle w:val="tableright"/>
            </w:pPr>
            <w:r w:rsidRPr="00535DF2">
              <w:t>45</w:t>
            </w:r>
          </w:p>
        </w:tc>
        <w:tc>
          <w:tcPr>
            <w:tcW w:w="1018" w:type="dxa"/>
            <w:shd w:val="clear" w:color="auto" w:fill="auto"/>
            <w:vAlign w:val="center"/>
            <w:hideMark/>
          </w:tcPr>
          <w:p w14:paraId="3C3B7398" w14:textId="77777777" w:rsidR="00535DF2" w:rsidRPr="00535DF2" w:rsidRDefault="00535DF2" w:rsidP="00F51716">
            <w:pPr>
              <w:pStyle w:val="tableright"/>
            </w:pPr>
            <w:r w:rsidRPr="00535DF2">
              <w:t>42</w:t>
            </w:r>
          </w:p>
        </w:tc>
        <w:tc>
          <w:tcPr>
            <w:tcW w:w="1018" w:type="dxa"/>
            <w:shd w:val="clear" w:color="auto" w:fill="auto"/>
            <w:vAlign w:val="center"/>
            <w:hideMark/>
          </w:tcPr>
          <w:p w14:paraId="4FCE7086" w14:textId="77777777" w:rsidR="00535DF2" w:rsidRPr="00535DF2" w:rsidRDefault="00535DF2" w:rsidP="00F51716">
            <w:pPr>
              <w:pStyle w:val="tableright"/>
            </w:pPr>
            <w:r w:rsidRPr="00535DF2">
              <w:t>46</w:t>
            </w:r>
          </w:p>
        </w:tc>
        <w:tc>
          <w:tcPr>
            <w:tcW w:w="1018" w:type="dxa"/>
            <w:shd w:val="clear" w:color="auto" w:fill="auto"/>
            <w:vAlign w:val="center"/>
            <w:hideMark/>
          </w:tcPr>
          <w:p w14:paraId="3DBFAA82" w14:textId="77777777" w:rsidR="00535DF2" w:rsidRPr="00535DF2" w:rsidRDefault="00535DF2" w:rsidP="00F51716">
            <w:pPr>
              <w:pStyle w:val="tableright"/>
            </w:pPr>
            <w:r w:rsidRPr="00535DF2">
              <w:t>41</w:t>
            </w:r>
          </w:p>
        </w:tc>
        <w:tc>
          <w:tcPr>
            <w:tcW w:w="1018" w:type="dxa"/>
            <w:shd w:val="clear" w:color="auto" w:fill="auto"/>
            <w:vAlign w:val="center"/>
            <w:hideMark/>
          </w:tcPr>
          <w:p w14:paraId="7CFD114B" w14:textId="69291E94" w:rsidR="00535DF2" w:rsidRPr="00535DF2" w:rsidRDefault="00CB502B" w:rsidP="00F51716">
            <w:pPr>
              <w:pStyle w:val="tableright"/>
              <w:rPr>
                <w:rFonts w:eastAsia="Times New Roman"/>
              </w:rPr>
            </w:pPr>
            <w:r>
              <w:t>24</w:t>
            </w:r>
          </w:p>
        </w:tc>
      </w:tr>
      <w:tr w:rsidR="00535DF2" w:rsidRPr="00535DF2" w14:paraId="6E3581EC" w14:textId="77777777" w:rsidTr="003F15CC">
        <w:trPr>
          <w:trHeight w:val="213"/>
        </w:trPr>
        <w:tc>
          <w:tcPr>
            <w:tcW w:w="1651" w:type="dxa"/>
            <w:vMerge/>
            <w:vAlign w:val="center"/>
            <w:hideMark/>
          </w:tcPr>
          <w:p w14:paraId="32145CB7" w14:textId="77777777" w:rsidR="00535DF2" w:rsidRPr="00535DF2" w:rsidRDefault="00535DF2" w:rsidP="00F51716">
            <w:pPr>
              <w:pStyle w:val="Tabletext0"/>
            </w:pPr>
          </w:p>
        </w:tc>
        <w:tc>
          <w:tcPr>
            <w:tcW w:w="1746" w:type="dxa"/>
            <w:shd w:val="clear" w:color="000000" w:fill="FFFFFF"/>
            <w:vAlign w:val="center"/>
            <w:hideMark/>
          </w:tcPr>
          <w:p w14:paraId="5235B730" w14:textId="77777777" w:rsidR="00535DF2" w:rsidRPr="00535DF2" w:rsidRDefault="00535DF2" w:rsidP="00F51716">
            <w:pPr>
              <w:pStyle w:val="Tabletext0"/>
            </w:pPr>
            <w:r w:rsidRPr="00535DF2">
              <w:t>Organics per FTE</w:t>
            </w:r>
          </w:p>
        </w:tc>
        <w:tc>
          <w:tcPr>
            <w:tcW w:w="1239" w:type="dxa"/>
            <w:shd w:val="clear" w:color="000000" w:fill="FFFFFF"/>
            <w:vAlign w:val="center"/>
            <w:hideMark/>
          </w:tcPr>
          <w:p w14:paraId="71C19D0D" w14:textId="77777777" w:rsidR="00535DF2" w:rsidRPr="00535DF2" w:rsidRDefault="00535DF2" w:rsidP="00F51716">
            <w:pPr>
              <w:pStyle w:val="Tabletext0"/>
            </w:pPr>
            <w:r w:rsidRPr="00535DF2">
              <w:t>Kilograms per FTE</w:t>
            </w:r>
          </w:p>
        </w:tc>
        <w:tc>
          <w:tcPr>
            <w:tcW w:w="1018" w:type="dxa"/>
            <w:shd w:val="clear" w:color="auto" w:fill="auto"/>
            <w:vAlign w:val="center"/>
            <w:hideMark/>
          </w:tcPr>
          <w:p w14:paraId="2B06505F" w14:textId="77777777" w:rsidR="00535DF2" w:rsidRPr="00535DF2" w:rsidRDefault="00535DF2" w:rsidP="00F51716">
            <w:pPr>
              <w:pStyle w:val="tableright"/>
            </w:pPr>
            <w:r w:rsidRPr="00535DF2">
              <w:t>14</w:t>
            </w:r>
          </w:p>
        </w:tc>
        <w:tc>
          <w:tcPr>
            <w:tcW w:w="1018" w:type="dxa"/>
            <w:shd w:val="clear" w:color="auto" w:fill="auto"/>
            <w:vAlign w:val="center"/>
            <w:hideMark/>
          </w:tcPr>
          <w:p w14:paraId="2C46139F" w14:textId="77777777" w:rsidR="00535DF2" w:rsidRPr="00535DF2" w:rsidRDefault="00535DF2" w:rsidP="00F51716">
            <w:pPr>
              <w:pStyle w:val="tableright"/>
            </w:pPr>
            <w:r w:rsidRPr="00535DF2">
              <w:t>8</w:t>
            </w:r>
          </w:p>
        </w:tc>
        <w:tc>
          <w:tcPr>
            <w:tcW w:w="1018" w:type="dxa"/>
            <w:shd w:val="clear" w:color="auto" w:fill="auto"/>
            <w:vAlign w:val="center"/>
            <w:hideMark/>
          </w:tcPr>
          <w:p w14:paraId="176B7CB4" w14:textId="77777777" w:rsidR="00535DF2" w:rsidRPr="00535DF2" w:rsidRDefault="00535DF2" w:rsidP="00F51716">
            <w:pPr>
              <w:pStyle w:val="tableright"/>
            </w:pPr>
            <w:r w:rsidRPr="00535DF2">
              <w:t>6</w:t>
            </w:r>
          </w:p>
        </w:tc>
        <w:tc>
          <w:tcPr>
            <w:tcW w:w="1018" w:type="dxa"/>
            <w:shd w:val="clear" w:color="auto" w:fill="auto"/>
            <w:vAlign w:val="center"/>
            <w:hideMark/>
          </w:tcPr>
          <w:p w14:paraId="119BB2E0" w14:textId="77777777" w:rsidR="00535DF2" w:rsidRPr="00535DF2" w:rsidRDefault="00535DF2" w:rsidP="00F51716">
            <w:pPr>
              <w:pStyle w:val="tableright"/>
            </w:pPr>
            <w:r w:rsidRPr="00535DF2">
              <w:t>5</w:t>
            </w:r>
          </w:p>
        </w:tc>
        <w:tc>
          <w:tcPr>
            <w:tcW w:w="1018" w:type="dxa"/>
            <w:shd w:val="clear" w:color="auto" w:fill="auto"/>
            <w:vAlign w:val="center"/>
            <w:hideMark/>
          </w:tcPr>
          <w:p w14:paraId="1D29F8AB" w14:textId="41DEA87A" w:rsidR="00535DF2" w:rsidRPr="00535DF2" w:rsidRDefault="00CB502B" w:rsidP="00F51716">
            <w:pPr>
              <w:pStyle w:val="tableright"/>
              <w:rPr>
                <w:rFonts w:eastAsia="Times New Roman"/>
              </w:rPr>
            </w:pPr>
            <w:r>
              <w:t>3</w:t>
            </w:r>
          </w:p>
        </w:tc>
      </w:tr>
      <w:tr w:rsidR="00535DF2" w:rsidRPr="00535DF2" w14:paraId="0269E663" w14:textId="77777777" w:rsidTr="003F15CC">
        <w:trPr>
          <w:trHeight w:val="213"/>
        </w:trPr>
        <w:tc>
          <w:tcPr>
            <w:tcW w:w="1651" w:type="dxa"/>
            <w:vMerge/>
            <w:vAlign w:val="center"/>
            <w:hideMark/>
          </w:tcPr>
          <w:p w14:paraId="15C637B8" w14:textId="77777777" w:rsidR="00535DF2" w:rsidRPr="00535DF2" w:rsidRDefault="00535DF2" w:rsidP="00F51716">
            <w:pPr>
              <w:pStyle w:val="Tabletext0"/>
            </w:pPr>
          </w:p>
        </w:tc>
        <w:tc>
          <w:tcPr>
            <w:tcW w:w="1746" w:type="dxa"/>
            <w:shd w:val="clear" w:color="000000" w:fill="FFFFFF"/>
            <w:vAlign w:val="center"/>
            <w:hideMark/>
          </w:tcPr>
          <w:p w14:paraId="7054406B" w14:textId="77777777" w:rsidR="00535DF2" w:rsidRPr="00535DF2" w:rsidRDefault="00535DF2" w:rsidP="00F51716">
            <w:pPr>
              <w:pStyle w:val="Tabletext0"/>
            </w:pPr>
            <w:r w:rsidRPr="00535DF2">
              <w:t>Recyclables per FTE</w:t>
            </w:r>
          </w:p>
        </w:tc>
        <w:tc>
          <w:tcPr>
            <w:tcW w:w="1239" w:type="dxa"/>
            <w:shd w:val="clear" w:color="000000" w:fill="FFFFFF"/>
            <w:vAlign w:val="center"/>
            <w:hideMark/>
          </w:tcPr>
          <w:p w14:paraId="6B383A03" w14:textId="77777777" w:rsidR="00535DF2" w:rsidRPr="00535DF2" w:rsidRDefault="00535DF2" w:rsidP="00F51716">
            <w:pPr>
              <w:pStyle w:val="Tabletext0"/>
            </w:pPr>
            <w:r w:rsidRPr="00535DF2">
              <w:t>Kilograms per FTE</w:t>
            </w:r>
          </w:p>
        </w:tc>
        <w:tc>
          <w:tcPr>
            <w:tcW w:w="1018" w:type="dxa"/>
            <w:shd w:val="clear" w:color="auto" w:fill="auto"/>
            <w:vAlign w:val="center"/>
            <w:hideMark/>
          </w:tcPr>
          <w:p w14:paraId="4BAB3BDE" w14:textId="77777777" w:rsidR="00535DF2" w:rsidRPr="00535DF2" w:rsidRDefault="00535DF2" w:rsidP="00F51716">
            <w:pPr>
              <w:pStyle w:val="tableright"/>
            </w:pPr>
            <w:r w:rsidRPr="00535DF2">
              <w:t>23</w:t>
            </w:r>
          </w:p>
        </w:tc>
        <w:tc>
          <w:tcPr>
            <w:tcW w:w="1018" w:type="dxa"/>
            <w:shd w:val="clear" w:color="auto" w:fill="auto"/>
            <w:vAlign w:val="center"/>
            <w:hideMark/>
          </w:tcPr>
          <w:p w14:paraId="03248D57" w14:textId="77777777" w:rsidR="00535DF2" w:rsidRPr="00535DF2" w:rsidRDefault="00535DF2" w:rsidP="00F51716">
            <w:pPr>
              <w:pStyle w:val="tableright"/>
            </w:pPr>
            <w:r w:rsidRPr="00535DF2">
              <w:t>19</w:t>
            </w:r>
          </w:p>
        </w:tc>
        <w:tc>
          <w:tcPr>
            <w:tcW w:w="1018" w:type="dxa"/>
            <w:shd w:val="clear" w:color="auto" w:fill="auto"/>
            <w:vAlign w:val="center"/>
            <w:hideMark/>
          </w:tcPr>
          <w:p w14:paraId="2C4F0658" w14:textId="77777777" w:rsidR="00535DF2" w:rsidRPr="00535DF2" w:rsidRDefault="00535DF2" w:rsidP="00F51716">
            <w:pPr>
              <w:pStyle w:val="tableright"/>
            </w:pPr>
            <w:r w:rsidRPr="00535DF2">
              <w:t>35</w:t>
            </w:r>
          </w:p>
        </w:tc>
        <w:tc>
          <w:tcPr>
            <w:tcW w:w="1018" w:type="dxa"/>
            <w:shd w:val="clear" w:color="auto" w:fill="auto"/>
            <w:vAlign w:val="center"/>
            <w:hideMark/>
          </w:tcPr>
          <w:p w14:paraId="6EB3193D" w14:textId="77777777" w:rsidR="00535DF2" w:rsidRPr="00535DF2" w:rsidRDefault="00535DF2" w:rsidP="00F51716">
            <w:pPr>
              <w:pStyle w:val="tableright"/>
            </w:pPr>
            <w:r w:rsidRPr="00535DF2">
              <w:t>19</w:t>
            </w:r>
          </w:p>
        </w:tc>
        <w:tc>
          <w:tcPr>
            <w:tcW w:w="1018" w:type="dxa"/>
            <w:shd w:val="clear" w:color="auto" w:fill="auto"/>
            <w:vAlign w:val="center"/>
            <w:hideMark/>
          </w:tcPr>
          <w:p w14:paraId="67DC1DA3" w14:textId="6BB3C0ED" w:rsidR="00535DF2" w:rsidRPr="00535DF2" w:rsidRDefault="00CB502B" w:rsidP="00F51716">
            <w:pPr>
              <w:pStyle w:val="tableright"/>
              <w:rPr>
                <w:rFonts w:eastAsia="Times New Roman"/>
              </w:rPr>
            </w:pPr>
            <w:r>
              <w:t>18</w:t>
            </w:r>
          </w:p>
        </w:tc>
      </w:tr>
      <w:tr w:rsidR="00535DF2" w:rsidRPr="00535DF2" w14:paraId="2547ABBA" w14:textId="77777777" w:rsidTr="003F15CC">
        <w:trPr>
          <w:trHeight w:val="213"/>
        </w:trPr>
        <w:tc>
          <w:tcPr>
            <w:tcW w:w="1651" w:type="dxa"/>
            <w:vMerge/>
            <w:vAlign w:val="center"/>
            <w:hideMark/>
          </w:tcPr>
          <w:p w14:paraId="33B81438" w14:textId="77777777" w:rsidR="00535DF2" w:rsidRPr="00535DF2" w:rsidRDefault="00535DF2" w:rsidP="00F51716">
            <w:pPr>
              <w:pStyle w:val="Tabletext0"/>
            </w:pPr>
          </w:p>
        </w:tc>
        <w:tc>
          <w:tcPr>
            <w:tcW w:w="1746" w:type="dxa"/>
            <w:shd w:val="clear" w:color="000000" w:fill="FFFFFF"/>
            <w:vAlign w:val="center"/>
            <w:hideMark/>
          </w:tcPr>
          <w:p w14:paraId="37EC8149" w14:textId="77777777" w:rsidR="00535DF2" w:rsidRPr="00535DF2" w:rsidRDefault="00535DF2" w:rsidP="00F51716">
            <w:pPr>
              <w:pStyle w:val="Tabletext0"/>
            </w:pPr>
            <w:r w:rsidRPr="00535DF2">
              <w:t>Landfill per FTE</w:t>
            </w:r>
          </w:p>
        </w:tc>
        <w:tc>
          <w:tcPr>
            <w:tcW w:w="1239" w:type="dxa"/>
            <w:shd w:val="clear" w:color="000000" w:fill="FFFFFF"/>
            <w:vAlign w:val="center"/>
            <w:hideMark/>
          </w:tcPr>
          <w:p w14:paraId="0728AF4E" w14:textId="77777777" w:rsidR="00535DF2" w:rsidRPr="00535DF2" w:rsidRDefault="00535DF2" w:rsidP="00F51716">
            <w:pPr>
              <w:pStyle w:val="Tabletext0"/>
            </w:pPr>
            <w:r w:rsidRPr="00535DF2">
              <w:t>Kilograms per FTE</w:t>
            </w:r>
          </w:p>
        </w:tc>
        <w:tc>
          <w:tcPr>
            <w:tcW w:w="1018" w:type="dxa"/>
            <w:shd w:val="clear" w:color="auto" w:fill="auto"/>
            <w:vAlign w:val="center"/>
            <w:hideMark/>
          </w:tcPr>
          <w:p w14:paraId="5B2595E4" w14:textId="77777777" w:rsidR="00535DF2" w:rsidRPr="00535DF2" w:rsidRDefault="00535DF2" w:rsidP="00F51716">
            <w:pPr>
              <w:pStyle w:val="tableright"/>
            </w:pPr>
            <w:r w:rsidRPr="00535DF2">
              <w:t>8</w:t>
            </w:r>
          </w:p>
        </w:tc>
        <w:tc>
          <w:tcPr>
            <w:tcW w:w="1018" w:type="dxa"/>
            <w:shd w:val="clear" w:color="auto" w:fill="auto"/>
            <w:vAlign w:val="center"/>
            <w:hideMark/>
          </w:tcPr>
          <w:p w14:paraId="4BF421EC" w14:textId="77777777" w:rsidR="00535DF2" w:rsidRPr="00535DF2" w:rsidRDefault="00535DF2" w:rsidP="00F51716">
            <w:pPr>
              <w:pStyle w:val="tableright"/>
            </w:pPr>
            <w:r w:rsidRPr="00535DF2">
              <w:t>8</w:t>
            </w:r>
          </w:p>
        </w:tc>
        <w:tc>
          <w:tcPr>
            <w:tcW w:w="1018" w:type="dxa"/>
            <w:shd w:val="clear" w:color="auto" w:fill="auto"/>
            <w:vAlign w:val="center"/>
            <w:hideMark/>
          </w:tcPr>
          <w:p w14:paraId="6FC62942" w14:textId="77777777" w:rsidR="00535DF2" w:rsidRPr="00535DF2" w:rsidRDefault="00535DF2" w:rsidP="00F51716">
            <w:pPr>
              <w:pStyle w:val="tableright"/>
            </w:pPr>
            <w:r w:rsidRPr="00535DF2">
              <w:t>4</w:t>
            </w:r>
          </w:p>
        </w:tc>
        <w:tc>
          <w:tcPr>
            <w:tcW w:w="1018" w:type="dxa"/>
            <w:shd w:val="clear" w:color="auto" w:fill="auto"/>
            <w:vAlign w:val="center"/>
            <w:hideMark/>
          </w:tcPr>
          <w:p w14:paraId="2029B09B" w14:textId="77777777" w:rsidR="00535DF2" w:rsidRPr="00535DF2" w:rsidRDefault="00535DF2" w:rsidP="00F51716">
            <w:pPr>
              <w:pStyle w:val="tableright"/>
            </w:pPr>
            <w:r w:rsidRPr="00535DF2">
              <w:t>5</w:t>
            </w:r>
          </w:p>
        </w:tc>
        <w:tc>
          <w:tcPr>
            <w:tcW w:w="1018" w:type="dxa"/>
            <w:shd w:val="clear" w:color="auto" w:fill="auto"/>
            <w:vAlign w:val="center"/>
            <w:hideMark/>
          </w:tcPr>
          <w:p w14:paraId="7A68E5E0" w14:textId="2721BD2C" w:rsidR="00535DF2" w:rsidRPr="00535DF2" w:rsidRDefault="00CB502B" w:rsidP="00F51716">
            <w:pPr>
              <w:pStyle w:val="tableright"/>
              <w:rPr>
                <w:rFonts w:eastAsia="Times New Roman"/>
              </w:rPr>
            </w:pPr>
            <w:r>
              <w:t>2</w:t>
            </w:r>
          </w:p>
        </w:tc>
      </w:tr>
      <w:tr w:rsidR="00535DF2" w:rsidRPr="00535DF2" w14:paraId="27763EFD" w14:textId="77777777" w:rsidTr="003F15CC">
        <w:trPr>
          <w:trHeight w:val="320"/>
        </w:trPr>
        <w:tc>
          <w:tcPr>
            <w:tcW w:w="1651" w:type="dxa"/>
            <w:vMerge/>
            <w:vAlign w:val="center"/>
            <w:hideMark/>
          </w:tcPr>
          <w:p w14:paraId="4993C108" w14:textId="77777777" w:rsidR="00535DF2" w:rsidRPr="00535DF2" w:rsidRDefault="00535DF2" w:rsidP="00F51716">
            <w:pPr>
              <w:pStyle w:val="Tabletext0"/>
            </w:pPr>
          </w:p>
        </w:tc>
        <w:tc>
          <w:tcPr>
            <w:tcW w:w="1746" w:type="dxa"/>
            <w:shd w:val="clear" w:color="auto" w:fill="auto"/>
            <w:vAlign w:val="center"/>
            <w:hideMark/>
          </w:tcPr>
          <w:p w14:paraId="44612E2B" w14:textId="77777777" w:rsidR="00535DF2" w:rsidRPr="00535DF2" w:rsidRDefault="00535DF2" w:rsidP="00F51716">
            <w:pPr>
              <w:pStyle w:val="Tabletext0"/>
            </w:pPr>
            <w:r w:rsidRPr="00535DF2">
              <w:t>Organics</w:t>
            </w:r>
          </w:p>
        </w:tc>
        <w:tc>
          <w:tcPr>
            <w:tcW w:w="1239" w:type="dxa"/>
            <w:shd w:val="clear" w:color="auto" w:fill="auto"/>
            <w:vAlign w:val="center"/>
            <w:hideMark/>
          </w:tcPr>
          <w:p w14:paraId="5F34EE6D" w14:textId="77777777" w:rsidR="00535DF2" w:rsidRPr="00535DF2" w:rsidRDefault="00535DF2" w:rsidP="00F51716">
            <w:pPr>
              <w:pStyle w:val="Tabletext0"/>
            </w:pPr>
            <w:r w:rsidRPr="00535DF2">
              <w:t>Total kg to processor</w:t>
            </w:r>
          </w:p>
        </w:tc>
        <w:tc>
          <w:tcPr>
            <w:tcW w:w="1018" w:type="dxa"/>
            <w:shd w:val="clear" w:color="auto" w:fill="auto"/>
            <w:vAlign w:val="center"/>
            <w:hideMark/>
          </w:tcPr>
          <w:p w14:paraId="11E4DF68" w14:textId="77777777" w:rsidR="00535DF2" w:rsidRPr="00535DF2" w:rsidRDefault="00535DF2" w:rsidP="00F51716">
            <w:pPr>
              <w:pStyle w:val="tableright"/>
            </w:pPr>
            <w:r w:rsidRPr="00535DF2">
              <w:t>1533</w:t>
            </w:r>
          </w:p>
        </w:tc>
        <w:tc>
          <w:tcPr>
            <w:tcW w:w="1018" w:type="dxa"/>
            <w:shd w:val="clear" w:color="auto" w:fill="auto"/>
            <w:vAlign w:val="center"/>
            <w:hideMark/>
          </w:tcPr>
          <w:p w14:paraId="145B4A50" w14:textId="77777777" w:rsidR="00535DF2" w:rsidRPr="00535DF2" w:rsidRDefault="00535DF2" w:rsidP="00F51716">
            <w:pPr>
              <w:pStyle w:val="tableright"/>
            </w:pPr>
            <w:r w:rsidRPr="00535DF2">
              <w:t>891</w:t>
            </w:r>
          </w:p>
        </w:tc>
        <w:tc>
          <w:tcPr>
            <w:tcW w:w="1018" w:type="dxa"/>
            <w:shd w:val="clear" w:color="auto" w:fill="auto"/>
            <w:vAlign w:val="center"/>
            <w:hideMark/>
          </w:tcPr>
          <w:p w14:paraId="0D3E9504" w14:textId="77777777" w:rsidR="00535DF2" w:rsidRPr="00535DF2" w:rsidRDefault="00535DF2" w:rsidP="00F51716">
            <w:pPr>
              <w:pStyle w:val="tableright"/>
            </w:pPr>
            <w:r w:rsidRPr="00535DF2">
              <w:t>694</w:t>
            </w:r>
          </w:p>
        </w:tc>
        <w:tc>
          <w:tcPr>
            <w:tcW w:w="1018" w:type="dxa"/>
            <w:shd w:val="clear" w:color="auto" w:fill="auto"/>
            <w:vAlign w:val="center"/>
            <w:hideMark/>
          </w:tcPr>
          <w:p w14:paraId="34E7658A" w14:textId="77777777" w:rsidR="00535DF2" w:rsidRPr="00535DF2" w:rsidRDefault="00535DF2" w:rsidP="00F51716">
            <w:pPr>
              <w:pStyle w:val="tableright"/>
            </w:pPr>
            <w:r w:rsidRPr="00535DF2">
              <w:t>805</w:t>
            </w:r>
          </w:p>
        </w:tc>
        <w:tc>
          <w:tcPr>
            <w:tcW w:w="1018" w:type="dxa"/>
            <w:shd w:val="clear" w:color="auto" w:fill="auto"/>
            <w:vAlign w:val="center"/>
            <w:hideMark/>
          </w:tcPr>
          <w:p w14:paraId="2C2F239E" w14:textId="7BF8AF8E" w:rsidR="00535DF2" w:rsidRPr="00535DF2" w:rsidRDefault="00CB502B" w:rsidP="00F51716">
            <w:pPr>
              <w:pStyle w:val="tableright"/>
              <w:rPr>
                <w:rFonts w:eastAsia="Times New Roman"/>
              </w:rPr>
            </w:pPr>
            <w:r>
              <w:t>406</w:t>
            </w:r>
          </w:p>
        </w:tc>
      </w:tr>
      <w:tr w:rsidR="00535DF2" w:rsidRPr="00535DF2" w14:paraId="4047F012" w14:textId="77777777" w:rsidTr="003F15CC">
        <w:trPr>
          <w:trHeight w:val="320"/>
        </w:trPr>
        <w:tc>
          <w:tcPr>
            <w:tcW w:w="1651" w:type="dxa"/>
            <w:vMerge/>
            <w:vAlign w:val="center"/>
            <w:hideMark/>
          </w:tcPr>
          <w:p w14:paraId="7E5B3A89" w14:textId="77777777" w:rsidR="00535DF2" w:rsidRPr="00535DF2" w:rsidRDefault="00535DF2" w:rsidP="00F51716">
            <w:pPr>
              <w:pStyle w:val="Tabletext0"/>
            </w:pPr>
          </w:p>
        </w:tc>
        <w:tc>
          <w:tcPr>
            <w:tcW w:w="1746" w:type="dxa"/>
            <w:shd w:val="clear" w:color="auto" w:fill="auto"/>
            <w:vAlign w:val="center"/>
            <w:hideMark/>
          </w:tcPr>
          <w:p w14:paraId="0CE196AE" w14:textId="77777777" w:rsidR="00535DF2" w:rsidRPr="00535DF2" w:rsidRDefault="00535DF2" w:rsidP="00F51716">
            <w:pPr>
              <w:pStyle w:val="Tabletext0"/>
            </w:pPr>
            <w:r w:rsidRPr="00535DF2">
              <w:t>Recyclable materials</w:t>
            </w:r>
          </w:p>
        </w:tc>
        <w:tc>
          <w:tcPr>
            <w:tcW w:w="1239" w:type="dxa"/>
            <w:shd w:val="clear" w:color="auto" w:fill="auto"/>
            <w:vAlign w:val="center"/>
            <w:hideMark/>
          </w:tcPr>
          <w:p w14:paraId="455E3CE5" w14:textId="77777777" w:rsidR="00535DF2" w:rsidRPr="00535DF2" w:rsidRDefault="00535DF2" w:rsidP="00F51716">
            <w:pPr>
              <w:pStyle w:val="Tabletext0"/>
            </w:pPr>
            <w:r w:rsidRPr="00535DF2">
              <w:t>Total kg to processors</w:t>
            </w:r>
          </w:p>
        </w:tc>
        <w:tc>
          <w:tcPr>
            <w:tcW w:w="1018" w:type="dxa"/>
            <w:shd w:val="clear" w:color="auto" w:fill="auto"/>
            <w:vAlign w:val="center"/>
            <w:hideMark/>
          </w:tcPr>
          <w:p w14:paraId="5CBD7DF3" w14:textId="77777777" w:rsidR="00535DF2" w:rsidRPr="00535DF2" w:rsidRDefault="00535DF2" w:rsidP="00F51716">
            <w:pPr>
              <w:pStyle w:val="tableright"/>
            </w:pPr>
            <w:r w:rsidRPr="00535DF2">
              <w:t>2549</w:t>
            </w:r>
          </w:p>
        </w:tc>
        <w:tc>
          <w:tcPr>
            <w:tcW w:w="1018" w:type="dxa"/>
            <w:shd w:val="clear" w:color="auto" w:fill="auto"/>
            <w:vAlign w:val="center"/>
            <w:hideMark/>
          </w:tcPr>
          <w:p w14:paraId="6C95B402" w14:textId="77777777" w:rsidR="00535DF2" w:rsidRPr="00535DF2" w:rsidRDefault="00535DF2" w:rsidP="00F51716">
            <w:pPr>
              <w:pStyle w:val="tableright"/>
            </w:pPr>
            <w:r w:rsidRPr="00535DF2">
              <w:t>2245</w:t>
            </w:r>
          </w:p>
        </w:tc>
        <w:tc>
          <w:tcPr>
            <w:tcW w:w="1018" w:type="dxa"/>
            <w:shd w:val="clear" w:color="auto" w:fill="auto"/>
            <w:vAlign w:val="center"/>
            <w:hideMark/>
          </w:tcPr>
          <w:p w14:paraId="46279DAC" w14:textId="77777777" w:rsidR="00535DF2" w:rsidRPr="00535DF2" w:rsidRDefault="00535DF2" w:rsidP="00F51716">
            <w:pPr>
              <w:pStyle w:val="tableright"/>
            </w:pPr>
            <w:r w:rsidRPr="00535DF2">
              <w:t>3977</w:t>
            </w:r>
          </w:p>
        </w:tc>
        <w:tc>
          <w:tcPr>
            <w:tcW w:w="1018" w:type="dxa"/>
            <w:shd w:val="clear" w:color="auto" w:fill="auto"/>
            <w:vAlign w:val="center"/>
            <w:hideMark/>
          </w:tcPr>
          <w:p w14:paraId="78D8AD84" w14:textId="77777777" w:rsidR="00535DF2" w:rsidRPr="00535DF2" w:rsidRDefault="00535DF2" w:rsidP="00F51716">
            <w:pPr>
              <w:pStyle w:val="tableright"/>
            </w:pPr>
            <w:r w:rsidRPr="00535DF2">
              <w:t>2374</w:t>
            </w:r>
          </w:p>
        </w:tc>
        <w:tc>
          <w:tcPr>
            <w:tcW w:w="1018" w:type="dxa"/>
            <w:shd w:val="clear" w:color="auto" w:fill="auto"/>
            <w:vAlign w:val="center"/>
            <w:hideMark/>
          </w:tcPr>
          <w:p w14:paraId="2B859F95" w14:textId="21DBBD25" w:rsidR="00535DF2" w:rsidRPr="00535DF2" w:rsidRDefault="00CB502B" w:rsidP="00F51716">
            <w:pPr>
              <w:pStyle w:val="tableright"/>
              <w:rPr>
                <w:rFonts w:eastAsia="Times New Roman"/>
              </w:rPr>
            </w:pPr>
            <w:r>
              <w:t>2355</w:t>
            </w:r>
          </w:p>
        </w:tc>
      </w:tr>
      <w:tr w:rsidR="00535DF2" w:rsidRPr="00535DF2" w14:paraId="273337B0" w14:textId="77777777" w:rsidTr="003F15CC">
        <w:trPr>
          <w:trHeight w:val="213"/>
        </w:trPr>
        <w:tc>
          <w:tcPr>
            <w:tcW w:w="1651" w:type="dxa"/>
            <w:vMerge/>
            <w:vAlign w:val="center"/>
            <w:hideMark/>
          </w:tcPr>
          <w:p w14:paraId="22D1AD52" w14:textId="77777777" w:rsidR="00535DF2" w:rsidRPr="00535DF2" w:rsidRDefault="00535DF2" w:rsidP="00F51716">
            <w:pPr>
              <w:pStyle w:val="Tabletext0"/>
            </w:pPr>
          </w:p>
        </w:tc>
        <w:tc>
          <w:tcPr>
            <w:tcW w:w="1746" w:type="dxa"/>
            <w:shd w:val="clear" w:color="auto" w:fill="auto"/>
            <w:vAlign w:val="center"/>
            <w:hideMark/>
          </w:tcPr>
          <w:p w14:paraId="60F2E0E7" w14:textId="77777777" w:rsidR="00535DF2" w:rsidRPr="00535DF2" w:rsidRDefault="00535DF2" w:rsidP="00F51716">
            <w:pPr>
              <w:pStyle w:val="Tabletext0"/>
            </w:pPr>
            <w:r w:rsidRPr="00535DF2">
              <w:t>Landfill</w:t>
            </w:r>
          </w:p>
        </w:tc>
        <w:tc>
          <w:tcPr>
            <w:tcW w:w="1239" w:type="dxa"/>
            <w:shd w:val="clear" w:color="auto" w:fill="auto"/>
            <w:vAlign w:val="center"/>
            <w:hideMark/>
          </w:tcPr>
          <w:p w14:paraId="60AAEE02" w14:textId="77777777" w:rsidR="00535DF2" w:rsidRPr="00535DF2" w:rsidRDefault="00535DF2" w:rsidP="00F51716">
            <w:pPr>
              <w:pStyle w:val="Tabletext0"/>
            </w:pPr>
            <w:r w:rsidRPr="00535DF2">
              <w:t>Total kg to landfill</w:t>
            </w:r>
          </w:p>
        </w:tc>
        <w:tc>
          <w:tcPr>
            <w:tcW w:w="1018" w:type="dxa"/>
            <w:shd w:val="clear" w:color="auto" w:fill="auto"/>
            <w:vAlign w:val="center"/>
            <w:hideMark/>
          </w:tcPr>
          <w:p w14:paraId="72820E9C" w14:textId="77777777" w:rsidR="00535DF2" w:rsidRPr="00535DF2" w:rsidRDefault="00535DF2" w:rsidP="00F51716">
            <w:pPr>
              <w:pStyle w:val="tableright"/>
            </w:pPr>
            <w:r w:rsidRPr="00535DF2">
              <w:t>876</w:t>
            </w:r>
          </w:p>
        </w:tc>
        <w:tc>
          <w:tcPr>
            <w:tcW w:w="1018" w:type="dxa"/>
            <w:shd w:val="clear" w:color="auto" w:fill="auto"/>
            <w:vAlign w:val="center"/>
            <w:hideMark/>
          </w:tcPr>
          <w:p w14:paraId="02775EAD" w14:textId="77777777" w:rsidR="00535DF2" w:rsidRPr="00535DF2" w:rsidRDefault="00535DF2" w:rsidP="00F51716">
            <w:pPr>
              <w:pStyle w:val="tableright"/>
            </w:pPr>
            <w:r w:rsidRPr="00535DF2">
              <w:t>900</w:t>
            </w:r>
          </w:p>
        </w:tc>
        <w:tc>
          <w:tcPr>
            <w:tcW w:w="1018" w:type="dxa"/>
            <w:shd w:val="clear" w:color="auto" w:fill="auto"/>
            <w:vAlign w:val="center"/>
            <w:hideMark/>
          </w:tcPr>
          <w:p w14:paraId="3877CAD2" w14:textId="77777777" w:rsidR="00535DF2" w:rsidRPr="00535DF2" w:rsidRDefault="00535DF2" w:rsidP="00F51716">
            <w:pPr>
              <w:pStyle w:val="tableright"/>
            </w:pPr>
            <w:r w:rsidRPr="00535DF2">
              <w:t>505</w:t>
            </w:r>
          </w:p>
        </w:tc>
        <w:tc>
          <w:tcPr>
            <w:tcW w:w="1018" w:type="dxa"/>
            <w:shd w:val="clear" w:color="auto" w:fill="auto"/>
            <w:vAlign w:val="center"/>
            <w:hideMark/>
          </w:tcPr>
          <w:p w14:paraId="66ACA811" w14:textId="3F7003D2" w:rsidR="00535DF2" w:rsidRPr="00535DF2" w:rsidRDefault="00CB502B" w:rsidP="00F51716">
            <w:pPr>
              <w:pStyle w:val="tableright"/>
              <w:rPr>
                <w:rFonts w:eastAsia="Times New Roman"/>
              </w:rPr>
            </w:pPr>
            <w:r>
              <w:t>766</w:t>
            </w:r>
          </w:p>
        </w:tc>
        <w:tc>
          <w:tcPr>
            <w:tcW w:w="1018" w:type="dxa"/>
            <w:shd w:val="clear" w:color="auto" w:fill="auto"/>
            <w:vAlign w:val="center"/>
            <w:hideMark/>
          </w:tcPr>
          <w:p w14:paraId="08B8737D" w14:textId="474F5439" w:rsidR="00535DF2" w:rsidRPr="00535DF2" w:rsidRDefault="00CB502B" w:rsidP="00F51716">
            <w:pPr>
              <w:pStyle w:val="tableright"/>
              <w:rPr>
                <w:rFonts w:eastAsia="Times New Roman"/>
              </w:rPr>
            </w:pPr>
            <w:r>
              <w:t>303</w:t>
            </w:r>
          </w:p>
        </w:tc>
      </w:tr>
      <w:tr w:rsidR="00535DF2" w:rsidRPr="00535DF2" w14:paraId="7A7BCB91" w14:textId="77777777" w:rsidTr="003F15CC">
        <w:trPr>
          <w:trHeight w:val="213"/>
        </w:trPr>
        <w:tc>
          <w:tcPr>
            <w:tcW w:w="1651" w:type="dxa"/>
            <w:vMerge/>
            <w:vAlign w:val="center"/>
            <w:hideMark/>
          </w:tcPr>
          <w:p w14:paraId="72EC1408" w14:textId="77777777" w:rsidR="00535DF2" w:rsidRPr="00535DF2" w:rsidRDefault="00535DF2" w:rsidP="00F51716">
            <w:pPr>
              <w:pStyle w:val="Tabletext0"/>
            </w:pPr>
          </w:p>
        </w:tc>
        <w:tc>
          <w:tcPr>
            <w:tcW w:w="1746" w:type="dxa"/>
            <w:shd w:val="clear" w:color="auto" w:fill="auto"/>
            <w:vAlign w:val="center"/>
            <w:hideMark/>
          </w:tcPr>
          <w:p w14:paraId="65C9607A" w14:textId="77777777" w:rsidR="00535DF2" w:rsidRPr="00535DF2" w:rsidRDefault="00535DF2" w:rsidP="00F51716">
            <w:pPr>
              <w:pStyle w:val="Tabletext0"/>
            </w:pPr>
            <w:r w:rsidRPr="00535DF2">
              <w:t>Total recycled (incl Organics)</w:t>
            </w:r>
          </w:p>
        </w:tc>
        <w:tc>
          <w:tcPr>
            <w:tcW w:w="1239" w:type="dxa"/>
            <w:shd w:val="clear" w:color="auto" w:fill="auto"/>
            <w:vAlign w:val="center"/>
            <w:hideMark/>
          </w:tcPr>
          <w:p w14:paraId="798725F9" w14:textId="77777777" w:rsidR="00535DF2" w:rsidRPr="00535DF2" w:rsidRDefault="00535DF2" w:rsidP="00F51716">
            <w:pPr>
              <w:pStyle w:val="Tabletext0"/>
            </w:pPr>
            <w:r w:rsidRPr="00535DF2">
              <w:t>Percentage</w:t>
            </w:r>
          </w:p>
        </w:tc>
        <w:tc>
          <w:tcPr>
            <w:tcW w:w="1018" w:type="dxa"/>
            <w:shd w:val="clear" w:color="auto" w:fill="auto"/>
            <w:noWrap/>
            <w:vAlign w:val="center"/>
            <w:hideMark/>
          </w:tcPr>
          <w:p w14:paraId="0BC90F54" w14:textId="77777777" w:rsidR="00535DF2" w:rsidRPr="00535DF2" w:rsidRDefault="00535DF2" w:rsidP="00F51716">
            <w:pPr>
              <w:pStyle w:val="tableright"/>
            </w:pPr>
            <w:r w:rsidRPr="00535DF2">
              <w:t>82%</w:t>
            </w:r>
          </w:p>
        </w:tc>
        <w:tc>
          <w:tcPr>
            <w:tcW w:w="1018" w:type="dxa"/>
            <w:shd w:val="clear" w:color="auto" w:fill="auto"/>
            <w:noWrap/>
            <w:vAlign w:val="center"/>
            <w:hideMark/>
          </w:tcPr>
          <w:p w14:paraId="3B5DB38D" w14:textId="77777777" w:rsidR="00535DF2" w:rsidRPr="00535DF2" w:rsidRDefault="00535DF2" w:rsidP="00F51716">
            <w:pPr>
              <w:pStyle w:val="tableright"/>
            </w:pPr>
            <w:r w:rsidRPr="00535DF2">
              <w:t>78%</w:t>
            </w:r>
          </w:p>
        </w:tc>
        <w:tc>
          <w:tcPr>
            <w:tcW w:w="1018" w:type="dxa"/>
            <w:shd w:val="clear" w:color="auto" w:fill="auto"/>
            <w:noWrap/>
            <w:vAlign w:val="center"/>
            <w:hideMark/>
          </w:tcPr>
          <w:p w14:paraId="14BDFE3E" w14:textId="77777777" w:rsidR="00535DF2" w:rsidRPr="00535DF2" w:rsidRDefault="00535DF2" w:rsidP="00F51716">
            <w:pPr>
              <w:pStyle w:val="tableright"/>
            </w:pPr>
            <w:r w:rsidRPr="00535DF2">
              <w:t>90%</w:t>
            </w:r>
          </w:p>
        </w:tc>
        <w:tc>
          <w:tcPr>
            <w:tcW w:w="1018" w:type="dxa"/>
            <w:shd w:val="clear" w:color="auto" w:fill="auto"/>
            <w:noWrap/>
            <w:vAlign w:val="center"/>
            <w:hideMark/>
          </w:tcPr>
          <w:p w14:paraId="57CF5814" w14:textId="77777777" w:rsidR="00535DF2" w:rsidRPr="00535DF2" w:rsidRDefault="00535DF2" w:rsidP="00F51716">
            <w:pPr>
              <w:pStyle w:val="tableright"/>
            </w:pPr>
            <w:r w:rsidRPr="00535DF2">
              <w:t>81%</w:t>
            </w:r>
          </w:p>
        </w:tc>
        <w:tc>
          <w:tcPr>
            <w:tcW w:w="1018" w:type="dxa"/>
            <w:shd w:val="clear" w:color="auto" w:fill="auto"/>
            <w:noWrap/>
            <w:vAlign w:val="center"/>
            <w:hideMark/>
          </w:tcPr>
          <w:p w14:paraId="4872E303" w14:textId="210F99A9" w:rsidR="00535DF2" w:rsidRPr="00535DF2" w:rsidRDefault="00CB502B" w:rsidP="00F51716">
            <w:pPr>
              <w:pStyle w:val="tableright"/>
              <w:rPr>
                <w:rFonts w:eastAsia="Times New Roman"/>
              </w:rPr>
            </w:pPr>
            <w:r>
              <w:t>90</w:t>
            </w:r>
            <w:r w:rsidR="00535DF2" w:rsidRPr="00535DF2">
              <w:rPr>
                <w:rFonts w:eastAsia="Times New Roman"/>
              </w:rPr>
              <w:t>%</w:t>
            </w:r>
          </w:p>
        </w:tc>
      </w:tr>
      <w:tr w:rsidR="00535DF2" w:rsidRPr="00535DF2" w14:paraId="4ECABAE8" w14:textId="77777777" w:rsidTr="003F15CC">
        <w:trPr>
          <w:trHeight w:val="223"/>
        </w:trPr>
        <w:tc>
          <w:tcPr>
            <w:tcW w:w="1651" w:type="dxa"/>
            <w:vMerge/>
            <w:vAlign w:val="center"/>
            <w:hideMark/>
          </w:tcPr>
          <w:p w14:paraId="7A3D85F0" w14:textId="77777777" w:rsidR="00535DF2" w:rsidRPr="00535DF2" w:rsidRDefault="00535DF2" w:rsidP="00F51716">
            <w:pPr>
              <w:pStyle w:val="Tabletext0"/>
            </w:pPr>
          </w:p>
        </w:tc>
        <w:tc>
          <w:tcPr>
            <w:tcW w:w="1746" w:type="dxa"/>
            <w:shd w:val="clear" w:color="auto" w:fill="auto"/>
            <w:vAlign w:val="center"/>
            <w:hideMark/>
          </w:tcPr>
          <w:p w14:paraId="25484997" w14:textId="77777777" w:rsidR="00535DF2" w:rsidRPr="00535DF2" w:rsidRDefault="00535DF2" w:rsidP="00F51716">
            <w:pPr>
              <w:pStyle w:val="Tabletext0"/>
            </w:pPr>
            <w:r w:rsidRPr="00535DF2">
              <w:t>Waste GHG emissions</w:t>
            </w:r>
          </w:p>
        </w:tc>
        <w:tc>
          <w:tcPr>
            <w:tcW w:w="1239" w:type="dxa"/>
            <w:shd w:val="clear" w:color="auto" w:fill="auto"/>
            <w:vAlign w:val="center"/>
            <w:hideMark/>
          </w:tcPr>
          <w:p w14:paraId="613BF401" w14:textId="77777777" w:rsidR="00535DF2" w:rsidRPr="00535DF2" w:rsidRDefault="00535DF2" w:rsidP="00F51716">
            <w:pPr>
              <w:pStyle w:val="Tabletext0"/>
            </w:pPr>
            <w:r w:rsidRPr="00535DF2">
              <w:t>Kilograms</w:t>
            </w:r>
          </w:p>
        </w:tc>
        <w:tc>
          <w:tcPr>
            <w:tcW w:w="1018" w:type="dxa"/>
            <w:shd w:val="clear" w:color="auto" w:fill="auto"/>
            <w:noWrap/>
            <w:vAlign w:val="center"/>
            <w:hideMark/>
          </w:tcPr>
          <w:p w14:paraId="31516A72" w14:textId="77777777" w:rsidR="00535DF2" w:rsidRPr="00535DF2" w:rsidRDefault="00535DF2" w:rsidP="00F51716">
            <w:pPr>
              <w:pStyle w:val="tableright"/>
            </w:pPr>
            <w:r w:rsidRPr="00535DF2">
              <w:t>1227</w:t>
            </w:r>
          </w:p>
        </w:tc>
        <w:tc>
          <w:tcPr>
            <w:tcW w:w="1018" w:type="dxa"/>
            <w:shd w:val="clear" w:color="auto" w:fill="auto"/>
            <w:noWrap/>
            <w:vAlign w:val="center"/>
            <w:hideMark/>
          </w:tcPr>
          <w:p w14:paraId="1B6D6F75" w14:textId="77777777" w:rsidR="00535DF2" w:rsidRPr="00535DF2" w:rsidRDefault="00535DF2" w:rsidP="00F51716">
            <w:pPr>
              <w:pStyle w:val="tableright"/>
            </w:pPr>
            <w:r w:rsidRPr="00535DF2">
              <w:t>1260</w:t>
            </w:r>
          </w:p>
        </w:tc>
        <w:tc>
          <w:tcPr>
            <w:tcW w:w="1018" w:type="dxa"/>
            <w:shd w:val="clear" w:color="auto" w:fill="auto"/>
            <w:noWrap/>
            <w:vAlign w:val="center"/>
            <w:hideMark/>
          </w:tcPr>
          <w:p w14:paraId="50599F63" w14:textId="77777777" w:rsidR="00535DF2" w:rsidRPr="00535DF2" w:rsidRDefault="00535DF2" w:rsidP="00F51716">
            <w:pPr>
              <w:pStyle w:val="tableright"/>
            </w:pPr>
            <w:r w:rsidRPr="00535DF2">
              <w:t>707</w:t>
            </w:r>
          </w:p>
        </w:tc>
        <w:tc>
          <w:tcPr>
            <w:tcW w:w="1018" w:type="dxa"/>
            <w:shd w:val="clear" w:color="auto" w:fill="auto"/>
            <w:noWrap/>
            <w:vAlign w:val="center"/>
            <w:hideMark/>
          </w:tcPr>
          <w:p w14:paraId="19448889" w14:textId="47F24905" w:rsidR="00535DF2" w:rsidRPr="00535DF2" w:rsidRDefault="00CB502B" w:rsidP="00F51716">
            <w:pPr>
              <w:pStyle w:val="tableright"/>
              <w:rPr>
                <w:rFonts w:eastAsia="Times New Roman"/>
              </w:rPr>
            </w:pPr>
            <w:r>
              <w:t>1073</w:t>
            </w:r>
          </w:p>
        </w:tc>
        <w:tc>
          <w:tcPr>
            <w:tcW w:w="1018" w:type="dxa"/>
            <w:shd w:val="clear" w:color="auto" w:fill="auto"/>
            <w:noWrap/>
            <w:vAlign w:val="center"/>
            <w:hideMark/>
          </w:tcPr>
          <w:p w14:paraId="7536B500" w14:textId="34E8258D" w:rsidR="00535DF2" w:rsidRPr="00535DF2" w:rsidRDefault="00CB502B" w:rsidP="00F51716">
            <w:pPr>
              <w:pStyle w:val="tableright"/>
              <w:rPr>
                <w:rFonts w:eastAsia="Times New Roman"/>
              </w:rPr>
            </w:pPr>
            <w:r>
              <w:t>424</w:t>
            </w:r>
          </w:p>
        </w:tc>
      </w:tr>
      <w:tr w:rsidR="00535DF2" w:rsidRPr="00535DF2" w14:paraId="4EBB207F" w14:textId="77777777" w:rsidTr="003F15CC">
        <w:trPr>
          <w:trHeight w:val="213"/>
        </w:trPr>
        <w:tc>
          <w:tcPr>
            <w:tcW w:w="1651" w:type="dxa"/>
            <w:vMerge w:val="restart"/>
            <w:shd w:val="clear" w:color="auto" w:fill="auto"/>
            <w:vAlign w:val="center"/>
            <w:hideMark/>
          </w:tcPr>
          <w:p w14:paraId="52714480" w14:textId="77777777" w:rsidR="00535DF2" w:rsidRPr="00535DF2" w:rsidRDefault="00535DF2" w:rsidP="00F51716">
            <w:r w:rsidRPr="00535DF2">
              <w:rPr>
                <w:lang w:eastAsia="en-AU"/>
              </w:rPr>
              <w:t>Water</w:t>
            </w:r>
          </w:p>
        </w:tc>
        <w:tc>
          <w:tcPr>
            <w:tcW w:w="1746" w:type="dxa"/>
            <w:shd w:val="clear" w:color="000000" w:fill="000000"/>
            <w:vAlign w:val="center"/>
            <w:hideMark/>
          </w:tcPr>
          <w:p w14:paraId="5E5DC3C1" w14:textId="77777777" w:rsidR="00535DF2" w:rsidRPr="00907633" w:rsidRDefault="00535DF2" w:rsidP="00F51716">
            <w:pPr>
              <w:pStyle w:val="Tabletext0"/>
              <w:rPr>
                <w:color w:val="000000" w:themeColor="text1"/>
              </w:rPr>
            </w:pPr>
            <w:r w:rsidRPr="00907633">
              <w:rPr>
                <w:color w:val="000000" w:themeColor="text1"/>
              </w:rPr>
              <w:t>Total Potable Water - Tenancy Only</w:t>
            </w:r>
            <w:r w:rsidRPr="00907633">
              <w:rPr>
                <w:color w:val="000000" w:themeColor="text1"/>
                <w:vertAlign w:val="superscript"/>
              </w:rPr>
              <w:t>7</w:t>
            </w:r>
          </w:p>
        </w:tc>
        <w:tc>
          <w:tcPr>
            <w:tcW w:w="1239" w:type="dxa"/>
            <w:shd w:val="clear" w:color="000000" w:fill="000000"/>
            <w:vAlign w:val="center"/>
            <w:hideMark/>
          </w:tcPr>
          <w:p w14:paraId="4E2BBA79" w14:textId="77777777" w:rsidR="00535DF2" w:rsidRPr="00907633" w:rsidRDefault="00535DF2" w:rsidP="00F51716">
            <w:pPr>
              <w:pStyle w:val="Tabletext0"/>
              <w:rPr>
                <w:color w:val="000000" w:themeColor="text1"/>
              </w:rPr>
            </w:pPr>
            <w:r w:rsidRPr="00907633">
              <w:rPr>
                <w:color w:val="000000" w:themeColor="text1"/>
              </w:rPr>
              <w:t>Kilolitres</w:t>
            </w:r>
          </w:p>
        </w:tc>
        <w:tc>
          <w:tcPr>
            <w:tcW w:w="1018" w:type="dxa"/>
            <w:shd w:val="clear" w:color="000000" w:fill="000000"/>
            <w:noWrap/>
            <w:vAlign w:val="center"/>
            <w:hideMark/>
          </w:tcPr>
          <w:p w14:paraId="50355C54" w14:textId="77777777" w:rsidR="00535DF2" w:rsidRPr="00907633" w:rsidRDefault="00535DF2" w:rsidP="00F51716">
            <w:pPr>
              <w:pStyle w:val="tableright"/>
              <w:rPr>
                <w:color w:val="000000" w:themeColor="text1"/>
              </w:rPr>
            </w:pPr>
            <w:r w:rsidRPr="00907633">
              <w:rPr>
                <w:color w:val="000000" w:themeColor="text1"/>
              </w:rPr>
              <w:t>652</w:t>
            </w:r>
          </w:p>
        </w:tc>
        <w:tc>
          <w:tcPr>
            <w:tcW w:w="1018" w:type="dxa"/>
            <w:shd w:val="clear" w:color="000000" w:fill="000000"/>
            <w:noWrap/>
            <w:vAlign w:val="center"/>
            <w:hideMark/>
          </w:tcPr>
          <w:p w14:paraId="2A23F53C" w14:textId="77777777" w:rsidR="00535DF2" w:rsidRPr="00907633" w:rsidRDefault="00535DF2" w:rsidP="00F51716">
            <w:pPr>
              <w:pStyle w:val="tableright"/>
              <w:rPr>
                <w:color w:val="000000" w:themeColor="text1"/>
              </w:rPr>
            </w:pPr>
            <w:r w:rsidRPr="00907633">
              <w:rPr>
                <w:color w:val="000000" w:themeColor="text1"/>
              </w:rPr>
              <w:t>595</w:t>
            </w:r>
          </w:p>
        </w:tc>
        <w:tc>
          <w:tcPr>
            <w:tcW w:w="1018" w:type="dxa"/>
            <w:shd w:val="clear" w:color="000000" w:fill="D9D9D9"/>
            <w:noWrap/>
            <w:vAlign w:val="center"/>
            <w:hideMark/>
          </w:tcPr>
          <w:p w14:paraId="4083B5CB" w14:textId="77777777" w:rsidR="00535DF2" w:rsidRPr="00535DF2" w:rsidRDefault="00535DF2" w:rsidP="00F51716">
            <w:pPr>
              <w:pStyle w:val="tableright"/>
            </w:pPr>
            <w:r w:rsidRPr="00535DF2">
              <w:t>581</w:t>
            </w:r>
          </w:p>
        </w:tc>
        <w:tc>
          <w:tcPr>
            <w:tcW w:w="1018" w:type="dxa"/>
            <w:shd w:val="clear" w:color="000000" w:fill="D9D9D9"/>
            <w:noWrap/>
            <w:vAlign w:val="center"/>
            <w:hideMark/>
          </w:tcPr>
          <w:p w14:paraId="17E21307" w14:textId="77777777" w:rsidR="00535DF2" w:rsidRPr="00535DF2" w:rsidRDefault="00535DF2" w:rsidP="00F51716">
            <w:pPr>
              <w:pStyle w:val="tableright"/>
            </w:pPr>
            <w:r w:rsidRPr="00535DF2">
              <w:t>564</w:t>
            </w:r>
          </w:p>
        </w:tc>
        <w:tc>
          <w:tcPr>
            <w:tcW w:w="1018" w:type="dxa"/>
            <w:shd w:val="clear" w:color="000000" w:fill="D9D9D9"/>
            <w:noWrap/>
            <w:vAlign w:val="center"/>
            <w:hideMark/>
          </w:tcPr>
          <w:p w14:paraId="5700A4B2" w14:textId="77777777" w:rsidR="00535DF2" w:rsidRPr="00535DF2" w:rsidRDefault="00535DF2" w:rsidP="00F51716">
            <w:pPr>
              <w:pStyle w:val="tableright"/>
            </w:pPr>
            <w:r w:rsidRPr="00535DF2">
              <w:t>4</w:t>
            </w:r>
          </w:p>
        </w:tc>
      </w:tr>
      <w:tr w:rsidR="00535DF2" w:rsidRPr="00535DF2" w14:paraId="01F5E303" w14:textId="77777777" w:rsidTr="003F15CC">
        <w:trPr>
          <w:trHeight w:val="213"/>
        </w:trPr>
        <w:tc>
          <w:tcPr>
            <w:tcW w:w="1651" w:type="dxa"/>
            <w:vMerge/>
            <w:vAlign w:val="center"/>
            <w:hideMark/>
          </w:tcPr>
          <w:p w14:paraId="7BDA8E30" w14:textId="77777777" w:rsidR="00535DF2" w:rsidRPr="00535DF2" w:rsidRDefault="00535DF2" w:rsidP="00F51716"/>
        </w:tc>
        <w:tc>
          <w:tcPr>
            <w:tcW w:w="1746" w:type="dxa"/>
            <w:shd w:val="clear" w:color="000000" w:fill="000000"/>
            <w:vAlign w:val="center"/>
            <w:hideMark/>
          </w:tcPr>
          <w:p w14:paraId="0A8DB06A" w14:textId="77777777" w:rsidR="00535DF2" w:rsidRPr="00907633" w:rsidRDefault="00535DF2" w:rsidP="00F51716">
            <w:pPr>
              <w:pStyle w:val="Tabletext0"/>
              <w:rPr>
                <w:color w:val="000000" w:themeColor="text1"/>
              </w:rPr>
            </w:pPr>
            <w:r w:rsidRPr="00907633">
              <w:rPr>
                <w:color w:val="000000" w:themeColor="text1"/>
              </w:rPr>
              <w:t>Potable Water per FTE - Tenancy Only</w:t>
            </w:r>
            <w:r w:rsidRPr="00907633">
              <w:rPr>
                <w:color w:val="000000" w:themeColor="text1"/>
                <w:vertAlign w:val="superscript"/>
              </w:rPr>
              <w:t>7</w:t>
            </w:r>
          </w:p>
        </w:tc>
        <w:tc>
          <w:tcPr>
            <w:tcW w:w="1239" w:type="dxa"/>
            <w:shd w:val="clear" w:color="000000" w:fill="000000"/>
            <w:vAlign w:val="center"/>
            <w:hideMark/>
          </w:tcPr>
          <w:p w14:paraId="78B5986A" w14:textId="77777777" w:rsidR="00535DF2" w:rsidRPr="00907633" w:rsidRDefault="00535DF2" w:rsidP="00F51716">
            <w:pPr>
              <w:pStyle w:val="Tabletext0"/>
              <w:rPr>
                <w:color w:val="000000" w:themeColor="text1"/>
              </w:rPr>
            </w:pPr>
            <w:r w:rsidRPr="00907633">
              <w:rPr>
                <w:color w:val="000000" w:themeColor="text1"/>
              </w:rPr>
              <w:t>Kilolitres per FTE</w:t>
            </w:r>
          </w:p>
        </w:tc>
        <w:tc>
          <w:tcPr>
            <w:tcW w:w="1018" w:type="dxa"/>
            <w:shd w:val="clear" w:color="000000" w:fill="000000"/>
            <w:noWrap/>
            <w:vAlign w:val="center"/>
            <w:hideMark/>
          </w:tcPr>
          <w:p w14:paraId="6C6ECB66" w14:textId="77777777" w:rsidR="00535DF2" w:rsidRPr="00907633" w:rsidRDefault="00535DF2" w:rsidP="00F51716">
            <w:pPr>
              <w:pStyle w:val="tableright"/>
              <w:rPr>
                <w:color w:val="000000" w:themeColor="text1"/>
              </w:rPr>
            </w:pPr>
            <w:r w:rsidRPr="00907633">
              <w:rPr>
                <w:color w:val="000000" w:themeColor="text1"/>
              </w:rPr>
              <w:t>5.96</w:t>
            </w:r>
          </w:p>
        </w:tc>
        <w:tc>
          <w:tcPr>
            <w:tcW w:w="1018" w:type="dxa"/>
            <w:shd w:val="clear" w:color="000000" w:fill="000000"/>
            <w:noWrap/>
            <w:vAlign w:val="center"/>
            <w:hideMark/>
          </w:tcPr>
          <w:p w14:paraId="717E0A5A" w14:textId="77777777" w:rsidR="00535DF2" w:rsidRPr="00907633" w:rsidRDefault="00535DF2" w:rsidP="00F51716">
            <w:pPr>
              <w:pStyle w:val="tableright"/>
              <w:rPr>
                <w:color w:val="000000" w:themeColor="text1"/>
              </w:rPr>
            </w:pPr>
            <w:r w:rsidRPr="00907633">
              <w:rPr>
                <w:color w:val="000000" w:themeColor="text1"/>
              </w:rPr>
              <w:t>5.04</w:t>
            </w:r>
          </w:p>
        </w:tc>
        <w:tc>
          <w:tcPr>
            <w:tcW w:w="1018" w:type="dxa"/>
            <w:shd w:val="clear" w:color="000000" w:fill="D9D9D9"/>
            <w:noWrap/>
            <w:vAlign w:val="center"/>
            <w:hideMark/>
          </w:tcPr>
          <w:p w14:paraId="0B601A1B" w14:textId="77777777" w:rsidR="00535DF2" w:rsidRPr="00535DF2" w:rsidRDefault="00535DF2" w:rsidP="00F51716">
            <w:pPr>
              <w:pStyle w:val="tableright"/>
            </w:pPr>
            <w:r w:rsidRPr="00535DF2">
              <w:t>5.17</w:t>
            </w:r>
          </w:p>
        </w:tc>
        <w:tc>
          <w:tcPr>
            <w:tcW w:w="1018" w:type="dxa"/>
            <w:shd w:val="clear" w:color="000000" w:fill="D9D9D9"/>
            <w:noWrap/>
            <w:vAlign w:val="center"/>
            <w:hideMark/>
          </w:tcPr>
          <w:p w14:paraId="00D63795" w14:textId="77777777" w:rsidR="00535DF2" w:rsidRPr="00535DF2" w:rsidRDefault="00535DF2" w:rsidP="00F51716">
            <w:pPr>
              <w:pStyle w:val="tableright"/>
            </w:pPr>
            <w:r w:rsidRPr="00535DF2">
              <w:t>4.35</w:t>
            </w:r>
          </w:p>
        </w:tc>
        <w:tc>
          <w:tcPr>
            <w:tcW w:w="1018" w:type="dxa"/>
            <w:shd w:val="clear" w:color="000000" w:fill="D9D9D9"/>
            <w:noWrap/>
            <w:vAlign w:val="center"/>
            <w:hideMark/>
          </w:tcPr>
          <w:p w14:paraId="351F0454" w14:textId="77777777" w:rsidR="00535DF2" w:rsidRPr="00535DF2" w:rsidRDefault="00535DF2" w:rsidP="00F51716">
            <w:pPr>
              <w:pStyle w:val="tableright"/>
            </w:pPr>
            <w:r w:rsidRPr="00535DF2">
              <w:t>3.75</w:t>
            </w:r>
          </w:p>
        </w:tc>
      </w:tr>
      <w:tr w:rsidR="00535DF2" w:rsidRPr="00535DF2" w14:paraId="5E8784A3" w14:textId="77777777" w:rsidTr="003F15CC">
        <w:trPr>
          <w:trHeight w:val="213"/>
        </w:trPr>
        <w:tc>
          <w:tcPr>
            <w:tcW w:w="1651" w:type="dxa"/>
            <w:vMerge/>
            <w:vAlign w:val="center"/>
            <w:hideMark/>
          </w:tcPr>
          <w:p w14:paraId="5112968F" w14:textId="77777777" w:rsidR="00535DF2" w:rsidRPr="00535DF2" w:rsidRDefault="00535DF2" w:rsidP="00F51716"/>
        </w:tc>
        <w:tc>
          <w:tcPr>
            <w:tcW w:w="1746" w:type="dxa"/>
            <w:shd w:val="clear" w:color="000000" w:fill="000000"/>
            <w:vAlign w:val="center"/>
            <w:hideMark/>
          </w:tcPr>
          <w:p w14:paraId="5126D171" w14:textId="77777777" w:rsidR="00535DF2" w:rsidRPr="00907633" w:rsidRDefault="00535DF2" w:rsidP="00F51716">
            <w:pPr>
              <w:pStyle w:val="Tabletext0"/>
              <w:rPr>
                <w:color w:val="000000" w:themeColor="text1"/>
              </w:rPr>
            </w:pPr>
            <w:r w:rsidRPr="00907633">
              <w:rPr>
                <w:color w:val="000000" w:themeColor="text1"/>
              </w:rPr>
              <w:t>Potable Water per THC - Tenancy Only</w:t>
            </w:r>
            <w:r w:rsidRPr="00907633">
              <w:rPr>
                <w:color w:val="000000" w:themeColor="text1"/>
                <w:vertAlign w:val="superscript"/>
              </w:rPr>
              <w:t>7</w:t>
            </w:r>
          </w:p>
        </w:tc>
        <w:tc>
          <w:tcPr>
            <w:tcW w:w="1239" w:type="dxa"/>
            <w:shd w:val="clear" w:color="000000" w:fill="000000"/>
            <w:vAlign w:val="center"/>
            <w:hideMark/>
          </w:tcPr>
          <w:p w14:paraId="593DBAE9" w14:textId="77777777" w:rsidR="00535DF2" w:rsidRPr="00907633" w:rsidRDefault="00535DF2" w:rsidP="00F51716">
            <w:pPr>
              <w:pStyle w:val="Tabletext0"/>
              <w:rPr>
                <w:color w:val="000000" w:themeColor="text1"/>
              </w:rPr>
            </w:pPr>
            <w:r w:rsidRPr="00907633">
              <w:rPr>
                <w:color w:val="000000" w:themeColor="text1"/>
              </w:rPr>
              <w:t>Kilolitres per THC</w:t>
            </w:r>
          </w:p>
        </w:tc>
        <w:tc>
          <w:tcPr>
            <w:tcW w:w="1018" w:type="dxa"/>
            <w:shd w:val="clear" w:color="000000" w:fill="000000"/>
            <w:noWrap/>
            <w:vAlign w:val="center"/>
            <w:hideMark/>
          </w:tcPr>
          <w:p w14:paraId="4260E6A4" w14:textId="77777777" w:rsidR="00535DF2" w:rsidRPr="00907633" w:rsidRDefault="00535DF2" w:rsidP="00F51716">
            <w:pPr>
              <w:pStyle w:val="tableright"/>
              <w:rPr>
                <w:color w:val="000000" w:themeColor="text1"/>
              </w:rPr>
            </w:pPr>
            <w:r w:rsidRPr="00907633">
              <w:rPr>
                <w:color w:val="000000" w:themeColor="text1"/>
              </w:rPr>
              <w:t>5.48</w:t>
            </w:r>
          </w:p>
        </w:tc>
        <w:tc>
          <w:tcPr>
            <w:tcW w:w="1018" w:type="dxa"/>
            <w:shd w:val="clear" w:color="000000" w:fill="000000"/>
            <w:noWrap/>
            <w:vAlign w:val="center"/>
            <w:hideMark/>
          </w:tcPr>
          <w:p w14:paraId="1A7CE7A4" w14:textId="32DBFB58" w:rsidR="00535DF2" w:rsidRPr="00907633" w:rsidRDefault="00535DF2" w:rsidP="00F51716">
            <w:pPr>
              <w:pStyle w:val="tableright"/>
              <w:rPr>
                <w:color w:val="000000" w:themeColor="text1"/>
              </w:rPr>
            </w:pPr>
            <w:r w:rsidRPr="00907633">
              <w:rPr>
                <w:color w:val="000000" w:themeColor="text1"/>
              </w:rPr>
              <w:t>4.74</w:t>
            </w:r>
          </w:p>
        </w:tc>
        <w:tc>
          <w:tcPr>
            <w:tcW w:w="1018" w:type="dxa"/>
            <w:shd w:val="clear" w:color="000000" w:fill="D9D9D9"/>
            <w:noWrap/>
            <w:vAlign w:val="center"/>
            <w:hideMark/>
          </w:tcPr>
          <w:p w14:paraId="44CF2BAF" w14:textId="77777777" w:rsidR="00535DF2" w:rsidRPr="00535DF2" w:rsidRDefault="00535DF2" w:rsidP="00F51716">
            <w:pPr>
              <w:pStyle w:val="tableright"/>
            </w:pPr>
            <w:r w:rsidRPr="00535DF2">
              <w:t>4.68</w:t>
            </w:r>
          </w:p>
        </w:tc>
        <w:tc>
          <w:tcPr>
            <w:tcW w:w="1018" w:type="dxa"/>
            <w:shd w:val="clear" w:color="000000" w:fill="D9D9D9"/>
            <w:noWrap/>
            <w:vAlign w:val="center"/>
            <w:hideMark/>
          </w:tcPr>
          <w:p w14:paraId="5ACBBFC0" w14:textId="77777777" w:rsidR="00535DF2" w:rsidRPr="00535DF2" w:rsidRDefault="00535DF2" w:rsidP="00F51716">
            <w:pPr>
              <w:pStyle w:val="tableright"/>
            </w:pPr>
            <w:r w:rsidRPr="00535DF2">
              <w:t>3.75</w:t>
            </w:r>
          </w:p>
        </w:tc>
        <w:tc>
          <w:tcPr>
            <w:tcW w:w="1018" w:type="dxa"/>
            <w:shd w:val="clear" w:color="000000" w:fill="D9D9D9"/>
            <w:noWrap/>
            <w:vAlign w:val="center"/>
            <w:hideMark/>
          </w:tcPr>
          <w:p w14:paraId="55880729" w14:textId="5315A807" w:rsidR="00535DF2" w:rsidRPr="00535DF2" w:rsidRDefault="00CB502B" w:rsidP="00F51716">
            <w:pPr>
              <w:pStyle w:val="tableright"/>
              <w:rPr>
                <w:rFonts w:eastAsia="Times New Roman"/>
              </w:rPr>
            </w:pPr>
            <w:r>
              <w:t>2.18</w:t>
            </w:r>
          </w:p>
        </w:tc>
      </w:tr>
      <w:tr w:rsidR="00535DF2" w:rsidRPr="00535DF2" w14:paraId="2FD59FB6" w14:textId="77777777" w:rsidTr="003F15CC">
        <w:trPr>
          <w:trHeight w:val="213"/>
        </w:trPr>
        <w:tc>
          <w:tcPr>
            <w:tcW w:w="1651" w:type="dxa"/>
            <w:vMerge/>
            <w:vAlign w:val="center"/>
            <w:hideMark/>
          </w:tcPr>
          <w:p w14:paraId="0FF84BC4" w14:textId="77777777" w:rsidR="00535DF2" w:rsidRPr="00535DF2" w:rsidRDefault="00535DF2" w:rsidP="00F51716"/>
        </w:tc>
        <w:tc>
          <w:tcPr>
            <w:tcW w:w="1746" w:type="dxa"/>
            <w:shd w:val="clear" w:color="000000" w:fill="000000"/>
            <w:vAlign w:val="center"/>
            <w:hideMark/>
          </w:tcPr>
          <w:p w14:paraId="437F5CEB" w14:textId="77777777" w:rsidR="00535DF2" w:rsidRPr="00907633" w:rsidRDefault="00535DF2" w:rsidP="00F51716">
            <w:pPr>
              <w:pStyle w:val="Tabletext0"/>
              <w:rPr>
                <w:color w:val="000000" w:themeColor="text1"/>
              </w:rPr>
            </w:pPr>
            <w:r w:rsidRPr="00907633">
              <w:rPr>
                <w:color w:val="000000" w:themeColor="text1"/>
              </w:rPr>
              <w:t>Potable Water per m</w:t>
            </w:r>
            <w:r w:rsidRPr="00907633">
              <w:rPr>
                <w:color w:val="000000" w:themeColor="text1"/>
                <w:vertAlign w:val="superscript"/>
              </w:rPr>
              <w:t>2</w:t>
            </w:r>
            <w:r w:rsidRPr="00907633">
              <w:rPr>
                <w:color w:val="000000" w:themeColor="text1"/>
              </w:rPr>
              <w:t xml:space="preserve"> - Tenancy Only</w:t>
            </w:r>
            <w:r w:rsidRPr="00907633">
              <w:rPr>
                <w:color w:val="000000" w:themeColor="text1"/>
                <w:vertAlign w:val="superscript"/>
              </w:rPr>
              <w:t>7</w:t>
            </w:r>
          </w:p>
        </w:tc>
        <w:tc>
          <w:tcPr>
            <w:tcW w:w="1239" w:type="dxa"/>
            <w:shd w:val="clear" w:color="000000" w:fill="000000"/>
            <w:vAlign w:val="center"/>
            <w:hideMark/>
          </w:tcPr>
          <w:p w14:paraId="081C7E7D" w14:textId="77777777" w:rsidR="00535DF2" w:rsidRPr="00907633" w:rsidRDefault="00535DF2" w:rsidP="00F51716">
            <w:pPr>
              <w:pStyle w:val="Tabletext0"/>
              <w:rPr>
                <w:color w:val="000000" w:themeColor="text1"/>
              </w:rPr>
            </w:pPr>
            <w:r w:rsidRPr="00907633">
              <w:rPr>
                <w:color w:val="000000" w:themeColor="text1"/>
              </w:rPr>
              <w:t>Kilolitres per m</w:t>
            </w:r>
            <w:r w:rsidRPr="00907633">
              <w:rPr>
                <w:color w:val="000000" w:themeColor="text1"/>
                <w:vertAlign w:val="superscript"/>
              </w:rPr>
              <w:t>2</w:t>
            </w:r>
          </w:p>
        </w:tc>
        <w:tc>
          <w:tcPr>
            <w:tcW w:w="1018" w:type="dxa"/>
            <w:shd w:val="clear" w:color="000000" w:fill="000000"/>
            <w:noWrap/>
            <w:vAlign w:val="center"/>
            <w:hideMark/>
          </w:tcPr>
          <w:p w14:paraId="3421311A" w14:textId="77777777" w:rsidR="00535DF2" w:rsidRPr="00907633" w:rsidRDefault="00535DF2" w:rsidP="00F51716">
            <w:pPr>
              <w:pStyle w:val="tableright"/>
              <w:rPr>
                <w:color w:val="000000" w:themeColor="text1"/>
              </w:rPr>
            </w:pPr>
            <w:r w:rsidRPr="00907633">
              <w:rPr>
                <w:color w:val="000000" w:themeColor="text1"/>
              </w:rPr>
              <w:t>0.33</w:t>
            </w:r>
          </w:p>
        </w:tc>
        <w:tc>
          <w:tcPr>
            <w:tcW w:w="1018" w:type="dxa"/>
            <w:shd w:val="clear" w:color="000000" w:fill="000000"/>
            <w:noWrap/>
            <w:vAlign w:val="center"/>
            <w:hideMark/>
          </w:tcPr>
          <w:p w14:paraId="78658F0E" w14:textId="77777777" w:rsidR="00535DF2" w:rsidRPr="00907633" w:rsidRDefault="00535DF2" w:rsidP="00F51716">
            <w:pPr>
              <w:pStyle w:val="tableright"/>
              <w:rPr>
                <w:color w:val="000000" w:themeColor="text1"/>
              </w:rPr>
            </w:pPr>
            <w:r w:rsidRPr="00907633">
              <w:rPr>
                <w:color w:val="000000" w:themeColor="text1"/>
              </w:rPr>
              <w:t>0.31</w:t>
            </w:r>
          </w:p>
        </w:tc>
        <w:tc>
          <w:tcPr>
            <w:tcW w:w="1018" w:type="dxa"/>
            <w:shd w:val="clear" w:color="000000" w:fill="D9D9D9"/>
            <w:noWrap/>
            <w:vAlign w:val="center"/>
            <w:hideMark/>
          </w:tcPr>
          <w:p w14:paraId="6B2DF967" w14:textId="77777777" w:rsidR="00535DF2" w:rsidRPr="00535DF2" w:rsidRDefault="00535DF2" w:rsidP="00F51716">
            <w:pPr>
              <w:pStyle w:val="tableright"/>
            </w:pPr>
            <w:r w:rsidRPr="00535DF2">
              <w:t>0.30</w:t>
            </w:r>
          </w:p>
        </w:tc>
        <w:tc>
          <w:tcPr>
            <w:tcW w:w="1018" w:type="dxa"/>
            <w:shd w:val="clear" w:color="000000" w:fill="D9D9D9"/>
            <w:noWrap/>
            <w:vAlign w:val="center"/>
            <w:hideMark/>
          </w:tcPr>
          <w:p w14:paraId="5DC5E538" w14:textId="77777777" w:rsidR="00535DF2" w:rsidRPr="00535DF2" w:rsidRDefault="00535DF2" w:rsidP="00F51716">
            <w:pPr>
              <w:pStyle w:val="tableright"/>
            </w:pPr>
            <w:r w:rsidRPr="00535DF2">
              <w:t>11.43</w:t>
            </w:r>
          </w:p>
        </w:tc>
        <w:tc>
          <w:tcPr>
            <w:tcW w:w="1018" w:type="dxa"/>
            <w:shd w:val="clear" w:color="000000" w:fill="D9D9D9"/>
            <w:noWrap/>
            <w:vAlign w:val="center"/>
            <w:hideMark/>
          </w:tcPr>
          <w:p w14:paraId="0BF7787A" w14:textId="77777777" w:rsidR="00535DF2" w:rsidRPr="00535DF2" w:rsidRDefault="00535DF2" w:rsidP="00F51716">
            <w:pPr>
              <w:pStyle w:val="tableright"/>
            </w:pPr>
            <w:r w:rsidRPr="00535DF2">
              <w:t>10.13</w:t>
            </w:r>
          </w:p>
        </w:tc>
      </w:tr>
      <w:tr w:rsidR="00535DF2" w:rsidRPr="00535DF2" w14:paraId="238CB527" w14:textId="77777777" w:rsidTr="003F15CC">
        <w:trPr>
          <w:trHeight w:val="213"/>
        </w:trPr>
        <w:tc>
          <w:tcPr>
            <w:tcW w:w="1651" w:type="dxa"/>
            <w:vMerge/>
            <w:vAlign w:val="center"/>
            <w:hideMark/>
          </w:tcPr>
          <w:p w14:paraId="315CD638" w14:textId="77777777" w:rsidR="00535DF2" w:rsidRPr="00535DF2" w:rsidRDefault="00535DF2" w:rsidP="00F51716"/>
        </w:tc>
        <w:tc>
          <w:tcPr>
            <w:tcW w:w="1746" w:type="dxa"/>
            <w:shd w:val="clear" w:color="000000" w:fill="000000"/>
            <w:vAlign w:val="center"/>
            <w:hideMark/>
          </w:tcPr>
          <w:p w14:paraId="5192F8A9" w14:textId="77777777" w:rsidR="00535DF2" w:rsidRPr="00907633" w:rsidRDefault="00535DF2" w:rsidP="00F51716">
            <w:pPr>
              <w:pStyle w:val="Tabletext0"/>
              <w:rPr>
                <w:color w:val="000000" w:themeColor="text1"/>
              </w:rPr>
            </w:pPr>
            <w:r w:rsidRPr="00907633">
              <w:rPr>
                <w:color w:val="000000" w:themeColor="text1"/>
              </w:rPr>
              <w:t>Total Apportioned Water</w:t>
            </w:r>
            <w:r w:rsidRPr="00907633">
              <w:rPr>
                <w:color w:val="000000" w:themeColor="text1"/>
                <w:vertAlign w:val="superscript"/>
              </w:rPr>
              <w:t>8</w:t>
            </w:r>
          </w:p>
        </w:tc>
        <w:tc>
          <w:tcPr>
            <w:tcW w:w="1239" w:type="dxa"/>
            <w:shd w:val="clear" w:color="000000" w:fill="000000"/>
            <w:vAlign w:val="center"/>
            <w:hideMark/>
          </w:tcPr>
          <w:p w14:paraId="0E5A4ED4" w14:textId="77777777" w:rsidR="00535DF2" w:rsidRPr="00907633" w:rsidRDefault="00535DF2" w:rsidP="00F51716">
            <w:pPr>
              <w:pStyle w:val="Tabletext0"/>
              <w:rPr>
                <w:color w:val="000000" w:themeColor="text1"/>
              </w:rPr>
            </w:pPr>
            <w:r w:rsidRPr="00907633">
              <w:rPr>
                <w:color w:val="000000" w:themeColor="text1"/>
              </w:rPr>
              <w:t>Kilolitres</w:t>
            </w:r>
          </w:p>
        </w:tc>
        <w:tc>
          <w:tcPr>
            <w:tcW w:w="1018" w:type="dxa"/>
            <w:shd w:val="clear" w:color="000000" w:fill="000000"/>
            <w:noWrap/>
            <w:vAlign w:val="center"/>
            <w:hideMark/>
          </w:tcPr>
          <w:p w14:paraId="2AA38FBA" w14:textId="77777777" w:rsidR="00535DF2" w:rsidRPr="00907633" w:rsidRDefault="00535DF2" w:rsidP="00F51716">
            <w:pPr>
              <w:pStyle w:val="tableright"/>
              <w:rPr>
                <w:color w:val="000000" w:themeColor="text1"/>
              </w:rPr>
            </w:pPr>
            <w:r w:rsidRPr="00907633">
              <w:rPr>
                <w:color w:val="000000" w:themeColor="text1"/>
              </w:rPr>
              <w:t>1011</w:t>
            </w:r>
          </w:p>
        </w:tc>
        <w:tc>
          <w:tcPr>
            <w:tcW w:w="1018" w:type="dxa"/>
            <w:shd w:val="clear" w:color="000000" w:fill="000000"/>
            <w:noWrap/>
            <w:vAlign w:val="center"/>
            <w:hideMark/>
          </w:tcPr>
          <w:p w14:paraId="5FCDA7E9" w14:textId="77777777" w:rsidR="00535DF2" w:rsidRPr="00907633" w:rsidRDefault="00535DF2" w:rsidP="00F51716">
            <w:pPr>
              <w:pStyle w:val="tableright"/>
              <w:rPr>
                <w:color w:val="000000" w:themeColor="text1"/>
              </w:rPr>
            </w:pPr>
            <w:r w:rsidRPr="00907633">
              <w:rPr>
                <w:color w:val="000000" w:themeColor="text1"/>
              </w:rPr>
              <w:t>920</w:t>
            </w:r>
          </w:p>
        </w:tc>
        <w:tc>
          <w:tcPr>
            <w:tcW w:w="1018" w:type="dxa"/>
            <w:shd w:val="clear" w:color="000000" w:fill="D9D9D9"/>
            <w:noWrap/>
            <w:vAlign w:val="center"/>
            <w:hideMark/>
          </w:tcPr>
          <w:p w14:paraId="6FAF9193" w14:textId="77777777" w:rsidR="00535DF2" w:rsidRPr="00535DF2" w:rsidRDefault="00535DF2" w:rsidP="00F51716">
            <w:pPr>
              <w:pStyle w:val="tableright"/>
            </w:pPr>
            <w:r w:rsidRPr="00535DF2">
              <w:t>1266</w:t>
            </w:r>
          </w:p>
        </w:tc>
        <w:tc>
          <w:tcPr>
            <w:tcW w:w="1018" w:type="dxa"/>
            <w:shd w:val="clear" w:color="000000" w:fill="D9D9D9"/>
            <w:noWrap/>
            <w:vAlign w:val="center"/>
            <w:hideMark/>
          </w:tcPr>
          <w:p w14:paraId="3D709EE0" w14:textId="77777777" w:rsidR="00535DF2" w:rsidRPr="00535DF2" w:rsidRDefault="00535DF2" w:rsidP="00F51716">
            <w:pPr>
              <w:pStyle w:val="tableright"/>
            </w:pPr>
            <w:r w:rsidRPr="00535DF2">
              <w:t>928</w:t>
            </w:r>
          </w:p>
        </w:tc>
        <w:tc>
          <w:tcPr>
            <w:tcW w:w="1018" w:type="dxa"/>
            <w:shd w:val="clear" w:color="000000" w:fill="D9D9D9"/>
            <w:noWrap/>
            <w:vAlign w:val="center"/>
            <w:hideMark/>
          </w:tcPr>
          <w:p w14:paraId="248BD590" w14:textId="77777777" w:rsidR="00535DF2" w:rsidRPr="00535DF2" w:rsidRDefault="00535DF2" w:rsidP="00F51716">
            <w:pPr>
              <w:pStyle w:val="tableright"/>
            </w:pPr>
            <w:r w:rsidRPr="00535DF2">
              <w:t>937</w:t>
            </w:r>
          </w:p>
        </w:tc>
      </w:tr>
      <w:tr w:rsidR="00535DF2" w:rsidRPr="00535DF2" w14:paraId="4B0B2335" w14:textId="77777777" w:rsidTr="003F15CC">
        <w:trPr>
          <w:trHeight w:val="213"/>
        </w:trPr>
        <w:tc>
          <w:tcPr>
            <w:tcW w:w="1651" w:type="dxa"/>
            <w:vMerge/>
            <w:vAlign w:val="center"/>
            <w:hideMark/>
          </w:tcPr>
          <w:p w14:paraId="680E69B7" w14:textId="77777777" w:rsidR="00535DF2" w:rsidRPr="00535DF2" w:rsidRDefault="00535DF2" w:rsidP="00F51716"/>
        </w:tc>
        <w:tc>
          <w:tcPr>
            <w:tcW w:w="1746" w:type="dxa"/>
            <w:shd w:val="clear" w:color="000000" w:fill="000000"/>
            <w:vAlign w:val="center"/>
            <w:hideMark/>
          </w:tcPr>
          <w:p w14:paraId="0BFA7570" w14:textId="77777777" w:rsidR="00535DF2" w:rsidRPr="00907633" w:rsidRDefault="00535DF2" w:rsidP="00F51716">
            <w:pPr>
              <w:pStyle w:val="Tabletext0"/>
              <w:rPr>
                <w:color w:val="000000" w:themeColor="text1"/>
              </w:rPr>
            </w:pPr>
            <w:r w:rsidRPr="00907633">
              <w:rPr>
                <w:color w:val="000000" w:themeColor="text1"/>
              </w:rPr>
              <w:t>Apportioned Water per FTE</w:t>
            </w:r>
            <w:r w:rsidRPr="00907633">
              <w:rPr>
                <w:color w:val="000000" w:themeColor="text1"/>
                <w:vertAlign w:val="superscript"/>
              </w:rPr>
              <w:t>8</w:t>
            </w:r>
          </w:p>
        </w:tc>
        <w:tc>
          <w:tcPr>
            <w:tcW w:w="1239" w:type="dxa"/>
            <w:shd w:val="clear" w:color="000000" w:fill="000000"/>
            <w:vAlign w:val="center"/>
            <w:hideMark/>
          </w:tcPr>
          <w:p w14:paraId="22780901" w14:textId="77777777" w:rsidR="00535DF2" w:rsidRPr="00907633" w:rsidRDefault="00535DF2" w:rsidP="00F51716">
            <w:pPr>
              <w:pStyle w:val="Tabletext0"/>
              <w:rPr>
                <w:color w:val="000000" w:themeColor="text1"/>
              </w:rPr>
            </w:pPr>
            <w:r w:rsidRPr="00907633">
              <w:rPr>
                <w:color w:val="000000" w:themeColor="text1"/>
              </w:rPr>
              <w:t>Kilolitres per FTE</w:t>
            </w:r>
          </w:p>
        </w:tc>
        <w:tc>
          <w:tcPr>
            <w:tcW w:w="1018" w:type="dxa"/>
            <w:shd w:val="clear" w:color="000000" w:fill="000000"/>
            <w:noWrap/>
            <w:vAlign w:val="center"/>
            <w:hideMark/>
          </w:tcPr>
          <w:p w14:paraId="6B057D88" w14:textId="77777777" w:rsidR="00535DF2" w:rsidRPr="00907633" w:rsidRDefault="00535DF2" w:rsidP="00F51716">
            <w:pPr>
              <w:pStyle w:val="tableright"/>
              <w:rPr>
                <w:color w:val="000000" w:themeColor="text1"/>
              </w:rPr>
            </w:pPr>
            <w:r w:rsidRPr="00907633">
              <w:rPr>
                <w:color w:val="000000" w:themeColor="text1"/>
              </w:rPr>
              <w:t>9.32</w:t>
            </w:r>
          </w:p>
        </w:tc>
        <w:tc>
          <w:tcPr>
            <w:tcW w:w="1018" w:type="dxa"/>
            <w:shd w:val="clear" w:color="000000" w:fill="000000"/>
            <w:noWrap/>
            <w:vAlign w:val="center"/>
            <w:hideMark/>
          </w:tcPr>
          <w:p w14:paraId="4CADB029" w14:textId="77777777" w:rsidR="00535DF2" w:rsidRPr="00907633" w:rsidRDefault="00535DF2" w:rsidP="00F51716">
            <w:pPr>
              <w:pStyle w:val="tableright"/>
              <w:rPr>
                <w:color w:val="000000" w:themeColor="text1"/>
              </w:rPr>
            </w:pPr>
            <w:r w:rsidRPr="00907633">
              <w:rPr>
                <w:color w:val="000000" w:themeColor="text1"/>
              </w:rPr>
              <w:t>7.96</w:t>
            </w:r>
          </w:p>
        </w:tc>
        <w:tc>
          <w:tcPr>
            <w:tcW w:w="1018" w:type="dxa"/>
            <w:shd w:val="clear" w:color="000000" w:fill="D9D9D9"/>
            <w:noWrap/>
            <w:vAlign w:val="center"/>
            <w:hideMark/>
          </w:tcPr>
          <w:p w14:paraId="3E4BE225" w14:textId="77777777" w:rsidR="00535DF2" w:rsidRPr="00535DF2" w:rsidRDefault="00535DF2" w:rsidP="00F51716">
            <w:pPr>
              <w:pStyle w:val="tableright"/>
            </w:pPr>
            <w:r w:rsidRPr="00535DF2">
              <w:t>11.43</w:t>
            </w:r>
          </w:p>
        </w:tc>
        <w:tc>
          <w:tcPr>
            <w:tcW w:w="1018" w:type="dxa"/>
            <w:shd w:val="clear" w:color="000000" w:fill="D9D9D9"/>
            <w:noWrap/>
            <w:vAlign w:val="center"/>
            <w:hideMark/>
          </w:tcPr>
          <w:p w14:paraId="002F89B3" w14:textId="77777777" w:rsidR="00535DF2" w:rsidRPr="00535DF2" w:rsidRDefault="00535DF2" w:rsidP="00F51716">
            <w:pPr>
              <w:pStyle w:val="tableright"/>
            </w:pPr>
            <w:r w:rsidRPr="00535DF2">
              <w:t>7.15</w:t>
            </w:r>
          </w:p>
        </w:tc>
        <w:tc>
          <w:tcPr>
            <w:tcW w:w="1018" w:type="dxa"/>
            <w:shd w:val="clear" w:color="000000" w:fill="D9D9D9"/>
            <w:noWrap/>
            <w:vAlign w:val="center"/>
            <w:hideMark/>
          </w:tcPr>
          <w:p w14:paraId="3AC24CDA" w14:textId="72B7162D" w:rsidR="00535DF2" w:rsidRPr="00535DF2" w:rsidRDefault="00535DF2" w:rsidP="00F51716">
            <w:pPr>
              <w:pStyle w:val="tableright"/>
            </w:pPr>
            <w:r w:rsidRPr="00535DF2">
              <w:t>6.</w:t>
            </w:r>
            <w:r w:rsidR="00CB502B">
              <w:t>64</w:t>
            </w:r>
          </w:p>
        </w:tc>
      </w:tr>
      <w:tr w:rsidR="00535DF2" w:rsidRPr="00535DF2" w14:paraId="00999AC6" w14:textId="77777777" w:rsidTr="003F15CC">
        <w:trPr>
          <w:trHeight w:val="213"/>
        </w:trPr>
        <w:tc>
          <w:tcPr>
            <w:tcW w:w="1651" w:type="dxa"/>
            <w:vMerge/>
            <w:vAlign w:val="center"/>
            <w:hideMark/>
          </w:tcPr>
          <w:p w14:paraId="05529295" w14:textId="77777777" w:rsidR="00535DF2" w:rsidRPr="00535DF2" w:rsidRDefault="00535DF2" w:rsidP="00F51716"/>
        </w:tc>
        <w:tc>
          <w:tcPr>
            <w:tcW w:w="1746" w:type="dxa"/>
            <w:shd w:val="clear" w:color="000000" w:fill="000000"/>
            <w:vAlign w:val="center"/>
            <w:hideMark/>
          </w:tcPr>
          <w:p w14:paraId="4BCE07F0" w14:textId="77777777" w:rsidR="00535DF2" w:rsidRPr="00907633" w:rsidRDefault="00535DF2" w:rsidP="00F51716">
            <w:pPr>
              <w:pStyle w:val="Tabletext0"/>
              <w:rPr>
                <w:color w:val="000000" w:themeColor="text1"/>
              </w:rPr>
            </w:pPr>
            <w:r w:rsidRPr="00907633">
              <w:rPr>
                <w:color w:val="000000" w:themeColor="text1"/>
              </w:rPr>
              <w:t>Apportioned Water per THC</w:t>
            </w:r>
            <w:r w:rsidRPr="00907633">
              <w:rPr>
                <w:color w:val="000000" w:themeColor="text1"/>
                <w:vertAlign w:val="superscript"/>
              </w:rPr>
              <w:t>8</w:t>
            </w:r>
          </w:p>
        </w:tc>
        <w:tc>
          <w:tcPr>
            <w:tcW w:w="1239" w:type="dxa"/>
            <w:shd w:val="clear" w:color="000000" w:fill="000000"/>
            <w:vAlign w:val="center"/>
            <w:hideMark/>
          </w:tcPr>
          <w:p w14:paraId="3A1369AA" w14:textId="77777777" w:rsidR="00535DF2" w:rsidRPr="00907633" w:rsidRDefault="00535DF2" w:rsidP="00F51716">
            <w:pPr>
              <w:pStyle w:val="Tabletext0"/>
              <w:rPr>
                <w:color w:val="000000" w:themeColor="text1"/>
              </w:rPr>
            </w:pPr>
            <w:r w:rsidRPr="00907633">
              <w:rPr>
                <w:color w:val="000000" w:themeColor="text1"/>
              </w:rPr>
              <w:t>Kilolitres per THC</w:t>
            </w:r>
          </w:p>
        </w:tc>
        <w:tc>
          <w:tcPr>
            <w:tcW w:w="1018" w:type="dxa"/>
            <w:shd w:val="clear" w:color="000000" w:fill="000000"/>
            <w:noWrap/>
            <w:vAlign w:val="center"/>
            <w:hideMark/>
          </w:tcPr>
          <w:p w14:paraId="1E7984A5" w14:textId="77777777" w:rsidR="00535DF2" w:rsidRPr="00907633" w:rsidRDefault="00535DF2" w:rsidP="00F51716">
            <w:pPr>
              <w:pStyle w:val="tableright"/>
              <w:rPr>
                <w:color w:val="000000" w:themeColor="text1"/>
              </w:rPr>
            </w:pPr>
            <w:r w:rsidRPr="00907633">
              <w:rPr>
                <w:color w:val="000000" w:themeColor="text1"/>
              </w:rPr>
              <w:t>8.30</w:t>
            </w:r>
          </w:p>
        </w:tc>
        <w:tc>
          <w:tcPr>
            <w:tcW w:w="1018" w:type="dxa"/>
            <w:shd w:val="clear" w:color="000000" w:fill="000000"/>
            <w:noWrap/>
            <w:vAlign w:val="center"/>
            <w:hideMark/>
          </w:tcPr>
          <w:p w14:paraId="36E25EB8" w14:textId="77777777" w:rsidR="00535DF2" w:rsidRPr="00907633" w:rsidRDefault="00535DF2" w:rsidP="00F51716">
            <w:pPr>
              <w:pStyle w:val="tableright"/>
              <w:rPr>
                <w:color w:val="000000" w:themeColor="text1"/>
              </w:rPr>
            </w:pPr>
            <w:r w:rsidRPr="00907633">
              <w:rPr>
                <w:color w:val="000000" w:themeColor="text1"/>
              </w:rPr>
              <w:t>7.56</w:t>
            </w:r>
          </w:p>
        </w:tc>
        <w:tc>
          <w:tcPr>
            <w:tcW w:w="1018" w:type="dxa"/>
            <w:shd w:val="clear" w:color="000000" w:fill="D9D9D9"/>
            <w:noWrap/>
            <w:vAlign w:val="center"/>
            <w:hideMark/>
          </w:tcPr>
          <w:p w14:paraId="25589C33" w14:textId="77777777" w:rsidR="00535DF2" w:rsidRPr="00535DF2" w:rsidRDefault="00535DF2" w:rsidP="00F51716">
            <w:pPr>
              <w:pStyle w:val="tableright"/>
            </w:pPr>
            <w:r w:rsidRPr="00535DF2">
              <w:t>10.13</w:t>
            </w:r>
          </w:p>
        </w:tc>
        <w:tc>
          <w:tcPr>
            <w:tcW w:w="1018" w:type="dxa"/>
            <w:shd w:val="clear" w:color="000000" w:fill="D9D9D9"/>
            <w:noWrap/>
            <w:vAlign w:val="center"/>
            <w:hideMark/>
          </w:tcPr>
          <w:p w14:paraId="536D24D2" w14:textId="77777777" w:rsidR="00535DF2" w:rsidRPr="00535DF2" w:rsidRDefault="00535DF2" w:rsidP="00F51716">
            <w:pPr>
              <w:pStyle w:val="tableright"/>
            </w:pPr>
            <w:r w:rsidRPr="00535DF2">
              <w:t>6.18</w:t>
            </w:r>
          </w:p>
        </w:tc>
        <w:tc>
          <w:tcPr>
            <w:tcW w:w="1018" w:type="dxa"/>
            <w:shd w:val="clear" w:color="000000" w:fill="D9D9D9"/>
            <w:noWrap/>
            <w:vAlign w:val="center"/>
            <w:hideMark/>
          </w:tcPr>
          <w:p w14:paraId="1D2A7365" w14:textId="4AFCEEFD" w:rsidR="00535DF2" w:rsidRPr="00535DF2" w:rsidRDefault="00CB502B" w:rsidP="00F51716">
            <w:pPr>
              <w:pStyle w:val="tableright"/>
              <w:rPr>
                <w:rFonts w:eastAsia="Times New Roman"/>
              </w:rPr>
            </w:pPr>
            <w:r>
              <w:t>6.30</w:t>
            </w:r>
          </w:p>
        </w:tc>
      </w:tr>
      <w:tr w:rsidR="00535DF2" w:rsidRPr="00535DF2" w14:paraId="35BEC9AB" w14:textId="77777777" w:rsidTr="003F15CC">
        <w:trPr>
          <w:trHeight w:val="213"/>
        </w:trPr>
        <w:tc>
          <w:tcPr>
            <w:tcW w:w="1651" w:type="dxa"/>
            <w:vMerge/>
            <w:vAlign w:val="center"/>
            <w:hideMark/>
          </w:tcPr>
          <w:p w14:paraId="1FD3506F" w14:textId="77777777" w:rsidR="00535DF2" w:rsidRPr="00535DF2" w:rsidRDefault="00535DF2" w:rsidP="00F51716"/>
        </w:tc>
        <w:tc>
          <w:tcPr>
            <w:tcW w:w="1746" w:type="dxa"/>
            <w:shd w:val="clear" w:color="000000" w:fill="FFFFFF"/>
            <w:vAlign w:val="center"/>
            <w:hideMark/>
          </w:tcPr>
          <w:p w14:paraId="08C17624" w14:textId="77777777" w:rsidR="00535DF2" w:rsidRPr="00535DF2" w:rsidRDefault="00535DF2" w:rsidP="00F51716">
            <w:pPr>
              <w:pStyle w:val="Tabletext0"/>
            </w:pPr>
            <w:r w:rsidRPr="00535DF2">
              <w:t>Apportioned Water per m</w:t>
            </w:r>
            <w:r w:rsidRPr="00535DF2">
              <w:rPr>
                <w:vertAlign w:val="superscript"/>
              </w:rPr>
              <w:t>2</w:t>
            </w:r>
            <w:r w:rsidRPr="00535DF2">
              <w:t xml:space="preserve"> </w:t>
            </w:r>
            <w:r w:rsidRPr="00535DF2">
              <w:rPr>
                <w:vertAlign w:val="superscript"/>
              </w:rPr>
              <w:t>8</w:t>
            </w:r>
          </w:p>
        </w:tc>
        <w:tc>
          <w:tcPr>
            <w:tcW w:w="1239" w:type="dxa"/>
            <w:shd w:val="clear" w:color="000000" w:fill="FFFFFF"/>
            <w:vAlign w:val="center"/>
            <w:hideMark/>
          </w:tcPr>
          <w:p w14:paraId="00DDEA75" w14:textId="77777777" w:rsidR="00535DF2" w:rsidRPr="00535DF2" w:rsidRDefault="00535DF2" w:rsidP="00F51716">
            <w:pPr>
              <w:pStyle w:val="Tabletext0"/>
            </w:pPr>
            <w:r w:rsidRPr="00535DF2">
              <w:t>Kilolitres per m</w:t>
            </w:r>
            <w:r w:rsidRPr="00535DF2">
              <w:rPr>
                <w:vertAlign w:val="superscript"/>
              </w:rPr>
              <w:t>2</w:t>
            </w:r>
          </w:p>
        </w:tc>
        <w:tc>
          <w:tcPr>
            <w:tcW w:w="1018" w:type="dxa"/>
            <w:shd w:val="clear" w:color="000000" w:fill="FFFFFF"/>
            <w:noWrap/>
            <w:vAlign w:val="center"/>
            <w:hideMark/>
          </w:tcPr>
          <w:p w14:paraId="4D876F21" w14:textId="77777777" w:rsidR="00535DF2" w:rsidRPr="00535DF2" w:rsidRDefault="00535DF2" w:rsidP="00F51716">
            <w:pPr>
              <w:pStyle w:val="tableright"/>
            </w:pPr>
            <w:r w:rsidRPr="00535DF2">
              <w:t>0.52</w:t>
            </w:r>
          </w:p>
        </w:tc>
        <w:tc>
          <w:tcPr>
            <w:tcW w:w="1018" w:type="dxa"/>
            <w:shd w:val="clear" w:color="000000" w:fill="FFFFFF"/>
            <w:noWrap/>
            <w:vAlign w:val="center"/>
            <w:hideMark/>
          </w:tcPr>
          <w:p w14:paraId="5FBF18AE" w14:textId="77777777" w:rsidR="00535DF2" w:rsidRPr="00535DF2" w:rsidRDefault="00535DF2" w:rsidP="00F51716">
            <w:pPr>
              <w:pStyle w:val="tableright"/>
            </w:pPr>
            <w:r w:rsidRPr="00535DF2">
              <w:t>0.47</w:t>
            </w:r>
          </w:p>
        </w:tc>
        <w:tc>
          <w:tcPr>
            <w:tcW w:w="1018" w:type="dxa"/>
            <w:shd w:val="clear" w:color="000000" w:fill="FFFFFF"/>
            <w:noWrap/>
            <w:vAlign w:val="center"/>
            <w:hideMark/>
          </w:tcPr>
          <w:p w14:paraId="4122C74B" w14:textId="77777777" w:rsidR="00535DF2" w:rsidRPr="00535DF2" w:rsidRDefault="00535DF2" w:rsidP="00F51716">
            <w:pPr>
              <w:pStyle w:val="tableright"/>
            </w:pPr>
            <w:r w:rsidRPr="00535DF2">
              <w:t>0.65</w:t>
            </w:r>
          </w:p>
        </w:tc>
        <w:tc>
          <w:tcPr>
            <w:tcW w:w="1018" w:type="dxa"/>
            <w:shd w:val="clear" w:color="auto" w:fill="auto"/>
            <w:noWrap/>
            <w:vAlign w:val="center"/>
            <w:hideMark/>
          </w:tcPr>
          <w:p w14:paraId="6E445A4A" w14:textId="77777777" w:rsidR="00535DF2" w:rsidRPr="00535DF2" w:rsidRDefault="00535DF2" w:rsidP="00F51716">
            <w:pPr>
              <w:pStyle w:val="tableright"/>
            </w:pPr>
            <w:r w:rsidRPr="00535DF2">
              <w:t>0.48</w:t>
            </w:r>
          </w:p>
        </w:tc>
        <w:tc>
          <w:tcPr>
            <w:tcW w:w="1018" w:type="dxa"/>
            <w:shd w:val="clear" w:color="auto" w:fill="auto"/>
            <w:noWrap/>
            <w:vAlign w:val="center"/>
            <w:hideMark/>
          </w:tcPr>
          <w:p w14:paraId="4F48C51D" w14:textId="77777777" w:rsidR="00535DF2" w:rsidRPr="00535DF2" w:rsidRDefault="00535DF2" w:rsidP="00F51716">
            <w:pPr>
              <w:pStyle w:val="tableright"/>
            </w:pPr>
            <w:r w:rsidRPr="00535DF2">
              <w:t>0.48</w:t>
            </w:r>
          </w:p>
        </w:tc>
      </w:tr>
      <w:tr w:rsidR="00535DF2" w:rsidRPr="00535DF2" w14:paraId="2A27DBAE" w14:textId="77777777" w:rsidTr="003F15CC">
        <w:trPr>
          <w:trHeight w:val="213"/>
        </w:trPr>
        <w:tc>
          <w:tcPr>
            <w:tcW w:w="1651" w:type="dxa"/>
            <w:vMerge/>
            <w:vAlign w:val="center"/>
            <w:hideMark/>
          </w:tcPr>
          <w:p w14:paraId="734B80AE" w14:textId="77777777" w:rsidR="00535DF2" w:rsidRPr="00535DF2" w:rsidRDefault="00535DF2" w:rsidP="00F51716"/>
        </w:tc>
        <w:tc>
          <w:tcPr>
            <w:tcW w:w="1746" w:type="dxa"/>
            <w:shd w:val="clear" w:color="000000" w:fill="FFFFFF"/>
            <w:vAlign w:val="center"/>
            <w:hideMark/>
          </w:tcPr>
          <w:p w14:paraId="32949211" w14:textId="77777777" w:rsidR="00535DF2" w:rsidRPr="00535DF2" w:rsidRDefault="00535DF2" w:rsidP="00F51716">
            <w:pPr>
              <w:pStyle w:val="Tabletext0"/>
            </w:pPr>
            <w:r w:rsidRPr="00535DF2">
              <w:t>Potable Consumption per THC</w:t>
            </w:r>
          </w:p>
        </w:tc>
        <w:tc>
          <w:tcPr>
            <w:tcW w:w="1239" w:type="dxa"/>
            <w:shd w:val="clear" w:color="000000" w:fill="FFFFFF"/>
            <w:vAlign w:val="center"/>
            <w:hideMark/>
          </w:tcPr>
          <w:p w14:paraId="08B45D96" w14:textId="77777777" w:rsidR="00535DF2" w:rsidRPr="00535DF2" w:rsidRDefault="00535DF2" w:rsidP="00F51716">
            <w:pPr>
              <w:pStyle w:val="Tabletext0"/>
            </w:pPr>
            <w:r w:rsidRPr="00535DF2">
              <w:t>Kilolitres per THC</w:t>
            </w:r>
          </w:p>
        </w:tc>
        <w:tc>
          <w:tcPr>
            <w:tcW w:w="1018" w:type="dxa"/>
            <w:shd w:val="clear" w:color="000000" w:fill="FFFFFF"/>
            <w:noWrap/>
            <w:vAlign w:val="center"/>
            <w:hideMark/>
          </w:tcPr>
          <w:p w14:paraId="512D79CC" w14:textId="77777777" w:rsidR="00535DF2" w:rsidRPr="00535DF2" w:rsidRDefault="00535DF2" w:rsidP="00F51716">
            <w:pPr>
              <w:pStyle w:val="tableright"/>
            </w:pPr>
            <w:r w:rsidRPr="00535DF2">
              <w:t>5.48</w:t>
            </w:r>
          </w:p>
        </w:tc>
        <w:tc>
          <w:tcPr>
            <w:tcW w:w="1018" w:type="dxa"/>
            <w:shd w:val="clear" w:color="000000" w:fill="FFFFFF"/>
            <w:noWrap/>
            <w:vAlign w:val="center"/>
            <w:hideMark/>
          </w:tcPr>
          <w:p w14:paraId="58A66930" w14:textId="77777777" w:rsidR="00535DF2" w:rsidRPr="00535DF2" w:rsidRDefault="00535DF2" w:rsidP="00F51716">
            <w:pPr>
              <w:pStyle w:val="tableright"/>
            </w:pPr>
            <w:r w:rsidRPr="00535DF2">
              <w:t>4.74</w:t>
            </w:r>
          </w:p>
        </w:tc>
        <w:tc>
          <w:tcPr>
            <w:tcW w:w="1018" w:type="dxa"/>
            <w:shd w:val="clear" w:color="000000" w:fill="FFFFFF"/>
            <w:noWrap/>
            <w:vAlign w:val="center"/>
            <w:hideMark/>
          </w:tcPr>
          <w:p w14:paraId="031E4DBA" w14:textId="77777777" w:rsidR="00535DF2" w:rsidRPr="00535DF2" w:rsidRDefault="00535DF2" w:rsidP="00F51716">
            <w:pPr>
              <w:pStyle w:val="tableright"/>
            </w:pPr>
            <w:r w:rsidRPr="00535DF2">
              <w:t>4.68</w:t>
            </w:r>
          </w:p>
        </w:tc>
        <w:tc>
          <w:tcPr>
            <w:tcW w:w="1018" w:type="dxa"/>
            <w:shd w:val="clear" w:color="auto" w:fill="auto"/>
            <w:noWrap/>
            <w:vAlign w:val="center"/>
            <w:hideMark/>
          </w:tcPr>
          <w:p w14:paraId="3C9892A4" w14:textId="77777777" w:rsidR="00535DF2" w:rsidRPr="00535DF2" w:rsidRDefault="00535DF2" w:rsidP="00F51716">
            <w:pPr>
              <w:pStyle w:val="tableright"/>
            </w:pPr>
            <w:r w:rsidRPr="00535DF2">
              <w:t>3.75</w:t>
            </w:r>
          </w:p>
        </w:tc>
        <w:tc>
          <w:tcPr>
            <w:tcW w:w="1018" w:type="dxa"/>
            <w:shd w:val="clear" w:color="auto" w:fill="auto"/>
            <w:noWrap/>
            <w:vAlign w:val="center"/>
            <w:hideMark/>
          </w:tcPr>
          <w:p w14:paraId="443E6EA7" w14:textId="4E48EC6A" w:rsidR="00535DF2" w:rsidRPr="00535DF2" w:rsidRDefault="00CB502B" w:rsidP="00F51716">
            <w:pPr>
              <w:pStyle w:val="tableright"/>
              <w:rPr>
                <w:rFonts w:eastAsia="Times New Roman"/>
              </w:rPr>
            </w:pPr>
            <w:r>
              <w:t>2.18</w:t>
            </w:r>
          </w:p>
        </w:tc>
      </w:tr>
      <w:tr w:rsidR="00535DF2" w:rsidRPr="00535DF2" w14:paraId="162113B8" w14:textId="77777777" w:rsidTr="003F15CC">
        <w:trPr>
          <w:trHeight w:val="213"/>
        </w:trPr>
        <w:tc>
          <w:tcPr>
            <w:tcW w:w="1651" w:type="dxa"/>
            <w:vMerge/>
            <w:vAlign w:val="center"/>
            <w:hideMark/>
          </w:tcPr>
          <w:p w14:paraId="562361F9" w14:textId="77777777" w:rsidR="00535DF2" w:rsidRPr="00535DF2" w:rsidRDefault="00535DF2" w:rsidP="00F51716"/>
        </w:tc>
        <w:tc>
          <w:tcPr>
            <w:tcW w:w="1746" w:type="dxa"/>
            <w:shd w:val="clear" w:color="000000" w:fill="FFFFFF"/>
            <w:vAlign w:val="center"/>
            <w:hideMark/>
          </w:tcPr>
          <w:p w14:paraId="26727D67" w14:textId="77777777" w:rsidR="00535DF2" w:rsidRPr="00535DF2" w:rsidRDefault="00535DF2" w:rsidP="00F51716">
            <w:pPr>
              <w:pStyle w:val="Tabletext0"/>
            </w:pPr>
            <w:r w:rsidRPr="00535DF2">
              <w:t>Potable Consumption per FTE</w:t>
            </w:r>
          </w:p>
        </w:tc>
        <w:tc>
          <w:tcPr>
            <w:tcW w:w="1239" w:type="dxa"/>
            <w:shd w:val="clear" w:color="000000" w:fill="FFFFFF"/>
            <w:vAlign w:val="center"/>
            <w:hideMark/>
          </w:tcPr>
          <w:p w14:paraId="11419A22" w14:textId="77777777" w:rsidR="00535DF2" w:rsidRPr="00535DF2" w:rsidRDefault="00535DF2" w:rsidP="00F51716">
            <w:pPr>
              <w:pStyle w:val="Tabletext0"/>
            </w:pPr>
            <w:r w:rsidRPr="00535DF2">
              <w:t>Kilolitres per FTE</w:t>
            </w:r>
          </w:p>
        </w:tc>
        <w:tc>
          <w:tcPr>
            <w:tcW w:w="1018" w:type="dxa"/>
            <w:shd w:val="clear" w:color="000000" w:fill="FFFFFF"/>
            <w:vAlign w:val="center"/>
            <w:hideMark/>
          </w:tcPr>
          <w:p w14:paraId="5E226599" w14:textId="77777777" w:rsidR="00535DF2" w:rsidRPr="00535DF2" w:rsidRDefault="00535DF2" w:rsidP="00F51716">
            <w:pPr>
              <w:pStyle w:val="tableright"/>
            </w:pPr>
            <w:r w:rsidRPr="00535DF2">
              <w:t>5.96</w:t>
            </w:r>
          </w:p>
        </w:tc>
        <w:tc>
          <w:tcPr>
            <w:tcW w:w="1018" w:type="dxa"/>
            <w:shd w:val="clear" w:color="000000" w:fill="FFFFFF"/>
            <w:vAlign w:val="center"/>
            <w:hideMark/>
          </w:tcPr>
          <w:p w14:paraId="68A07FE9" w14:textId="77777777" w:rsidR="00535DF2" w:rsidRPr="00535DF2" w:rsidRDefault="00535DF2" w:rsidP="00F51716">
            <w:pPr>
              <w:pStyle w:val="tableright"/>
            </w:pPr>
            <w:r w:rsidRPr="00535DF2">
              <w:t>5.04</w:t>
            </w:r>
          </w:p>
        </w:tc>
        <w:tc>
          <w:tcPr>
            <w:tcW w:w="1018" w:type="dxa"/>
            <w:shd w:val="clear" w:color="000000" w:fill="FFFFFF"/>
            <w:vAlign w:val="center"/>
            <w:hideMark/>
          </w:tcPr>
          <w:p w14:paraId="70580BF9" w14:textId="77777777" w:rsidR="00535DF2" w:rsidRPr="00535DF2" w:rsidRDefault="00535DF2" w:rsidP="00F51716">
            <w:pPr>
              <w:pStyle w:val="tableright"/>
            </w:pPr>
            <w:r w:rsidRPr="00535DF2">
              <w:t>5.17</w:t>
            </w:r>
          </w:p>
        </w:tc>
        <w:tc>
          <w:tcPr>
            <w:tcW w:w="1018" w:type="dxa"/>
            <w:shd w:val="clear" w:color="auto" w:fill="auto"/>
            <w:vAlign w:val="center"/>
            <w:hideMark/>
          </w:tcPr>
          <w:p w14:paraId="7CD032BC" w14:textId="77777777" w:rsidR="00535DF2" w:rsidRPr="00535DF2" w:rsidRDefault="00535DF2" w:rsidP="00F51716">
            <w:pPr>
              <w:pStyle w:val="tableright"/>
            </w:pPr>
            <w:r w:rsidRPr="00535DF2">
              <w:t>4.35</w:t>
            </w:r>
          </w:p>
        </w:tc>
        <w:tc>
          <w:tcPr>
            <w:tcW w:w="1018" w:type="dxa"/>
            <w:shd w:val="clear" w:color="auto" w:fill="auto"/>
            <w:vAlign w:val="center"/>
            <w:hideMark/>
          </w:tcPr>
          <w:p w14:paraId="5A374A0F" w14:textId="134CC833" w:rsidR="00535DF2" w:rsidRPr="00535DF2" w:rsidRDefault="00CB502B" w:rsidP="00F51716">
            <w:pPr>
              <w:pStyle w:val="tableright"/>
              <w:rPr>
                <w:rFonts w:eastAsia="Times New Roman"/>
              </w:rPr>
            </w:pPr>
            <w:r>
              <w:t>2.30</w:t>
            </w:r>
          </w:p>
        </w:tc>
      </w:tr>
      <w:tr w:rsidR="00535DF2" w:rsidRPr="00535DF2" w14:paraId="1131D437" w14:textId="77777777" w:rsidTr="003F15CC">
        <w:trPr>
          <w:trHeight w:val="213"/>
        </w:trPr>
        <w:tc>
          <w:tcPr>
            <w:tcW w:w="1651" w:type="dxa"/>
            <w:vMerge/>
            <w:vAlign w:val="center"/>
            <w:hideMark/>
          </w:tcPr>
          <w:p w14:paraId="0DFE2D66" w14:textId="77777777" w:rsidR="00535DF2" w:rsidRPr="00535DF2" w:rsidRDefault="00535DF2" w:rsidP="00F51716"/>
        </w:tc>
        <w:tc>
          <w:tcPr>
            <w:tcW w:w="1746" w:type="dxa"/>
            <w:shd w:val="clear" w:color="000000" w:fill="FFFFFF"/>
            <w:vAlign w:val="center"/>
            <w:hideMark/>
          </w:tcPr>
          <w:p w14:paraId="6B205454" w14:textId="77777777" w:rsidR="00535DF2" w:rsidRPr="00535DF2" w:rsidRDefault="00535DF2" w:rsidP="00F51716">
            <w:pPr>
              <w:pStyle w:val="Tabletext0"/>
            </w:pPr>
            <w:r w:rsidRPr="00535DF2">
              <w:t>Potable Consumption per unit of Office Space</w:t>
            </w:r>
          </w:p>
        </w:tc>
        <w:tc>
          <w:tcPr>
            <w:tcW w:w="1239" w:type="dxa"/>
            <w:shd w:val="clear" w:color="000000" w:fill="FFFFFF"/>
            <w:vAlign w:val="center"/>
            <w:hideMark/>
          </w:tcPr>
          <w:p w14:paraId="52501626" w14:textId="77777777" w:rsidR="00535DF2" w:rsidRPr="00535DF2" w:rsidRDefault="00535DF2" w:rsidP="00F51716">
            <w:pPr>
              <w:pStyle w:val="Tabletext0"/>
            </w:pPr>
            <w:r w:rsidRPr="00535DF2">
              <w:t>Kilolitres per m</w:t>
            </w:r>
            <w:r w:rsidRPr="00535DF2">
              <w:rPr>
                <w:vertAlign w:val="superscript"/>
              </w:rPr>
              <w:t>2</w:t>
            </w:r>
          </w:p>
        </w:tc>
        <w:tc>
          <w:tcPr>
            <w:tcW w:w="1018" w:type="dxa"/>
            <w:shd w:val="clear" w:color="000000" w:fill="FFFFFF"/>
            <w:noWrap/>
            <w:vAlign w:val="center"/>
            <w:hideMark/>
          </w:tcPr>
          <w:p w14:paraId="3FA3389B" w14:textId="77777777" w:rsidR="00535DF2" w:rsidRPr="00535DF2" w:rsidRDefault="00535DF2" w:rsidP="00F51716">
            <w:pPr>
              <w:pStyle w:val="tableright"/>
            </w:pPr>
            <w:r w:rsidRPr="00535DF2">
              <w:t>0.33</w:t>
            </w:r>
          </w:p>
        </w:tc>
        <w:tc>
          <w:tcPr>
            <w:tcW w:w="1018" w:type="dxa"/>
            <w:shd w:val="clear" w:color="000000" w:fill="FFFFFF"/>
            <w:noWrap/>
            <w:vAlign w:val="center"/>
            <w:hideMark/>
          </w:tcPr>
          <w:p w14:paraId="73BF75CF" w14:textId="77777777" w:rsidR="00535DF2" w:rsidRPr="00535DF2" w:rsidRDefault="00535DF2" w:rsidP="00F51716">
            <w:pPr>
              <w:pStyle w:val="tableright"/>
            </w:pPr>
            <w:r w:rsidRPr="00535DF2">
              <w:t>0.31</w:t>
            </w:r>
          </w:p>
        </w:tc>
        <w:tc>
          <w:tcPr>
            <w:tcW w:w="1018" w:type="dxa"/>
            <w:shd w:val="clear" w:color="000000" w:fill="FFFFFF"/>
            <w:noWrap/>
            <w:vAlign w:val="center"/>
            <w:hideMark/>
          </w:tcPr>
          <w:p w14:paraId="13178ECC" w14:textId="77777777" w:rsidR="00535DF2" w:rsidRPr="00535DF2" w:rsidRDefault="00535DF2" w:rsidP="00F51716">
            <w:pPr>
              <w:pStyle w:val="tableright"/>
            </w:pPr>
            <w:r w:rsidRPr="00535DF2">
              <w:t>0.30</w:t>
            </w:r>
          </w:p>
        </w:tc>
        <w:tc>
          <w:tcPr>
            <w:tcW w:w="1018" w:type="dxa"/>
            <w:shd w:val="clear" w:color="auto" w:fill="auto"/>
            <w:noWrap/>
            <w:vAlign w:val="center"/>
            <w:hideMark/>
          </w:tcPr>
          <w:p w14:paraId="09CDE0AF" w14:textId="77777777" w:rsidR="00535DF2" w:rsidRPr="00535DF2" w:rsidRDefault="00535DF2" w:rsidP="00F51716">
            <w:pPr>
              <w:pStyle w:val="tableright"/>
            </w:pPr>
            <w:r w:rsidRPr="00535DF2">
              <w:t>0.29</w:t>
            </w:r>
          </w:p>
        </w:tc>
        <w:tc>
          <w:tcPr>
            <w:tcW w:w="1018" w:type="dxa"/>
            <w:shd w:val="clear" w:color="auto" w:fill="auto"/>
            <w:noWrap/>
            <w:vAlign w:val="center"/>
            <w:hideMark/>
          </w:tcPr>
          <w:p w14:paraId="3A31525F" w14:textId="11DD72B4" w:rsidR="00535DF2" w:rsidRPr="00535DF2" w:rsidRDefault="00535DF2" w:rsidP="00F51716">
            <w:pPr>
              <w:pStyle w:val="tableright"/>
            </w:pPr>
            <w:r w:rsidRPr="00535DF2">
              <w:t>0.</w:t>
            </w:r>
            <w:r w:rsidR="00CB502B">
              <w:t>17</w:t>
            </w:r>
          </w:p>
        </w:tc>
      </w:tr>
      <w:tr w:rsidR="00535DF2" w:rsidRPr="00535DF2" w14:paraId="2E503055" w14:textId="77777777" w:rsidTr="003F15CC">
        <w:trPr>
          <w:trHeight w:val="213"/>
        </w:trPr>
        <w:tc>
          <w:tcPr>
            <w:tcW w:w="1651" w:type="dxa"/>
            <w:vMerge/>
            <w:vAlign w:val="center"/>
            <w:hideMark/>
          </w:tcPr>
          <w:p w14:paraId="3FA70351" w14:textId="77777777" w:rsidR="00535DF2" w:rsidRPr="00535DF2" w:rsidRDefault="00535DF2" w:rsidP="00F51716"/>
        </w:tc>
        <w:tc>
          <w:tcPr>
            <w:tcW w:w="1746" w:type="dxa"/>
            <w:shd w:val="clear" w:color="000000" w:fill="FFFFFF"/>
            <w:vAlign w:val="center"/>
            <w:hideMark/>
          </w:tcPr>
          <w:p w14:paraId="05372341" w14:textId="77777777" w:rsidR="00535DF2" w:rsidRPr="00535DF2" w:rsidRDefault="00535DF2" w:rsidP="00F51716">
            <w:pPr>
              <w:pStyle w:val="Tabletext0"/>
            </w:pPr>
            <w:r w:rsidRPr="00535DF2">
              <w:t>Total potable water consumption floor only</w:t>
            </w:r>
            <w:r w:rsidRPr="00535DF2">
              <w:rPr>
                <w:vertAlign w:val="superscript"/>
              </w:rPr>
              <w:t xml:space="preserve"> </w:t>
            </w:r>
          </w:p>
        </w:tc>
        <w:tc>
          <w:tcPr>
            <w:tcW w:w="1239" w:type="dxa"/>
            <w:shd w:val="clear" w:color="000000" w:fill="FFFFFF"/>
            <w:vAlign w:val="center"/>
            <w:hideMark/>
          </w:tcPr>
          <w:p w14:paraId="2F502C83" w14:textId="77777777" w:rsidR="00535DF2" w:rsidRPr="00535DF2" w:rsidRDefault="00535DF2" w:rsidP="00F51716">
            <w:pPr>
              <w:pStyle w:val="Tabletext0"/>
            </w:pPr>
            <w:r w:rsidRPr="00535DF2">
              <w:t>Kilolitres</w:t>
            </w:r>
          </w:p>
        </w:tc>
        <w:tc>
          <w:tcPr>
            <w:tcW w:w="1018" w:type="dxa"/>
            <w:shd w:val="clear" w:color="000000" w:fill="FFFFFF"/>
            <w:noWrap/>
            <w:vAlign w:val="center"/>
            <w:hideMark/>
          </w:tcPr>
          <w:p w14:paraId="439B7803" w14:textId="77777777" w:rsidR="00535DF2" w:rsidRPr="00535DF2" w:rsidRDefault="00535DF2" w:rsidP="00F51716">
            <w:pPr>
              <w:pStyle w:val="tableright"/>
            </w:pPr>
            <w:r w:rsidRPr="00535DF2">
              <w:t>652</w:t>
            </w:r>
          </w:p>
        </w:tc>
        <w:tc>
          <w:tcPr>
            <w:tcW w:w="1018" w:type="dxa"/>
            <w:shd w:val="clear" w:color="000000" w:fill="FFFFFF"/>
            <w:noWrap/>
            <w:vAlign w:val="center"/>
            <w:hideMark/>
          </w:tcPr>
          <w:p w14:paraId="3E57ED52" w14:textId="77777777" w:rsidR="00535DF2" w:rsidRPr="00535DF2" w:rsidRDefault="00535DF2" w:rsidP="00F51716">
            <w:pPr>
              <w:pStyle w:val="tableright"/>
            </w:pPr>
            <w:r w:rsidRPr="00535DF2">
              <w:t>595</w:t>
            </w:r>
          </w:p>
        </w:tc>
        <w:tc>
          <w:tcPr>
            <w:tcW w:w="1018" w:type="dxa"/>
            <w:shd w:val="clear" w:color="000000" w:fill="FFFFFF"/>
            <w:noWrap/>
            <w:vAlign w:val="center"/>
            <w:hideMark/>
          </w:tcPr>
          <w:p w14:paraId="4E3841A6" w14:textId="77777777" w:rsidR="00535DF2" w:rsidRPr="00535DF2" w:rsidRDefault="00535DF2" w:rsidP="00F51716">
            <w:pPr>
              <w:pStyle w:val="tableright"/>
            </w:pPr>
            <w:r w:rsidRPr="00535DF2">
              <w:t>581</w:t>
            </w:r>
          </w:p>
        </w:tc>
        <w:tc>
          <w:tcPr>
            <w:tcW w:w="1018" w:type="dxa"/>
            <w:shd w:val="clear" w:color="auto" w:fill="auto"/>
            <w:noWrap/>
            <w:vAlign w:val="center"/>
            <w:hideMark/>
          </w:tcPr>
          <w:p w14:paraId="5F3B557E" w14:textId="77777777" w:rsidR="00535DF2" w:rsidRPr="00535DF2" w:rsidRDefault="00535DF2" w:rsidP="00F51716">
            <w:pPr>
              <w:pStyle w:val="tableright"/>
            </w:pPr>
            <w:r w:rsidRPr="00535DF2">
              <w:t>564</w:t>
            </w:r>
          </w:p>
        </w:tc>
        <w:tc>
          <w:tcPr>
            <w:tcW w:w="1018" w:type="dxa"/>
            <w:shd w:val="clear" w:color="auto" w:fill="auto"/>
            <w:noWrap/>
            <w:vAlign w:val="center"/>
            <w:hideMark/>
          </w:tcPr>
          <w:p w14:paraId="024BBAF6" w14:textId="47C4CA98" w:rsidR="00535DF2" w:rsidRPr="00535DF2" w:rsidRDefault="00CB502B" w:rsidP="00F51716">
            <w:pPr>
              <w:pStyle w:val="tableright"/>
              <w:rPr>
                <w:rFonts w:eastAsia="Times New Roman"/>
              </w:rPr>
            </w:pPr>
            <w:r>
              <w:t>325</w:t>
            </w:r>
          </w:p>
        </w:tc>
      </w:tr>
      <w:tr w:rsidR="00535DF2" w:rsidRPr="00535DF2" w14:paraId="14959B6A" w14:textId="77777777" w:rsidTr="003F15CC">
        <w:trPr>
          <w:trHeight w:val="213"/>
        </w:trPr>
        <w:tc>
          <w:tcPr>
            <w:tcW w:w="1651" w:type="dxa"/>
            <w:vMerge/>
            <w:vAlign w:val="center"/>
            <w:hideMark/>
          </w:tcPr>
          <w:p w14:paraId="555AF2DD" w14:textId="77777777" w:rsidR="00535DF2" w:rsidRPr="00535DF2" w:rsidRDefault="00535DF2" w:rsidP="00F51716"/>
        </w:tc>
        <w:tc>
          <w:tcPr>
            <w:tcW w:w="1746" w:type="dxa"/>
            <w:shd w:val="clear" w:color="000000" w:fill="FFFFFF"/>
            <w:vAlign w:val="center"/>
            <w:hideMark/>
          </w:tcPr>
          <w:p w14:paraId="1D23EBCB" w14:textId="139D424F" w:rsidR="00535DF2" w:rsidRPr="00535DF2" w:rsidRDefault="00535DF2" w:rsidP="00F51716">
            <w:pPr>
              <w:pStyle w:val="Tabletext0"/>
            </w:pPr>
            <w:r w:rsidRPr="00535DF2">
              <w:t xml:space="preserve">Recycled water floor only </w:t>
            </w:r>
          </w:p>
        </w:tc>
        <w:tc>
          <w:tcPr>
            <w:tcW w:w="1239" w:type="dxa"/>
            <w:shd w:val="clear" w:color="000000" w:fill="FFFFFF"/>
            <w:vAlign w:val="center"/>
            <w:hideMark/>
          </w:tcPr>
          <w:p w14:paraId="0619869E" w14:textId="77777777" w:rsidR="00535DF2" w:rsidRPr="00535DF2" w:rsidRDefault="00535DF2" w:rsidP="00F51716">
            <w:pPr>
              <w:pStyle w:val="Tabletext0"/>
            </w:pPr>
            <w:r w:rsidRPr="00535DF2">
              <w:t>Kilolitres</w:t>
            </w:r>
          </w:p>
        </w:tc>
        <w:tc>
          <w:tcPr>
            <w:tcW w:w="1018" w:type="dxa"/>
            <w:shd w:val="clear" w:color="000000" w:fill="FFFFFF"/>
            <w:noWrap/>
            <w:vAlign w:val="center"/>
            <w:hideMark/>
          </w:tcPr>
          <w:p w14:paraId="05A7516D" w14:textId="77777777" w:rsidR="00535DF2" w:rsidRPr="00535DF2" w:rsidRDefault="00535DF2" w:rsidP="00F51716">
            <w:pPr>
              <w:pStyle w:val="tableright"/>
            </w:pPr>
            <w:r w:rsidRPr="00535DF2">
              <w:t>17.56</w:t>
            </w:r>
          </w:p>
        </w:tc>
        <w:tc>
          <w:tcPr>
            <w:tcW w:w="1018" w:type="dxa"/>
            <w:shd w:val="clear" w:color="000000" w:fill="FFFFFF"/>
            <w:noWrap/>
            <w:vAlign w:val="center"/>
            <w:hideMark/>
          </w:tcPr>
          <w:p w14:paraId="7EEB838F" w14:textId="77777777" w:rsidR="00535DF2" w:rsidRPr="00535DF2" w:rsidRDefault="00535DF2" w:rsidP="00F51716">
            <w:pPr>
              <w:pStyle w:val="tableright"/>
            </w:pPr>
            <w:r w:rsidRPr="00535DF2">
              <w:t>19.38</w:t>
            </w:r>
          </w:p>
        </w:tc>
        <w:tc>
          <w:tcPr>
            <w:tcW w:w="1018" w:type="dxa"/>
            <w:shd w:val="clear" w:color="000000" w:fill="FFFFFF"/>
            <w:noWrap/>
            <w:vAlign w:val="center"/>
            <w:hideMark/>
          </w:tcPr>
          <w:p w14:paraId="2C22F14C" w14:textId="77777777" w:rsidR="00535DF2" w:rsidRPr="00535DF2" w:rsidRDefault="00535DF2" w:rsidP="00F51716">
            <w:pPr>
              <w:pStyle w:val="tableright"/>
            </w:pPr>
            <w:r w:rsidRPr="00535DF2">
              <w:t>7.10</w:t>
            </w:r>
          </w:p>
        </w:tc>
        <w:tc>
          <w:tcPr>
            <w:tcW w:w="1018" w:type="dxa"/>
            <w:shd w:val="clear" w:color="auto" w:fill="auto"/>
            <w:noWrap/>
            <w:vAlign w:val="center"/>
            <w:hideMark/>
          </w:tcPr>
          <w:p w14:paraId="538FBD43" w14:textId="77777777" w:rsidR="00535DF2" w:rsidRPr="00535DF2" w:rsidRDefault="00535DF2" w:rsidP="00F51716">
            <w:pPr>
              <w:pStyle w:val="tableright"/>
            </w:pPr>
            <w:r w:rsidRPr="00535DF2">
              <w:t>0.00</w:t>
            </w:r>
          </w:p>
        </w:tc>
        <w:tc>
          <w:tcPr>
            <w:tcW w:w="1018" w:type="dxa"/>
            <w:shd w:val="clear" w:color="auto" w:fill="auto"/>
            <w:noWrap/>
            <w:vAlign w:val="center"/>
            <w:hideMark/>
          </w:tcPr>
          <w:p w14:paraId="4C5C8636" w14:textId="77777777" w:rsidR="00535DF2" w:rsidRPr="00535DF2" w:rsidRDefault="00535DF2" w:rsidP="00F51716">
            <w:pPr>
              <w:pStyle w:val="tableright"/>
            </w:pPr>
            <w:r w:rsidRPr="00535DF2">
              <w:t>0.00</w:t>
            </w:r>
          </w:p>
        </w:tc>
      </w:tr>
      <w:tr w:rsidR="00535DF2" w:rsidRPr="00535DF2" w14:paraId="36B5F0FA" w14:textId="77777777" w:rsidTr="003F15CC">
        <w:trPr>
          <w:trHeight w:val="213"/>
        </w:trPr>
        <w:tc>
          <w:tcPr>
            <w:tcW w:w="1651" w:type="dxa"/>
            <w:vMerge/>
            <w:vAlign w:val="center"/>
            <w:hideMark/>
          </w:tcPr>
          <w:p w14:paraId="4A77E429" w14:textId="77777777" w:rsidR="00535DF2" w:rsidRPr="00535DF2" w:rsidRDefault="00535DF2" w:rsidP="00F51716"/>
        </w:tc>
        <w:tc>
          <w:tcPr>
            <w:tcW w:w="1746" w:type="dxa"/>
            <w:shd w:val="clear" w:color="auto" w:fill="auto"/>
            <w:vAlign w:val="center"/>
            <w:hideMark/>
          </w:tcPr>
          <w:p w14:paraId="7478CAA3" w14:textId="77777777" w:rsidR="00535DF2" w:rsidRPr="00535DF2" w:rsidRDefault="00535DF2" w:rsidP="00F51716">
            <w:pPr>
              <w:pStyle w:val="Tabletext0"/>
            </w:pPr>
            <w:r w:rsidRPr="00535DF2">
              <w:t>Total apportioned water consumption</w:t>
            </w:r>
            <w:r w:rsidRPr="00535DF2">
              <w:rPr>
                <w:vertAlign w:val="superscript"/>
              </w:rPr>
              <w:t>8</w:t>
            </w:r>
          </w:p>
        </w:tc>
        <w:tc>
          <w:tcPr>
            <w:tcW w:w="1239" w:type="dxa"/>
            <w:shd w:val="clear" w:color="auto" w:fill="auto"/>
            <w:vAlign w:val="center"/>
            <w:hideMark/>
          </w:tcPr>
          <w:p w14:paraId="5902D5EF" w14:textId="77777777" w:rsidR="00535DF2" w:rsidRPr="00535DF2" w:rsidRDefault="00535DF2" w:rsidP="00F51716">
            <w:pPr>
              <w:pStyle w:val="Tabletext0"/>
            </w:pPr>
            <w:r w:rsidRPr="00535DF2">
              <w:t>Kilolitres</w:t>
            </w:r>
          </w:p>
        </w:tc>
        <w:tc>
          <w:tcPr>
            <w:tcW w:w="1018" w:type="dxa"/>
            <w:shd w:val="clear" w:color="auto" w:fill="auto"/>
            <w:noWrap/>
            <w:vAlign w:val="center"/>
            <w:hideMark/>
          </w:tcPr>
          <w:p w14:paraId="39F3F61D" w14:textId="77777777" w:rsidR="00535DF2" w:rsidRPr="00535DF2" w:rsidRDefault="00535DF2" w:rsidP="00F51716">
            <w:pPr>
              <w:pStyle w:val="tableright"/>
            </w:pPr>
            <w:r w:rsidRPr="00535DF2">
              <w:t>1011</w:t>
            </w:r>
          </w:p>
        </w:tc>
        <w:tc>
          <w:tcPr>
            <w:tcW w:w="1018" w:type="dxa"/>
            <w:shd w:val="clear" w:color="auto" w:fill="auto"/>
            <w:noWrap/>
            <w:vAlign w:val="center"/>
            <w:hideMark/>
          </w:tcPr>
          <w:p w14:paraId="5F35838F" w14:textId="77777777" w:rsidR="00535DF2" w:rsidRPr="00535DF2" w:rsidRDefault="00535DF2" w:rsidP="00F51716">
            <w:pPr>
              <w:pStyle w:val="tableright"/>
            </w:pPr>
            <w:r w:rsidRPr="00535DF2">
              <w:t>920</w:t>
            </w:r>
          </w:p>
        </w:tc>
        <w:tc>
          <w:tcPr>
            <w:tcW w:w="1018" w:type="dxa"/>
            <w:shd w:val="clear" w:color="auto" w:fill="auto"/>
            <w:noWrap/>
            <w:vAlign w:val="center"/>
            <w:hideMark/>
          </w:tcPr>
          <w:p w14:paraId="2304FAAA" w14:textId="77777777" w:rsidR="00535DF2" w:rsidRPr="00535DF2" w:rsidRDefault="00535DF2" w:rsidP="00F51716">
            <w:pPr>
              <w:pStyle w:val="tableright"/>
            </w:pPr>
            <w:r w:rsidRPr="00535DF2">
              <w:t>1266</w:t>
            </w:r>
          </w:p>
        </w:tc>
        <w:tc>
          <w:tcPr>
            <w:tcW w:w="1018" w:type="dxa"/>
            <w:shd w:val="clear" w:color="auto" w:fill="auto"/>
            <w:noWrap/>
            <w:vAlign w:val="center"/>
            <w:hideMark/>
          </w:tcPr>
          <w:p w14:paraId="11110CF3" w14:textId="77777777" w:rsidR="00535DF2" w:rsidRPr="00535DF2" w:rsidRDefault="00535DF2" w:rsidP="00F51716">
            <w:pPr>
              <w:pStyle w:val="tableright"/>
            </w:pPr>
            <w:r w:rsidRPr="00535DF2">
              <w:t>928</w:t>
            </w:r>
          </w:p>
        </w:tc>
        <w:tc>
          <w:tcPr>
            <w:tcW w:w="1018" w:type="dxa"/>
            <w:shd w:val="clear" w:color="auto" w:fill="auto"/>
            <w:noWrap/>
            <w:vAlign w:val="center"/>
            <w:hideMark/>
          </w:tcPr>
          <w:p w14:paraId="562A7ACD" w14:textId="77777777" w:rsidR="00535DF2" w:rsidRPr="00535DF2" w:rsidRDefault="00535DF2" w:rsidP="00F51716">
            <w:pPr>
              <w:pStyle w:val="tableright"/>
            </w:pPr>
            <w:r w:rsidRPr="00535DF2">
              <w:t>937</w:t>
            </w:r>
          </w:p>
        </w:tc>
      </w:tr>
      <w:tr w:rsidR="00535DF2" w:rsidRPr="00535DF2" w14:paraId="2B5CCD55" w14:textId="77777777" w:rsidTr="003F15CC">
        <w:trPr>
          <w:trHeight w:val="213"/>
        </w:trPr>
        <w:tc>
          <w:tcPr>
            <w:tcW w:w="1651" w:type="dxa"/>
            <w:vMerge/>
            <w:vAlign w:val="center"/>
            <w:hideMark/>
          </w:tcPr>
          <w:p w14:paraId="7CEA6CE0" w14:textId="77777777" w:rsidR="00535DF2" w:rsidRPr="00535DF2" w:rsidRDefault="00535DF2" w:rsidP="00F51716"/>
        </w:tc>
        <w:tc>
          <w:tcPr>
            <w:tcW w:w="1746" w:type="dxa"/>
            <w:shd w:val="clear" w:color="auto" w:fill="auto"/>
            <w:vAlign w:val="center"/>
            <w:hideMark/>
          </w:tcPr>
          <w:p w14:paraId="485FC735" w14:textId="77777777" w:rsidR="00535DF2" w:rsidRPr="00535DF2" w:rsidRDefault="00535DF2" w:rsidP="00F51716">
            <w:pPr>
              <w:pStyle w:val="Tabletext0"/>
            </w:pPr>
            <w:r w:rsidRPr="00535DF2">
              <w:t>Apportioned water consumption per THC</w:t>
            </w:r>
          </w:p>
        </w:tc>
        <w:tc>
          <w:tcPr>
            <w:tcW w:w="1239" w:type="dxa"/>
            <w:shd w:val="clear" w:color="auto" w:fill="auto"/>
            <w:vAlign w:val="center"/>
            <w:hideMark/>
          </w:tcPr>
          <w:p w14:paraId="1D6A2395" w14:textId="77777777" w:rsidR="00535DF2" w:rsidRPr="00535DF2" w:rsidRDefault="00535DF2" w:rsidP="00F51716">
            <w:pPr>
              <w:pStyle w:val="Tabletext0"/>
            </w:pPr>
            <w:r w:rsidRPr="00535DF2">
              <w:t>Kilolitres per THC</w:t>
            </w:r>
          </w:p>
        </w:tc>
        <w:tc>
          <w:tcPr>
            <w:tcW w:w="1018" w:type="dxa"/>
            <w:shd w:val="clear" w:color="auto" w:fill="auto"/>
            <w:noWrap/>
            <w:vAlign w:val="center"/>
            <w:hideMark/>
          </w:tcPr>
          <w:p w14:paraId="71F2CE90" w14:textId="77777777" w:rsidR="00535DF2" w:rsidRPr="00535DF2" w:rsidRDefault="00535DF2" w:rsidP="00F51716">
            <w:pPr>
              <w:pStyle w:val="tableright"/>
            </w:pPr>
            <w:r w:rsidRPr="00535DF2">
              <w:t>8.50</w:t>
            </w:r>
          </w:p>
        </w:tc>
        <w:tc>
          <w:tcPr>
            <w:tcW w:w="1018" w:type="dxa"/>
            <w:shd w:val="clear" w:color="auto" w:fill="auto"/>
            <w:noWrap/>
            <w:vAlign w:val="center"/>
            <w:hideMark/>
          </w:tcPr>
          <w:p w14:paraId="0AEB6EB7" w14:textId="77777777" w:rsidR="00535DF2" w:rsidRPr="00535DF2" w:rsidRDefault="00535DF2" w:rsidP="00F51716">
            <w:pPr>
              <w:pStyle w:val="tableright"/>
            </w:pPr>
            <w:r w:rsidRPr="00535DF2">
              <w:t>7.32</w:t>
            </w:r>
          </w:p>
        </w:tc>
        <w:tc>
          <w:tcPr>
            <w:tcW w:w="1018" w:type="dxa"/>
            <w:shd w:val="clear" w:color="auto" w:fill="auto"/>
            <w:noWrap/>
            <w:vAlign w:val="center"/>
            <w:hideMark/>
          </w:tcPr>
          <w:p w14:paraId="05031476" w14:textId="77777777" w:rsidR="00535DF2" w:rsidRPr="00535DF2" w:rsidRDefault="00535DF2" w:rsidP="00F51716">
            <w:pPr>
              <w:pStyle w:val="tableright"/>
            </w:pPr>
            <w:r w:rsidRPr="00535DF2">
              <w:t>10.21</w:t>
            </w:r>
          </w:p>
        </w:tc>
        <w:tc>
          <w:tcPr>
            <w:tcW w:w="1018" w:type="dxa"/>
            <w:shd w:val="clear" w:color="auto" w:fill="auto"/>
            <w:noWrap/>
            <w:vAlign w:val="center"/>
            <w:hideMark/>
          </w:tcPr>
          <w:p w14:paraId="6234AC43" w14:textId="77777777" w:rsidR="00535DF2" w:rsidRPr="00535DF2" w:rsidRDefault="00535DF2" w:rsidP="00F51716">
            <w:pPr>
              <w:pStyle w:val="tableright"/>
            </w:pPr>
            <w:r w:rsidRPr="00535DF2">
              <w:t>6.23</w:t>
            </w:r>
          </w:p>
        </w:tc>
        <w:tc>
          <w:tcPr>
            <w:tcW w:w="1018" w:type="dxa"/>
            <w:shd w:val="clear" w:color="auto" w:fill="auto"/>
            <w:noWrap/>
            <w:vAlign w:val="center"/>
            <w:hideMark/>
          </w:tcPr>
          <w:p w14:paraId="19C1656D" w14:textId="77777777" w:rsidR="00535DF2" w:rsidRPr="00535DF2" w:rsidRDefault="00535DF2" w:rsidP="00F51716">
            <w:pPr>
              <w:pStyle w:val="tableright"/>
            </w:pPr>
            <w:r w:rsidRPr="00535DF2">
              <w:t>6.33</w:t>
            </w:r>
          </w:p>
        </w:tc>
      </w:tr>
      <w:tr w:rsidR="00535DF2" w:rsidRPr="00535DF2" w14:paraId="07B4D3A3" w14:textId="77777777" w:rsidTr="003F15CC">
        <w:trPr>
          <w:trHeight w:val="223"/>
        </w:trPr>
        <w:tc>
          <w:tcPr>
            <w:tcW w:w="1651" w:type="dxa"/>
            <w:vMerge/>
            <w:vAlign w:val="center"/>
            <w:hideMark/>
          </w:tcPr>
          <w:p w14:paraId="223DFB57" w14:textId="77777777" w:rsidR="00535DF2" w:rsidRPr="00535DF2" w:rsidRDefault="00535DF2" w:rsidP="00F51716"/>
        </w:tc>
        <w:tc>
          <w:tcPr>
            <w:tcW w:w="1746" w:type="dxa"/>
            <w:shd w:val="clear" w:color="auto" w:fill="auto"/>
            <w:vAlign w:val="center"/>
            <w:hideMark/>
          </w:tcPr>
          <w:p w14:paraId="3EDFFAB1" w14:textId="77777777" w:rsidR="00535DF2" w:rsidRPr="00535DF2" w:rsidRDefault="00535DF2" w:rsidP="00F51716">
            <w:pPr>
              <w:pStyle w:val="Tabletext0"/>
            </w:pPr>
            <w:r w:rsidRPr="00535DF2">
              <w:t>Apportioned water consumption per FTE</w:t>
            </w:r>
          </w:p>
        </w:tc>
        <w:tc>
          <w:tcPr>
            <w:tcW w:w="1239" w:type="dxa"/>
            <w:shd w:val="clear" w:color="auto" w:fill="auto"/>
            <w:vAlign w:val="center"/>
            <w:hideMark/>
          </w:tcPr>
          <w:p w14:paraId="31A13A15" w14:textId="77777777" w:rsidR="00535DF2" w:rsidRPr="00535DF2" w:rsidRDefault="00535DF2" w:rsidP="00F51716">
            <w:pPr>
              <w:pStyle w:val="Tabletext0"/>
            </w:pPr>
            <w:r w:rsidRPr="00535DF2">
              <w:t>Kilolitres per FTE</w:t>
            </w:r>
          </w:p>
        </w:tc>
        <w:tc>
          <w:tcPr>
            <w:tcW w:w="1018" w:type="dxa"/>
            <w:shd w:val="clear" w:color="auto" w:fill="auto"/>
            <w:noWrap/>
            <w:vAlign w:val="center"/>
            <w:hideMark/>
          </w:tcPr>
          <w:p w14:paraId="1EC48BCD" w14:textId="77777777" w:rsidR="00535DF2" w:rsidRPr="00535DF2" w:rsidRDefault="00535DF2" w:rsidP="00F51716">
            <w:pPr>
              <w:pStyle w:val="tableright"/>
            </w:pPr>
            <w:r w:rsidRPr="00535DF2">
              <w:t>9.24</w:t>
            </w:r>
          </w:p>
        </w:tc>
        <w:tc>
          <w:tcPr>
            <w:tcW w:w="1018" w:type="dxa"/>
            <w:shd w:val="clear" w:color="auto" w:fill="auto"/>
            <w:noWrap/>
            <w:vAlign w:val="center"/>
            <w:hideMark/>
          </w:tcPr>
          <w:p w14:paraId="7533E733" w14:textId="77777777" w:rsidR="00535DF2" w:rsidRPr="00535DF2" w:rsidRDefault="00535DF2" w:rsidP="00F51716">
            <w:pPr>
              <w:pStyle w:val="tableright"/>
            </w:pPr>
            <w:r w:rsidRPr="00535DF2">
              <w:t>7.78</w:t>
            </w:r>
          </w:p>
        </w:tc>
        <w:tc>
          <w:tcPr>
            <w:tcW w:w="1018" w:type="dxa"/>
            <w:shd w:val="clear" w:color="auto" w:fill="auto"/>
            <w:noWrap/>
            <w:vAlign w:val="center"/>
            <w:hideMark/>
          </w:tcPr>
          <w:p w14:paraId="6339846A" w14:textId="77777777" w:rsidR="00535DF2" w:rsidRPr="00535DF2" w:rsidRDefault="00535DF2" w:rsidP="00F51716">
            <w:pPr>
              <w:pStyle w:val="tableright"/>
            </w:pPr>
            <w:r w:rsidRPr="00535DF2">
              <w:t>11.27</w:t>
            </w:r>
          </w:p>
        </w:tc>
        <w:tc>
          <w:tcPr>
            <w:tcW w:w="1018" w:type="dxa"/>
            <w:shd w:val="clear" w:color="auto" w:fill="auto"/>
            <w:noWrap/>
            <w:vAlign w:val="center"/>
            <w:hideMark/>
          </w:tcPr>
          <w:p w14:paraId="3099BE23" w14:textId="77777777" w:rsidR="00535DF2" w:rsidRPr="00535DF2" w:rsidRDefault="00535DF2" w:rsidP="00F51716">
            <w:pPr>
              <w:pStyle w:val="tableright"/>
            </w:pPr>
            <w:r w:rsidRPr="00535DF2">
              <w:t>7.44</w:t>
            </w:r>
          </w:p>
        </w:tc>
        <w:tc>
          <w:tcPr>
            <w:tcW w:w="1018" w:type="dxa"/>
            <w:shd w:val="clear" w:color="auto" w:fill="auto"/>
            <w:noWrap/>
            <w:vAlign w:val="center"/>
            <w:hideMark/>
          </w:tcPr>
          <w:p w14:paraId="15200036" w14:textId="77777777" w:rsidR="00535DF2" w:rsidRPr="00535DF2" w:rsidRDefault="00535DF2" w:rsidP="00F51716">
            <w:pPr>
              <w:pStyle w:val="tableright"/>
            </w:pPr>
            <w:r w:rsidRPr="00535DF2">
              <w:t>7.21</w:t>
            </w:r>
          </w:p>
        </w:tc>
      </w:tr>
      <w:tr w:rsidR="00535DF2" w:rsidRPr="00535DF2" w14:paraId="727785D5" w14:textId="77777777" w:rsidTr="003F15CC">
        <w:trPr>
          <w:trHeight w:val="213"/>
        </w:trPr>
        <w:tc>
          <w:tcPr>
            <w:tcW w:w="1651" w:type="dxa"/>
            <w:vMerge w:val="restart"/>
            <w:shd w:val="clear" w:color="auto" w:fill="auto"/>
            <w:vAlign w:val="center"/>
            <w:hideMark/>
          </w:tcPr>
          <w:p w14:paraId="3F27DAA6" w14:textId="79045025" w:rsidR="00535DF2" w:rsidRPr="00535DF2" w:rsidRDefault="00535DF2" w:rsidP="00F51716">
            <w:pPr>
              <w:pStyle w:val="Tabletext0"/>
            </w:pPr>
            <w:r w:rsidRPr="00535DF2">
              <w:t>Transportation</w:t>
            </w:r>
            <w:r w:rsidRPr="00535DF2">
              <w:rPr>
                <w:vertAlign w:val="superscript"/>
              </w:rPr>
              <w:t>10</w:t>
            </w:r>
          </w:p>
        </w:tc>
        <w:tc>
          <w:tcPr>
            <w:tcW w:w="1746" w:type="dxa"/>
            <w:shd w:val="clear" w:color="auto" w:fill="auto"/>
            <w:vAlign w:val="center"/>
            <w:hideMark/>
          </w:tcPr>
          <w:p w14:paraId="76FBE240" w14:textId="77777777" w:rsidR="00535DF2" w:rsidRPr="00535DF2" w:rsidRDefault="00535DF2" w:rsidP="00F51716">
            <w:pPr>
              <w:pStyle w:val="Tabletext0"/>
            </w:pPr>
            <w:r w:rsidRPr="00535DF2">
              <w:t>Energy consumption per THC</w:t>
            </w:r>
          </w:p>
        </w:tc>
        <w:tc>
          <w:tcPr>
            <w:tcW w:w="1239" w:type="dxa"/>
            <w:shd w:val="clear" w:color="auto" w:fill="auto"/>
            <w:vAlign w:val="center"/>
            <w:hideMark/>
          </w:tcPr>
          <w:p w14:paraId="3823AA2F" w14:textId="77777777" w:rsidR="00535DF2" w:rsidRPr="00535DF2" w:rsidRDefault="00535DF2" w:rsidP="00F51716">
            <w:pPr>
              <w:pStyle w:val="Tabletext0"/>
            </w:pPr>
            <w:r w:rsidRPr="00535DF2">
              <w:t>Gigajoules per THC</w:t>
            </w:r>
          </w:p>
        </w:tc>
        <w:tc>
          <w:tcPr>
            <w:tcW w:w="1018" w:type="dxa"/>
            <w:shd w:val="clear" w:color="auto" w:fill="auto"/>
            <w:noWrap/>
            <w:vAlign w:val="center"/>
            <w:hideMark/>
          </w:tcPr>
          <w:p w14:paraId="20C0C2FB" w14:textId="77777777" w:rsidR="00535DF2" w:rsidRPr="00535DF2" w:rsidRDefault="00535DF2" w:rsidP="00F51716">
            <w:pPr>
              <w:pStyle w:val="tableright"/>
            </w:pPr>
            <w:r w:rsidRPr="00535DF2">
              <w:t>3.59</w:t>
            </w:r>
          </w:p>
        </w:tc>
        <w:tc>
          <w:tcPr>
            <w:tcW w:w="1018" w:type="dxa"/>
            <w:shd w:val="clear" w:color="auto" w:fill="auto"/>
            <w:noWrap/>
            <w:vAlign w:val="center"/>
            <w:hideMark/>
          </w:tcPr>
          <w:p w14:paraId="1E04E004" w14:textId="77777777" w:rsidR="00535DF2" w:rsidRPr="00535DF2" w:rsidRDefault="00535DF2" w:rsidP="00F51716">
            <w:pPr>
              <w:pStyle w:val="tableright"/>
            </w:pPr>
            <w:r w:rsidRPr="00535DF2">
              <w:t>2.40</w:t>
            </w:r>
          </w:p>
        </w:tc>
        <w:tc>
          <w:tcPr>
            <w:tcW w:w="1018" w:type="dxa"/>
            <w:shd w:val="clear" w:color="auto" w:fill="auto"/>
            <w:noWrap/>
            <w:vAlign w:val="center"/>
            <w:hideMark/>
          </w:tcPr>
          <w:p w14:paraId="3C12C236" w14:textId="77777777" w:rsidR="00535DF2" w:rsidRPr="00535DF2" w:rsidRDefault="00535DF2" w:rsidP="00F51716">
            <w:pPr>
              <w:pStyle w:val="tableright"/>
            </w:pPr>
            <w:r w:rsidRPr="00535DF2">
              <w:t>3.65</w:t>
            </w:r>
          </w:p>
        </w:tc>
        <w:tc>
          <w:tcPr>
            <w:tcW w:w="1018" w:type="dxa"/>
            <w:shd w:val="clear" w:color="auto" w:fill="auto"/>
            <w:noWrap/>
            <w:vAlign w:val="center"/>
            <w:hideMark/>
          </w:tcPr>
          <w:p w14:paraId="36B15368" w14:textId="77777777" w:rsidR="00535DF2" w:rsidRPr="00535DF2" w:rsidRDefault="00535DF2" w:rsidP="00F51716">
            <w:pPr>
              <w:pStyle w:val="tableright"/>
            </w:pPr>
            <w:r w:rsidRPr="00535DF2">
              <w:t>2.24</w:t>
            </w:r>
          </w:p>
        </w:tc>
        <w:tc>
          <w:tcPr>
            <w:tcW w:w="1018" w:type="dxa"/>
            <w:shd w:val="clear" w:color="auto" w:fill="auto"/>
            <w:noWrap/>
            <w:vAlign w:val="center"/>
            <w:hideMark/>
          </w:tcPr>
          <w:p w14:paraId="4BD982B0" w14:textId="4F6C1334" w:rsidR="00535DF2" w:rsidRPr="00535DF2" w:rsidRDefault="00535DF2" w:rsidP="00F51716">
            <w:pPr>
              <w:pStyle w:val="tableright"/>
            </w:pPr>
            <w:r w:rsidRPr="00535DF2">
              <w:t>1.</w:t>
            </w:r>
            <w:r w:rsidR="00CB502B">
              <w:t>29</w:t>
            </w:r>
          </w:p>
        </w:tc>
      </w:tr>
      <w:tr w:rsidR="00535DF2" w:rsidRPr="00535DF2" w14:paraId="2F5610D9" w14:textId="77777777" w:rsidTr="003F15CC">
        <w:trPr>
          <w:trHeight w:val="213"/>
        </w:trPr>
        <w:tc>
          <w:tcPr>
            <w:tcW w:w="1651" w:type="dxa"/>
            <w:vMerge/>
            <w:vAlign w:val="center"/>
            <w:hideMark/>
          </w:tcPr>
          <w:p w14:paraId="6E562BCB" w14:textId="77777777" w:rsidR="00535DF2" w:rsidRPr="00535DF2" w:rsidRDefault="00535DF2" w:rsidP="00F51716">
            <w:pPr>
              <w:pStyle w:val="Tabletext0"/>
            </w:pPr>
          </w:p>
        </w:tc>
        <w:tc>
          <w:tcPr>
            <w:tcW w:w="1746" w:type="dxa"/>
            <w:shd w:val="clear" w:color="auto" w:fill="auto"/>
            <w:vAlign w:val="center"/>
            <w:hideMark/>
          </w:tcPr>
          <w:p w14:paraId="7ADB0ED7" w14:textId="77777777" w:rsidR="00535DF2" w:rsidRPr="00535DF2" w:rsidRDefault="00535DF2" w:rsidP="00F51716">
            <w:pPr>
              <w:pStyle w:val="Tabletext0"/>
            </w:pPr>
            <w:r w:rsidRPr="00535DF2">
              <w:t>Energy consumption per FTE</w:t>
            </w:r>
          </w:p>
        </w:tc>
        <w:tc>
          <w:tcPr>
            <w:tcW w:w="1239" w:type="dxa"/>
            <w:shd w:val="clear" w:color="auto" w:fill="auto"/>
            <w:vAlign w:val="center"/>
            <w:hideMark/>
          </w:tcPr>
          <w:p w14:paraId="40D5574D" w14:textId="77777777" w:rsidR="00535DF2" w:rsidRPr="00535DF2" w:rsidRDefault="00535DF2" w:rsidP="00F51716">
            <w:pPr>
              <w:pStyle w:val="Tabletext0"/>
            </w:pPr>
            <w:r w:rsidRPr="00535DF2">
              <w:t>Gigajoules per FTE</w:t>
            </w:r>
          </w:p>
        </w:tc>
        <w:tc>
          <w:tcPr>
            <w:tcW w:w="1018" w:type="dxa"/>
            <w:shd w:val="clear" w:color="auto" w:fill="auto"/>
            <w:noWrap/>
            <w:vAlign w:val="center"/>
            <w:hideMark/>
          </w:tcPr>
          <w:p w14:paraId="78AE7D5D" w14:textId="77777777" w:rsidR="00535DF2" w:rsidRPr="00535DF2" w:rsidRDefault="00535DF2" w:rsidP="00F51716">
            <w:pPr>
              <w:pStyle w:val="tableright"/>
            </w:pPr>
            <w:r w:rsidRPr="00535DF2">
              <w:t>3.91</w:t>
            </w:r>
          </w:p>
        </w:tc>
        <w:tc>
          <w:tcPr>
            <w:tcW w:w="1018" w:type="dxa"/>
            <w:shd w:val="clear" w:color="auto" w:fill="auto"/>
            <w:noWrap/>
            <w:vAlign w:val="center"/>
            <w:hideMark/>
          </w:tcPr>
          <w:p w14:paraId="590C4AAD" w14:textId="77777777" w:rsidR="00535DF2" w:rsidRPr="00535DF2" w:rsidRDefault="00535DF2" w:rsidP="00F51716">
            <w:pPr>
              <w:pStyle w:val="tableright"/>
            </w:pPr>
            <w:r w:rsidRPr="00535DF2">
              <w:t>2.55</w:t>
            </w:r>
          </w:p>
        </w:tc>
        <w:tc>
          <w:tcPr>
            <w:tcW w:w="1018" w:type="dxa"/>
            <w:shd w:val="clear" w:color="auto" w:fill="auto"/>
            <w:noWrap/>
            <w:vAlign w:val="center"/>
            <w:hideMark/>
          </w:tcPr>
          <w:p w14:paraId="4799AC48" w14:textId="77777777" w:rsidR="00535DF2" w:rsidRPr="00535DF2" w:rsidRDefault="00535DF2" w:rsidP="00F51716">
            <w:pPr>
              <w:pStyle w:val="tableright"/>
            </w:pPr>
            <w:r w:rsidRPr="00535DF2">
              <w:t>4.03</w:t>
            </w:r>
          </w:p>
        </w:tc>
        <w:tc>
          <w:tcPr>
            <w:tcW w:w="1018" w:type="dxa"/>
            <w:shd w:val="clear" w:color="auto" w:fill="auto"/>
            <w:noWrap/>
            <w:vAlign w:val="center"/>
            <w:hideMark/>
          </w:tcPr>
          <w:p w14:paraId="6D733366" w14:textId="77777777" w:rsidR="00535DF2" w:rsidRPr="00535DF2" w:rsidRDefault="00535DF2" w:rsidP="00F51716">
            <w:pPr>
              <w:pStyle w:val="tableright"/>
            </w:pPr>
            <w:r w:rsidRPr="00535DF2">
              <w:t>2.67</w:t>
            </w:r>
          </w:p>
        </w:tc>
        <w:tc>
          <w:tcPr>
            <w:tcW w:w="1018" w:type="dxa"/>
            <w:shd w:val="clear" w:color="auto" w:fill="auto"/>
            <w:noWrap/>
            <w:vAlign w:val="center"/>
            <w:hideMark/>
          </w:tcPr>
          <w:p w14:paraId="7787C9CF" w14:textId="34FE7752" w:rsidR="00535DF2" w:rsidRPr="00535DF2" w:rsidRDefault="00535DF2" w:rsidP="00F51716">
            <w:pPr>
              <w:pStyle w:val="tableright"/>
            </w:pPr>
            <w:r w:rsidRPr="00535DF2">
              <w:t>1.</w:t>
            </w:r>
            <w:r w:rsidR="00CB502B">
              <w:t>46</w:t>
            </w:r>
          </w:p>
        </w:tc>
      </w:tr>
      <w:tr w:rsidR="00535DF2" w:rsidRPr="00535DF2" w14:paraId="7BB4E292" w14:textId="77777777" w:rsidTr="003F15CC">
        <w:trPr>
          <w:trHeight w:val="213"/>
        </w:trPr>
        <w:tc>
          <w:tcPr>
            <w:tcW w:w="1651" w:type="dxa"/>
            <w:vMerge/>
            <w:vAlign w:val="center"/>
            <w:hideMark/>
          </w:tcPr>
          <w:p w14:paraId="13D1180C" w14:textId="77777777" w:rsidR="00535DF2" w:rsidRPr="00535DF2" w:rsidRDefault="00535DF2" w:rsidP="00F51716">
            <w:pPr>
              <w:pStyle w:val="Tabletext0"/>
            </w:pPr>
          </w:p>
        </w:tc>
        <w:tc>
          <w:tcPr>
            <w:tcW w:w="1746" w:type="dxa"/>
            <w:shd w:val="clear" w:color="auto" w:fill="auto"/>
            <w:vAlign w:val="center"/>
            <w:hideMark/>
          </w:tcPr>
          <w:p w14:paraId="57943536" w14:textId="77777777" w:rsidR="00535DF2" w:rsidRPr="00535DF2" w:rsidRDefault="00535DF2" w:rsidP="00F51716">
            <w:pPr>
              <w:pStyle w:val="Tabletext0"/>
            </w:pPr>
            <w:r w:rsidRPr="00535DF2">
              <w:t>Total energy consumption</w:t>
            </w:r>
          </w:p>
        </w:tc>
        <w:tc>
          <w:tcPr>
            <w:tcW w:w="1239" w:type="dxa"/>
            <w:shd w:val="clear" w:color="auto" w:fill="auto"/>
            <w:vAlign w:val="center"/>
            <w:hideMark/>
          </w:tcPr>
          <w:p w14:paraId="6BCA42F0" w14:textId="77777777" w:rsidR="00535DF2" w:rsidRPr="00535DF2" w:rsidRDefault="00535DF2" w:rsidP="00F51716">
            <w:pPr>
              <w:pStyle w:val="Tabletext0"/>
            </w:pPr>
            <w:r w:rsidRPr="00535DF2">
              <w:t>Gigajoules</w:t>
            </w:r>
          </w:p>
        </w:tc>
        <w:tc>
          <w:tcPr>
            <w:tcW w:w="1018" w:type="dxa"/>
            <w:shd w:val="clear" w:color="auto" w:fill="auto"/>
            <w:noWrap/>
            <w:vAlign w:val="center"/>
            <w:hideMark/>
          </w:tcPr>
          <w:p w14:paraId="50954C3C" w14:textId="77777777" w:rsidR="00535DF2" w:rsidRPr="00535DF2" w:rsidRDefault="00535DF2" w:rsidP="00F51716">
            <w:pPr>
              <w:pStyle w:val="tableright"/>
            </w:pPr>
            <w:r w:rsidRPr="00535DF2">
              <w:t>427.27</w:t>
            </w:r>
          </w:p>
        </w:tc>
        <w:tc>
          <w:tcPr>
            <w:tcW w:w="1018" w:type="dxa"/>
            <w:shd w:val="clear" w:color="auto" w:fill="auto"/>
            <w:noWrap/>
            <w:vAlign w:val="center"/>
            <w:hideMark/>
          </w:tcPr>
          <w:p w14:paraId="0A9A7C55" w14:textId="77777777" w:rsidR="00535DF2" w:rsidRPr="00535DF2" w:rsidRDefault="00535DF2" w:rsidP="00F51716">
            <w:pPr>
              <w:pStyle w:val="tableright"/>
            </w:pPr>
            <w:r w:rsidRPr="00535DF2">
              <w:t>301.81</w:t>
            </w:r>
          </w:p>
        </w:tc>
        <w:tc>
          <w:tcPr>
            <w:tcW w:w="1018" w:type="dxa"/>
            <w:shd w:val="clear" w:color="auto" w:fill="auto"/>
            <w:noWrap/>
            <w:vAlign w:val="center"/>
            <w:hideMark/>
          </w:tcPr>
          <w:p w14:paraId="63A076E2" w14:textId="77777777" w:rsidR="00535DF2" w:rsidRPr="00535DF2" w:rsidRDefault="00535DF2" w:rsidP="00F51716">
            <w:pPr>
              <w:pStyle w:val="tableright"/>
            </w:pPr>
            <w:r w:rsidRPr="00535DF2">
              <w:t>452.15</w:t>
            </w:r>
          </w:p>
        </w:tc>
        <w:tc>
          <w:tcPr>
            <w:tcW w:w="1018" w:type="dxa"/>
            <w:shd w:val="clear" w:color="auto" w:fill="auto"/>
            <w:noWrap/>
            <w:vAlign w:val="center"/>
            <w:hideMark/>
          </w:tcPr>
          <w:p w14:paraId="1DFDAA2C" w14:textId="77777777" w:rsidR="00535DF2" w:rsidRPr="00535DF2" w:rsidRDefault="00535DF2" w:rsidP="00F51716">
            <w:pPr>
              <w:pStyle w:val="tableright"/>
            </w:pPr>
            <w:r w:rsidRPr="00535DF2">
              <w:t>333.04</w:t>
            </w:r>
          </w:p>
        </w:tc>
        <w:tc>
          <w:tcPr>
            <w:tcW w:w="1018" w:type="dxa"/>
            <w:shd w:val="clear" w:color="auto" w:fill="auto"/>
            <w:noWrap/>
            <w:vAlign w:val="center"/>
            <w:hideMark/>
          </w:tcPr>
          <w:p w14:paraId="27762D4E" w14:textId="4BC13E7F" w:rsidR="00535DF2" w:rsidRPr="00535DF2" w:rsidRDefault="00CB502B" w:rsidP="00F51716">
            <w:pPr>
              <w:pStyle w:val="tableright"/>
              <w:rPr>
                <w:rFonts w:eastAsia="Times New Roman"/>
              </w:rPr>
            </w:pPr>
            <w:r>
              <w:t>190.29</w:t>
            </w:r>
          </w:p>
        </w:tc>
      </w:tr>
      <w:tr w:rsidR="00535DF2" w:rsidRPr="00535DF2" w14:paraId="597D981D" w14:textId="77777777" w:rsidTr="003F15CC">
        <w:trPr>
          <w:trHeight w:val="213"/>
        </w:trPr>
        <w:tc>
          <w:tcPr>
            <w:tcW w:w="1651" w:type="dxa"/>
            <w:vMerge/>
            <w:vAlign w:val="center"/>
            <w:hideMark/>
          </w:tcPr>
          <w:p w14:paraId="6565080D" w14:textId="77777777" w:rsidR="00535DF2" w:rsidRPr="00535DF2" w:rsidRDefault="00535DF2" w:rsidP="00F51716">
            <w:pPr>
              <w:pStyle w:val="Tabletext0"/>
            </w:pPr>
          </w:p>
        </w:tc>
        <w:tc>
          <w:tcPr>
            <w:tcW w:w="1746" w:type="dxa"/>
            <w:shd w:val="clear" w:color="auto" w:fill="auto"/>
            <w:vAlign w:val="center"/>
            <w:hideMark/>
          </w:tcPr>
          <w:p w14:paraId="6FF2D53A" w14:textId="77777777" w:rsidR="00535DF2" w:rsidRPr="00535DF2" w:rsidRDefault="00535DF2" w:rsidP="00F51716">
            <w:pPr>
              <w:pStyle w:val="Tabletext0"/>
            </w:pPr>
            <w:r w:rsidRPr="00535DF2">
              <w:t>Total vehicle travel by vehicle type</w:t>
            </w:r>
            <w:r w:rsidRPr="00535DF2">
              <w:rPr>
                <w:vertAlign w:val="superscript"/>
              </w:rPr>
              <w:t>10</w:t>
            </w:r>
          </w:p>
        </w:tc>
        <w:tc>
          <w:tcPr>
            <w:tcW w:w="1239" w:type="dxa"/>
            <w:shd w:val="clear" w:color="auto" w:fill="auto"/>
            <w:vAlign w:val="center"/>
            <w:hideMark/>
          </w:tcPr>
          <w:p w14:paraId="51EB1199" w14:textId="77777777" w:rsidR="00535DF2" w:rsidRPr="00535DF2" w:rsidRDefault="00535DF2" w:rsidP="00F51716">
            <w:pPr>
              <w:pStyle w:val="Tabletext0"/>
            </w:pPr>
            <w:r w:rsidRPr="00535DF2">
              <w:t>Kilometres</w:t>
            </w:r>
          </w:p>
        </w:tc>
        <w:tc>
          <w:tcPr>
            <w:tcW w:w="1018" w:type="dxa"/>
            <w:shd w:val="clear" w:color="auto" w:fill="auto"/>
            <w:noWrap/>
            <w:vAlign w:val="center"/>
            <w:hideMark/>
          </w:tcPr>
          <w:p w14:paraId="2C9B48ED" w14:textId="77777777" w:rsidR="00535DF2" w:rsidRPr="00535DF2" w:rsidRDefault="00535DF2" w:rsidP="00F51716">
            <w:pPr>
              <w:pStyle w:val="tableright"/>
            </w:pPr>
            <w:r w:rsidRPr="00535DF2">
              <w:t>204,015</w:t>
            </w:r>
          </w:p>
        </w:tc>
        <w:tc>
          <w:tcPr>
            <w:tcW w:w="1018" w:type="dxa"/>
            <w:shd w:val="clear" w:color="auto" w:fill="auto"/>
            <w:noWrap/>
            <w:vAlign w:val="center"/>
            <w:hideMark/>
          </w:tcPr>
          <w:p w14:paraId="5C4971EE" w14:textId="77777777" w:rsidR="00535DF2" w:rsidRPr="00535DF2" w:rsidRDefault="00535DF2" w:rsidP="00F51716">
            <w:pPr>
              <w:pStyle w:val="tableright"/>
            </w:pPr>
            <w:r w:rsidRPr="00535DF2">
              <w:t>181,169</w:t>
            </w:r>
          </w:p>
        </w:tc>
        <w:tc>
          <w:tcPr>
            <w:tcW w:w="1018" w:type="dxa"/>
            <w:shd w:val="clear" w:color="auto" w:fill="auto"/>
            <w:noWrap/>
            <w:vAlign w:val="center"/>
            <w:hideMark/>
          </w:tcPr>
          <w:p w14:paraId="08A49C65" w14:textId="77777777" w:rsidR="00535DF2" w:rsidRPr="00535DF2" w:rsidRDefault="00535DF2" w:rsidP="00F51716">
            <w:pPr>
              <w:pStyle w:val="tableright"/>
            </w:pPr>
            <w:r w:rsidRPr="00535DF2">
              <w:t>225,853</w:t>
            </w:r>
          </w:p>
        </w:tc>
        <w:tc>
          <w:tcPr>
            <w:tcW w:w="1018" w:type="dxa"/>
            <w:shd w:val="clear" w:color="auto" w:fill="auto"/>
            <w:noWrap/>
            <w:vAlign w:val="center"/>
            <w:hideMark/>
          </w:tcPr>
          <w:p w14:paraId="2E107581" w14:textId="77777777" w:rsidR="00535DF2" w:rsidRPr="00535DF2" w:rsidRDefault="00535DF2" w:rsidP="00F51716">
            <w:pPr>
              <w:pStyle w:val="tableright"/>
            </w:pPr>
            <w:r w:rsidRPr="00535DF2">
              <w:t>154,113</w:t>
            </w:r>
          </w:p>
        </w:tc>
        <w:tc>
          <w:tcPr>
            <w:tcW w:w="1018" w:type="dxa"/>
            <w:shd w:val="clear" w:color="auto" w:fill="auto"/>
            <w:noWrap/>
            <w:vAlign w:val="center"/>
            <w:hideMark/>
          </w:tcPr>
          <w:p w14:paraId="4878B326" w14:textId="61D0E379" w:rsidR="00535DF2" w:rsidRPr="00535DF2" w:rsidRDefault="00CB502B" w:rsidP="00F51716">
            <w:pPr>
              <w:pStyle w:val="tableright"/>
              <w:rPr>
                <w:rFonts w:eastAsia="Times New Roman"/>
              </w:rPr>
            </w:pPr>
            <w:r>
              <w:t>72633</w:t>
            </w:r>
          </w:p>
        </w:tc>
      </w:tr>
      <w:tr w:rsidR="00535DF2" w:rsidRPr="00535DF2" w14:paraId="1741645D" w14:textId="77777777" w:rsidTr="003F15CC">
        <w:trPr>
          <w:trHeight w:val="213"/>
        </w:trPr>
        <w:tc>
          <w:tcPr>
            <w:tcW w:w="1651" w:type="dxa"/>
            <w:vMerge/>
            <w:vAlign w:val="center"/>
            <w:hideMark/>
          </w:tcPr>
          <w:p w14:paraId="42416C2C" w14:textId="77777777" w:rsidR="00535DF2" w:rsidRPr="00535DF2" w:rsidRDefault="00535DF2" w:rsidP="00F51716">
            <w:pPr>
              <w:pStyle w:val="Tabletext0"/>
            </w:pPr>
          </w:p>
        </w:tc>
        <w:tc>
          <w:tcPr>
            <w:tcW w:w="1746" w:type="dxa"/>
            <w:shd w:val="clear" w:color="auto" w:fill="auto"/>
            <w:vAlign w:val="center"/>
            <w:hideMark/>
          </w:tcPr>
          <w:p w14:paraId="62DFB371" w14:textId="77777777" w:rsidR="00535DF2" w:rsidRPr="00535DF2" w:rsidRDefault="00535DF2" w:rsidP="00F51716">
            <w:pPr>
              <w:pStyle w:val="Tabletext0"/>
            </w:pPr>
            <w:r w:rsidRPr="00535DF2">
              <w:t>Total associated GHG emissions</w:t>
            </w:r>
          </w:p>
        </w:tc>
        <w:tc>
          <w:tcPr>
            <w:tcW w:w="1239" w:type="dxa"/>
            <w:shd w:val="clear" w:color="auto" w:fill="auto"/>
            <w:vAlign w:val="center"/>
            <w:hideMark/>
          </w:tcPr>
          <w:p w14:paraId="3AF3DFA0" w14:textId="77777777" w:rsidR="00535DF2" w:rsidRPr="00535DF2" w:rsidRDefault="00535DF2" w:rsidP="00F51716">
            <w:pPr>
              <w:pStyle w:val="Tabletext0"/>
            </w:pPr>
            <w:r w:rsidRPr="00535DF2">
              <w:t>Kilograms of CO</w:t>
            </w:r>
            <w:r w:rsidRPr="00535DF2">
              <w:rPr>
                <w:vertAlign w:val="subscript"/>
              </w:rPr>
              <w:t>2-</w:t>
            </w:r>
            <w:r w:rsidRPr="00535DF2">
              <w:t>e</w:t>
            </w:r>
          </w:p>
        </w:tc>
        <w:tc>
          <w:tcPr>
            <w:tcW w:w="1018" w:type="dxa"/>
            <w:shd w:val="clear" w:color="auto" w:fill="auto"/>
            <w:noWrap/>
            <w:vAlign w:val="center"/>
            <w:hideMark/>
          </w:tcPr>
          <w:p w14:paraId="34E035A3" w14:textId="77777777" w:rsidR="00535DF2" w:rsidRPr="00535DF2" w:rsidRDefault="00535DF2" w:rsidP="00F51716">
            <w:pPr>
              <w:pStyle w:val="tableright"/>
            </w:pPr>
            <w:r w:rsidRPr="00535DF2">
              <w:t>28,892</w:t>
            </w:r>
          </w:p>
        </w:tc>
        <w:tc>
          <w:tcPr>
            <w:tcW w:w="1018" w:type="dxa"/>
            <w:shd w:val="clear" w:color="auto" w:fill="auto"/>
            <w:noWrap/>
            <w:vAlign w:val="center"/>
            <w:hideMark/>
          </w:tcPr>
          <w:p w14:paraId="18766F55" w14:textId="77777777" w:rsidR="00535DF2" w:rsidRPr="00535DF2" w:rsidRDefault="00535DF2" w:rsidP="00F51716">
            <w:pPr>
              <w:pStyle w:val="tableright"/>
            </w:pPr>
            <w:r w:rsidRPr="00535DF2">
              <w:t>20,342</w:t>
            </w:r>
          </w:p>
        </w:tc>
        <w:tc>
          <w:tcPr>
            <w:tcW w:w="1018" w:type="dxa"/>
            <w:shd w:val="clear" w:color="auto" w:fill="auto"/>
            <w:noWrap/>
            <w:vAlign w:val="center"/>
            <w:hideMark/>
          </w:tcPr>
          <w:p w14:paraId="1299BD70" w14:textId="77777777" w:rsidR="00535DF2" w:rsidRPr="00535DF2" w:rsidRDefault="00535DF2" w:rsidP="00F51716">
            <w:pPr>
              <w:pStyle w:val="tableright"/>
            </w:pPr>
            <w:r w:rsidRPr="00535DF2">
              <w:t>30,475</w:t>
            </w:r>
          </w:p>
        </w:tc>
        <w:tc>
          <w:tcPr>
            <w:tcW w:w="1018" w:type="dxa"/>
            <w:shd w:val="clear" w:color="auto" w:fill="auto"/>
            <w:noWrap/>
            <w:vAlign w:val="center"/>
            <w:hideMark/>
          </w:tcPr>
          <w:p w14:paraId="2F0535F3" w14:textId="77777777" w:rsidR="00535DF2" w:rsidRPr="00535DF2" w:rsidRDefault="00535DF2" w:rsidP="00F51716">
            <w:pPr>
              <w:pStyle w:val="tableright"/>
            </w:pPr>
            <w:r w:rsidRPr="00535DF2">
              <w:t>23,213</w:t>
            </w:r>
          </w:p>
        </w:tc>
        <w:tc>
          <w:tcPr>
            <w:tcW w:w="1018" w:type="dxa"/>
            <w:shd w:val="clear" w:color="auto" w:fill="auto"/>
            <w:noWrap/>
            <w:vAlign w:val="center"/>
            <w:hideMark/>
          </w:tcPr>
          <w:p w14:paraId="75F370F5" w14:textId="11EDFC92" w:rsidR="00535DF2" w:rsidRPr="00535DF2" w:rsidRDefault="00535DF2" w:rsidP="00F51716">
            <w:pPr>
              <w:pStyle w:val="tableright"/>
            </w:pPr>
            <w:r w:rsidRPr="00535DF2">
              <w:t>12,</w:t>
            </w:r>
            <w:r w:rsidR="00CB502B">
              <w:t>902</w:t>
            </w:r>
          </w:p>
        </w:tc>
      </w:tr>
      <w:tr w:rsidR="00535DF2" w:rsidRPr="00535DF2" w14:paraId="27B466DE" w14:textId="77777777" w:rsidTr="003F15CC">
        <w:trPr>
          <w:trHeight w:val="213"/>
        </w:trPr>
        <w:tc>
          <w:tcPr>
            <w:tcW w:w="1651" w:type="dxa"/>
            <w:vMerge/>
            <w:vAlign w:val="center"/>
            <w:hideMark/>
          </w:tcPr>
          <w:p w14:paraId="42B3F2EA" w14:textId="77777777" w:rsidR="00535DF2" w:rsidRPr="00535DF2" w:rsidRDefault="00535DF2" w:rsidP="00F51716">
            <w:pPr>
              <w:pStyle w:val="Tabletext0"/>
            </w:pPr>
          </w:p>
        </w:tc>
        <w:tc>
          <w:tcPr>
            <w:tcW w:w="1746" w:type="dxa"/>
            <w:shd w:val="clear" w:color="auto" w:fill="auto"/>
            <w:vAlign w:val="center"/>
            <w:hideMark/>
          </w:tcPr>
          <w:p w14:paraId="0C7ADE84" w14:textId="31F8B390" w:rsidR="00535DF2" w:rsidRPr="00535DF2" w:rsidRDefault="00535DF2" w:rsidP="00F51716">
            <w:pPr>
              <w:pStyle w:val="Tabletext0"/>
            </w:pPr>
            <w:r w:rsidRPr="00535DF2">
              <w:t>GHG emissions/1,000</w:t>
            </w:r>
            <w:r w:rsidR="00105AEC">
              <w:t> km</w:t>
            </w:r>
            <w:r w:rsidRPr="00535DF2">
              <w:t xml:space="preserve"> travelled</w:t>
            </w:r>
          </w:p>
        </w:tc>
        <w:tc>
          <w:tcPr>
            <w:tcW w:w="1239" w:type="dxa"/>
            <w:shd w:val="clear" w:color="auto" w:fill="auto"/>
            <w:vAlign w:val="center"/>
            <w:hideMark/>
          </w:tcPr>
          <w:p w14:paraId="60B729D2" w14:textId="77777777" w:rsidR="00535DF2" w:rsidRPr="00535DF2" w:rsidRDefault="00535DF2" w:rsidP="00F51716">
            <w:pPr>
              <w:pStyle w:val="Tabletext0"/>
            </w:pPr>
            <w:r w:rsidRPr="00535DF2">
              <w:t>Kilograms of CO</w:t>
            </w:r>
            <w:r w:rsidRPr="00535DF2">
              <w:rPr>
                <w:vertAlign w:val="subscript"/>
              </w:rPr>
              <w:t>2-</w:t>
            </w:r>
            <w:r w:rsidRPr="00535DF2">
              <w:t>e</w:t>
            </w:r>
          </w:p>
        </w:tc>
        <w:tc>
          <w:tcPr>
            <w:tcW w:w="1018" w:type="dxa"/>
            <w:shd w:val="clear" w:color="auto" w:fill="auto"/>
            <w:noWrap/>
            <w:vAlign w:val="center"/>
            <w:hideMark/>
          </w:tcPr>
          <w:p w14:paraId="72EBE988" w14:textId="77777777" w:rsidR="00535DF2" w:rsidRPr="00535DF2" w:rsidRDefault="00535DF2" w:rsidP="00F51716">
            <w:pPr>
              <w:pStyle w:val="tableright"/>
            </w:pPr>
            <w:r w:rsidRPr="00535DF2">
              <w:t>142</w:t>
            </w:r>
          </w:p>
        </w:tc>
        <w:tc>
          <w:tcPr>
            <w:tcW w:w="1018" w:type="dxa"/>
            <w:shd w:val="clear" w:color="auto" w:fill="auto"/>
            <w:noWrap/>
            <w:vAlign w:val="center"/>
            <w:hideMark/>
          </w:tcPr>
          <w:p w14:paraId="5F6AF4B3" w14:textId="77777777" w:rsidR="00535DF2" w:rsidRPr="00535DF2" w:rsidRDefault="00535DF2" w:rsidP="00F51716">
            <w:pPr>
              <w:pStyle w:val="tableright"/>
            </w:pPr>
            <w:r w:rsidRPr="00535DF2">
              <w:t>112</w:t>
            </w:r>
          </w:p>
        </w:tc>
        <w:tc>
          <w:tcPr>
            <w:tcW w:w="1018" w:type="dxa"/>
            <w:shd w:val="clear" w:color="auto" w:fill="auto"/>
            <w:noWrap/>
            <w:vAlign w:val="center"/>
            <w:hideMark/>
          </w:tcPr>
          <w:p w14:paraId="253A5F41" w14:textId="77777777" w:rsidR="00535DF2" w:rsidRPr="00535DF2" w:rsidRDefault="00535DF2" w:rsidP="00F51716">
            <w:pPr>
              <w:pStyle w:val="tableright"/>
            </w:pPr>
            <w:r w:rsidRPr="00535DF2">
              <w:t>135</w:t>
            </w:r>
          </w:p>
        </w:tc>
        <w:tc>
          <w:tcPr>
            <w:tcW w:w="1018" w:type="dxa"/>
            <w:shd w:val="clear" w:color="auto" w:fill="auto"/>
            <w:noWrap/>
            <w:vAlign w:val="center"/>
            <w:hideMark/>
          </w:tcPr>
          <w:p w14:paraId="4B650D7D" w14:textId="77777777" w:rsidR="00535DF2" w:rsidRPr="00535DF2" w:rsidRDefault="00535DF2" w:rsidP="00F51716">
            <w:pPr>
              <w:pStyle w:val="tableright"/>
            </w:pPr>
            <w:r w:rsidRPr="00535DF2">
              <w:t>151</w:t>
            </w:r>
          </w:p>
        </w:tc>
        <w:tc>
          <w:tcPr>
            <w:tcW w:w="1018" w:type="dxa"/>
            <w:shd w:val="clear" w:color="auto" w:fill="auto"/>
            <w:noWrap/>
            <w:vAlign w:val="center"/>
            <w:hideMark/>
          </w:tcPr>
          <w:p w14:paraId="7EC35C2F" w14:textId="6A6F06D2" w:rsidR="00535DF2" w:rsidRPr="00535DF2" w:rsidRDefault="00CB502B" w:rsidP="00F51716">
            <w:pPr>
              <w:pStyle w:val="tableright"/>
              <w:rPr>
                <w:rFonts w:eastAsia="Times New Roman"/>
              </w:rPr>
            </w:pPr>
            <w:r>
              <w:t>178</w:t>
            </w:r>
          </w:p>
        </w:tc>
      </w:tr>
      <w:tr w:rsidR="00535DF2" w:rsidRPr="00535DF2" w14:paraId="2514E569" w14:textId="77777777" w:rsidTr="003F15CC">
        <w:trPr>
          <w:trHeight w:val="213"/>
        </w:trPr>
        <w:tc>
          <w:tcPr>
            <w:tcW w:w="1651" w:type="dxa"/>
            <w:vMerge/>
            <w:vAlign w:val="center"/>
            <w:hideMark/>
          </w:tcPr>
          <w:p w14:paraId="4EDB2CC9" w14:textId="77777777" w:rsidR="00535DF2" w:rsidRPr="00535DF2" w:rsidRDefault="00535DF2" w:rsidP="00F51716">
            <w:pPr>
              <w:pStyle w:val="Tabletext0"/>
            </w:pPr>
          </w:p>
        </w:tc>
        <w:tc>
          <w:tcPr>
            <w:tcW w:w="1746" w:type="dxa"/>
            <w:shd w:val="clear" w:color="auto" w:fill="auto"/>
            <w:vAlign w:val="center"/>
            <w:hideMark/>
          </w:tcPr>
          <w:p w14:paraId="49520890" w14:textId="77777777" w:rsidR="00535DF2" w:rsidRPr="00535DF2" w:rsidRDefault="00535DF2" w:rsidP="00F51716">
            <w:pPr>
              <w:pStyle w:val="Tabletext0"/>
            </w:pPr>
            <w:r w:rsidRPr="00535DF2">
              <w:t>Staff Travel associated with agency operations per THC</w:t>
            </w:r>
          </w:p>
        </w:tc>
        <w:tc>
          <w:tcPr>
            <w:tcW w:w="1239" w:type="dxa"/>
            <w:shd w:val="clear" w:color="auto" w:fill="auto"/>
            <w:vAlign w:val="center"/>
            <w:hideMark/>
          </w:tcPr>
          <w:p w14:paraId="6B1F6B94" w14:textId="77777777" w:rsidR="00535DF2" w:rsidRPr="00535DF2" w:rsidRDefault="00535DF2" w:rsidP="00F51716">
            <w:pPr>
              <w:pStyle w:val="Tabletext0"/>
            </w:pPr>
            <w:r w:rsidRPr="00535DF2">
              <w:t>Kilometres per THC</w:t>
            </w:r>
          </w:p>
        </w:tc>
        <w:tc>
          <w:tcPr>
            <w:tcW w:w="1018" w:type="dxa"/>
            <w:shd w:val="clear" w:color="auto" w:fill="auto"/>
            <w:noWrap/>
            <w:vAlign w:val="center"/>
            <w:hideMark/>
          </w:tcPr>
          <w:p w14:paraId="6E7EFC5A" w14:textId="77777777" w:rsidR="00535DF2" w:rsidRPr="00535DF2" w:rsidRDefault="00535DF2" w:rsidP="00F51716">
            <w:pPr>
              <w:pStyle w:val="tableright"/>
            </w:pPr>
            <w:r w:rsidRPr="00535DF2">
              <w:t>1714</w:t>
            </w:r>
          </w:p>
        </w:tc>
        <w:tc>
          <w:tcPr>
            <w:tcW w:w="1018" w:type="dxa"/>
            <w:shd w:val="clear" w:color="auto" w:fill="auto"/>
            <w:noWrap/>
            <w:vAlign w:val="center"/>
            <w:hideMark/>
          </w:tcPr>
          <w:p w14:paraId="18A3F113" w14:textId="77777777" w:rsidR="00535DF2" w:rsidRPr="00535DF2" w:rsidRDefault="00535DF2" w:rsidP="00F51716">
            <w:pPr>
              <w:pStyle w:val="tableright"/>
            </w:pPr>
            <w:r w:rsidRPr="00535DF2">
              <w:t>1442</w:t>
            </w:r>
          </w:p>
        </w:tc>
        <w:tc>
          <w:tcPr>
            <w:tcW w:w="1018" w:type="dxa"/>
            <w:shd w:val="clear" w:color="auto" w:fill="auto"/>
            <w:noWrap/>
            <w:vAlign w:val="center"/>
            <w:hideMark/>
          </w:tcPr>
          <w:p w14:paraId="64641A6D" w14:textId="77777777" w:rsidR="00535DF2" w:rsidRPr="00535DF2" w:rsidRDefault="00535DF2" w:rsidP="00F51716">
            <w:pPr>
              <w:pStyle w:val="tableright"/>
            </w:pPr>
            <w:r w:rsidRPr="00535DF2">
              <w:t>1821</w:t>
            </w:r>
          </w:p>
        </w:tc>
        <w:tc>
          <w:tcPr>
            <w:tcW w:w="1018" w:type="dxa"/>
            <w:shd w:val="clear" w:color="auto" w:fill="auto"/>
            <w:noWrap/>
            <w:vAlign w:val="center"/>
            <w:hideMark/>
          </w:tcPr>
          <w:p w14:paraId="6F56AE19" w14:textId="77777777" w:rsidR="00535DF2" w:rsidRPr="00535DF2" w:rsidRDefault="00535DF2" w:rsidP="00F51716">
            <w:pPr>
              <w:pStyle w:val="tableright"/>
            </w:pPr>
            <w:r w:rsidRPr="00535DF2">
              <w:t>1034</w:t>
            </w:r>
          </w:p>
        </w:tc>
        <w:tc>
          <w:tcPr>
            <w:tcW w:w="1018" w:type="dxa"/>
            <w:shd w:val="clear" w:color="auto" w:fill="auto"/>
            <w:noWrap/>
            <w:vAlign w:val="center"/>
            <w:hideMark/>
          </w:tcPr>
          <w:p w14:paraId="6B61E180" w14:textId="235E4156" w:rsidR="00535DF2" w:rsidRPr="00535DF2" w:rsidRDefault="00CB502B" w:rsidP="00F51716">
            <w:pPr>
              <w:pStyle w:val="tableright"/>
              <w:rPr>
                <w:rFonts w:eastAsia="Times New Roman"/>
              </w:rPr>
            </w:pPr>
            <w:r>
              <w:t>491</w:t>
            </w:r>
          </w:p>
        </w:tc>
      </w:tr>
      <w:tr w:rsidR="00535DF2" w:rsidRPr="00535DF2" w14:paraId="63EE8A97" w14:textId="77777777" w:rsidTr="003F15CC">
        <w:trPr>
          <w:trHeight w:val="213"/>
        </w:trPr>
        <w:tc>
          <w:tcPr>
            <w:tcW w:w="1651" w:type="dxa"/>
            <w:vMerge/>
            <w:vAlign w:val="center"/>
            <w:hideMark/>
          </w:tcPr>
          <w:p w14:paraId="2DB1B501" w14:textId="77777777" w:rsidR="00535DF2" w:rsidRPr="00535DF2" w:rsidRDefault="00535DF2" w:rsidP="00F51716">
            <w:pPr>
              <w:pStyle w:val="Tabletext0"/>
            </w:pPr>
          </w:p>
        </w:tc>
        <w:tc>
          <w:tcPr>
            <w:tcW w:w="1746" w:type="dxa"/>
            <w:shd w:val="clear" w:color="auto" w:fill="auto"/>
            <w:vAlign w:val="center"/>
            <w:hideMark/>
          </w:tcPr>
          <w:p w14:paraId="1579A243" w14:textId="77777777" w:rsidR="00535DF2" w:rsidRPr="00535DF2" w:rsidRDefault="00535DF2" w:rsidP="00F51716">
            <w:pPr>
              <w:pStyle w:val="Tabletext0"/>
            </w:pPr>
            <w:r w:rsidRPr="00535DF2">
              <w:t>Staff Travel associated with agency operations per FTE</w:t>
            </w:r>
          </w:p>
        </w:tc>
        <w:tc>
          <w:tcPr>
            <w:tcW w:w="1239" w:type="dxa"/>
            <w:shd w:val="clear" w:color="auto" w:fill="auto"/>
            <w:vAlign w:val="center"/>
            <w:hideMark/>
          </w:tcPr>
          <w:p w14:paraId="76528EF9" w14:textId="77777777" w:rsidR="00535DF2" w:rsidRPr="00535DF2" w:rsidRDefault="00535DF2" w:rsidP="00F51716">
            <w:pPr>
              <w:pStyle w:val="Tabletext0"/>
            </w:pPr>
            <w:r w:rsidRPr="00535DF2">
              <w:t>Kilometres per FTE</w:t>
            </w:r>
          </w:p>
        </w:tc>
        <w:tc>
          <w:tcPr>
            <w:tcW w:w="1018" w:type="dxa"/>
            <w:shd w:val="clear" w:color="auto" w:fill="auto"/>
            <w:noWrap/>
            <w:vAlign w:val="center"/>
            <w:hideMark/>
          </w:tcPr>
          <w:p w14:paraId="147B82C2" w14:textId="77777777" w:rsidR="00535DF2" w:rsidRPr="00535DF2" w:rsidRDefault="00535DF2" w:rsidP="00F51716">
            <w:pPr>
              <w:pStyle w:val="tableright"/>
            </w:pPr>
            <w:r w:rsidRPr="00535DF2">
              <w:t>1865</w:t>
            </w:r>
          </w:p>
        </w:tc>
        <w:tc>
          <w:tcPr>
            <w:tcW w:w="1018" w:type="dxa"/>
            <w:shd w:val="clear" w:color="auto" w:fill="auto"/>
            <w:noWrap/>
            <w:vAlign w:val="center"/>
            <w:hideMark/>
          </w:tcPr>
          <w:p w14:paraId="615411C9" w14:textId="77777777" w:rsidR="00535DF2" w:rsidRPr="00535DF2" w:rsidRDefault="00535DF2" w:rsidP="00F51716">
            <w:pPr>
              <w:pStyle w:val="tableright"/>
            </w:pPr>
            <w:r w:rsidRPr="00535DF2">
              <w:t>1532</w:t>
            </w:r>
          </w:p>
        </w:tc>
        <w:tc>
          <w:tcPr>
            <w:tcW w:w="1018" w:type="dxa"/>
            <w:shd w:val="clear" w:color="auto" w:fill="auto"/>
            <w:noWrap/>
            <w:vAlign w:val="center"/>
            <w:hideMark/>
          </w:tcPr>
          <w:p w14:paraId="713B2688" w14:textId="77777777" w:rsidR="00535DF2" w:rsidRPr="00535DF2" w:rsidRDefault="00535DF2" w:rsidP="00F51716">
            <w:pPr>
              <w:pStyle w:val="tableright"/>
            </w:pPr>
            <w:r w:rsidRPr="00535DF2">
              <w:t>2011</w:t>
            </w:r>
          </w:p>
        </w:tc>
        <w:tc>
          <w:tcPr>
            <w:tcW w:w="1018" w:type="dxa"/>
            <w:shd w:val="clear" w:color="auto" w:fill="auto"/>
            <w:noWrap/>
            <w:vAlign w:val="center"/>
            <w:hideMark/>
          </w:tcPr>
          <w:p w14:paraId="0542196F" w14:textId="77777777" w:rsidR="00535DF2" w:rsidRPr="00535DF2" w:rsidRDefault="00535DF2" w:rsidP="00F51716">
            <w:pPr>
              <w:pStyle w:val="tableright"/>
            </w:pPr>
            <w:r w:rsidRPr="00535DF2">
              <w:t>1235</w:t>
            </w:r>
          </w:p>
        </w:tc>
        <w:tc>
          <w:tcPr>
            <w:tcW w:w="1018" w:type="dxa"/>
            <w:shd w:val="clear" w:color="auto" w:fill="auto"/>
            <w:noWrap/>
            <w:vAlign w:val="center"/>
            <w:hideMark/>
          </w:tcPr>
          <w:p w14:paraId="53D66BB3" w14:textId="00BAB961" w:rsidR="00535DF2" w:rsidRPr="00535DF2" w:rsidRDefault="00CB502B" w:rsidP="00F51716">
            <w:pPr>
              <w:pStyle w:val="tableright"/>
              <w:rPr>
                <w:rFonts w:eastAsia="Times New Roman"/>
              </w:rPr>
            </w:pPr>
            <w:r>
              <w:t>559</w:t>
            </w:r>
          </w:p>
        </w:tc>
      </w:tr>
      <w:tr w:rsidR="00535DF2" w:rsidRPr="00535DF2" w14:paraId="0EA440F4" w14:textId="77777777" w:rsidTr="003F15CC">
        <w:trPr>
          <w:trHeight w:val="213"/>
        </w:trPr>
        <w:tc>
          <w:tcPr>
            <w:tcW w:w="1651" w:type="dxa"/>
            <w:vMerge/>
            <w:vAlign w:val="center"/>
            <w:hideMark/>
          </w:tcPr>
          <w:p w14:paraId="5147B785" w14:textId="77777777" w:rsidR="00535DF2" w:rsidRPr="00535DF2" w:rsidRDefault="00535DF2" w:rsidP="00F51716">
            <w:pPr>
              <w:pStyle w:val="Tabletext0"/>
            </w:pPr>
          </w:p>
        </w:tc>
        <w:tc>
          <w:tcPr>
            <w:tcW w:w="1746" w:type="dxa"/>
            <w:shd w:val="clear" w:color="auto" w:fill="auto"/>
            <w:vAlign w:val="center"/>
            <w:hideMark/>
          </w:tcPr>
          <w:p w14:paraId="47583C0A" w14:textId="77777777" w:rsidR="00535DF2" w:rsidRPr="00535DF2" w:rsidRDefault="00535DF2" w:rsidP="00F51716">
            <w:pPr>
              <w:pStyle w:val="Tabletext0"/>
            </w:pPr>
            <w:r w:rsidRPr="00535DF2">
              <w:t>Total air travel associated with agency operations</w:t>
            </w:r>
          </w:p>
        </w:tc>
        <w:tc>
          <w:tcPr>
            <w:tcW w:w="1239" w:type="dxa"/>
            <w:shd w:val="clear" w:color="auto" w:fill="auto"/>
            <w:vAlign w:val="center"/>
            <w:hideMark/>
          </w:tcPr>
          <w:p w14:paraId="1F04137E" w14:textId="77777777" w:rsidR="00535DF2" w:rsidRPr="00535DF2" w:rsidRDefault="00535DF2" w:rsidP="00F51716">
            <w:pPr>
              <w:pStyle w:val="Tabletext0"/>
            </w:pPr>
            <w:r w:rsidRPr="00535DF2">
              <w:t>Kilometres</w:t>
            </w:r>
          </w:p>
        </w:tc>
        <w:tc>
          <w:tcPr>
            <w:tcW w:w="1018" w:type="dxa"/>
            <w:shd w:val="clear" w:color="auto" w:fill="auto"/>
            <w:noWrap/>
            <w:vAlign w:val="center"/>
            <w:hideMark/>
          </w:tcPr>
          <w:p w14:paraId="25B84E60" w14:textId="77777777" w:rsidR="00535DF2" w:rsidRPr="00535DF2" w:rsidRDefault="00535DF2" w:rsidP="00F51716">
            <w:pPr>
              <w:pStyle w:val="tableright"/>
            </w:pPr>
            <w:r w:rsidRPr="00535DF2">
              <w:t>146,960</w:t>
            </w:r>
          </w:p>
        </w:tc>
        <w:tc>
          <w:tcPr>
            <w:tcW w:w="1018" w:type="dxa"/>
            <w:shd w:val="clear" w:color="auto" w:fill="auto"/>
            <w:noWrap/>
            <w:vAlign w:val="center"/>
            <w:hideMark/>
          </w:tcPr>
          <w:p w14:paraId="2AA38CCC" w14:textId="77777777" w:rsidR="00535DF2" w:rsidRPr="00535DF2" w:rsidRDefault="00535DF2" w:rsidP="00F51716">
            <w:pPr>
              <w:pStyle w:val="tableright"/>
            </w:pPr>
            <w:r w:rsidRPr="00535DF2">
              <w:t>43,665</w:t>
            </w:r>
          </w:p>
        </w:tc>
        <w:tc>
          <w:tcPr>
            <w:tcW w:w="1018" w:type="dxa"/>
            <w:shd w:val="clear" w:color="auto" w:fill="auto"/>
            <w:noWrap/>
            <w:vAlign w:val="center"/>
            <w:hideMark/>
          </w:tcPr>
          <w:p w14:paraId="5F5D325E" w14:textId="77777777" w:rsidR="00535DF2" w:rsidRPr="00535DF2" w:rsidRDefault="00535DF2" w:rsidP="00F51716">
            <w:pPr>
              <w:pStyle w:val="tableright"/>
            </w:pPr>
            <w:r w:rsidRPr="00535DF2">
              <w:t>162,570</w:t>
            </w:r>
          </w:p>
        </w:tc>
        <w:tc>
          <w:tcPr>
            <w:tcW w:w="1018" w:type="dxa"/>
            <w:shd w:val="clear" w:color="auto" w:fill="auto"/>
            <w:noWrap/>
            <w:vAlign w:val="center"/>
            <w:hideMark/>
          </w:tcPr>
          <w:p w14:paraId="15622C33" w14:textId="77777777" w:rsidR="00535DF2" w:rsidRPr="00535DF2" w:rsidRDefault="00535DF2" w:rsidP="00F51716">
            <w:pPr>
              <w:pStyle w:val="tableright"/>
            </w:pPr>
            <w:r w:rsidRPr="00535DF2">
              <w:t>275,833</w:t>
            </w:r>
          </w:p>
        </w:tc>
        <w:tc>
          <w:tcPr>
            <w:tcW w:w="1018" w:type="dxa"/>
            <w:shd w:val="clear" w:color="auto" w:fill="auto"/>
            <w:noWrap/>
            <w:vAlign w:val="center"/>
            <w:hideMark/>
          </w:tcPr>
          <w:p w14:paraId="72465127" w14:textId="77777777" w:rsidR="00535DF2" w:rsidRPr="00535DF2" w:rsidRDefault="00535DF2" w:rsidP="00F51716">
            <w:pPr>
              <w:pStyle w:val="tableright"/>
            </w:pPr>
            <w:r w:rsidRPr="00535DF2">
              <w:t>85,957</w:t>
            </w:r>
          </w:p>
        </w:tc>
      </w:tr>
      <w:tr w:rsidR="00535DF2" w:rsidRPr="00535DF2" w14:paraId="3C52C991" w14:textId="77777777" w:rsidTr="003F15CC">
        <w:trPr>
          <w:trHeight w:val="320"/>
        </w:trPr>
        <w:tc>
          <w:tcPr>
            <w:tcW w:w="1651" w:type="dxa"/>
            <w:vMerge/>
            <w:vAlign w:val="center"/>
            <w:hideMark/>
          </w:tcPr>
          <w:p w14:paraId="4E5C86D0" w14:textId="77777777" w:rsidR="00535DF2" w:rsidRPr="00535DF2" w:rsidRDefault="00535DF2" w:rsidP="00F51716">
            <w:pPr>
              <w:pStyle w:val="Tabletext0"/>
            </w:pPr>
          </w:p>
        </w:tc>
        <w:tc>
          <w:tcPr>
            <w:tcW w:w="1746" w:type="dxa"/>
            <w:shd w:val="clear" w:color="auto" w:fill="auto"/>
            <w:vAlign w:val="center"/>
            <w:hideMark/>
          </w:tcPr>
          <w:p w14:paraId="4EACBFEA" w14:textId="77777777" w:rsidR="00535DF2" w:rsidRPr="00535DF2" w:rsidRDefault="00535DF2" w:rsidP="00F51716">
            <w:pPr>
              <w:pStyle w:val="Tabletext0"/>
            </w:pPr>
            <w:r w:rsidRPr="00535DF2">
              <w:t>Employees regularly using public transport, cycling or walking to and from work</w:t>
            </w:r>
            <w:r w:rsidRPr="00535DF2">
              <w:rPr>
                <w:vertAlign w:val="superscript"/>
              </w:rPr>
              <w:t xml:space="preserve"> </w:t>
            </w:r>
          </w:p>
        </w:tc>
        <w:tc>
          <w:tcPr>
            <w:tcW w:w="1239" w:type="dxa"/>
            <w:shd w:val="clear" w:color="auto" w:fill="auto"/>
            <w:vAlign w:val="center"/>
            <w:hideMark/>
          </w:tcPr>
          <w:p w14:paraId="544B527E" w14:textId="77777777" w:rsidR="00535DF2" w:rsidRPr="00535DF2" w:rsidRDefault="00535DF2" w:rsidP="00F51716">
            <w:pPr>
              <w:pStyle w:val="Tabletext0"/>
            </w:pPr>
            <w:r w:rsidRPr="00535DF2">
              <w:t>Percentage</w:t>
            </w:r>
          </w:p>
        </w:tc>
        <w:tc>
          <w:tcPr>
            <w:tcW w:w="1018" w:type="dxa"/>
            <w:shd w:val="clear" w:color="auto" w:fill="auto"/>
            <w:vAlign w:val="center"/>
            <w:hideMark/>
          </w:tcPr>
          <w:p w14:paraId="72CDB568" w14:textId="77777777" w:rsidR="00535DF2" w:rsidRPr="00535DF2" w:rsidRDefault="00535DF2" w:rsidP="00F51716">
            <w:pPr>
              <w:pStyle w:val="tableright"/>
            </w:pPr>
            <w:r w:rsidRPr="00535DF2">
              <w:t>90.1%</w:t>
            </w:r>
          </w:p>
        </w:tc>
        <w:tc>
          <w:tcPr>
            <w:tcW w:w="1018" w:type="dxa"/>
            <w:shd w:val="clear" w:color="auto" w:fill="auto"/>
            <w:vAlign w:val="center"/>
            <w:hideMark/>
          </w:tcPr>
          <w:p w14:paraId="58B554BC" w14:textId="77777777" w:rsidR="00535DF2" w:rsidRPr="00535DF2" w:rsidRDefault="00535DF2" w:rsidP="00F51716">
            <w:pPr>
              <w:pStyle w:val="tableright"/>
            </w:pPr>
            <w:r w:rsidRPr="00535DF2">
              <w:t>89.3%</w:t>
            </w:r>
          </w:p>
        </w:tc>
        <w:tc>
          <w:tcPr>
            <w:tcW w:w="1018" w:type="dxa"/>
            <w:shd w:val="clear" w:color="auto" w:fill="auto"/>
            <w:vAlign w:val="center"/>
            <w:hideMark/>
          </w:tcPr>
          <w:p w14:paraId="3F80972C" w14:textId="77777777" w:rsidR="00535DF2" w:rsidRPr="00535DF2" w:rsidRDefault="00535DF2" w:rsidP="00F51716">
            <w:pPr>
              <w:pStyle w:val="tableright"/>
            </w:pPr>
            <w:r w:rsidRPr="00535DF2">
              <w:t>93.1%</w:t>
            </w:r>
          </w:p>
        </w:tc>
        <w:tc>
          <w:tcPr>
            <w:tcW w:w="1018" w:type="dxa"/>
            <w:shd w:val="clear" w:color="auto" w:fill="auto"/>
            <w:vAlign w:val="center"/>
            <w:hideMark/>
          </w:tcPr>
          <w:p w14:paraId="43345BE2" w14:textId="77777777" w:rsidR="00535DF2" w:rsidRPr="00535DF2" w:rsidRDefault="00535DF2" w:rsidP="00F51716">
            <w:pPr>
              <w:pStyle w:val="tableright"/>
            </w:pPr>
            <w:r w:rsidRPr="00535DF2">
              <w:t>96.9%</w:t>
            </w:r>
          </w:p>
        </w:tc>
        <w:tc>
          <w:tcPr>
            <w:tcW w:w="1018" w:type="dxa"/>
            <w:shd w:val="clear" w:color="auto" w:fill="auto"/>
            <w:vAlign w:val="center"/>
            <w:hideMark/>
          </w:tcPr>
          <w:p w14:paraId="4AB5D254" w14:textId="77777777" w:rsidR="00535DF2" w:rsidRPr="00535DF2" w:rsidRDefault="00535DF2" w:rsidP="00F51716">
            <w:pPr>
              <w:pStyle w:val="tableright"/>
            </w:pPr>
            <w:r w:rsidRPr="00535DF2">
              <w:t>95.5%</w:t>
            </w:r>
          </w:p>
        </w:tc>
      </w:tr>
      <w:tr w:rsidR="00535DF2" w:rsidRPr="00535DF2" w14:paraId="70FD51D0" w14:textId="77777777" w:rsidTr="003F15CC">
        <w:trPr>
          <w:trHeight w:val="362"/>
        </w:trPr>
        <w:tc>
          <w:tcPr>
            <w:tcW w:w="1651" w:type="dxa"/>
            <w:vMerge/>
            <w:vAlign w:val="center"/>
            <w:hideMark/>
          </w:tcPr>
          <w:p w14:paraId="4F0B8C7A" w14:textId="77777777" w:rsidR="00535DF2" w:rsidRPr="00535DF2" w:rsidRDefault="00535DF2" w:rsidP="00F51716">
            <w:pPr>
              <w:pStyle w:val="Tabletext0"/>
            </w:pPr>
          </w:p>
        </w:tc>
        <w:tc>
          <w:tcPr>
            <w:tcW w:w="1746" w:type="dxa"/>
            <w:shd w:val="clear" w:color="auto" w:fill="auto"/>
            <w:vAlign w:val="center"/>
            <w:hideMark/>
          </w:tcPr>
          <w:p w14:paraId="09190522" w14:textId="77777777" w:rsidR="00535DF2" w:rsidRPr="00535DF2" w:rsidRDefault="00535DF2" w:rsidP="00F51716">
            <w:pPr>
              <w:pStyle w:val="Tabletext0"/>
            </w:pPr>
            <w:r w:rsidRPr="00535DF2">
              <w:t xml:space="preserve">Employees regularly using more sustainable modes of transport </w:t>
            </w:r>
            <w:r w:rsidRPr="00535DF2">
              <w:rPr>
                <w:vertAlign w:val="superscript"/>
              </w:rPr>
              <w:t>11</w:t>
            </w:r>
          </w:p>
        </w:tc>
        <w:tc>
          <w:tcPr>
            <w:tcW w:w="1239" w:type="dxa"/>
            <w:shd w:val="clear" w:color="auto" w:fill="auto"/>
            <w:vAlign w:val="center"/>
            <w:hideMark/>
          </w:tcPr>
          <w:p w14:paraId="1FE6908B" w14:textId="77777777" w:rsidR="00535DF2" w:rsidRPr="00535DF2" w:rsidRDefault="00535DF2" w:rsidP="00F51716">
            <w:pPr>
              <w:pStyle w:val="Tabletext0"/>
            </w:pPr>
            <w:r w:rsidRPr="00535DF2">
              <w:t>Percentage</w:t>
            </w:r>
          </w:p>
        </w:tc>
        <w:tc>
          <w:tcPr>
            <w:tcW w:w="1018" w:type="dxa"/>
            <w:shd w:val="clear" w:color="auto" w:fill="auto"/>
            <w:vAlign w:val="center"/>
            <w:hideMark/>
          </w:tcPr>
          <w:p w14:paraId="360C8A90" w14:textId="77777777" w:rsidR="00535DF2" w:rsidRPr="00535DF2" w:rsidRDefault="00535DF2" w:rsidP="00F51716">
            <w:pPr>
              <w:pStyle w:val="tableright"/>
            </w:pPr>
            <w:r w:rsidRPr="00535DF2">
              <w:t>29.1%</w:t>
            </w:r>
          </w:p>
        </w:tc>
        <w:tc>
          <w:tcPr>
            <w:tcW w:w="1018" w:type="dxa"/>
            <w:shd w:val="clear" w:color="auto" w:fill="auto"/>
            <w:vAlign w:val="center"/>
            <w:hideMark/>
          </w:tcPr>
          <w:p w14:paraId="1A2C8B22" w14:textId="77777777" w:rsidR="00535DF2" w:rsidRPr="00535DF2" w:rsidRDefault="00535DF2" w:rsidP="00F51716">
            <w:pPr>
              <w:pStyle w:val="tableright"/>
            </w:pPr>
            <w:r w:rsidRPr="00535DF2">
              <w:t>26.2%</w:t>
            </w:r>
          </w:p>
        </w:tc>
        <w:tc>
          <w:tcPr>
            <w:tcW w:w="1018" w:type="dxa"/>
            <w:shd w:val="clear" w:color="auto" w:fill="auto"/>
            <w:vAlign w:val="center"/>
            <w:hideMark/>
          </w:tcPr>
          <w:p w14:paraId="39E26281" w14:textId="77777777" w:rsidR="00535DF2" w:rsidRPr="00535DF2" w:rsidRDefault="00535DF2" w:rsidP="00F51716">
            <w:pPr>
              <w:pStyle w:val="tableright"/>
            </w:pPr>
            <w:r w:rsidRPr="00535DF2">
              <w:t>28.3%</w:t>
            </w:r>
          </w:p>
        </w:tc>
        <w:tc>
          <w:tcPr>
            <w:tcW w:w="1018" w:type="dxa"/>
            <w:shd w:val="clear" w:color="auto" w:fill="auto"/>
            <w:vAlign w:val="center"/>
            <w:hideMark/>
          </w:tcPr>
          <w:p w14:paraId="3CE9CFD2" w14:textId="77777777" w:rsidR="00535DF2" w:rsidRPr="00535DF2" w:rsidRDefault="00535DF2" w:rsidP="00F51716">
            <w:pPr>
              <w:pStyle w:val="tableright"/>
            </w:pPr>
            <w:r w:rsidRPr="00535DF2">
              <w:t>32.7%</w:t>
            </w:r>
          </w:p>
        </w:tc>
        <w:tc>
          <w:tcPr>
            <w:tcW w:w="1018" w:type="dxa"/>
            <w:shd w:val="clear" w:color="auto" w:fill="auto"/>
            <w:vAlign w:val="center"/>
            <w:hideMark/>
          </w:tcPr>
          <w:p w14:paraId="70D686C6" w14:textId="77777777" w:rsidR="00535DF2" w:rsidRPr="00535DF2" w:rsidRDefault="00535DF2" w:rsidP="00F51716">
            <w:pPr>
              <w:pStyle w:val="tableright"/>
            </w:pPr>
            <w:r w:rsidRPr="00535DF2">
              <w:t>33.7%</w:t>
            </w:r>
          </w:p>
        </w:tc>
      </w:tr>
      <w:tr w:rsidR="00535DF2" w:rsidRPr="00535DF2" w14:paraId="3B369E76" w14:textId="77777777" w:rsidTr="003F15CC">
        <w:trPr>
          <w:trHeight w:val="320"/>
        </w:trPr>
        <w:tc>
          <w:tcPr>
            <w:tcW w:w="1651" w:type="dxa"/>
            <w:vMerge w:val="restart"/>
            <w:shd w:val="clear" w:color="auto" w:fill="auto"/>
            <w:vAlign w:val="center"/>
            <w:hideMark/>
          </w:tcPr>
          <w:p w14:paraId="41388A61" w14:textId="77777777" w:rsidR="00535DF2" w:rsidRPr="00535DF2" w:rsidRDefault="00535DF2" w:rsidP="00F51716">
            <w:pPr>
              <w:pStyle w:val="Tabletext0"/>
            </w:pPr>
            <w:r w:rsidRPr="00535DF2">
              <w:t xml:space="preserve">Greenhouse Gas Emissions </w:t>
            </w:r>
            <w:r w:rsidRPr="00535DF2">
              <w:rPr>
                <w:vertAlign w:val="superscript"/>
              </w:rPr>
              <w:t>15,16,17,18</w:t>
            </w:r>
          </w:p>
        </w:tc>
        <w:tc>
          <w:tcPr>
            <w:tcW w:w="1746" w:type="dxa"/>
            <w:shd w:val="clear" w:color="auto" w:fill="auto"/>
            <w:vAlign w:val="center"/>
            <w:hideMark/>
          </w:tcPr>
          <w:p w14:paraId="312181C8" w14:textId="77777777" w:rsidR="00535DF2" w:rsidRPr="00535DF2" w:rsidRDefault="00535DF2" w:rsidP="00F51716">
            <w:pPr>
              <w:pStyle w:val="Tabletext0"/>
            </w:pPr>
            <w:r w:rsidRPr="00535DF2">
              <w:t>Total GHG emissions associated with scope 3 energy use</w:t>
            </w:r>
            <w:r w:rsidRPr="00535DF2">
              <w:rPr>
                <w:vertAlign w:val="superscript"/>
              </w:rPr>
              <w:t>12</w:t>
            </w:r>
          </w:p>
        </w:tc>
        <w:tc>
          <w:tcPr>
            <w:tcW w:w="1239" w:type="dxa"/>
            <w:shd w:val="clear" w:color="auto" w:fill="auto"/>
            <w:vAlign w:val="center"/>
            <w:hideMark/>
          </w:tcPr>
          <w:p w14:paraId="6D7CA7A0" w14:textId="52BC2AE8" w:rsidR="00535DF2" w:rsidRPr="00535DF2" w:rsidRDefault="00535DF2" w:rsidP="00F51716">
            <w:pPr>
              <w:pStyle w:val="Tabletext0"/>
            </w:pPr>
            <w:r w:rsidRPr="00535DF2">
              <w:t>Kilograms of CO</w:t>
            </w:r>
            <w:r w:rsidRPr="00535DF2">
              <w:rPr>
                <w:vertAlign w:val="subscript"/>
              </w:rPr>
              <w:t>2</w:t>
            </w:r>
            <w:r w:rsidRPr="00535DF2">
              <w:t xml:space="preserve"> –e </w:t>
            </w:r>
          </w:p>
        </w:tc>
        <w:tc>
          <w:tcPr>
            <w:tcW w:w="1018" w:type="dxa"/>
            <w:shd w:val="clear" w:color="auto" w:fill="auto"/>
            <w:vAlign w:val="center"/>
            <w:hideMark/>
          </w:tcPr>
          <w:p w14:paraId="221ADBAA" w14:textId="77777777" w:rsidR="00535DF2" w:rsidRPr="00535DF2" w:rsidRDefault="00535DF2" w:rsidP="00F51716">
            <w:pPr>
              <w:pStyle w:val="tableright"/>
            </w:pPr>
            <w:r w:rsidRPr="00535DF2">
              <w:t>16,096</w:t>
            </w:r>
          </w:p>
        </w:tc>
        <w:tc>
          <w:tcPr>
            <w:tcW w:w="1018" w:type="dxa"/>
            <w:shd w:val="clear" w:color="auto" w:fill="auto"/>
            <w:vAlign w:val="center"/>
            <w:hideMark/>
          </w:tcPr>
          <w:p w14:paraId="7B69C286" w14:textId="77777777" w:rsidR="00535DF2" w:rsidRPr="00535DF2" w:rsidRDefault="00535DF2" w:rsidP="00F51716">
            <w:pPr>
              <w:pStyle w:val="tableright"/>
            </w:pPr>
            <w:r w:rsidRPr="00535DF2">
              <w:t>11,959</w:t>
            </w:r>
          </w:p>
        </w:tc>
        <w:tc>
          <w:tcPr>
            <w:tcW w:w="1018" w:type="dxa"/>
            <w:shd w:val="clear" w:color="auto" w:fill="auto"/>
            <w:vAlign w:val="center"/>
            <w:hideMark/>
          </w:tcPr>
          <w:p w14:paraId="2358909C" w14:textId="77777777" w:rsidR="00535DF2" w:rsidRPr="00535DF2" w:rsidRDefault="00535DF2" w:rsidP="00F51716">
            <w:pPr>
              <w:pStyle w:val="tableright"/>
            </w:pPr>
            <w:r w:rsidRPr="00535DF2">
              <w:t>12,171</w:t>
            </w:r>
          </w:p>
        </w:tc>
        <w:tc>
          <w:tcPr>
            <w:tcW w:w="1018" w:type="dxa"/>
            <w:shd w:val="clear" w:color="auto" w:fill="auto"/>
            <w:vAlign w:val="center"/>
            <w:hideMark/>
          </w:tcPr>
          <w:p w14:paraId="17B062F4" w14:textId="77777777" w:rsidR="00535DF2" w:rsidRPr="00535DF2" w:rsidRDefault="00535DF2" w:rsidP="00F51716">
            <w:pPr>
              <w:pStyle w:val="tableright"/>
            </w:pPr>
            <w:r w:rsidRPr="00535DF2">
              <w:t>86,738</w:t>
            </w:r>
          </w:p>
        </w:tc>
        <w:tc>
          <w:tcPr>
            <w:tcW w:w="1018" w:type="dxa"/>
            <w:shd w:val="clear" w:color="auto" w:fill="auto"/>
            <w:vAlign w:val="center"/>
            <w:hideMark/>
          </w:tcPr>
          <w:p w14:paraId="64D0D98B" w14:textId="43CAE3C4" w:rsidR="00535DF2" w:rsidRPr="00535DF2" w:rsidRDefault="00CB502B" w:rsidP="00F51716">
            <w:pPr>
              <w:pStyle w:val="tableright"/>
              <w:rPr>
                <w:rFonts w:eastAsia="Times New Roman"/>
              </w:rPr>
            </w:pPr>
            <w:r>
              <w:t>71,153</w:t>
            </w:r>
          </w:p>
        </w:tc>
      </w:tr>
      <w:tr w:rsidR="00535DF2" w:rsidRPr="00535DF2" w14:paraId="19014DB6" w14:textId="77777777" w:rsidTr="003F15CC">
        <w:trPr>
          <w:trHeight w:val="213"/>
        </w:trPr>
        <w:tc>
          <w:tcPr>
            <w:tcW w:w="1651" w:type="dxa"/>
            <w:vMerge/>
            <w:vAlign w:val="center"/>
            <w:hideMark/>
          </w:tcPr>
          <w:p w14:paraId="3969DD19" w14:textId="77777777" w:rsidR="00535DF2" w:rsidRPr="00535DF2" w:rsidRDefault="00535DF2" w:rsidP="00F51716">
            <w:pPr>
              <w:pStyle w:val="Tabletext0"/>
            </w:pPr>
          </w:p>
        </w:tc>
        <w:tc>
          <w:tcPr>
            <w:tcW w:w="1746" w:type="dxa"/>
            <w:shd w:val="clear" w:color="auto" w:fill="auto"/>
            <w:vAlign w:val="center"/>
            <w:hideMark/>
          </w:tcPr>
          <w:p w14:paraId="2D53E5D2" w14:textId="77777777" w:rsidR="00535DF2" w:rsidRPr="00535DF2" w:rsidRDefault="00535DF2" w:rsidP="00F51716">
            <w:pPr>
              <w:pStyle w:val="Tabletext0"/>
            </w:pPr>
            <w:r w:rsidRPr="00535DF2">
              <w:t>Total GHG emissions associated with vehicle fleet</w:t>
            </w:r>
          </w:p>
        </w:tc>
        <w:tc>
          <w:tcPr>
            <w:tcW w:w="1239" w:type="dxa"/>
            <w:shd w:val="clear" w:color="auto" w:fill="auto"/>
            <w:vAlign w:val="center"/>
            <w:hideMark/>
          </w:tcPr>
          <w:p w14:paraId="06A465AF" w14:textId="77777777" w:rsidR="00535DF2" w:rsidRPr="00535DF2" w:rsidRDefault="00535DF2" w:rsidP="00F51716">
            <w:pPr>
              <w:pStyle w:val="Tabletext0"/>
            </w:pPr>
            <w:r w:rsidRPr="00535DF2">
              <w:t>Kilograms of CO</w:t>
            </w:r>
            <w:r w:rsidRPr="00535DF2">
              <w:rPr>
                <w:vertAlign w:val="subscript"/>
              </w:rPr>
              <w:t>2-</w:t>
            </w:r>
            <w:r w:rsidRPr="00535DF2">
              <w:t>e</w:t>
            </w:r>
          </w:p>
        </w:tc>
        <w:tc>
          <w:tcPr>
            <w:tcW w:w="1018" w:type="dxa"/>
            <w:shd w:val="clear" w:color="auto" w:fill="auto"/>
            <w:vAlign w:val="center"/>
            <w:hideMark/>
          </w:tcPr>
          <w:p w14:paraId="0DE17390" w14:textId="77777777" w:rsidR="00535DF2" w:rsidRPr="00535DF2" w:rsidRDefault="00535DF2" w:rsidP="00F51716">
            <w:pPr>
              <w:pStyle w:val="tableright"/>
            </w:pPr>
            <w:r w:rsidRPr="00535DF2">
              <w:t>28,892</w:t>
            </w:r>
          </w:p>
        </w:tc>
        <w:tc>
          <w:tcPr>
            <w:tcW w:w="1018" w:type="dxa"/>
            <w:shd w:val="clear" w:color="auto" w:fill="auto"/>
            <w:vAlign w:val="center"/>
            <w:hideMark/>
          </w:tcPr>
          <w:p w14:paraId="1D1B03A0" w14:textId="77777777" w:rsidR="00535DF2" w:rsidRPr="00535DF2" w:rsidRDefault="00535DF2" w:rsidP="00F51716">
            <w:pPr>
              <w:pStyle w:val="tableright"/>
            </w:pPr>
            <w:r w:rsidRPr="00535DF2">
              <w:t>20,342</w:t>
            </w:r>
          </w:p>
        </w:tc>
        <w:tc>
          <w:tcPr>
            <w:tcW w:w="1018" w:type="dxa"/>
            <w:shd w:val="clear" w:color="auto" w:fill="auto"/>
            <w:vAlign w:val="center"/>
            <w:hideMark/>
          </w:tcPr>
          <w:p w14:paraId="3066E053" w14:textId="77777777" w:rsidR="00535DF2" w:rsidRPr="00535DF2" w:rsidRDefault="00535DF2" w:rsidP="00F51716">
            <w:pPr>
              <w:pStyle w:val="tableright"/>
            </w:pPr>
            <w:r w:rsidRPr="00535DF2">
              <w:t>30,475</w:t>
            </w:r>
          </w:p>
        </w:tc>
        <w:tc>
          <w:tcPr>
            <w:tcW w:w="1018" w:type="dxa"/>
            <w:shd w:val="clear" w:color="auto" w:fill="auto"/>
            <w:vAlign w:val="center"/>
            <w:hideMark/>
          </w:tcPr>
          <w:p w14:paraId="75B8A9C3" w14:textId="77777777" w:rsidR="00535DF2" w:rsidRPr="00535DF2" w:rsidRDefault="00535DF2" w:rsidP="00F51716">
            <w:pPr>
              <w:pStyle w:val="tableright"/>
            </w:pPr>
            <w:r w:rsidRPr="00535DF2">
              <w:t>23,213</w:t>
            </w:r>
          </w:p>
        </w:tc>
        <w:tc>
          <w:tcPr>
            <w:tcW w:w="1018" w:type="dxa"/>
            <w:shd w:val="clear" w:color="auto" w:fill="auto"/>
            <w:vAlign w:val="center"/>
            <w:hideMark/>
          </w:tcPr>
          <w:p w14:paraId="4855A755" w14:textId="77052F22" w:rsidR="00535DF2" w:rsidRPr="00535DF2" w:rsidRDefault="00535DF2" w:rsidP="00F51716">
            <w:pPr>
              <w:pStyle w:val="tableright"/>
            </w:pPr>
            <w:r w:rsidRPr="00535DF2">
              <w:t>12,</w:t>
            </w:r>
            <w:r w:rsidR="00CB502B">
              <w:t>902</w:t>
            </w:r>
          </w:p>
        </w:tc>
      </w:tr>
      <w:tr w:rsidR="00535DF2" w:rsidRPr="00535DF2" w14:paraId="1FBB93FE" w14:textId="77777777" w:rsidTr="003F15CC">
        <w:trPr>
          <w:trHeight w:val="213"/>
        </w:trPr>
        <w:tc>
          <w:tcPr>
            <w:tcW w:w="1651" w:type="dxa"/>
            <w:vMerge/>
            <w:vAlign w:val="center"/>
            <w:hideMark/>
          </w:tcPr>
          <w:p w14:paraId="620EECD2" w14:textId="77777777" w:rsidR="00535DF2" w:rsidRPr="00535DF2" w:rsidRDefault="00535DF2" w:rsidP="00F51716">
            <w:pPr>
              <w:pStyle w:val="Tabletext0"/>
            </w:pPr>
          </w:p>
        </w:tc>
        <w:tc>
          <w:tcPr>
            <w:tcW w:w="1746" w:type="dxa"/>
            <w:shd w:val="clear" w:color="auto" w:fill="auto"/>
            <w:vAlign w:val="center"/>
            <w:hideMark/>
          </w:tcPr>
          <w:p w14:paraId="71A02CD9" w14:textId="77777777" w:rsidR="00535DF2" w:rsidRPr="00535DF2" w:rsidRDefault="00535DF2" w:rsidP="00F51716">
            <w:pPr>
              <w:pStyle w:val="Tabletext0"/>
            </w:pPr>
            <w:r w:rsidRPr="00535DF2">
              <w:t>Total GHG emissions associated with air travel</w:t>
            </w:r>
            <w:r w:rsidRPr="00535DF2">
              <w:rPr>
                <w:vertAlign w:val="superscript"/>
              </w:rPr>
              <w:t>13</w:t>
            </w:r>
          </w:p>
        </w:tc>
        <w:tc>
          <w:tcPr>
            <w:tcW w:w="1239" w:type="dxa"/>
            <w:shd w:val="clear" w:color="auto" w:fill="auto"/>
            <w:vAlign w:val="center"/>
            <w:hideMark/>
          </w:tcPr>
          <w:p w14:paraId="28E564A3" w14:textId="77777777" w:rsidR="00535DF2" w:rsidRPr="00535DF2" w:rsidRDefault="00535DF2" w:rsidP="00F51716">
            <w:pPr>
              <w:pStyle w:val="Tabletext0"/>
            </w:pPr>
            <w:r w:rsidRPr="00535DF2">
              <w:t>Kilograms of CO</w:t>
            </w:r>
            <w:r w:rsidRPr="00535DF2">
              <w:rPr>
                <w:vertAlign w:val="subscript"/>
              </w:rPr>
              <w:t>2-</w:t>
            </w:r>
            <w:r w:rsidRPr="00535DF2">
              <w:t xml:space="preserve">e </w:t>
            </w:r>
          </w:p>
        </w:tc>
        <w:tc>
          <w:tcPr>
            <w:tcW w:w="1018" w:type="dxa"/>
            <w:shd w:val="clear" w:color="auto" w:fill="auto"/>
            <w:vAlign w:val="center"/>
            <w:hideMark/>
          </w:tcPr>
          <w:p w14:paraId="53E80BEE" w14:textId="77777777" w:rsidR="00535DF2" w:rsidRPr="00535DF2" w:rsidRDefault="00535DF2" w:rsidP="00F51716">
            <w:pPr>
              <w:pStyle w:val="tableright"/>
            </w:pPr>
            <w:r w:rsidRPr="00535DF2">
              <w:t>43,665</w:t>
            </w:r>
          </w:p>
        </w:tc>
        <w:tc>
          <w:tcPr>
            <w:tcW w:w="1018" w:type="dxa"/>
            <w:shd w:val="clear" w:color="auto" w:fill="auto"/>
            <w:vAlign w:val="center"/>
            <w:hideMark/>
          </w:tcPr>
          <w:p w14:paraId="081E8434" w14:textId="77777777" w:rsidR="00535DF2" w:rsidRPr="00535DF2" w:rsidRDefault="00535DF2" w:rsidP="00F51716">
            <w:pPr>
              <w:pStyle w:val="tableright"/>
            </w:pPr>
            <w:r w:rsidRPr="00535DF2">
              <w:t>47,547</w:t>
            </w:r>
          </w:p>
        </w:tc>
        <w:tc>
          <w:tcPr>
            <w:tcW w:w="1018" w:type="dxa"/>
            <w:shd w:val="clear" w:color="auto" w:fill="auto"/>
            <w:vAlign w:val="center"/>
            <w:hideMark/>
          </w:tcPr>
          <w:p w14:paraId="15C27118" w14:textId="77777777" w:rsidR="00535DF2" w:rsidRPr="00535DF2" w:rsidRDefault="00535DF2" w:rsidP="00F51716">
            <w:pPr>
              <w:pStyle w:val="tableright"/>
            </w:pPr>
            <w:r w:rsidRPr="00535DF2">
              <w:t>35,707</w:t>
            </w:r>
          </w:p>
        </w:tc>
        <w:tc>
          <w:tcPr>
            <w:tcW w:w="1018" w:type="dxa"/>
            <w:shd w:val="clear" w:color="auto" w:fill="auto"/>
            <w:vAlign w:val="center"/>
            <w:hideMark/>
          </w:tcPr>
          <w:p w14:paraId="5F797404" w14:textId="77777777" w:rsidR="00535DF2" w:rsidRPr="00535DF2" w:rsidRDefault="00535DF2" w:rsidP="00F51716">
            <w:pPr>
              <w:pStyle w:val="tableright"/>
            </w:pPr>
            <w:r w:rsidRPr="00535DF2">
              <w:t>73,409</w:t>
            </w:r>
          </w:p>
        </w:tc>
        <w:tc>
          <w:tcPr>
            <w:tcW w:w="1018" w:type="dxa"/>
            <w:shd w:val="clear" w:color="auto" w:fill="auto"/>
            <w:vAlign w:val="center"/>
            <w:hideMark/>
          </w:tcPr>
          <w:p w14:paraId="5164B689" w14:textId="56B951B0" w:rsidR="00535DF2" w:rsidRPr="00535DF2" w:rsidRDefault="00CB502B" w:rsidP="00F51716">
            <w:pPr>
              <w:pStyle w:val="tableright"/>
              <w:rPr>
                <w:rFonts w:eastAsia="Times New Roman"/>
              </w:rPr>
            </w:pPr>
            <w:r>
              <w:t>22,753</w:t>
            </w:r>
          </w:p>
        </w:tc>
      </w:tr>
      <w:tr w:rsidR="00535DF2" w:rsidRPr="00535DF2" w14:paraId="2CC3786D" w14:textId="77777777" w:rsidTr="003F15CC">
        <w:trPr>
          <w:trHeight w:val="213"/>
        </w:trPr>
        <w:tc>
          <w:tcPr>
            <w:tcW w:w="1651" w:type="dxa"/>
            <w:vMerge/>
            <w:vAlign w:val="center"/>
            <w:hideMark/>
          </w:tcPr>
          <w:p w14:paraId="7A29322A" w14:textId="77777777" w:rsidR="00535DF2" w:rsidRPr="00535DF2" w:rsidRDefault="00535DF2" w:rsidP="00F51716">
            <w:pPr>
              <w:pStyle w:val="Tabletext0"/>
            </w:pPr>
          </w:p>
        </w:tc>
        <w:tc>
          <w:tcPr>
            <w:tcW w:w="1746" w:type="dxa"/>
            <w:shd w:val="clear" w:color="auto" w:fill="auto"/>
            <w:vAlign w:val="center"/>
            <w:hideMark/>
          </w:tcPr>
          <w:p w14:paraId="19766C9F" w14:textId="77777777" w:rsidR="00535DF2" w:rsidRPr="00535DF2" w:rsidRDefault="00535DF2" w:rsidP="00F51716">
            <w:pPr>
              <w:pStyle w:val="Tabletext0"/>
            </w:pPr>
            <w:r w:rsidRPr="00535DF2">
              <w:t>Total GHG emissions associated with waste disposal</w:t>
            </w:r>
          </w:p>
        </w:tc>
        <w:tc>
          <w:tcPr>
            <w:tcW w:w="1239" w:type="dxa"/>
            <w:shd w:val="clear" w:color="auto" w:fill="auto"/>
            <w:vAlign w:val="center"/>
            <w:hideMark/>
          </w:tcPr>
          <w:p w14:paraId="6F31D0DF" w14:textId="77777777" w:rsidR="00535DF2" w:rsidRPr="00535DF2" w:rsidRDefault="00535DF2" w:rsidP="00F51716">
            <w:pPr>
              <w:pStyle w:val="Tabletext0"/>
            </w:pPr>
            <w:r w:rsidRPr="00535DF2">
              <w:t>Kilograms of CO</w:t>
            </w:r>
            <w:r w:rsidRPr="00535DF2">
              <w:rPr>
                <w:vertAlign w:val="subscript"/>
              </w:rPr>
              <w:t>2-</w:t>
            </w:r>
            <w:r w:rsidRPr="00535DF2">
              <w:t xml:space="preserve">e </w:t>
            </w:r>
          </w:p>
        </w:tc>
        <w:tc>
          <w:tcPr>
            <w:tcW w:w="1018" w:type="dxa"/>
            <w:shd w:val="clear" w:color="auto" w:fill="auto"/>
            <w:vAlign w:val="center"/>
            <w:hideMark/>
          </w:tcPr>
          <w:p w14:paraId="0235B8B3" w14:textId="77777777" w:rsidR="00535DF2" w:rsidRPr="00535DF2" w:rsidRDefault="00535DF2" w:rsidP="00F51716">
            <w:pPr>
              <w:pStyle w:val="tableright"/>
            </w:pPr>
            <w:r w:rsidRPr="00535DF2">
              <w:t>1227</w:t>
            </w:r>
          </w:p>
        </w:tc>
        <w:tc>
          <w:tcPr>
            <w:tcW w:w="1018" w:type="dxa"/>
            <w:shd w:val="clear" w:color="auto" w:fill="auto"/>
            <w:vAlign w:val="center"/>
            <w:hideMark/>
          </w:tcPr>
          <w:p w14:paraId="61FB5BA7" w14:textId="77777777" w:rsidR="00535DF2" w:rsidRPr="00535DF2" w:rsidRDefault="00535DF2" w:rsidP="00F51716">
            <w:pPr>
              <w:pStyle w:val="tableright"/>
            </w:pPr>
            <w:r w:rsidRPr="00535DF2">
              <w:t>1260</w:t>
            </w:r>
          </w:p>
        </w:tc>
        <w:tc>
          <w:tcPr>
            <w:tcW w:w="1018" w:type="dxa"/>
            <w:shd w:val="clear" w:color="auto" w:fill="auto"/>
            <w:vAlign w:val="center"/>
            <w:hideMark/>
          </w:tcPr>
          <w:p w14:paraId="02F81175" w14:textId="77777777" w:rsidR="00535DF2" w:rsidRPr="00535DF2" w:rsidRDefault="00535DF2" w:rsidP="00F51716">
            <w:pPr>
              <w:pStyle w:val="tableright"/>
            </w:pPr>
            <w:r w:rsidRPr="00535DF2">
              <w:t>707</w:t>
            </w:r>
          </w:p>
        </w:tc>
        <w:tc>
          <w:tcPr>
            <w:tcW w:w="1018" w:type="dxa"/>
            <w:shd w:val="clear" w:color="auto" w:fill="auto"/>
            <w:vAlign w:val="center"/>
            <w:hideMark/>
          </w:tcPr>
          <w:p w14:paraId="01C25C52" w14:textId="570292B9" w:rsidR="00535DF2" w:rsidRPr="00535DF2" w:rsidRDefault="00CB502B" w:rsidP="00F51716">
            <w:pPr>
              <w:pStyle w:val="tableright"/>
              <w:rPr>
                <w:rFonts w:eastAsia="Times New Roman"/>
              </w:rPr>
            </w:pPr>
            <w:r>
              <w:t>1073</w:t>
            </w:r>
          </w:p>
        </w:tc>
        <w:tc>
          <w:tcPr>
            <w:tcW w:w="1018" w:type="dxa"/>
            <w:shd w:val="clear" w:color="auto" w:fill="auto"/>
            <w:vAlign w:val="center"/>
            <w:hideMark/>
          </w:tcPr>
          <w:p w14:paraId="185C6CB7" w14:textId="18C399C0" w:rsidR="00535DF2" w:rsidRPr="00535DF2" w:rsidRDefault="00CB502B" w:rsidP="00F51716">
            <w:pPr>
              <w:pStyle w:val="tableright"/>
              <w:rPr>
                <w:rFonts w:eastAsia="Times New Roman"/>
              </w:rPr>
            </w:pPr>
            <w:r>
              <w:t>424</w:t>
            </w:r>
          </w:p>
        </w:tc>
      </w:tr>
      <w:tr w:rsidR="00535DF2" w:rsidRPr="00535DF2" w14:paraId="04B71AB0" w14:textId="77777777" w:rsidTr="003F15CC">
        <w:trPr>
          <w:trHeight w:val="480"/>
        </w:trPr>
        <w:tc>
          <w:tcPr>
            <w:tcW w:w="1651" w:type="dxa"/>
            <w:vMerge/>
            <w:vAlign w:val="center"/>
            <w:hideMark/>
          </w:tcPr>
          <w:p w14:paraId="61EFB88B" w14:textId="77777777" w:rsidR="00535DF2" w:rsidRPr="00535DF2" w:rsidRDefault="00535DF2" w:rsidP="00F51716">
            <w:pPr>
              <w:pStyle w:val="Tabletext0"/>
            </w:pPr>
          </w:p>
        </w:tc>
        <w:tc>
          <w:tcPr>
            <w:tcW w:w="1746" w:type="dxa"/>
            <w:shd w:val="clear" w:color="000000" w:fill="000000"/>
            <w:vAlign w:val="center"/>
            <w:hideMark/>
          </w:tcPr>
          <w:p w14:paraId="4487970B" w14:textId="77777777" w:rsidR="00535DF2" w:rsidRPr="00100665" w:rsidRDefault="00535DF2" w:rsidP="00F51716">
            <w:pPr>
              <w:pStyle w:val="Tabletext0"/>
              <w:rPr>
                <w:color w:val="000000" w:themeColor="text1"/>
              </w:rPr>
            </w:pPr>
            <w:r w:rsidRPr="00100665">
              <w:rPr>
                <w:color w:val="000000" w:themeColor="text1"/>
              </w:rPr>
              <w:t>Any other known Greenhouse Gas emissions associated with other activities</w:t>
            </w:r>
          </w:p>
        </w:tc>
        <w:tc>
          <w:tcPr>
            <w:tcW w:w="1239" w:type="dxa"/>
            <w:shd w:val="clear" w:color="000000" w:fill="000000"/>
            <w:vAlign w:val="center"/>
            <w:hideMark/>
          </w:tcPr>
          <w:p w14:paraId="20BA6614" w14:textId="77777777" w:rsidR="00535DF2" w:rsidRPr="00100665" w:rsidRDefault="00535DF2" w:rsidP="00F51716">
            <w:pPr>
              <w:pStyle w:val="Tabletext0"/>
              <w:rPr>
                <w:color w:val="000000" w:themeColor="text1"/>
              </w:rPr>
            </w:pPr>
            <w:r w:rsidRPr="00100665">
              <w:rPr>
                <w:color w:val="000000" w:themeColor="text1"/>
              </w:rPr>
              <w:t>As per note 20 inclusions and additions to note 20</w:t>
            </w:r>
          </w:p>
        </w:tc>
        <w:tc>
          <w:tcPr>
            <w:tcW w:w="1018" w:type="dxa"/>
            <w:shd w:val="clear" w:color="000000" w:fill="000000"/>
            <w:vAlign w:val="center"/>
            <w:hideMark/>
          </w:tcPr>
          <w:p w14:paraId="65E13031" w14:textId="77777777" w:rsidR="00535DF2" w:rsidRPr="00100665" w:rsidRDefault="00535DF2" w:rsidP="00F51716">
            <w:pPr>
              <w:pStyle w:val="tableright"/>
              <w:rPr>
                <w:color w:val="000000" w:themeColor="text1"/>
              </w:rPr>
            </w:pPr>
            <w:r w:rsidRPr="00100665">
              <w:rPr>
                <w:color w:val="000000" w:themeColor="text1"/>
              </w:rPr>
              <w:t>134680</w:t>
            </w:r>
          </w:p>
        </w:tc>
        <w:tc>
          <w:tcPr>
            <w:tcW w:w="1018" w:type="dxa"/>
            <w:shd w:val="clear" w:color="000000" w:fill="000000"/>
            <w:vAlign w:val="center"/>
            <w:hideMark/>
          </w:tcPr>
          <w:p w14:paraId="0B02C2C3" w14:textId="77777777" w:rsidR="00535DF2" w:rsidRPr="00100665" w:rsidRDefault="00535DF2" w:rsidP="00F51716">
            <w:pPr>
              <w:pStyle w:val="tableright"/>
              <w:rPr>
                <w:color w:val="000000" w:themeColor="text1"/>
              </w:rPr>
            </w:pPr>
            <w:r w:rsidRPr="00100665">
              <w:rPr>
                <w:color w:val="000000" w:themeColor="text1"/>
              </w:rPr>
              <w:t>123847</w:t>
            </w:r>
          </w:p>
        </w:tc>
        <w:tc>
          <w:tcPr>
            <w:tcW w:w="1018" w:type="dxa"/>
            <w:shd w:val="clear" w:color="000000" w:fill="000000"/>
            <w:vAlign w:val="center"/>
            <w:hideMark/>
          </w:tcPr>
          <w:p w14:paraId="03F66918" w14:textId="77777777" w:rsidR="00535DF2" w:rsidRPr="00100665" w:rsidRDefault="00535DF2" w:rsidP="00F51716">
            <w:pPr>
              <w:pStyle w:val="tableright"/>
              <w:rPr>
                <w:color w:val="000000" w:themeColor="text1"/>
              </w:rPr>
            </w:pPr>
            <w:r w:rsidRPr="00100665">
              <w:rPr>
                <w:color w:val="000000" w:themeColor="text1"/>
              </w:rPr>
              <w:t>106564</w:t>
            </w:r>
          </w:p>
        </w:tc>
        <w:tc>
          <w:tcPr>
            <w:tcW w:w="1018" w:type="dxa"/>
            <w:shd w:val="clear" w:color="000000" w:fill="000000"/>
            <w:vAlign w:val="center"/>
            <w:hideMark/>
          </w:tcPr>
          <w:p w14:paraId="1F2A5E51" w14:textId="77777777" w:rsidR="00535DF2" w:rsidRPr="00100665" w:rsidRDefault="00535DF2" w:rsidP="00F51716">
            <w:pPr>
              <w:pStyle w:val="tableright"/>
              <w:rPr>
                <w:color w:val="000000" w:themeColor="text1"/>
              </w:rPr>
            </w:pPr>
            <w:r w:rsidRPr="00100665">
              <w:rPr>
                <w:color w:val="000000" w:themeColor="text1"/>
              </w:rPr>
              <w:t>93023</w:t>
            </w:r>
          </w:p>
        </w:tc>
        <w:tc>
          <w:tcPr>
            <w:tcW w:w="1018" w:type="dxa"/>
            <w:shd w:val="clear" w:color="000000" w:fill="000000"/>
            <w:vAlign w:val="center"/>
            <w:hideMark/>
          </w:tcPr>
          <w:p w14:paraId="3770FD6D" w14:textId="4A5DA93B" w:rsidR="00535DF2" w:rsidRPr="00100665" w:rsidRDefault="00CB502B" w:rsidP="00F51716">
            <w:pPr>
              <w:pStyle w:val="tableright"/>
              <w:rPr>
                <w:rFonts w:eastAsia="Times New Roman"/>
                <w:color w:val="000000" w:themeColor="text1"/>
              </w:rPr>
            </w:pPr>
            <w:r w:rsidRPr="00100665">
              <w:rPr>
                <w:color w:val="000000" w:themeColor="text1"/>
              </w:rPr>
              <w:t>16104</w:t>
            </w:r>
          </w:p>
        </w:tc>
      </w:tr>
      <w:tr w:rsidR="00535DF2" w:rsidRPr="00535DF2" w14:paraId="6B6E98DA" w14:textId="77777777" w:rsidTr="003F15CC">
        <w:trPr>
          <w:trHeight w:val="213"/>
        </w:trPr>
        <w:tc>
          <w:tcPr>
            <w:tcW w:w="1651" w:type="dxa"/>
            <w:vMerge/>
            <w:vAlign w:val="center"/>
            <w:hideMark/>
          </w:tcPr>
          <w:p w14:paraId="7F878E7A" w14:textId="77777777" w:rsidR="00535DF2" w:rsidRPr="00535DF2" w:rsidRDefault="00535DF2" w:rsidP="00F51716">
            <w:pPr>
              <w:pStyle w:val="Tabletext0"/>
            </w:pPr>
          </w:p>
        </w:tc>
        <w:tc>
          <w:tcPr>
            <w:tcW w:w="1746" w:type="dxa"/>
            <w:shd w:val="clear" w:color="auto" w:fill="auto"/>
            <w:vAlign w:val="center"/>
            <w:hideMark/>
          </w:tcPr>
          <w:p w14:paraId="0E71D589" w14:textId="77777777" w:rsidR="00535DF2" w:rsidRPr="00535DF2" w:rsidRDefault="00535DF2" w:rsidP="00F51716">
            <w:pPr>
              <w:pStyle w:val="Tabletext0"/>
            </w:pPr>
            <w:r w:rsidRPr="00535DF2">
              <w:t>Total GHG emissions from staff commute</w:t>
            </w:r>
            <w:r w:rsidRPr="00535DF2">
              <w:rPr>
                <w:vertAlign w:val="superscript"/>
              </w:rPr>
              <w:t>18</w:t>
            </w:r>
          </w:p>
        </w:tc>
        <w:tc>
          <w:tcPr>
            <w:tcW w:w="1239" w:type="dxa"/>
            <w:shd w:val="clear" w:color="auto" w:fill="auto"/>
            <w:vAlign w:val="center"/>
            <w:hideMark/>
          </w:tcPr>
          <w:p w14:paraId="40199BF2" w14:textId="77777777" w:rsidR="00535DF2" w:rsidRPr="00535DF2" w:rsidRDefault="00535DF2" w:rsidP="00F51716">
            <w:pPr>
              <w:pStyle w:val="Tabletext0"/>
            </w:pPr>
            <w:r w:rsidRPr="00535DF2">
              <w:t>Kilograms of CO</w:t>
            </w:r>
            <w:r w:rsidRPr="00535DF2">
              <w:rPr>
                <w:vertAlign w:val="subscript"/>
              </w:rPr>
              <w:t>2-</w:t>
            </w:r>
            <w:r w:rsidRPr="00535DF2">
              <w:t xml:space="preserve">e </w:t>
            </w:r>
          </w:p>
        </w:tc>
        <w:tc>
          <w:tcPr>
            <w:tcW w:w="1018" w:type="dxa"/>
            <w:shd w:val="clear" w:color="auto" w:fill="auto"/>
            <w:vAlign w:val="center"/>
            <w:hideMark/>
          </w:tcPr>
          <w:p w14:paraId="477A4005" w14:textId="77777777" w:rsidR="00535DF2" w:rsidRPr="00535DF2" w:rsidRDefault="00535DF2" w:rsidP="00F51716">
            <w:pPr>
              <w:pStyle w:val="tableright"/>
            </w:pPr>
            <w:r w:rsidRPr="00535DF2">
              <w:t>108,884</w:t>
            </w:r>
          </w:p>
        </w:tc>
        <w:tc>
          <w:tcPr>
            <w:tcW w:w="1018" w:type="dxa"/>
            <w:shd w:val="clear" w:color="auto" w:fill="auto"/>
            <w:vAlign w:val="center"/>
            <w:hideMark/>
          </w:tcPr>
          <w:p w14:paraId="37F6D9A8" w14:textId="77777777" w:rsidR="00535DF2" w:rsidRPr="00535DF2" w:rsidRDefault="00535DF2" w:rsidP="00F51716">
            <w:pPr>
              <w:pStyle w:val="tableright"/>
            </w:pPr>
            <w:r w:rsidRPr="00535DF2">
              <w:t>107,349</w:t>
            </w:r>
          </w:p>
        </w:tc>
        <w:tc>
          <w:tcPr>
            <w:tcW w:w="1018" w:type="dxa"/>
            <w:shd w:val="clear" w:color="auto" w:fill="auto"/>
            <w:vAlign w:val="center"/>
            <w:hideMark/>
          </w:tcPr>
          <w:p w14:paraId="1408D3B5" w14:textId="77777777" w:rsidR="00535DF2" w:rsidRPr="00535DF2" w:rsidRDefault="00535DF2" w:rsidP="00F51716">
            <w:pPr>
              <w:pStyle w:val="tableright"/>
            </w:pPr>
            <w:r w:rsidRPr="00535DF2">
              <w:t>107,918</w:t>
            </w:r>
          </w:p>
        </w:tc>
        <w:tc>
          <w:tcPr>
            <w:tcW w:w="1018" w:type="dxa"/>
            <w:shd w:val="clear" w:color="auto" w:fill="auto"/>
            <w:vAlign w:val="center"/>
            <w:hideMark/>
          </w:tcPr>
          <w:p w14:paraId="31AE79C8" w14:textId="77777777" w:rsidR="00535DF2" w:rsidRPr="00535DF2" w:rsidRDefault="00535DF2" w:rsidP="00F51716">
            <w:pPr>
              <w:pStyle w:val="tableright"/>
            </w:pPr>
            <w:r w:rsidRPr="00535DF2">
              <w:t>105,902</w:t>
            </w:r>
          </w:p>
        </w:tc>
        <w:tc>
          <w:tcPr>
            <w:tcW w:w="1018" w:type="dxa"/>
            <w:shd w:val="clear" w:color="auto" w:fill="auto"/>
            <w:vAlign w:val="center"/>
            <w:hideMark/>
          </w:tcPr>
          <w:p w14:paraId="0D82BBE3" w14:textId="77777777" w:rsidR="00535DF2" w:rsidRPr="00535DF2" w:rsidRDefault="00535DF2" w:rsidP="00F51716">
            <w:pPr>
              <w:pStyle w:val="tableright"/>
            </w:pPr>
            <w:r w:rsidRPr="00535DF2">
              <w:t>85,510</w:t>
            </w:r>
          </w:p>
        </w:tc>
      </w:tr>
      <w:tr w:rsidR="00535DF2" w:rsidRPr="00535DF2" w14:paraId="3F71A4EC" w14:textId="77777777" w:rsidTr="003F15CC">
        <w:trPr>
          <w:trHeight w:val="320"/>
        </w:trPr>
        <w:tc>
          <w:tcPr>
            <w:tcW w:w="1651" w:type="dxa"/>
            <w:vMerge/>
            <w:vAlign w:val="center"/>
            <w:hideMark/>
          </w:tcPr>
          <w:p w14:paraId="0CEAD58A" w14:textId="77777777" w:rsidR="00535DF2" w:rsidRPr="00535DF2" w:rsidRDefault="00535DF2" w:rsidP="00F51716"/>
        </w:tc>
        <w:tc>
          <w:tcPr>
            <w:tcW w:w="1746" w:type="dxa"/>
            <w:shd w:val="clear" w:color="auto" w:fill="auto"/>
            <w:vAlign w:val="center"/>
            <w:hideMark/>
          </w:tcPr>
          <w:p w14:paraId="280EC9CE" w14:textId="77777777" w:rsidR="00535DF2" w:rsidRPr="00535DF2" w:rsidRDefault="00535DF2" w:rsidP="00F51716">
            <w:pPr>
              <w:pStyle w:val="Tabletext0"/>
            </w:pPr>
            <w:r w:rsidRPr="00535DF2">
              <w:t>Total GHG emissions associated with scope of operational activities</w:t>
            </w:r>
            <w:r w:rsidRPr="00535DF2">
              <w:rPr>
                <w:vertAlign w:val="superscript"/>
              </w:rPr>
              <w:t>19</w:t>
            </w:r>
          </w:p>
        </w:tc>
        <w:tc>
          <w:tcPr>
            <w:tcW w:w="1239" w:type="dxa"/>
            <w:shd w:val="clear" w:color="auto" w:fill="auto"/>
            <w:vAlign w:val="center"/>
            <w:hideMark/>
          </w:tcPr>
          <w:p w14:paraId="5A609FED" w14:textId="77777777" w:rsidR="00535DF2" w:rsidRPr="00535DF2" w:rsidRDefault="00535DF2" w:rsidP="00F51716">
            <w:pPr>
              <w:pStyle w:val="Tabletext0"/>
            </w:pPr>
            <w:r w:rsidRPr="00535DF2">
              <w:t>Kilograms of CO</w:t>
            </w:r>
            <w:r w:rsidRPr="00535DF2">
              <w:rPr>
                <w:vertAlign w:val="subscript"/>
              </w:rPr>
              <w:t>2-</w:t>
            </w:r>
            <w:r w:rsidRPr="00535DF2">
              <w:t xml:space="preserve">e </w:t>
            </w:r>
          </w:p>
        </w:tc>
        <w:tc>
          <w:tcPr>
            <w:tcW w:w="1018" w:type="dxa"/>
            <w:shd w:val="clear" w:color="auto" w:fill="auto"/>
            <w:vAlign w:val="center"/>
            <w:hideMark/>
          </w:tcPr>
          <w:p w14:paraId="027EB77C" w14:textId="77777777" w:rsidR="00535DF2" w:rsidRPr="00535DF2" w:rsidRDefault="00535DF2" w:rsidP="00F51716">
            <w:pPr>
              <w:pStyle w:val="tableright"/>
            </w:pPr>
            <w:r w:rsidRPr="00535DF2">
              <w:t>473,356</w:t>
            </w:r>
          </w:p>
        </w:tc>
        <w:tc>
          <w:tcPr>
            <w:tcW w:w="1018" w:type="dxa"/>
            <w:shd w:val="clear" w:color="auto" w:fill="auto"/>
            <w:vAlign w:val="center"/>
            <w:hideMark/>
          </w:tcPr>
          <w:p w14:paraId="5251C672" w14:textId="77777777" w:rsidR="00535DF2" w:rsidRPr="00535DF2" w:rsidRDefault="00535DF2" w:rsidP="00F51716">
            <w:pPr>
              <w:pStyle w:val="tableright"/>
            </w:pPr>
            <w:r w:rsidRPr="00535DF2">
              <w:t>442,663</w:t>
            </w:r>
          </w:p>
        </w:tc>
        <w:tc>
          <w:tcPr>
            <w:tcW w:w="1018" w:type="dxa"/>
            <w:shd w:val="clear" w:color="auto" w:fill="auto"/>
            <w:vAlign w:val="center"/>
            <w:hideMark/>
          </w:tcPr>
          <w:p w14:paraId="2636D850" w14:textId="77777777" w:rsidR="00535DF2" w:rsidRPr="00535DF2" w:rsidRDefault="00535DF2" w:rsidP="00F51716">
            <w:pPr>
              <w:pStyle w:val="tableright"/>
            </w:pPr>
            <w:r w:rsidRPr="00535DF2">
              <w:t>424,987</w:t>
            </w:r>
          </w:p>
        </w:tc>
        <w:tc>
          <w:tcPr>
            <w:tcW w:w="1018" w:type="dxa"/>
            <w:shd w:val="clear" w:color="auto" w:fill="auto"/>
            <w:vAlign w:val="center"/>
            <w:hideMark/>
          </w:tcPr>
          <w:p w14:paraId="211537D3" w14:textId="15C1FDC1" w:rsidR="00535DF2" w:rsidRPr="00535DF2" w:rsidRDefault="00CB502B" w:rsidP="00F51716">
            <w:pPr>
              <w:pStyle w:val="tableright"/>
              <w:rPr>
                <w:rFonts w:eastAsia="Times New Roman"/>
              </w:rPr>
            </w:pPr>
            <w:r>
              <w:t>525,887</w:t>
            </w:r>
          </w:p>
        </w:tc>
        <w:tc>
          <w:tcPr>
            <w:tcW w:w="1018" w:type="dxa"/>
            <w:shd w:val="clear" w:color="auto" w:fill="auto"/>
            <w:vAlign w:val="center"/>
            <w:hideMark/>
          </w:tcPr>
          <w:p w14:paraId="460B6D6C" w14:textId="4E308298" w:rsidR="00535DF2" w:rsidRPr="00535DF2" w:rsidRDefault="00CB502B" w:rsidP="00F51716">
            <w:pPr>
              <w:pStyle w:val="tableright"/>
              <w:rPr>
                <w:rFonts w:eastAsia="Times New Roman"/>
              </w:rPr>
            </w:pPr>
            <w:r>
              <w:t>320,832</w:t>
            </w:r>
          </w:p>
        </w:tc>
      </w:tr>
      <w:tr w:rsidR="00535DF2" w:rsidRPr="00535DF2" w14:paraId="0BE70B28" w14:textId="77777777" w:rsidTr="003F15CC">
        <w:trPr>
          <w:trHeight w:val="213"/>
        </w:trPr>
        <w:tc>
          <w:tcPr>
            <w:tcW w:w="1651" w:type="dxa"/>
            <w:vMerge/>
            <w:vAlign w:val="center"/>
            <w:hideMark/>
          </w:tcPr>
          <w:p w14:paraId="05D0BFAA" w14:textId="77777777" w:rsidR="00535DF2" w:rsidRPr="00535DF2" w:rsidRDefault="00535DF2" w:rsidP="00F51716"/>
        </w:tc>
        <w:tc>
          <w:tcPr>
            <w:tcW w:w="1746" w:type="dxa"/>
            <w:shd w:val="clear" w:color="000000" w:fill="000000"/>
            <w:vAlign w:val="center"/>
            <w:hideMark/>
          </w:tcPr>
          <w:p w14:paraId="34558CA3" w14:textId="77777777" w:rsidR="00535DF2" w:rsidRPr="00100665" w:rsidRDefault="00535DF2" w:rsidP="00F51716">
            <w:pPr>
              <w:pStyle w:val="Tabletext0"/>
              <w:rPr>
                <w:color w:val="000000" w:themeColor="text1"/>
              </w:rPr>
            </w:pPr>
            <w:r w:rsidRPr="00100665">
              <w:rPr>
                <w:color w:val="000000" w:themeColor="text1"/>
              </w:rPr>
              <w:t>Greenhouse Gas Offsets Purchased</w:t>
            </w:r>
          </w:p>
        </w:tc>
        <w:tc>
          <w:tcPr>
            <w:tcW w:w="1239" w:type="dxa"/>
            <w:shd w:val="clear" w:color="000000" w:fill="000000"/>
            <w:vAlign w:val="center"/>
            <w:hideMark/>
          </w:tcPr>
          <w:p w14:paraId="510125AD" w14:textId="77777777" w:rsidR="00535DF2" w:rsidRPr="00100665" w:rsidRDefault="00535DF2" w:rsidP="00F51716">
            <w:pPr>
              <w:pStyle w:val="Tabletext0"/>
              <w:rPr>
                <w:color w:val="000000" w:themeColor="text1"/>
              </w:rPr>
            </w:pPr>
            <w:r w:rsidRPr="00100665">
              <w:rPr>
                <w:color w:val="000000" w:themeColor="text1"/>
              </w:rPr>
              <w:t>Kilograms of CO</w:t>
            </w:r>
            <w:r w:rsidRPr="00100665">
              <w:rPr>
                <w:color w:val="000000" w:themeColor="text1"/>
                <w:vertAlign w:val="subscript"/>
              </w:rPr>
              <w:t>2-</w:t>
            </w:r>
            <w:r w:rsidRPr="00100665">
              <w:rPr>
                <w:color w:val="000000" w:themeColor="text1"/>
              </w:rPr>
              <w:t xml:space="preserve">e </w:t>
            </w:r>
          </w:p>
        </w:tc>
        <w:tc>
          <w:tcPr>
            <w:tcW w:w="1018" w:type="dxa"/>
            <w:shd w:val="clear" w:color="000000" w:fill="000000"/>
            <w:vAlign w:val="center"/>
            <w:hideMark/>
          </w:tcPr>
          <w:p w14:paraId="4E8ED1F8" w14:textId="77777777" w:rsidR="00535DF2" w:rsidRPr="00100665" w:rsidRDefault="00535DF2" w:rsidP="00F51716">
            <w:pPr>
              <w:pStyle w:val="tableright"/>
              <w:rPr>
                <w:color w:val="000000" w:themeColor="text1"/>
              </w:rPr>
            </w:pPr>
            <w:r w:rsidRPr="00100665">
              <w:rPr>
                <w:color w:val="000000" w:themeColor="text1"/>
              </w:rPr>
              <w:t> </w:t>
            </w:r>
          </w:p>
        </w:tc>
        <w:tc>
          <w:tcPr>
            <w:tcW w:w="1018" w:type="dxa"/>
            <w:shd w:val="clear" w:color="000000" w:fill="000000"/>
            <w:vAlign w:val="center"/>
            <w:hideMark/>
          </w:tcPr>
          <w:p w14:paraId="581A010B" w14:textId="77777777" w:rsidR="00535DF2" w:rsidRPr="00100665" w:rsidRDefault="00535DF2" w:rsidP="00F51716">
            <w:pPr>
              <w:pStyle w:val="tableright"/>
              <w:rPr>
                <w:color w:val="000000" w:themeColor="text1"/>
              </w:rPr>
            </w:pPr>
            <w:r w:rsidRPr="00100665">
              <w:rPr>
                <w:color w:val="000000" w:themeColor="text1"/>
              </w:rPr>
              <w:t> </w:t>
            </w:r>
          </w:p>
        </w:tc>
        <w:tc>
          <w:tcPr>
            <w:tcW w:w="1018" w:type="dxa"/>
            <w:shd w:val="clear" w:color="000000" w:fill="000000"/>
            <w:vAlign w:val="center"/>
            <w:hideMark/>
          </w:tcPr>
          <w:p w14:paraId="78A6D6B0" w14:textId="77777777" w:rsidR="00535DF2" w:rsidRPr="00100665" w:rsidRDefault="00535DF2" w:rsidP="00F51716">
            <w:pPr>
              <w:pStyle w:val="tableright"/>
              <w:rPr>
                <w:color w:val="000000" w:themeColor="text1"/>
              </w:rPr>
            </w:pPr>
            <w:r w:rsidRPr="00100665">
              <w:rPr>
                <w:color w:val="000000" w:themeColor="text1"/>
              </w:rPr>
              <w:t> </w:t>
            </w:r>
          </w:p>
        </w:tc>
        <w:tc>
          <w:tcPr>
            <w:tcW w:w="1018" w:type="dxa"/>
            <w:shd w:val="clear" w:color="000000" w:fill="000000"/>
            <w:vAlign w:val="center"/>
            <w:hideMark/>
          </w:tcPr>
          <w:p w14:paraId="33871A05" w14:textId="77777777" w:rsidR="00535DF2" w:rsidRPr="00100665" w:rsidRDefault="00535DF2" w:rsidP="00F51716">
            <w:pPr>
              <w:pStyle w:val="tableright"/>
              <w:rPr>
                <w:color w:val="000000" w:themeColor="text1"/>
              </w:rPr>
            </w:pPr>
            <w:r w:rsidRPr="00100665">
              <w:rPr>
                <w:color w:val="000000" w:themeColor="text1"/>
              </w:rPr>
              <w:t> </w:t>
            </w:r>
          </w:p>
        </w:tc>
        <w:tc>
          <w:tcPr>
            <w:tcW w:w="1018" w:type="dxa"/>
            <w:shd w:val="clear" w:color="000000" w:fill="000000"/>
            <w:vAlign w:val="center"/>
            <w:hideMark/>
          </w:tcPr>
          <w:p w14:paraId="60FE03DC" w14:textId="77777777" w:rsidR="00535DF2" w:rsidRPr="00100665" w:rsidRDefault="00535DF2" w:rsidP="00F51716">
            <w:pPr>
              <w:pStyle w:val="tableright"/>
              <w:rPr>
                <w:color w:val="000000" w:themeColor="text1"/>
              </w:rPr>
            </w:pPr>
            <w:r w:rsidRPr="00100665">
              <w:rPr>
                <w:color w:val="000000" w:themeColor="text1"/>
              </w:rPr>
              <w:t> </w:t>
            </w:r>
          </w:p>
        </w:tc>
      </w:tr>
      <w:tr w:rsidR="00535DF2" w:rsidRPr="00535DF2" w14:paraId="7AC05D1A" w14:textId="77777777" w:rsidTr="003F15CC">
        <w:trPr>
          <w:trHeight w:val="223"/>
        </w:trPr>
        <w:tc>
          <w:tcPr>
            <w:tcW w:w="1651" w:type="dxa"/>
            <w:vMerge/>
            <w:vAlign w:val="center"/>
            <w:hideMark/>
          </w:tcPr>
          <w:p w14:paraId="39A3B727" w14:textId="77777777" w:rsidR="00535DF2" w:rsidRPr="00535DF2" w:rsidRDefault="00535DF2" w:rsidP="00F51716"/>
        </w:tc>
        <w:tc>
          <w:tcPr>
            <w:tcW w:w="1746" w:type="dxa"/>
            <w:shd w:val="clear" w:color="000000" w:fill="000000"/>
            <w:vAlign w:val="center"/>
            <w:hideMark/>
          </w:tcPr>
          <w:p w14:paraId="58B620CB" w14:textId="77777777" w:rsidR="00535DF2" w:rsidRPr="00100665" w:rsidRDefault="00535DF2" w:rsidP="00F51716">
            <w:pPr>
              <w:pStyle w:val="Tabletext0"/>
              <w:rPr>
                <w:color w:val="000000" w:themeColor="text1"/>
              </w:rPr>
            </w:pPr>
            <w:r w:rsidRPr="00100665">
              <w:rPr>
                <w:color w:val="000000" w:themeColor="text1"/>
              </w:rPr>
              <w:t>Total GHG Emissions per FTE</w:t>
            </w:r>
          </w:p>
        </w:tc>
        <w:tc>
          <w:tcPr>
            <w:tcW w:w="1239" w:type="dxa"/>
            <w:shd w:val="clear" w:color="000000" w:fill="000000"/>
            <w:vAlign w:val="center"/>
            <w:hideMark/>
          </w:tcPr>
          <w:p w14:paraId="5E14EC7A" w14:textId="77777777" w:rsidR="00535DF2" w:rsidRPr="00100665" w:rsidRDefault="00535DF2" w:rsidP="00F51716">
            <w:pPr>
              <w:pStyle w:val="Tabletext0"/>
              <w:rPr>
                <w:color w:val="000000" w:themeColor="text1"/>
              </w:rPr>
            </w:pPr>
            <w:r w:rsidRPr="00100665">
              <w:rPr>
                <w:color w:val="000000" w:themeColor="text1"/>
              </w:rPr>
              <w:t>Kilograms of CO</w:t>
            </w:r>
            <w:r w:rsidRPr="00100665">
              <w:rPr>
                <w:color w:val="000000" w:themeColor="text1"/>
                <w:vertAlign w:val="subscript"/>
              </w:rPr>
              <w:t>2-</w:t>
            </w:r>
            <w:r w:rsidRPr="00100665">
              <w:rPr>
                <w:color w:val="000000" w:themeColor="text1"/>
              </w:rPr>
              <w:t xml:space="preserve">e </w:t>
            </w:r>
          </w:p>
        </w:tc>
        <w:tc>
          <w:tcPr>
            <w:tcW w:w="1018" w:type="dxa"/>
            <w:shd w:val="clear" w:color="000000" w:fill="000000"/>
            <w:vAlign w:val="center"/>
            <w:hideMark/>
          </w:tcPr>
          <w:p w14:paraId="7201BA2E" w14:textId="77777777" w:rsidR="00535DF2" w:rsidRPr="00100665" w:rsidRDefault="00535DF2" w:rsidP="00F51716">
            <w:pPr>
              <w:pStyle w:val="tableright"/>
              <w:rPr>
                <w:color w:val="000000" w:themeColor="text1"/>
              </w:rPr>
            </w:pPr>
            <w:r w:rsidRPr="00100665">
              <w:rPr>
                <w:color w:val="000000" w:themeColor="text1"/>
              </w:rPr>
              <w:t>4327</w:t>
            </w:r>
          </w:p>
        </w:tc>
        <w:tc>
          <w:tcPr>
            <w:tcW w:w="1018" w:type="dxa"/>
            <w:shd w:val="clear" w:color="000000" w:fill="000000"/>
            <w:vAlign w:val="center"/>
            <w:hideMark/>
          </w:tcPr>
          <w:p w14:paraId="47507E1B" w14:textId="77777777" w:rsidR="00535DF2" w:rsidRPr="00100665" w:rsidRDefault="00535DF2" w:rsidP="00F51716">
            <w:pPr>
              <w:pStyle w:val="tableright"/>
              <w:rPr>
                <w:color w:val="000000" w:themeColor="text1"/>
              </w:rPr>
            </w:pPr>
            <w:r w:rsidRPr="00100665">
              <w:rPr>
                <w:color w:val="000000" w:themeColor="text1"/>
              </w:rPr>
              <w:t>3744</w:t>
            </w:r>
          </w:p>
        </w:tc>
        <w:tc>
          <w:tcPr>
            <w:tcW w:w="1018" w:type="dxa"/>
            <w:shd w:val="clear" w:color="000000" w:fill="000000"/>
            <w:vAlign w:val="center"/>
            <w:hideMark/>
          </w:tcPr>
          <w:p w14:paraId="7602B456" w14:textId="77777777" w:rsidR="00535DF2" w:rsidRPr="00100665" w:rsidRDefault="00535DF2" w:rsidP="00F51716">
            <w:pPr>
              <w:pStyle w:val="tableright"/>
              <w:rPr>
                <w:color w:val="000000" w:themeColor="text1"/>
              </w:rPr>
            </w:pPr>
            <w:r w:rsidRPr="00100665">
              <w:rPr>
                <w:color w:val="000000" w:themeColor="text1"/>
              </w:rPr>
              <w:t>3784</w:t>
            </w:r>
          </w:p>
        </w:tc>
        <w:tc>
          <w:tcPr>
            <w:tcW w:w="1018" w:type="dxa"/>
            <w:shd w:val="clear" w:color="000000" w:fill="000000"/>
            <w:vAlign w:val="center"/>
            <w:hideMark/>
          </w:tcPr>
          <w:p w14:paraId="60CD41F9" w14:textId="5BD6D2AB" w:rsidR="00535DF2" w:rsidRPr="00100665" w:rsidRDefault="00CB502B" w:rsidP="00F51716">
            <w:pPr>
              <w:pStyle w:val="tableright"/>
              <w:rPr>
                <w:rFonts w:eastAsia="Times New Roman"/>
                <w:color w:val="000000" w:themeColor="text1"/>
              </w:rPr>
            </w:pPr>
            <w:r w:rsidRPr="00100665">
              <w:rPr>
                <w:color w:val="000000" w:themeColor="text1"/>
              </w:rPr>
              <w:t>4214</w:t>
            </w:r>
          </w:p>
        </w:tc>
        <w:tc>
          <w:tcPr>
            <w:tcW w:w="1018" w:type="dxa"/>
            <w:shd w:val="clear" w:color="000000" w:fill="000000"/>
            <w:vAlign w:val="center"/>
            <w:hideMark/>
          </w:tcPr>
          <w:p w14:paraId="3D68DBAD" w14:textId="5B5CD438" w:rsidR="00535DF2" w:rsidRPr="00100665" w:rsidRDefault="00CB502B" w:rsidP="00F51716">
            <w:pPr>
              <w:pStyle w:val="tableright"/>
              <w:rPr>
                <w:rFonts w:eastAsia="Times New Roman"/>
                <w:color w:val="000000" w:themeColor="text1"/>
              </w:rPr>
            </w:pPr>
            <w:r w:rsidRPr="00100665">
              <w:rPr>
                <w:color w:val="000000" w:themeColor="text1"/>
              </w:rPr>
              <w:t>2468</w:t>
            </w:r>
          </w:p>
        </w:tc>
      </w:tr>
    </w:tbl>
    <w:p w14:paraId="5B02DE13" w14:textId="17C6DEC6" w:rsidR="00CB502B" w:rsidRDefault="00AC2A84" w:rsidP="00F51716">
      <w:pPr>
        <w:pStyle w:val="Tablenote"/>
      </w:pPr>
      <w:r w:rsidRPr="00AF6B06">
        <w:t>Notes</w:t>
      </w:r>
      <w:r w:rsidR="00CB502B">
        <w:t>:</w:t>
      </w:r>
    </w:p>
    <w:p w14:paraId="7FB20DF7" w14:textId="35CD6AE0" w:rsidR="00CB502B" w:rsidRPr="00CB502B" w:rsidRDefault="006A39E2" w:rsidP="00F51716">
      <w:pPr>
        <w:pStyle w:val="Tablenote"/>
      </w:pPr>
      <w:bookmarkStart w:id="175" w:name="_Hlk57368845"/>
      <w:r>
        <w:t xml:space="preserve">[1] </w:t>
      </w:r>
      <w:r w:rsidR="00CB502B" w:rsidRPr="00CB502B">
        <w:t>During FY 2019</w:t>
      </w:r>
      <w:r w:rsidR="00105AEC">
        <w:t>–</w:t>
      </w:r>
      <w:r w:rsidR="00CB502B" w:rsidRPr="00CB502B">
        <w:t>20, SV had an average of 317 clients / guest visitors per month which represents an overall decrease of 31</w:t>
      </w:r>
      <w:r w:rsidR="00910026">
        <w:t xml:space="preserve"> per cent</w:t>
      </w:r>
      <w:r w:rsidR="00CB502B" w:rsidRPr="00CB502B">
        <w:t xml:space="preserve"> from FY</w:t>
      </w:r>
      <w:r w:rsidR="00910026">
        <w:t xml:space="preserve"> </w:t>
      </w:r>
      <w:r w:rsidR="00CB502B" w:rsidRPr="00CB502B">
        <w:t>2018</w:t>
      </w:r>
      <w:r w:rsidR="00105AEC">
        <w:t>–</w:t>
      </w:r>
      <w:r w:rsidR="00CB502B" w:rsidRPr="00CB502B">
        <w:t>19. Office</w:t>
      </w:r>
      <w:r w:rsidR="00910026">
        <w:t>-</w:t>
      </w:r>
      <w:r w:rsidR="00CB502B" w:rsidRPr="00CB502B">
        <w:t>based client meetings ceased in March 2020 as staff worked from home.</w:t>
      </w:r>
      <w:r w:rsidR="00CB502B" w:rsidRPr="00CB502B">
        <w:tab/>
      </w:r>
      <w:r w:rsidR="00CB502B" w:rsidRPr="00CB502B">
        <w:tab/>
      </w:r>
      <w:r w:rsidR="00CB502B" w:rsidRPr="00CB502B">
        <w:tab/>
      </w:r>
    </w:p>
    <w:p w14:paraId="6CCEBFED" w14:textId="12560927" w:rsidR="00CB502B" w:rsidRPr="00CB502B" w:rsidRDefault="006A39E2" w:rsidP="00F51716">
      <w:pPr>
        <w:pStyle w:val="Tablenote"/>
      </w:pPr>
      <w:r>
        <w:t xml:space="preserve">[2] </w:t>
      </w:r>
      <w:r w:rsidR="00CB502B" w:rsidRPr="00CB502B">
        <w:t>THC = Average Total Head Count for FY 2019</w:t>
      </w:r>
      <w:r w:rsidR="00105AEC">
        <w:t>–</w:t>
      </w:r>
      <w:r w:rsidR="00CB502B" w:rsidRPr="00CB502B">
        <w:t xml:space="preserve">20 which includes contractors employed at </w:t>
      </w:r>
      <w:r w:rsidR="00A739D8">
        <w:t>SV</w:t>
      </w:r>
      <w:r w:rsidR="00CB502B" w:rsidRPr="00CB502B">
        <w:t>. Our contractors work onsite, using many of the same resources as our employees. Temporary agency employees are not included in THC.</w:t>
      </w:r>
      <w:r w:rsidR="00CB502B" w:rsidRPr="00CB502B">
        <w:tab/>
      </w:r>
    </w:p>
    <w:p w14:paraId="52A5E966" w14:textId="3CABA9FA" w:rsidR="00CB502B" w:rsidRPr="00CB502B" w:rsidRDefault="006A39E2" w:rsidP="00F51716">
      <w:pPr>
        <w:pStyle w:val="Tablenote"/>
      </w:pPr>
      <w:r>
        <w:t xml:space="preserve">[3] </w:t>
      </w:r>
      <w:r w:rsidR="00CB502B" w:rsidRPr="00CB502B">
        <w:t xml:space="preserve">FTE = Full </w:t>
      </w:r>
      <w:r w:rsidR="000729FA">
        <w:t>t</w:t>
      </w:r>
      <w:r w:rsidR="00CB502B" w:rsidRPr="00CB502B">
        <w:t xml:space="preserve">ime </w:t>
      </w:r>
      <w:r w:rsidR="000729FA">
        <w:t>e</w:t>
      </w:r>
      <w:r w:rsidR="00CB502B" w:rsidRPr="00CB502B">
        <w:t>quivalent staff averaged for the FY 2019</w:t>
      </w:r>
      <w:r w:rsidR="00105AEC">
        <w:t>–</w:t>
      </w:r>
      <w:r w:rsidR="00CB502B" w:rsidRPr="00CB502B">
        <w:t>20. Temporary agency employees are not included in FTE.</w:t>
      </w:r>
      <w:r w:rsidR="00CB502B" w:rsidRPr="00CB502B">
        <w:tab/>
      </w:r>
      <w:r w:rsidR="00CB502B" w:rsidRPr="00CB502B">
        <w:tab/>
      </w:r>
    </w:p>
    <w:p w14:paraId="41F7C319" w14:textId="09A9E39B" w:rsidR="00CB502B" w:rsidRPr="00CB502B" w:rsidRDefault="006A39E2" w:rsidP="00F51716">
      <w:pPr>
        <w:pStyle w:val="Tablenote"/>
      </w:pPr>
      <w:r>
        <w:t xml:space="preserve">[4] </w:t>
      </w:r>
      <w:r w:rsidR="00CB502B" w:rsidRPr="00CB502B">
        <w:t>Base building apportioned gas consumption is calculated from net lettable area. With SV occupying 1 floor our apportioned value is 2.9</w:t>
      </w:r>
      <w:r w:rsidR="00910026">
        <w:t xml:space="preserve"> per cent</w:t>
      </w:r>
      <w:r w:rsidR="00CB502B" w:rsidRPr="00CB502B">
        <w:t>.</w:t>
      </w:r>
      <w:r w:rsidR="00CB502B" w:rsidRPr="00CB502B">
        <w:tab/>
      </w:r>
      <w:r w:rsidR="00CB502B" w:rsidRPr="00CB502B">
        <w:tab/>
      </w:r>
      <w:r w:rsidR="00CB502B" w:rsidRPr="00CB502B">
        <w:tab/>
      </w:r>
    </w:p>
    <w:p w14:paraId="59047624" w14:textId="29BCCABC" w:rsidR="00CB502B" w:rsidRPr="00CB502B" w:rsidRDefault="006A39E2" w:rsidP="00F51716">
      <w:pPr>
        <w:pStyle w:val="Tablenote"/>
      </w:pPr>
      <w:r>
        <w:t xml:space="preserve">[5] </w:t>
      </w:r>
      <w:r w:rsidR="00CB502B" w:rsidRPr="00CB502B">
        <w:t xml:space="preserve">One ream is equivalent to 500 sheets of A4 office paper. All paper figures rounded to the nearest tenth. </w:t>
      </w:r>
      <w:r w:rsidR="00CB502B" w:rsidRPr="00CB502B">
        <w:tab/>
      </w:r>
      <w:r w:rsidR="00CB502B" w:rsidRPr="00CB502B">
        <w:tab/>
      </w:r>
      <w:r w:rsidR="00CB502B" w:rsidRPr="00CB502B">
        <w:tab/>
      </w:r>
    </w:p>
    <w:p w14:paraId="1B3517AD" w14:textId="2E31B881" w:rsidR="00CB502B" w:rsidRPr="00CB502B" w:rsidRDefault="006A39E2" w:rsidP="00F51716">
      <w:pPr>
        <w:pStyle w:val="Tablenote"/>
      </w:pPr>
      <w:r>
        <w:t xml:space="preserve">[6] </w:t>
      </w:r>
      <w:r w:rsidR="00CB502B" w:rsidRPr="00CB502B">
        <w:t xml:space="preserve">Waste figures from one-week-a-month measurements taken throughout </w:t>
      </w:r>
      <w:r w:rsidR="00801DD3">
        <w:t>2017–18</w:t>
      </w:r>
      <w:r w:rsidR="00CB502B" w:rsidRPr="00CB502B">
        <w:t xml:space="preserve"> which is meant to be within ±10% accuracy.</w:t>
      </w:r>
      <w:r w:rsidR="00CB502B" w:rsidRPr="00CB502B">
        <w:tab/>
      </w:r>
      <w:r w:rsidR="00CB502B" w:rsidRPr="00CB502B">
        <w:tab/>
      </w:r>
      <w:r w:rsidR="00CB502B" w:rsidRPr="00CB502B">
        <w:tab/>
      </w:r>
    </w:p>
    <w:p w14:paraId="5ED9FE18" w14:textId="558D5AE5" w:rsidR="00CB502B" w:rsidRPr="00CB502B" w:rsidRDefault="006A39E2" w:rsidP="00F51716">
      <w:pPr>
        <w:pStyle w:val="Tablenote"/>
      </w:pPr>
      <w:r>
        <w:t xml:space="preserve">[7] </w:t>
      </w:r>
      <w:r w:rsidR="00A739D8">
        <w:t>SV</w:t>
      </w:r>
      <w:r w:rsidR="00CB502B" w:rsidRPr="00CB502B">
        <w:t xml:space="preserve"> has onsite water meters that measure potable water use within the tenancy. For the purpose of calculating GHG emissions from water, these figures are not used in water reporting because they exclude </w:t>
      </w:r>
      <w:r w:rsidR="00A739D8">
        <w:t>SV</w:t>
      </w:r>
      <w:r w:rsidR="00CB502B" w:rsidRPr="00CB502B">
        <w:t>'s apportioned share of base building water use.</w:t>
      </w:r>
      <w:r w:rsidR="00CB502B" w:rsidRPr="00CB502B">
        <w:tab/>
      </w:r>
    </w:p>
    <w:p w14:paraId="6BF5CC09" w14:textId="3DB19580" w:rsidR="00CB502B" w:rsidRPr="00CB502B" w:rsidRDefault="006A39E2" w:rsidP="00F51716">
      <w:pPr>
        <w:pStyle w:val="Tablenote"/>
      </w:pPr>
      <w:r>
        <w:t xml:space="preserve">[8] </w:t>
      </w:r>
      <w:r w:rsidR="00CB502B" w:rsidRPr="00CB502B">
        <w:t>Total water use figure calculated as an apportioned value (2.9</w:t>
      </w:r>
      <w:r w:rsidR="00910026">
        <w:t xml:space="preserve"> per cent</w:t>
      </w:r>
      <w:r w:rsidR="00CB502B" w:rsidRPr="00CB502B">
        <w:t xml:space="preserve">) based on </w:t>
      </w:r>
      <w:r w:rsidR="000615C9">
        <w:t>n</w:t>
      </w:r>
      <w:r w:rsidR="00CB502B" w:rsidRPr="00CB502B">
        <w:t xml:space="preserve">et </w:t>
      </w:r>
      <w:r w:rsidR="000615C9">
        <w:t>l</w:t>
      </w:r>
      <w:r w:rsidR="00CB502B" w:rsidRPr="00CB502B">
        <w:t xml:space="preserve">ettable </w:t>
      </w:r>
      <w:r w:rsidR="000615C9">
        <w:t>a</w:t>
      </w:r>
      <w:r w:rsidR="00CB502B" w:rsidRPr="00CB502B">
        <w:t xml:space="preserve">rea occupied by </w:t>
      </w:r>
      <w:r w:rsidR="00A739D8">
        <w:t>SV</w:t>
      </w:r>
      <w:r w:rsidR="00CB502B" w:rsidRPr="00CB502B">
        <w:t xml:space="preserve">. </w:t>
      </w:r>
      <w:r w:rsidR="00CB502B" w:rsidRPr="00CB502B">
        <w:tab/>
      </w:r>
      <w:r w:rsidR="00CB502B" w:rsidRPr="00CB502B">
        <w:tab/>
      </w:r>
      <w:r w:rsidR="00CB502B" w:rsidRPr="00CB502B">
        <w:tab/>
      </w:r>
      <w:r w:rsidR="00CB502B" w:rsidRPr="00CB502B">
        <w:tab/>
      </w:r>
      <w:r w:rsidR="00CB502B" w:rsidRPr="00CB502B">
        <w:tab/>
      </w:r>
      <w:r w:rsidR="00CB502B" w:rsidRPr="00CB502B">
        <w:tab/>
      </w:r>
      <w:r w:rsidR="00CB502B" w:rsidRPr="00CB502B">
        <w:tab/>
      </w:r>
      <w:r w:rsidR="00CB502B" w:rsidRPr="00CB502B">
        <w:tab/>
      </w:r>
      <w:r w:rsidR="00CB502B" w:rsidRPr="00CB502B">
        <w:tab/>
      </w:r>
    </w:p>
    <w:p w14:paraId="4FA175FF" w14:textId="2641D3DA" w:rsidR="00CB502B" w:rsidRPr="00105AEC" w:rsidRDefault="006A39E2" w:rsidP="00F51716">
      <w:pPr>
        <w:pStyle w:val="Tablenote"/>
      </w:pPr>
      <w:r>
        <w:t xml:space="preserve">[9] </w:t>
      </w:r>
      <w:r w:rsidR="00CB502B" w:rsidRPr="00CB502B">
        <w:t>As of June 2014</w:t>
      </w:r>
      <w:r w:rsidR="00653AB9">
        <w:t>,</w:t>
      </w:r>
      <w:r w:rsidR="00CB502B" w:rsidRPr="00CB502B">
        <w:t xml:space="preserve"> vehicle fleet entirely made up of Hybrid Camrys which use unleaded </w:t>
      </w:r>
      <w:r w:rsidR="00CB502B" w:rsidRPr="00653AB9">
        <w:t>fuel</w:t>
      </w:r>
      <w:r w:rsidR="00653AB9" w:rsidRPr="00105AEC">
        <w:t>.</w:t>
      </w:r>
    </w:p>
    <w:p w14:paraId="5BDDD827" w14:textId="4CBD976E" w:rsidR="00653AB9" w:rsidRDefault="006A39E2" w:rsidP="00F51716">
      <w:pPr>
        <w:pStyle w:val="Tablenote"/>
      </w:pPr>
      <w:r>
        <w:t xml:space="preserve">[10] </w:t>
      </w:r>
      <w:r w:rsidR="00CB502B" w:rsidRPr="00105AEC">
        <w:t>Value incorporates staff driving personal vehicles in some instances where fleet vehicles not accessible.</w:t>
      </w:r>
      <w:r w:rsidR="00CB502B" w:rsidRPr="00105AEC">
        <w:tab/>
      </w:r>
      <w:r w:rsidR="00CB502B" w:rsidRPr="00105AEC">
        <w:tab/>
      </w:r>
    </w:p>
    <w:p w14:paraId="53C1B3E5" w14:textId="77777777" w:rsidR="006A39E2" w:rsidRDefault="006A39E2" w:rsidP="00F51716">
      <w:pPr>
        <w:pStyle w:val="Tablenote"/>
      </w:pPr>
      <w:r>
        <w:t xml:space="preserve">[11] </w:t>
      </w:r>
      <w:r w:rsidR="00CB502B" w:rsidRPr="00105AEC">
        <w:t>More sustainable modes of commuting include</w:t>
      </w:r>
      <w:r w:rsidR="00CB502B" w:rsidRPr="00653AB9">
        <w:t xml:space="preserve"> cycling, walking and working from home.</w:t>
      </w:r>
    </w:p>
    <w:p w14:paraId="7A79142A" w14:textId="07E98D10" w:rsidR="00CB502B" w:rsidRPr="00CB502B" w:rsidRDefault="006A39E2" w:rsidP="00F51716">
      <w:pPr>
        <w:pStyle w:val="Tablenote"/>
      </w:pPr>
      <w:r>
        <w:t xml:space="preserve">[12] </w:t>
      </w:r>
      <w:r w:rsidR="00CB502B" w:rsidRPr="00CB502B">
        <w:t>The treatment of GreenPower changed in FY 2010</w:t>
      </w:r>
      <w:r w:rsidR="00653AB9">
        <w:t>–</w:t>
      </w:r>
      <w:r w:rsidR="00CB502B" w:rsidRPr="00CB502B">
        <w:t xml:space="preserve">11, with GreenPower purchasing no longer considered abatement for </w:t>
      </w:r>
      <w:r w:rsidR="00791C84">
        <w:t>s</w:t>
      </w:r>
      <w:r w:rsidR="00CB502B" w:rsidRPr="00CB502B">
        <w:t>cope 3 emissions. While SV purchased 100</w:t>
      </w:r>
      <w:r w:rsidR="00910026">
        <w:t xml:space="preserve"> per cent</w:t>
      </w:r>
      <w:r w:rsidR="00CB502B" w:rsidRPr="00CB502B">
        <w:t xml:space="preserve"> GreenPower, remaining scope 3 associated emissions has be</w:t>
      </w:r>
      <w:r w:rsidR="00653AB9">
        <w:t>en</w:t>
      </w:r>
      <w:r w:rsidR="00CB502B" w:rsidRPr="00CB502B">
        <w:t xml:space="preserve"> offset through the purchase of an accredited carbon offset product. </w:t>
      </w:r>
      <w:r w:rsidR="00CB502B" w:rsidRPr="00CB502B">
        <w:tab/>
      </w:r>
      <w:r w:rsidR="00CB502B" w:rsidRPr="00CB502B">
        <w:tab/>
      </w:r>
      <w:r w:rsidR="00CB502B" w:rsidRPr="00CB502B">
        <w:tab/>
      </w:r>
      <w:r w:rsidR="00CB502B" w:rsidRPr="00CB502B">
        <w:tab/>
      </w:r>
      <w:r w:rsidR="00CB502B" w:rsidRPr="00CB502B">
        <w:tab/>
      </w:r>
    </w:p>
    <w:p w14:paraId="120777D8" w14:textId="2AA88FFF" w:rsidR="00CB502B" w:rsidRPr="00CB502B" w:rsidRDefault="006A39E2" w:rsidP="00F51716">
      <w:pPr>
        <w:pStyle w:val="Tablenote"/>
      </w:pPr>
      <w:r>
        <w:t xml:space="preserve">[13] </w:t>
      </w:r>
      <w:r w:rsidR="00CB502B" w:rsidRPr="00CB502B">
        <w:t>Greenhouse estimations for years prior to FY 2010</w:t>
      </w:r>
      <w:r w:rsidR="00910026">
        <w:t>–</w:t>
      </w:r>
      <w:r w:rsidR="00CB502B" w:rsidRPr="00CB502B">
        <w:t>11 have been adjusted based on updated formula. In this example the Radiative Forcing Index has been decreased from 5 in 2010</w:t>
      </w:r>
      <w:r w:rsidR="00910026">
        <w:t>–</w:t>
      </w:r>
      <w:r w:rsidR="00CB502B" w:rsidRPr="00CB502B">
        <w:t>11 to 1.9 for the RFI factor and 1.09 for Uplift Factor this year. Previous years have been updated using the same factors as in 2011</w:t>
      </w:r>
      <w:r w:rsidR="00910026">
        <w:t>–</w:t>
      </w:r>
      <w:r w:rsidR="00CB502B" w:rsidRPr="00CB502B">
        <w:t xml:space="preserve">12. </w:t>
      </w:r>
      <w:r w:rsidR="00CB502B" w:rsidRPr="00CB502B">
        <w:tab/>
      </w:r>
      <w:r w:rsidR="00CB502B" w:rsidRPr="00CB502B">
        <w:tab/>
      </w:r>
      <w:r w:rsidR="00CB502B" w:rsidRPr="00CB502B">
        <w:tab/>
      </w:r>
      <w:r w:rsidR="00CB502B" w:rsidRPr="00CB502B">
        <w:tab/>
      </w:r>
    </w:p>
    <w:p w14:paraId="438D4467" w14:textId="605F4C26" w:rsidR="00CB502B" w:rsidRPr="00CB502B" w:rsidRDefault="006A39E2" w:rsidP="00F51716">
      <w:pPr>
        <w:pStyle w:val="Tablenote"/>
      </w:pPr>
      <w:r>
        <w:t xml:space="preserve">[14] </w:t>
      </w:r>
      <w:r w:rsidR="00CB502B" w:rsidRPr="00CB502B">
        <w:t xml:space="preserve">In environmental management system language ‘greenhouse gas emissions’ is not an Environmental Aspect but rather an Environmental Impact. For convenience it has been left in the Environmental Aspect column </w:t>
      </w:r>
      <w:r w:rsidR="00910026">
        <w:t xml:space="preserve">for </w:t>
      </w:r>
      <w:r w:rsidR="00CB502B" w:rsidRPr="00CB502B">
        <w:t>easier illustration.</w:t>
      </w:r>
      <w:r w:rsidR="00CB502B" w:rsidRPr="00CB502B">
        <w:tab/>
      </w:r>
      <w:r w:rsidR="00CB502B" w:rsidRPr="00CB502B">
        <w:tab/>
      </w:r>
      <w:r w:rsidR="00CB502B" w:rsidRPr="00CB502B">
        <w:tab/>
      </w:r>
      <w:r w:rsidR="00CB502B" w:rsidRPr="00CB502B">
        <w:tab/>
      </w:r>
    </w:p>
    <w:p w14:paraId="1D860055" w14:textId="6DC804CA" w:rsidR="00CB502B" w:rsidRPr="00CB502B" w:rsidRDefault="006A39E2" w:rsidP="00F51716">
      <w:pPr>
        <w:pStyle w:val="Tablenote"/>
      </w:pPr>
      <w:r>
        <w:t xml:space="preserve">[15] </w:t>
      </w:r>
      <w:r w:rsidR="00CB502B" w:rsidRPr="00CB502B">
        <w:t xml:space="preserve">Greenhouse </w:t>
      </w:r>
      <w:r w:rsidR="00910026">
        <w:t>g</w:t>
      </w:r>
      <w:r w:rsidR="00CB502B" w:rsidRPr="00CB502B">
        <w:t>as emission factors based on July 2018 National Greenhouse Accounts factors and EPA Victoria Greenhouse Gas Inventory Management Plan. Emissions from air travel are calculated using EPA Victoria Greenhouse Inventory management Plan, which references D</w:t>
      </w:r>
      <w:r w:rsidR="00105AEC" w:rsidRPr="006A39E2">
        <w:rPr>
          <w:rStyle w:val="TablenoteChar"/>
        </w:rPr>
        <w:t>efra</w:t>
      </w:r>
      <w:r w:rsidR="00CB502B" w:rsidRPr="00CB502B">
        <w:t xml:space="preserve"> methodology. Other factors are calculated using ATO, ABS, RACV, and V-Line data</w:t>
      </w:r>
      <w:r w:rsidR="00CB502B" w:rsidRPr="00CB502B">
        <w:tab/>
      </w:r>
    </w:p>
    <w:p w14:paraId="38C77959" w14:textId="21F5A6AD" w:rsidR="00CB502B" w:rsidRPr="00CB502B" w:rsidRDefault="006A39E2" w:rsidP="00F51716">
      <w:pPr>
        <w:pStyle w:val="Tablenote"/>
      </w:pPr>
      <w:r>
        <w:t xml:space="preserve">[16] </w:t>
      </w:r>
      <w:r w:rsidR="00CB502B" w:rsidRPr="00CB502B">
        <w:t>Emissions from publications are calculated using a methodology developed by The Gaia Partnership using the CO2</w:t>
      </w:r>
      <w:r w:rsidR="004D6933">
        <w:t xml:space="preserve"> </w:t>
      </w:r>
      <w:r w:rsidR="00CB502B" w:rsidRPr="00CB502B">
        <w:t>counter technology.</w:t>
      </w:r>
      <w:r w:rsidR="00CB502B" w:rsidRPr="00CB502B">
        <w:tab/>
      </w:r>
      <w:r w:rsidR="00CB502B" w:rsidRPr="00CB502B">
        <w:tab/>
      </w:r>
      <w:r w:rsidR="00CB502B" w:rsidRPr="00CB502B">
        <w:tab/>
      </w:r>
      <w:r w:rsidR="00CB502B" w:rsidRPr="00CB502B">
        <w:tab/>
      </w:r>
      <w:r w:rsidR="00CB502B" w:rsidRPr="00CB502B">
        <w:tab/>
      </w:r>
    </w:p>
    <w:p w14:paraId="2AB2F785" w14:textId="0D9EC0FF" w:rsidR="006A39E2" w:rsidRDefault="006A39E2" w:rsidP="00F51716">
      <w:pPr>
        <w:pStyle w:val="Tablenote"/>
      </w:pPr>
      <w:r>
        <w:t xml:space="preserve">[17] </w:t>
      </w:r>
      <w:r w:rsidR="00CB502B" w:rsidRPr="00CB502B">
        <w:t>GHG emissions calculations for water and A/C refrigerant were updated in FY 2013</w:t>
      </w:r>
      <w:r w:rsidR="004D6933">
        <w:t>–</w:t>
      </w:r>
      <w:r w:rsidR="00CB502B" w:rsidRPr="00CB502B">
        <w:t>14. Water emissions changed due to a change in the emissions factor from 2.34</w:t>
      </w:r>
      <w:r w:rsidR="00105AEC">
        <w:t> kg</w:t>
      </w:r>
      <w:r w:rsidR="00CB502B" w:rsidRPr="00CB502B">
        <w:t>/kL to 1.36</w:t>
      </w:r>
      <w:r w:rsidR="00105AEC">
        <w:t> kg</w:t>
      </w:r>
      <w:r w:rsidR="00CB502B" w:rsidRPr="00CB502B">
        <w:t>/kL</w:t>
      </w:r>
      <w:r w:rsidR="00CB502B" w:rsidRPr="00CB502B">
        <w:tab/>
      </w:r>
    </w:p>
    <w:p w14:paraId="35E8A849" w14:textId="77777777" w:rsidR="006A39E2" w:rsidRDefault="006A39E2" w:rsidP="00F51716">
      <w:pPr>
        <w:pStyle w:val="Tablenote"/>
      </w:pPr>
      <w:r>
        <w:t xml:space="preserve">[18] </w:t>
      </w:r>
      <w:r w:rsidR="00CB502B" w:rsidRPr="00CB502B">
        <w:t>GHG emissions from staff commute to and from work was incorporated beginning in FY 2012</w:t>
      </w:r>
      <w:r w:rsidR="00653AB9">
        <w:t>–</w:t>
      </w:r>
      <w:r w:rsidR="00CB502B" w:rsidRPr="00CB502B">
        <w:t>13</w:t>
      </w:r>
    </w:p>
    <w:p w14:paraId="6C5600B7" w14:textId="6C97E18C" w:rsidR="004D6933" w:rsidRPr="00CB502B" w:rsidRDefault="006A39E2" w:rsidP="00F51716">
      <w:pPr>
        <w:pStyle w:val="Tablenote"/>
      </w:pPr>
      <w:r>
        <w:t xml:space="preserve">[19] </w:t>
      </w:r>
      <w:r w:rsidR="00CB502B" w:rsidRPr="00CB502B">
        <w:t>The operational aspects included in the scope of activities for purchasing carbon offsets are: apportioned base building electricity and gas, office tenant light and power, kitchen and vehicle refrigerants, waste to landfill, air travel, public transport, taxi travel, fleet vehicles for work</w:t>
      </w:r>
      <w:r w:rsidR="004D6933">
        <w:t>-</w:t>
      </w:r>
      <w:r w:rsidR="00CB502B" w:rsidRPr="00CB502B">
        <w:t>based activities, paper and publications consumption, water consumption</w:t>
      </w:r>
      <w:r w:rsidR="00801DD3">
        <w:t xml:space="preserve"> and</w:t>
      </w:r>
      <w:r w:rsidR="00CB502B" w:rsidRPr="00CB502B">
        <w:t xml:space="preserve"> staff commuting. Office, light and power are included even though GreenPower is purchased to illustrate the organisation's total GHG emissions associated with the scope of operational activitie</w:t>
      </w:r>
      <w:r w:rsidR="00DE18FF">
        <w:t>s</w:t>
      </w:r>
      <w:r w:rsidR="00CB502B" w:rsidRPr="00CB502B">
        <w:t>. A 10</w:t>
      </w:r>
      <w:r w:rsidR="004D6933">
        <w:t xml:space="preserve"> per cent</w:t>
      </w:r>
      <w:r w:rsidR="00CB502B" w:rsidRPr="00CB502B">
        <w:t xml:space="preserve"> buffer in the purchase of carbon offsets has been incorporated to cover any inaccuracies in calculating the components included within SV</w:t>
      </w:r>
      <w:r w:rsidR="004D6933">
        <w:t>’</w:t>
      </w:r>
      <w:r w:rsidR="00CB502B" w:rsidRPr="00CB502B">
        <w:t>s Greenhouse inventory boundary.</w:t>
      </w:r>
    </w:p>
    <w:p w14:paraId="15A09A46" w14:textId="19B4B9F0" w:rsidR="00CB502B" w:rsidRPr="00CB502B" w:rsidRDefault="006A39E2" w:rsidP="00F51716">
      <w:pPr>
        <w:pStyle w:val="Tablenote"/>
      </w:pPr>
      <w:r>
        <w:t xml:space="preserve">[20] </w:t>
      </w:r>
      <w:r w:rsidR="00CB502B" w:rsidRPr="00CB502B">
        <w:t>Total vehicle travel distance was incorrectly reported in 2014</w:t>
      </w:r>
      <w:r w:rsidR="004D6933">
        <w:t>–</w:t>
      </w:r>
      <w:r w:rsidR="00CB502B" w:rsidRPr="00CB502B">
        <w:t>15. The correct value is 234,313</w:t>
      </w:r>
      <w:r w:rsidR="00105AEC">
        <w:t> km</w:t>
      </w:r>
      <w:r w:rsidR="00CB502B" w:rsidRPr="00CB502B">
        <w:t>. This does not impact the GHG emissions reported.</w:t>
      </w:r>
      <w:r w:rsidR="00CB502B" w:rsidRPr="00CB502B">
        <w:tab/>
      </w:r>
      <w:r w:rsidR="00CB502B" w:rsidRPr="00CB502B">
        <w:tab/>
      </w:r>
      <w:r w:rsidR="00CB502B" w:rsidRPr="00CB502B">
        <w:tab/>
      </w:r>
      <w:r w:rsidR="00CB502B" w:rsidRPr="00CB502B">
        <w:tab/>
      </w:r>
    </w:p>
    <w:p w14:paraId="4D4B2A06" w14:textId="43950F52" w:rsidR="00CB502B" w:rsidRPr="00CB502B" w:rsidRDefault="006A39E2" w:rsidP="00F51716">
      <w:pPr>
        <w:pStyle w:val="Tablenote"/>
      </w:pPr>
      <w:r>
        <w:t xml:space="preserve">[21] </w:t>
      </w:r>
      <w:r w:rsidR="00CB502B" w:rsidRPr="00CB502B">
        <w:t xml:space="preserve">The equation for </w:t>
      </w:r>
      <w:r w:rsidR="00791C84">
        <w:t>t</w:t>
      </w:r>
      <w:r w:rsidR="00CB502B" w:rsidRPr="00CB502B">
        <w:t xml:space="preserve">otal GHG emissions associated with scope of operational activities for </w:t>
      </w:r>
      <w:r w:rsidR="004D6933">
        <w:t>20</w:t>
      </w:r>
      <w:r w:rsidR="00CB502B" w:rsidRPr="00CB502B">
        <w:t>14</w:t>
      </w:r>
      <w:r w:rsidR="004D6933">
        <w:t>–</w:t>
      </w:r>
      <w:r w:rsidR="00CB502B" w:rsidRPr="00CB502B">
        <w:t xml:space="preserve">15 did not include the </w:t>
      </w:r>
      <w:r w:rsidR="004D6933">
        <w:t>t</w:t>
      </w:r>
      <w:r w:rsidR="00CB502B" w:rsidRPr="00CB502B">
        <w:t xml:space="preserve">otal GHG emissions from staff commute in </w:t>
      </w:r>
      <w:r w:rsidR="004D6933">
        <w:t>20</w:t>
      </w:r>
      <w:r w:rsidR="00CB502B" w:rsidRPr="00CB502B">
        <w:t>14</w:t>
      </w:r>
      <w:r w:rsidR="004D6933">
        <w:t>–</w:t>
      </w:r>
      <w:r w:rsidR="00CB502B" w:rsidRPr="00CB502B">
        <w:t xml:space="preserve">15 Annual Report. This has been corrected in </w:t>
      </w:r>
      <w:r w:rsidR="004D6933">
        <w:t>20</w:t>
      </w:r>
      <w:r w:rsidR="00CB502B" w:rsidRPr="00CB502B">
        <w:t>15</w:t>
      </w:r>
      <w:r w:rsidR="004D6933">
        <w:t>–</w:t>
      </w:r>
      <w:r w:rsidR="00CB502B" w:rsidRPr="00CB502B">
        <w:t>16.</w:t>
      </w:r>
      <w:r w:rsidR="00CB502B" w:rsidRPr="00CB502B">
        <w:tab/>
      </w:r>
      <w:r w:rsidR="00CB502B" w:rsidRPr="00CB502B">
        <w:tab/>
      </w:r>
      <w:r w:rsidR="00CB502B" w:rsidRPr="00CB502B">
        <w:tab/>
      </w:r>
      <w:r w:rsidR="00CB502B" w:rsidRPr="00CB502B">
        <w:tab/>
      </w:r>
      <w:r w:rsidR="00CB502B" w:rsidRPr="00CB502B">
        <w:tab/>
      </w:r>
      <w:r w:rsidR="00CB502B" w:rsidRPr="00CB502B">
        <w:tab/>
      </w:r>
    </w:p>
    <w:p w14:paraId="1D2760C8" w14:textId="5D38E81C" w:rsidR="00105AEC" w:rsidRDefault="006A39E2" w:rsidP="00F51716">
      <w:pPr>
        <w:pStyle w:val="Tablenote"/>
      </w:pPr>
      <w:r>
        <w:t xml:space="preserve">[22] </w:t>
      </w:r>
      <w:r w:rsidR="00CB502B" w:rsidRPr="00CB502B">
        <w:t>For the apportioned calculations for 2016</w:t>
      </w:r>
      <w:r w:rsidR="00105AEC">
        <w:t>–</w:t>
      </w:r>
      <w:r w:rsidR="00CB502B" w:rsidRPr="00CB502B">
        <w:t>17</w:t>
      </w:r>
      <w:r w:rsidR="004D6933">
        <w:t>,</w:t>
      </w:r>
      <w:r w:rsidR="00CB502B" w:rsidRPr="00CB502B">
        <w:t xml:space="preserve"> electricity and water data was unavailable for quarter four. As such, a daily average was calculated and extrapolated based on the previous three</w:t>
      </w:r>
      <w:r w:rsidR="00105AEC">
        <w:t>-quarters</w:t>
      </w:r>
      <w:r w:rsidR="00CB502B" w:rsidRPr="00CB502B">
        <w:t xml:space="preserve"> of 2016</w:t>
      </w:r>
      <w:r w:rsidR="00105AEC">
        <w:t>–</w:t>
      </w:r>
      <w:r w:rsidR="00CB502B" w:rsidRPr="00CB502B">
        <w:t>17</w:t>
      </w:r>
      <w:r w:rsidR="00105AEC">
        <w:t>.</w:t>
      </w:r>
    </w:p>
    <w:p w14:paraId="7DD188A4" w14:textId="6B412DD4" w:rsidR="00CB502B" w:rsidRPr="00CB502B" w:rsidRDefault="006A39E2" w:rsidP="00F51716">
      <w:pPr>
        <w:pStyle w:val="Tablenote"/>
      </w:pPr>
      <w:r>
        <w:t xml:space="preserve">[23] </w:t>
      </w:r>
      <w:r w:rsidR="00CB502B" w:rsidRPr="00CB502B">
        <w:t>Total air travel associated with agency operations for 2016</w:t>
      </w:r>
      <w:r w:rsidR="00105AEC">
        <w:t>–</w:t>
      </w:r>
      <w:r w:rsidR="00CB502B" w:rsidRPr="00CB502B">
        <w:t>17 (cell N51) was incorrect due to inadvertent cell references. Cell N51 now reflects the correct value (165,832</w:t>
      </w:r>
      <w:r w:rsidR="00105AEC">
        <w:t> km</w:t>
      </w:r>
      <w:r w:rsidR="00CB502B" w:rsidRPr="00CB502B">
        <w:t>). The previously reported (incorrect) value was 43,665</w:t>
      </w:r>
      <w:r w:rsidR="00105AEC">
        <w:t> km</w:t>
      </w:r>
      <w:r w:rsidR="00CB502B" w:rsidRPr="00CB502B">
        <w:t>. The air travel GHG emissions for that year (which were correctly referenced) have not been affected.</w:t>
      </w:r>
    </w:p>
    <w:p w14:paraId="6A73ED64" w14:textId="6B2D720E" w:rsidR="00CB502B" w:rsidRPr="00CB502B" w:rsidRDefault="006A39E2" w:rsidP="00F51716">
      <w:pPr>
        <w:pStyle w:val="Tablenote"/>
      </w:pPr>
      <w:r>
        <w:t xml:space="preserve">[24] </w:t>
      </w:r>
      <w:r w:rsidR="00CB502B" w:rsidRPr="00CB502B">
        <w:t>The recycled water system has not been in operation since July 2018 and thus zero values have been entered for recycled water for FY</w:t>
      </w:r>
      <w:r w:rsidR="004D6933">
        <w:t xml:space="preserve"> </w:t>
      </w:r>
      <w:r w:rsidR="00105AEC">
        <w:t>20</w:t>
      </w:r>
      <w:r w:rsidR="00CB502B" w:rsidRPr="00CB502B">
        <w:t>18</w:t>
      </w:r>
      <w:r w:rsidR="00105AEC">
        <w:t>–</w:t>
      </w:r>
      <w:r w:rsidR="00CB502B" w:rsidRPr="00CB502B">
        <w:t>19</w:t>
      </w:r>
      <w:r w:rsidR="00CB502B" w:rsidRPr="00CB502B">
        <w:tab/>
      </w:r>
      <w:r w:rsidR="00CB502B" w:rsidRPr="00CB502B">
        <w:tab/>
      </w:r>
      <w:r w:rsidR="00CB502B" w:rsidRPr="00CB502B">
        <w:tab/>
      </w:r>
      <w:r w:rsidR="00CB502B" w:rsidRPr="00CB502B">
        <w:tab/>
      </w:r>
    </w:p>
    <w:p w14:paraId="1813735B" w14:textId="3672C0B8" w:rsidR="00535DF2" w:rsidRDefault="006A39E2" w:rsidP="00F51716">
      <w:pPr>
        <w:pStyle w:val="Tablenote"/>
      </w:pPr>
      <w:r>
        <w:t xml:space="preserve">[25] </w:t>
      </w:r>
      <w:r w:rsidR="00CB502B" w:rsidRPr="00CB502B">
        <w:t>Scope 3 emissions from apportioned energy use are captured in row 54. The reference to apportioned energy emissions from O-Footprint have therefore been removed from this sum to avoid double-counting.</w:t>
      </w:r>
      <w:r w:rsidR="00CB502B" w:rsidRPr="00CB502B">
        <w:tab/>
      </w:r>
      <w:bookmarkEnd w:id="175"/>
      <w:r w:rsidR="00CB502B" w:rsidRPr="00CB502B">
        <w:tab/>
      </w:r>
      <w:r w:rsidR="00CB502B" w:rsidRPr="00CB502B">
        <w:tab/>
      </w:r>
      <w:r w:rsidR="00CB502B" w:rsidRPr="00CB502B">
        <w:tab/>
      </w:r>
      <w:r w:rsidR="00CB502B" w:rsidRPr="00CB502B">
        <w:tab/>
      </w:r>
    </w:p>
    <w:p w14:paraId="4DD98974" w14:textId="2D7B101E" w:rsidR="00CB502B" w:rsidRDefault="00CB502B" w:rsidP="00F51716"/>
    <w:p w14:paraId="002FEAA9" w14:textId="77777777" w:rsidR="00CB502B" w:rsidRDefault="00CB502B" w:rsidP="00F51716"/>
    <w:p w14:paraId="2508E2E7" w14:textId="77777777" w:rsidR="004755BE" w:rsidRDefault="004755BE" w:rsidP="00F51716"/>
    <w:p w14:paraId="68C4392E" w14:textId="77777777" w:rsidR="004972BF" w:rsidRDefault="004972BF" w:rsidP="00F51716">
      <w:pPr>
        <w:rPr>
          <w:rFonts w:asciiTheme="majorHAnsi" w:eastAsiaTheme="majorEastAsia" w:hAnsiTheme="majorHAnsi" w:cstheme="majorBidi"/>
          <w:color w:val="82C341" w:themeColor="accent1"/>
          <w:sz w:val="32"/>
          <w:szCs w:val="32"/>
        </w:rPr>
      </w:pPr>
      <w:r>
        <w:br w:type="page"/>
      </w:r>
    </w:p>
    <w:p w14:paraId="09F9D16A" w14:textId="1C9F4C99" w:rsidR="00EF64E5" w:rsidRDefault="0077589D" w:rsidP="00F51716">
      <w:pPr>
        <w:pStyle w:val="Heading1"/>
      </w:pPr>
      <w:bookmarkStart w:id="176" w:name="_Toc56627371"/>
      <w:bookmarkStart w:id="177" w:name="_Toc57039898"/>
      <w:bookmarkStart w:id="178" w:name="_Toc59624233"/>
      <w:r w:rsidRPr="0077589D">
        <w:t>Appendix 4: Grant allocations</w:t>
      </w:r>
      <w:bookmarkEnd w:id="176"/>
      <w:bookmarkEnd w:id="177"/>
      <w:bookmarkEnd w:id="178"/>
    </w:p>
    <w:p w14:paraId="264A48F9" w14:textId="0ADE4590" w:rsidR="00CF3851" w:rsidRPr="00CF3851" w:rsidRDefault="00CF3851" w:rsidP="00CF3851">
      <w:pPr>
        <w:pStyle w:val="Caption"/>
      </w:pPr>
      <w:r>
        <w:t xml:space="preserve">Table </w:t>
      </w:r>
      <w:fldSimple w:instr=" SEQ Table \* ARABIC ">
        <w:r>
          <w:rPr>
            <w:noProof/>
          </w:rPr>
          <w:t>34</w:t>
        </w:r>
      </w:fldSimple>
      <w:r>
        <w:t>: Grants allocated in 2019–20</w:t>
      </w:r>
    </w:p>
    <w:tbl>
      <w:tblPr>
        <w:tblStyle w:val="SVTable"/>
        <w:tblW w:w="8898" w:type="dxa"/>
        <w:tblLook w:val="04A0" w:firstRow="1" w:lastRow="0" w:firstColumn="1" w:lastColumn="0" w:noHBand="0" w:noVBand="1"/>
      </w:tblPr>
      <w:tblGrid>
        <w:gridCol w:w="2977"/>
        <w:gridCol w:w="4481"/>
        <w:gridCol w:w="1440"/>
      </w:tblGrid>
      <w:tr w:rsidR="000D3BD4" w:rsidRPr="00AF6B06" w14:paraId="4DF78962" w14:textId="77777777" w:rsidTr="002D4B7F">
        <w:trPr>
          <w:cnfStyle w:val="100000000000" w:firstRow="1" w:lastRow="0" w:firstColumn="0" w:lastColumn="0" w:oddVBand="0" w:evenVBand="0" w:oddHBand="0" w:evenHBand="0" w:firstRowFirstColumn="0" w:firstRowLastColumn="0" w:lastRowFirstColumn="0" w:lastRowLastColumn="0"/>
          <w:tblHeader w:val="0"/>
        </w:trPr>
        <w:tc>
          <w:tcPr>
            <w:tcW w:w="2977" w:type="dxa"/>
          </w:tcPr>
          <w:p w14:paraId="687B9DF7" w14:textId="2CC1A9E4" w:rsidR="000D3BD4" w:rsidRPr="00AF6B06" w:rsidRDefault="003A12BF" w:rsidP="00F51716">
            <w:pPr>
              <w:pStyle w:val="TableHeading"/>
            </w:pPr>
            <w:r>
              <w:t>Organisation</w:t>
            </w:r>
          </w:p>
        </w:tc>
        <w:tc>
          <w:tcPr>
            <w:tcW w:w="4481" w:type="dxa"/>
          </w:tcPr>
          <w:p w14:paraId="6967EAC3" w14:textId="55E69B47" w:rsidR="000D3BD4" w:rsidRPr="00AF6B06" w:rsidRDefault="003A12BF" w:rsidP="00F51716">
            <w:pPr>
              <w:pStyle w:val="TableHeading"/>
            </w:pPr>
            <w:r>
              <w:t>Description</w:t>
            </w:r>
          </w:p>
        </w:tc>
        <w:tc>
          <w:tcPr>
            <w:tcW w:w="1440" w:type="dxa"/>
          </w:tcPr>
          <w:p w14:paraId="52A63978" w14:textId="01D7A7BC" w:rsidR="000D3BD4" w:rsidRPr="00AF6B06" w:rsidRDefault="003A12BF" w:rsidP="00F51716">
            <w:pPr>
              <w:pStyle w:val="TableHeading"/>
            </w:pPr>
            <w:r>
              <w:t>Payment</w:t>
            </w:r>
          </w:p>
        </w:tc>
      </w:tr>
      <w:tr w:rsidR="003A12BF" w:rsidRPr="003A12BF" w14:paraId="14931859" w14:textId="77777777" w:rsidTr="002D4B7F">
        <w:trPr>
          <w:trHeight w:val="300"/>
        </w:trPr>
        <w:tc>
          <w:tcPr>
            <w:tcW w:w="2977" w:type="dxa"/>
            <w:noWrap/>
            <w:hideMark/>
          </w:tcPr>
          <w:p w14:paraId="7DC551C8" w14:textId="77777777" w:rsidR="003A12BF" w:rsidRPr="003A12BF" w:rsidRDefault="003A12BF" w:rsidP="00F51716">
            <w:pPr>
              <w:pStyle w:val="Tabletext0"/>
            </w:pPr>
            <w:r w:rsidRPr="003A12BF">
              <w:t>Gippsland Climate Change Network (GCCN)</w:t>
            </w:r>
          </w:p>
        </w:tc>
        <w:tc>
          <w:tcPr>
            <w:tcW w:w="4481" w:type="dxa"/>
            <w:noWrap/>
            <w:hideMark/>
          </w:tcPr>
          <w:p w14:paraId="15DF56E0" w14:textId="77777777" w:rsidR="003A12BF" w:rsidRPr="003A12BF" w:rsidRDefault="003A12BF" w:rsidP="00F51716">
            <w:pPr>
              <w:pStyle w:val="Tabletext0"/>
            </w:pPr>
            <w:r w:rsidRPr="003A12BF">
              <w:t>GCCN ABBA Research Project</w:t>
            </w:r>
          </w:p>
        </w:tc>
        <w:tc>
          <w:tcPr>
            <w:tcW w:w="1440" w:type="dxa"/>
            <w:noWrap/>
            <w:hideMark/>
          </w:tcPr>
          <w:p w14:paraId="34149489" w14:textId="77777777" w:rsidR="003A12BF" w:rsidRPr="003A12BF" w:rsidRDefault="003A12BF" w:rsidP="00F51716">
            <w:pPr>
              <w:pStyle w:val="Tabletext0"/>
            </w:pPr>
            <w:r w:rsidRPr="003A12BF">
              <w:t>$10,510.00</w:t>
            </w:r>
          </w:p>
        </w:tc>
      </w:tr>
      <w:tr w:rsidR="003A12BF" w:rsidRPr="003A12BF" w14:paraId="2CE2DED2" w14:textId="77777777" w:rsidTr="002D4B7F">
        <w:trPr>
          <w:trHeight w:val="300"/>
        </w:trPr>
        <w:tc>
          <w:tcPr>
            <w:tcW w:w="2977" w:type="dxa"/>
            <w:noWrap/>
            <w:hideMark/>
          </w:tcPr>
          <w:p w14:paraId="6A19DA3B" w14:textId="77777777" w:rsidR="003A12BF" w:rsidRPr="003A12BF" w:rsidRDefault="003A12BF" w:rsidP="00F51716">
            <w:pPr>
              <w:pStyle w:val="Tabletext0"/>
            </w:pPr>
            <w:r w:rsidRPr="003A12BF">
              <w:t>RMIT University LaTrobe Street</w:t>
            </w:r>
          </w:p>
        </w:tc>
        <w:tc>
          <w:tcPr>
            <w:tcW w:w="4481" w:type="dxa"/>
            <w:noWrap/>
            <w:hideMark/>
          </w:tcPr>
          <w:p w14:paraId="7CD609B5" w14:textId="77777777" w:rsidR="003A12BF" w:rsidRPr="003A12BF" w:rsidRDefault="003A12BF" w:rsidP="00F51716">
            <w:pPr>
              <w:pStyle w:val="Tabletext0"/>
            </w:pPr>
            <w:r w:rsidRPr="003A12BF">
              <w:t>ABBA RMIT C-Loop Collaborative Project</w:t>
            </w:r>
          </w:p>
        </w:tc>
        <w:tc>
          <w:tcPr>
            <w:tcW w:w="1440" w:type="dxa"/>
            <w:noWrap/>
            <w:hideMark/>
          </w:tcPr>
          <w:p w14:paraId="3A3F63C2" w14:textId="77777777" w:rsidR="003A12BF" w:rsidRPr="003A12BF" w:rsidRDefault="003A12BF" w:rsidP="00F51716">
            <w:pPr>
              <w:pStyle w:val="Tabletext0"/>
            </w:pPr>
            <w:r w:rsidRPr="003A12BF">
              <w:t>$15,000.00</w:t>
            </w:r>
          </w:p>
        </w:tc>
      </w:tr>
      <w:tr w:rsidR="003A12BF" w:rsidRPr="003A12BF" w14:paraId="2BF300B0" w14:textId="77777777" w:rsidTr="002D4B7F">
        <w:trPr>
          <w:trHeight w:val="300"/>
        </w:trPr>
        <w:tc>
          <w:tcPr>
            <w:tcW w:w="2977" w:type="dxa"/>
            <w:noWrap/>
            <w:hideMark/>
          </w:tcPr>
          <w:p w14:paraId="168AF3DC" w14:textId="77777777" w:rsidR="003A12BF" w:rsidRPr="003A12BF" w:rsidRDefault="003A12BF" w:rsidP="00F51716">
            <w:pPr>
              <w:pStyle w:val="Tabletext0"/>
            </w:pPr>
            <w:r w:rsidRPr="003A12BF">
              <w:t>RMIT University LaTrobe Street</w:t>
            </w:r>
          </w:p>
        </w:tc>
        <w:tc>
          <w:tcPr>
            <w:tcW w:w="4481" w:type="dxa"/>
            <w:noWrap/>
            <w:hideMark/>
          </w:tcPr>
          <w:p w14:paraId="6BBA0308" w14:textId="77777777" w:rsidR="003A12BF" w:rsidRPr="003A12BF" w:rsidRDefault="003A12BF" w:rsidP="00F51716">
            <w:pPr>
              <w:pStyle w:val="Tabletext0"/>
            </w:pPr>
            <w:r w:rsidRPr="003A12BF">
              <w:t>ABBA RMIT C-Loop Collaborative Project</w:t>
            </w:r>
          </w:p>
        </w:tc>
        <w:tc>
          <w:tcPr>
            <w:tcW w:w="1440" w:type="dxa"/>
            <w:noWrap/>
            <w:hideMark/>
          </w:tcPr>
          <w:p w14:paraId="5A132804" w14:textId="77777777" w:rsidR="003A12BF" w:rsidRPr="003A12BF" w:rsidRDefault="003A12BF" w:rsidP="00F51716">
            <w:pPr>
              <w:pStyle w:val="Tabletext0"/>
            </w:pPr>
            <w:r w:rsidRPr="003A12BF">
              <w:t>$14,614.00</w:t>
            </w:r>
          </w:p>
        </w:tc>
      </w:tr>
      <w:tr w:rsidR="003A12BF" w:rsidRPr="003A12BF" w14:paraId="38EB367F" w14:textId="77777777" w:rsidTr="002D4B7F">
        <w:trPr>
          <w:trHeight w:val="300"/>
        </w:trPr>
        <w:tc>
          <w:tcPr>
            <w:tcW w:w="2977" w:type="dxa"/>
            <w:noWrap/>
            <w:hideMark/>
          </w:tcPr>
          <w:p w14:paraId="246E349C" w14:textId="77777777" w:rsidR="003A12BF" w:rsidRPr="003A12BF" w:rsidRDefault="003A12BF" w:rsidP="00F51716">
            <w:pPr>
              <w:pStyle w:val="Tabletext0"/>
            </w:pPr>
            <w:r w:rsidRPr="003A12BF">
              <w:t>Melbourne Polytechnic</w:t>
            </w:r>
          </w:p>
        </w:tc>
        <w:tc>
          <w:tcPr>
            <w:tcW w:w="4481" w:type="dxa"/>
            <w:noWrap/>
            <w:hideMark/>
          </w:tcPr>
          <w:p w14:paraId="32E501E4" w14:textId="77777777" w:rsidR="003A12BF" w:rsidRPr="003A12BF" w:rsidRDefault="003A12BF" w:rsidP="00F51716">
            <w:pPr>
              <w:pStyle w:val="Tabletext0"/>
            </w:pPr>
            <w:r w:rsidRPr="003A12BF">
              <w:t>Business Capability – Next Generation Electricians</w:t>
            </w:r>
          </w:p>
        </w:tc>
        <w:tc>
          <w:tcPr>
            <w:tcW w:w="1440" w:type="dxa"/>
            <w:noWrap/>
            <w:hideMark/>
          </w:tcPr>
          <w:p w14:paraId="16864AAB" w14:textId="77777777" w:rsidR="003A12BF" w:rsidRPr="003A12BF" w:rsidRDefault="003A12BF" w:rsidP="00F51716">
            <w:pPr>
              <w:pStyle w:val="Tabletext0"/>
            </w:pPr>
            <w:r w:rsidRPr="003A12BF">
              <w:t>$28,000.00</w:t>
            </w:r>
          </w:p>
        </w:tc>
      </w:tr>
      <w:tr w:rsidR="003A12BF" w:rsidRPr="003A12BF" w14:paraId="6215B809" w14:textId="77777777" w:rsidTr="002D4B7F">
        <w:trPr>
          <w:trHeight w:val="300"/>
        </w:trPr>
        <w:tc>
          <w:tcPr>
            <w:tcW w:w="2977" w:type="dxa"/>
            <w:noWrap/>
            <w:hideMark/>
          </w:tcPr>
          <w:p w14:paraId="32967EB4" w14:textId="77777777" w:rsidR="003A12BF" w:rsidRPr="003A12BF" w:rsidRDefault="003A12BF" w:rsidP="00F51716">
            <w:pPr>
              <w:pStyle w:val="Tabletext0"/>
            </w:pPr>
            <w:r w:rsidRPr="003A12BF">
              <w:t>NORTH Link</w:t>
            </w:r>
          </w:p>
        </w:tc>
        <w:tc>
          <w:tcPr>
            <w:tcW w:w="4481" w:type="dxa"/>
            <w:noWrap/>
            <w:hideMark/>
          </w:tcPr>
          <w:p w14:paraId="52878DB1" w14:textId="77777777" w:rsidR="003A12BF" w:rsidRPr="003A12BF" w:rsidRDefault="003A12BF" w:rsidP="00F51716">
            <w:pPr>
              <w:pStyle w:val="Tabletext0"/>
            </w:pPr>
            <w:r w:rsidRPr="003A12BF">
              <w:t>Energy Feasibility Study in Melbourne's North</w:t>
            </w:r>
          </w:p>
        </w:tc>
        <w:tc>
          <w:tcPr>
            <w:tcW w:w="1440" w:type="dxa"/>
            <w:noWrap/>
            <w:hideMark/>
          </w:tcPr>
          <w:p w14:paraId="35539206" w14:textId="77777777" w:rsidR="003A12BF" w:rsidRPr="003A12BF" w:rsidRDefault="003A12BF" w:rsidP="00F51716">
            <w:pPr>
              <w:pStyle w:val="Tabletext0"/>
            </w:pPr>
            <w:r w:rsidRPr="003A12BF">
              <w:t>$20,000.00</w:t>
            </w:r>
          </w:p>
        </w:tc>
      </w:tr>
      <w:tr w:rsidR="003A12BF" w:rsidRPr="003A12BF" w14:paraId="7CBF3717" w14:textId="77777777" w:rsidTr="002D4B7F">
        <w:trPr>
          <w:trHeight w:val="300"/>
        </w:trPr>
        <w:tc>
          <w:tcPr>
            <w:tcW w:w="2977" w:type="dxa"/>
            <w:noWrap/>
            <w:hideMark/>
          </w:tcPr>
          <w:p w14:paraId="76421286" w14:textId="77777777" w:rsidR="003A12BF" w:rsidRPr="003A12BF" w:rsidRDefault="003A12BF" w:rsidP="00F51716">
            <w:pPr>
              <w:pStyle w:val="Tabletext0"/>
            </w:pPr>
            <w:r w:rsidRPr="003A12BF">
              <w:t>Master Dry Cleaners</w:t>
            </w:r>
          </w:p>
        </w:tc>
        <w:tc>
          <w:tcPr>
            <w:tcW w:w="4481" w:type="dxa"/>
            <w:noWrap/>
            <w:hideMark/>
          </w:tcPr>
          <w:p w14:paraId="5FCD960A" w14:textId="77777777" w:rsidR="003A12BF" w:rsidRPr="003A12BF" w:rsidRDefault="003A12BF" w:rsidP="00F51716">
            <w:pPr>
              <w:pStyle w:val="Tabletext0"/>
            </w:pPr>
            <w:r w:rsidRPr="003A12BF">
              <w:t>Gas Efficiency Grant - Master Dry Cleaners</w:t>
            </w:r>
          </w:p>
        </w:tc>
        <w:tc>
          <w:tcPr>
            <w:tcW w:w="1440" w:type="dxa"/>
            <w:noWrap/>
            <w:hideMark/>
          </w:tcPr>
          <w:p w14:paraId="6D01E51B" w14:textId="77777777" w:rsidR="003A12BF" w:rsidRPr="003A12BF" w:rsidRDefault="003A12BF" w:rsidP="00F51716">
            <w:pPr>
              <w:pStyle w:val="Tabletext0"/>
            </w:pPr>
            <w:r w:rsidRPr="003A12BF">
              <w:t>$7,398.90</w:t>
            </w:r>
          </w:p>
        </w:tc>
      </w:tr>
      <w:tr w:rsidR="003A12BF" w:rsidRPr="003A12BF" w14:paraId="368546E3" w14:textId="77777777" w:rsidTr="002D4B7F">
        <w:trPr>
          <w:trHeight w:val="300"/>
        </w:trPr>
        <w:tc>
          <w:tcPr>
            <w:tcW w:w="2977" w:type="dxa"/>
            <w:noWrap/>
            <w:hideMark/>
          </w:tcPr>
          <w:p w14:paraId="4EB157FA" w14:textId="77777777" w:rsidR="003A12BF" w:rsidRPr="003A12BF" w:rsidRDefault="003A12BF" w:rsidP="00F51716">
            <w:pPr>
              <w:pStyle w:val="Tabletext0"/>
            </w:pPr>
            <w:r w:rsidRPr="003A12BF">
              <w:t>CMTP Pty Ltd</w:t>
            </w:r>
          </w:p>
        </w:tc>
        <w:tc>
          <w:tcPr>
            <w:tcW w:w="4481" w:type="dxa"/>
            <w:noWrap/>
            <w:hideMark/>
          </w:tcPr>
          <w:p w14:paraId="0488FDF2" w14:textId="77777777" w:rsidR="003A12BF" w:rsidRPr="003A12BF" w:rsidRDefault="003A12BF" w:rsidP="00F51716">
            <w:pPr>
              <w:pStyle w:val="Tabletext0"/>
            </w:pPr>
            <w:r w:rsidRPr="003A12BF">
              <w:t>Gas Efficiency Grant - CMTP</w:t>
            </w:r>
          </w:p>
        </w:tc>
        <w:tc>
          <w:tcPr>
            <w:tcW w:w="1440" w:type="dxa"/>
            <w:noWrap/>
            <w:hideMark/>
          </w:tcPr>
          <w:p w14:paraId="1682E484" w14:textId="77777777" w:rsidR="003A12BF" w:rsidRPr="003A12BF" w:rsidRDefault="003A12BF" w:rsidP="00F51716">
            <w:pPr>
              <w:pStyle w:val="Tabletext0"/>
            </w:pPr>
            <w:r w:rsidRPr="003A12BF">
              <w:t>$5,937.00</w:t>
            </w:r>
          </w:p>
        </w:tc>
      </w:tr>
      <w:tr w:rsidR="003A12BF" w:rsidRPr="003A12BF" w14:paraId="473F8170" w14:textId="77777777" w:rsidTr="002D4B7F">
        <w:trPr>
          <w:trHeight w:val="300"/>
        </w:trPr>
        <w:tc>
          <w:tcPr>
            <w:tcW w:w="2977" w:type="dxa"/>
            <w:noWrap/>
            <w:hideMark/>
          </w:tcPr>
          <w:p w14:paraId="31FD4F61" w14:textId="77777777" w:rsidR="003A12BF" w:rsidRPr="003A12BF" w:rsidRDefault="003A12BF" w:rsidP="00F51716">
            <w:pPr>
              <w:pStyle w:val="Tabletext0"/>
            </w:pPr>
            <w:r w:rsidRPr="003A12BF">
              <w:t>Sundown Foods</w:t>
            </w:r>
          </w:p>
        </w:tc>
        <w:tc>
          <w:tcPr>
            <w:tcW w:w="4481" w:type="dxa"/>
            <w:noWrap/>
            <w:hideMark/>
          </w:tcPr>
          <w:p w14:paraId="5DDAF8B4" w14:textId="77777777" w:rsidR="003A12BF" w:rsidRPr="003A12BF" w:rsidRDefault="003A12BF" w:rsidP="00F51716">
            <w:pPr>
              <w:pStyle w:val="Tabletext0"/>
            </w:pPr>
            <w:r w:rsidRPr="003A12BF">
              <w:t>Gas Efficiency Grant - Sundown Foods</w:t>
            </w:r>
          </w:p>
        </w:tc>
        <w:tc>
          <w:tcPr>
            <w:tcW w:w="1440" w:type="dxa"/>
            <w:noWrap/>
            <w:hideMark/>
          </w:tcPr>
          <w:p w14:paraId="348401A2" w14:textId="77777777" w:rsidR="003A12BF" w:rsidRPr="003A12BF" w:rsidRDefault="003A12BF" w:rsidP="00F51716">
            <w:pPr>
              <w:pStyle w:val="Tabletext0"/>
            </w:pPr>
            <w:r w:rsidRPr="003A12BF">
              <w:t>$10,000.00</w:t>
            </w:r>
          </w:p>
        </w:tc>
      </w:tr>
      <w:tr w:rsidR="003A12BF" w:rsidRPr="003A12BF" w14:paraId="48C633CD" w14:textId="77777777" w:rsidTr="002D4B7F">
        <w:trPr>
          <w:trHeight w:val="300"/>
        </w:trPr>
        <w:tc>
          <w:tcPr>
            <w:tcW w:w="2977" w:type="dxa"/>
            <w:noWrap/>
            <w:hideMark/>
          </w:tcPr>
          <w:p w14:paraId="6A557A81" w14:textId="77777777" w:rsidR="003A12BF" w:rsidRPr="003A12BF" w:rsidRDefault="003A12BF" w:rsidP="00F51716">
            <w:pPr>
              <w:pStyle w:val="Tabletext0"/>
            </w:pPr>
            <w:r w:rsidRPr="003A12BF">
              <w:t>Kingfield Galvanizing Pty Ltd</w:t>
            </w:r>
          </w:p>
        </w:tc>
        <w:tc>
          <w:tcPr>
            <w:tcW w:w="4481" w:type="dxa"/>
            <w:noWrap/>
            <w:hideMark/>
          </w:tcPr>
          <w:p w14:paraId="6C499861" w14:textId="77777777" w:rsidR="003A12BF" w:rsidRPr="003A12BF" w:rsidRDefault="003A12BF" w:rsidP="00F51716">
            <w:pPr>
              <w:pStyle w:val="Tabletext0"/>
            </w:pPr>
            <w:r w:rsidRPr="003A12BF">
              <w:t>Gas Efficiency Grant - Kingfield Galvanizing Pty Ltd</w:t>
            </w:r>
          </w:p>
        </w:tc>
        <w:tc>
          <w:tcPr>
            <w:tcW w:w="1440" w:type="dxa"/>
            <w:noWrap/>
            <w:hideMark/>
          </w:tcPr>
          <w:p w14:paraId="5E67A232" w14:textId="77777777" w:rsidR="003A12BF" w:rsidRPr="003A12BF" w:rsidRDefault="003A12BF" w:rsidP="00F51716">
            <w:pPr>
              <w:pStyle w:val="Tabletext0"/>
            </w:pPr>
            <w:r w:rsidRPr="003A12BF">
              <w:t>$14,322.83</w:t>
            </w:r>
          </w:p>
        </w:tc>
      </w:tr>
      <w:tr w:rsidR="003A12BF" w:rsidRPr="003A12BF" w14:paraId="3FF89951" w14:textId="77777777" w:rsidTr="002D4B7F">
        <w:trPr>
          <w:trHeight w:val="300"/>
        </w:trPr>
        <w:tc>
          <w:tcPr>
            <w:tcW w:w="2977" w:type="dxa"/>
            <w:noWrap/>
            <w:hideMark/>
          </w:tcPr>
          <w:p w14:paraId="76BE1EEE" w14:textId="77777777" w:rsidR="003A12BF" w:rsidRPr="003A12BF" w:rsidRDefault="003A12BF" w:rsidP="00F51716">
            <w:pPr>
              <w:pStyle w:val="Tabletext0"/>
            </w:pPr>
            <w:r w:rsidRPr="003A12BF">
              <w:t>Kingfield Galvanizing Pty Ltd</w:t>
            </w:r>
          </w:p>
        </w:tc>
        <w:tc>
          <w:tcPr>
            <w:tcW w:w="4481" w:type="dxa"/>
            <w:noWrap/>
            <w:hideMark/>
          </w:tcPr>
          <w:p w14:paraId="76B57A08" w14:textId="77777777" w:rsidR="003A12BF" w:rsidRPr="003A12BF" w:rsidRDefault="003A12BF" w:rsidP="00F51716">
            <w:pPr>
              <w:pStyle w:val="Tabletext0"/>
            </w:pPr>
            <w:r w:rsidRPr="003A12BF">
              <w:t>Gas Efficiency Grant - Kingfield Galvanizing Pty Ltd</w:t>
            </w:r>
          </w:p>
        </w:tc>
        <w:tc>
          <w:tcPr>
            <w:tcW w:w="1440" w:type="dxa"/>
            <w:noWrap/>
            <w:hideMark/>
          </w:tcPr>
          <w:p w14:paraId="2B178290" w14:textId="77777777" w:rsidR="003A12BF" w:rsidRPr="003A12BF" w:rsidRDefault="003A12BF" w:rsidP="00F51716">
            <w:pPr>
              <w:pStyle w:val="Tabletext0"/>
            </w:pPr>
            <w:r w:rsidRPr="003A12BF">
              <w:t>$3,015.34</w:t>
            </w:r>
          </w:p>
        </w:tc>
      </w:tr>
      <w:tr w:rsidR="003A12BF" w:rsidRPr="003A12BF" w14:paraId="05F6B47B" w14:textId="77777777" w:rsidTr="002D4B7F">
        <w:trPr>
          <w:trHeight w:val="300"/>
        </w:trPr>
        <w:tc>
          <w:tcPr>
            <w:tcW w:w="2977" w:type="dxa"/>
            <w:noWrap/>
            <w:hideMark/>
          </w:tcPr>
          <w:p w14:paraId="3F1E8B72" w14:textId="77777777" w:rsidR="003A12BF" w:rsidRPr="003A12BF" w:rsidRDefault="003A12BF" w:rsidP="00F51716">
            <w:pPr>
              <w:pStyle w:val="Tabletext0"/>
            </w:pPr>
            <w:r w:rsidRPr="003A12BF">
              <w:t>Pureharvest</w:t>
            </w:r>
          </w:p>
        </w:tc>
        <w:tc>
          <w:tcPr>
            <w:tcW w:w="4481" w:type="dxa"/>
            <w:noWrap/>
            <w:hideMark/>
          </w:tcPr>
          <w:p w14:paraId="11D87826" w14:textId="77777777" w:rsidR="003A12BF" w:rsidRPr="003A12BF" w:rsidRDefault="003A12BF" w:rsidP="00F51716">
            <w:pPr>
              <w:pStyle w:val="Tabletext0"/>
            </w:pPr>
            <w:r w:rsidRPr="003A12BF">
              <w:t>Gas Efficiency Grant - Pureharvest</w:t>
            </w:r>
          </w:p>
        </w:tc>
        <w:tc>
          <w:tcPr>
            <w:tcW w:w="1440" w:type="dxa"/>
            <w:noWrap/>
            <w:hideMark/>
          </w:tcPr>
          <w:p w14:paraId="3885F437" w14:textId="77777777" w:rsidR="003A12BF" w:rsidRPr="003A12BF" w:rsidRDefault="003A12BF" w:rsidP="00F51716">
            <w:pPr>
              <w:pStyle w:val="Tabletext0"/>
            </w:pPr>
            <w:r w:rsidRPr="003A12BF">
              <w:t>$10,000.00</w:t>
            </w:r>
          </w:p>
        </w:tc>
      </w:tr>
      <w:tr w:rsidR="003A12BF" w:rsidRPr="003A12BF" w14:paraId="4E02B0FB" w14:textId="77777777" w:rsidTr="002D4B7F">
        <w:trPr>
          <w:trHeight w:val="300"/>
        </w:trPr>
        <w:tc>
          <w:tcPr>
            <w:tcW w:w="2977" w:type="dxa"/>
            <w:noWrap/>
            <w:hideMark/>
          </w:tcPr>
          <w:p w14:paraId="647685A2" w14:textId="77777777" w:rsidR="003A12BF" w:rsidRPr="003A12BF" w:rsidRDefault="003A12BF" w:rsidP="00F51716">
            <w:pPr>
              <w:pStyle w:val="Tabletext0"/>
            </w:pPr>
            <w:r w:rsidRPr="003A12BF">
              <w:t>Saputo Dairy Australia</w:t>
            </w:r>
          </w:p>
        </w:tc>
        <w:tc>
          <w:tcPr>
            <w:tcW w:w="4481" w:type="dxa"/>
            <w:noWrap/>
            <w:hideMark/>
          </w:tcPr>
          <w:p w14:paraId="31F18579" w14:textId="77777777" w:rsidR="003A12BF" w:rsidRPr="003A12BF" w:rsidRDefault="003A12BF" w:rsidP="00F51716">
            <w:pPr>
              <w:pStyle w:val="Tabletext0"/>
            </w:pPr>
            <w:r w:rsidRPr="003A12BF">
              <w:t>Gas Efficiency Grant - Saputo Dairy Australia</w:t>
            </w:r>
          </w:p>
        </w:tc>
        <w:tc>
          <w:tcPr>
            <w:tcW w:w="1440" w:type="dxa"/>
            <w:noWrap/>
            <w:hideMark/>
          </w:tcPr>
          <w:p w14:paraId="199A42D5" w14:textId="77777777" w:rsidR="003A12BF" w:rsidRPr="003A12BF" w:rsidRDefault="003A12BF" w:rsidP="00F51716">
            <w:pPr>
              <w:pStyle w:val="Tabletext0"/>
            </w:pPr>
            <w:r w:rsidRPr="003A12BF">
              <w:t>$20,000.00</w:t>
            </w:r>
          </w:p>
        </w:tc>
      </w:tr>
      <w:tr w:rsidR="003A12BF" w:rsidRPr="003A12BF" w14:paraId="43221B4F" w14:textId="77777777" w:rsidTr="002D4B7F">
        <w:trPr>
          <w:trHeight w:val="300"/>
        </w:trPr>
        <w:tc>
          <w:tcPr>
            <w:tcW w:w="2977" w:type="dxa"/>
            <w:noWrap/>
            <w:hideMark/>
          </w:tcPr>
          <w:p w14:paraId="584C7196" w14:textId="77777777" w:rsidR="003A12BF" w:rsidRPr="003A12BF" w:rsidRDefault="003A12BF" w:rsidP="00F51716">
            <w:pPr>
              <w:pStyle w:val="Tabletext0"/>
            </w:pPr>
            <w:r w:rsidRPr="003A12BF">
              <w:t>Saputo Dairy Australia</w:t>
            </w:r>
          </w:p>
        </w:tc>
        <w:tc>
          <w:tcPr>
            <w:tcW w:w="4481" w:type="dxa"/>
            <w:noWrap/>
            <w:hideMark/>
          </w:tcPr>
          <w:p w14:paraId="07AE709F" w14:textId="77777777" w:rsidR="003A12BF" w:rsidRPr="003A12BF" w:rsidRDefault="003A12BF" w:rsidP="00F51716">
            <w:pPr>
              <w:pStyle w:val="Tabletext0"/>
            </w:pPr>
            <w:r w:rsidRPr="003A12BF">
              <w:t>Gas Efficiency Grant - Saputo Dairy Australia</w:t>
            </w:r>
          </w:p>
        </w:tc>
        <w:tc>
          <w:tcPr>
            <w:tcW w:w="1440" w:type="dxa"/>
            <w:noWrap/>
            <w:hideMark/>
          </w:tcPr>
          <w:p w14:paraId="4A23312B" w14:textId="77777777" w:rsidR="003A12BF" w:rsidRPr="003A12BF" w:rsidRDefault="003A12BF" w:rsidP="00F51716">
            <w:pPr>
              <w:pStyle w:val="Tabletext0"/>
            </w:pPr>
            <w:r w:rsidRPr="003A12BF">
              <w:t>$10,000.00</w:t>
            </w:r>
          </w:p>
        </w:tc>
      </w:tr>
      <w:tr w:rsidR="003A12BF" w:rsidRPr="003A12BF" w14:paraId="7CA1B90D" w14:textId="77777777" w:rsidTr="002D4B7F">
        <w:trPr>
          <w:trHeight w:val="300"/>
        </w:trPr>
        <w:tc>
          <w:tcPr>
            <w:tcW w:w="2977" w:type="dxa"/>
            <w:noWrap/>
            <w:hideMark/>
          </w:tcPr>
          <w:p w14:paraId="0E7E73A1" w14:textId="77777777" w:rsidR="003A12BF" w:rsidRPr="003A12BF" w:rsidRDefault="003A12BF" w:rsidP="00F51716">
            <w:pPr>
              <w:pStyle w:val="Tabletext0"/>
            </w:pPr>
            <w:r w:rsidRPr="003A12BF">
              <w:t>Super Clean Linen Service</w:t>
            </w:r>
          </w:p>
        </w:tc>
        <w:tc>
          <w:tcPr>
            <w:tcW w:w="4481" w:type="dxa"/>
            <w:noWrap/>
            <w:hideMark/>
          </w:tcPr>
          <w:p w14:paraId="2426975F" w14:textId="77777777" w:rsidR="003A12BF" w:rsidRPr="003A12BF" w:rsidRDefault="003A12BF" w:rsidP="00F51716">
            <w:pPr>
              <w:pStyle w:val="Tabletext0"/>
            </w:pPr>
            <w:r w:rsidRPr="003A12BF">
              <w:t>Gas Efficiency Grant - Super Clean Linen Service</w:t>
            </w:r>
          </w:p>
        </w:tc>
        <w:tc>
          <w:tcPr>
            <w:tcW w:w="1440" w:type="dxa"/>
            <w:noWrap/>
            <w:hideMark/>
          </w:tcPr>
          <w:p w14:paraId="7789CD9B" w14:textId="77777777" w:rsidR="003A12BF" w:rsidRPr="003A12BF" w:rsidRDefault="003A12BF" w:rsidP="00F51716">
            <w:pPr>
              <w:pStyle w:val="Tabletext0"/>
            </w:pPr>
            <w:r w:rsidRPr="003A12BF">
              <w:t>$2,000.00</w:t>
            </w:r>
          </w:p>
        </w:tc>
      </w:tr>
      <w:tr w:rsidR="003A12BF" w:rsidRPr="003A12BF" w14:paraId="45828D0C" w14:textId="77777777" w:rsidTr="002D4B7F">
        <w:trPr>
          <w:trHeight w:val="300"/>
        </w:trPr>
        <w:tc>
          <w:tcPr>
            <w:tcW w:w="2977" w:type="dxa"/>
            <w:noWrap/>
            <w:hideMark/>
          </w:tcPr>
          <w:p w14:paraId="634530C4" w14:textId="77777777" w:rsidR="003A12BF" w:rsidRPr="003A12BF" w:rsidRDefault="003A12BF" w:rsidP="00F51716">
            <w:pPr>
              <w:pStyle w:val="Tabletext0"/>
            </w:pPr>
            <w:r w:rsidRPr="003A12BF">
              <w:t>Mastercoat</w:t>
            </w:r>
          </w:p>
        </w:tc>
        <w:tc>
          <w:tcPr>
            <w:tcW w:w="4481" w:type="dxa"/>
            <w:noWrap/>
            <w:hideMark/>
          </w:tcPr>
          <w:p w14:paraId="706CB195" w14:textId="77777777" w:rsidR="003A12BF" w:rsidRPr="003A12BF" w:rsidRDefault="003A12BF" w:rsidP="00F51716">
            <w:pPr>
              <w:pStyle w:val="Tabletext0"/>
            </w:pPr>
            <w:r w:rsidRPr="003A12BF">
              <w:t>Gas Efficiency Grant - Mastercoat</w:t>
            </w:r>
          </w:p>
        </w:tc>
        <w:tc>
          <w:tcPr>
            <w:tcW w:w="1440" w:type="dxa"/>
            <w:noWrap/>
            <w:hideMark/>
          </w:tcPr>
          <w:p w14:paraId="14E58DEE" w14:textId="77777777" w:rsidR="003A12BF" w:rsidRPr="003A12BF" w:rsidRDefault="003A12BF" w:rsidP="00F51716">
            <w:pPr>
              <w:pStyle w:val="Tabletext0"/>
            </w:pPr>
            <w:r w:rsidRPr="003A12BF">
              <w:t>$3,440.00</w:t>
            </w:r>
          </w:p>
        </w:tc>
      </w:tr>
      <w:tr w:rsidR="003A12BF" w:rsidRPr="003A12BF" w14:paraId="55BD0BED" w14:textId="77777777" w:rsidTr="002D4B7F">
        <w:trPr>
          <w:trHeight w:val="300"/>
        </w:trPr>
        <w:tc>
          <w:tcPr>
            <w:tcW w:w="2977" w:type="dxa"/>
            <w:noWrap/>
            <w:hideMark/>
          </w:tcPr>
          <w:p w14:paraId="3C69D7EE" w14:textId="77777777" w:rsidR="003A12BF" w:rsidRPr="003A12BF" w:rsidRDefault="003A12BF" w:rsidP="00F51716">
            <w:pPr>
              <w:pStyle w:val="Tabletext0"/>
            </w:pPr>
            <w:r w:rsidRPr="003A12BF">
              <w:t>Mildura Meatco</w:t>
            </w:r>
          </w:p>
        </w:tc>
        <w:tc>
          <w:tcPr>
            <w:tcW w:w="4481" w:type="dxa"/>
            <w:noWrap/>
            <w:hideMark/>
          </w:tcPr>
          <w:p w14:paraId="438DA5BE" w14:textId="77777777" w:rsidR="003A12BF" w:rsidRPr="003A12BF" w:rsidRDefault="003A12BF" w:rsidP="00F51716">
            <w:pPr>
              <w:pStyle w:val="Tabletext0"/>
            </w:pPr>
            <w:r w:rsidRPr="003A12BF">
              <w:t>Gas Efficiency Grant - Mildura Meatco</w:t>
            </w:r>
          </w:p>
        </w:tc>
        <w:tc>
          <w:tcPr>
            <w:tcW w:w="1440" w:type="dxa"/>
            <w:noWrap/>
            <w:hideMark/>
          </w:tcPr>
          <w:p w14:paraId="2C1C5386" w14:textId="77777777" w:rsidR="003A12BF" w:rsidRPr="003A12BF" w:rsidRDefault="003A12BF" w:rsidP="00F51716">
            <w:pPr>
              <w:pStyle w:val="Tabletext0"/>
            </w:pPr>
            <w:r w:rsidRPr="003A12BF">
              <w:t>$10,000.00</w:t>
            </w:r>
          </w:p>
        </w:tc>
      </w:tr>
      <w:tr w:rsidR="003A12BF" w:rsidRPr="003A12BF" w14:paraId="4E0FB40C" w14:textId="77777777" w:rsidTr="002D4B7F">
        <w:trPr>
          <w:trHeight w:val="300"/>
        </w:trPr>
        <w:tc>
          <w:tcPr>
            <w:tcW w:w="2977" w:type="dxa"/>
            <w:noWrap/>
            <w:hideMark/>
          </w:tcPr>
          <w:p w14:paraId="507F718B" w14:textId="77777777" w:rsidR="003A12BF" w:rsidRPr="003A12BF" w:rsidRDefault="003A12BF" w:rsidP="00F51716">
            <w:pPr>
              <w:pStyle w:val="Tabletext0"/>
            </w:pPr>
            <w:r w:rsidRPr="003A12BF">
              <w:t>Precision Plating (Aust) Pty Ltd</w:t>
            </w:r>
          </w:p>
        </w:tc>
        <w:tc>
          <w:tcPr>
            <w:tcW w:w="4481" w:type="dxa"/>
            <w:noWrap/>
            <w:hideMark/>
          </w:tcPr>
          <w:p w14:paraId="4433B14B" w14:textId="77777777" w:rsidR="003A12BF" w:rsidRPr="003A12BF" w:rsidRDefault="003A12BF" w:rsidP="00F51716">
            <w:pPr>
              <w:pStyle w:val="Tabletext0"/>
            </w:pPr>
            <w:r w:rsidRPr="003A12BF">
              <w:t>Gas Efficiency Grant - Precision Plating (Aust) Pty Ltd</w:t>
            </w:r>
          </w:p>
        </w:tc>
        <w:tc>
          <w:tcPr>
            <w:tcW w:w="1440" w:type="dxa"/>
            <w:noWrap/>
            <w:hideMark/>
          </w:tcPr>
          <w:p w14:paraId="0E25753F" w14:textId="77777777" w:rsidR="003A12BF" w:rsidRPr="003A12BF" w:rsidRDefault="003A12BF" w:rsidP="00F51716">
            <w:pPr>
              <w:pStyle w:val="Tabletext0"/>
            </w:pPr>
            <w:r w:rsidRPr="003A12BF">
              <w:t>$1,427.66</w:t>
            </w:r>
          </w:p>
        </w:tc>
      </w:tr>
      <w:tr w:rsidR="003A12BF" w:rsidRPr="003A12BF" w14:paraId="4BE79EF2" w14:textId="77777777" w:rsidTr="002D4B7F">
        <w:trPr>
          <w:trHeight w:val="300"/>
        </w:trPr>
        <w:tc>
          <w:tcPr>
            <w:tcW w:w="2977" w:type="dxa"/>
            <w:noWrap/>
            <w:hideMark/>
          </w:tcPr>
          <w:p w14:paraId="4B7B191C" w14:textId="77777777" w:rsidR="003A12BF" w:rsidRPr="003A12BF" w:rsidRDefault="003A12BF" w:rsidP="00F51716">
            <w:pPr>
              <w:pStyle w:val="Tabletext0"/>
            </w:pPr>
            <w:r w:rsidRPr="003A12BF">
              <w:t>Don KRC (KR Castlemaine)</w:t>
            </w:r>
          </w:p>
        </w:tc>
        <w:tc>
          <w:tcPr>
            <w:tcW w:w="4481" w:type="dxa"/>
            <w:noWrap/>
            <w:hideMark/>
          </w:tcPr>
          <w:p w14:paraId="4C7F1E77" w14:textId="77777777" w:rsidR="003A12BF" w:rsidRPr="003A12BF" w:rsidRDefault="003A12BF" w:rsidP="00F51716">
            <w:pPr>
              <w:pStyle w:val="Tabletext0"/>
            </w:pPr>
            <w:r w:rsidRPr="003A12BF">
              <w:t>Material Assessment - Don KRC (KR Castlemaine)</w:t>
            </w:r>
          </w:p>
        </w:tc>
        <w:tc>
          <w:tcPr>
            <w:tcW w:w="1440" w:type="dxa"/>
            <w:noWrap/>
            <w:hideMark/>
          </w:tcPr>
          <w:p w14:paraId="43C08629" w14:textId="77777777" w:rsidR="003A12BF" w:rsidRPr="003A12BF" w:rsidRDefault="003A12BF" w:rsidP="00F51716">
            <w:pPr>
              <w:pStyle w:val="Tabletext0"/>
            </w:pPr>
            <w:r w:rsidRPr="003A12BF">
              <w:t>$6,000.00</w:t>
            </w:r>
          </w:p>
        </w:tc>
      </w:tr>
      <w:tr w:rsidR="003A12BF" w:rsidRPr="003A12BF" w14:paraId="20DD2C4A" w14:textId="77777777" w:rsidTr="002D4B7F">
        <w:trPr>
          <w:trHeight w:val="300"/>
        </w:trPr>
        <w:tc>
          <w:tcPr>
            <w:tcW w:w="2977" w:type="dxa"/>
            <w:noWrap/>
            <w:hideMark/>
          </w:tcPr>
          <w:p w14:paraId="0FC991C5" w14:textId="77777777" w:rsidR="003A12BF" w:rsidRPr="003A12BF" w:rsidRDefault="003A12BF" w:rsidP="00F51716">
            <w:pPr>
              <w:pStyle w:val="Tabletext0"/>
            </w:pPr>
            <w:r w:rsidRPr="003A12BF">
              <w:t>Melbourne Marriott Hotel</w:t>
            </w:r>
          </w:p>
        </w:tc>
        <w:tc>
          <w:tcPr>
            <w:tcW w:w="4481" w:type="dxa"/>
            <w:noWrap/>
            <w:hideMark/>
          </w:tcPr>
          <w:p w14:paraId="42E9DC9A" w14:textId="77777777" w:rsidR="003A12BF" w:rsidRPr="003A12BF" w:rsidRDefault="003A12BF" w:rsidP="00F51716">
            <w:pPr>
              <w:pStyle w:val="Tabletext0"/>
            </w:pPr>
            <w:r w:rsidRPr="003A12BF">
              <w:t>Melbourne Marriott Hotel - Better Commercial Buildings Funding Agreement</w:t>
            </w:r>
          </w:p>
        </w:tc>
        <w:tc>
          <w:tcPr>
            <w:tcW w:w="1440" w:type="dxa"/>
            <w:noWrap/>
            <w:hideMark/>
          </w:tcPr>
          <w:p w14:paraId="20C0D5F7" w14:textId="77777777" w:rsidR="003A12BF" w:rsidRPr="003A12BF" w:rsidRDefault="003A12BF" w:rsidP="00F51716">
            <w:pPr>
              <w:pStyle w:val="Tabletext0"/>
            </w:pPr>
            <w:r w:rsidRPr="003A12BF">
              <w:t>$4,000.00</w:t>
            </w:r>
          </w:p>
        </w:tc>
      </w:tr>
      <w:tr w:rsidR="003A12BF" w:rsidRPr="003A12BF" w14:paraId="7313DBDB" w14:textId="77777777" w:rsidTr="002D4B7F">
        <w:trPr>
          <w:trHeight w:val="300"/>
        </w:trPr>
        <w:tc>
          <w:tcPr>
            <w:tcW w:w="2977" w:type="dxa"/>
            <w:noWrap/>
            <w:hideMark/>
          </w:tcPr>
          <w:p w14:paraId="5FF8D844" w14:textId="77777777" w:rsidR="003A12BF" w:rsidRPr="003A12BF" w:rsidRDefault="003A12BF" w:rsidP="00F51716">
            <w:pPr>
              <w:pStyle w:val="Tabletext0"/>
            </w:pPr>
            <w:r w:rsidRPr="003A12BF">
              <w:t>Wheelers Hill Shopping Centre</w:t>
            </w:r>
          </w:p>
        </w:tc>
        <w:tc>
          <w:tcPr>
            <w:tcW w:w="4481" w:type="dxa"/>
            <w:noWrap/>
            <w:hideMark/>
          </w:tcPr>
          <w:p w14:paraId="688D8A2F" w14:textId="77777777" w:rsidR="003A12BF" w:rsidRPr="003A12BF" w:rsidRDefault="003A12BF" w:rsidP="00F51716">
            <w:pPr>
              <w:pStyle w:val="Tabletext0"/>
            </w:pPr>
            <w:r w:rsidRPr="003A12BF">
              <w:t>Wheelers Hill Shopping Centre - Better Commercial Buildings Funding Agreement</w:t>
            </w:r>
          </w:p>
        </w:tc>
        <w:tc>
          <w:tcPr>
            <w:tcW w:w="1440" w:type="dxa"/>
            <w:noWrap/>
            <w:hideMark/>
          </w:tcPr>
          <w:p w14:paraId="18FB12FB" w14:textId="77777777" w:rsidR="003A12BF" w:rsidRPr="003A12BF" w:rsidRDefault="003A12BF" w:rsidP="00F51716">
            <w:pPr>
              <w:pStyle w:val="Tabletext0"/>
            </w:pPr>
            <w:r w:rsidRPr="003A12BF">
              <w:t>$4,050.00</w:t>
            </w:r>
          </w:p>
        </w:tc>
      </w:tr>
      <w:tr w:rsidR="003A12BF" w:rsidRPr="003A12BF" w14:paraId="58BE1B5B" w14:textId="77777777" w:rsidTr="002D4B7F">
        <w:trPr>
          <w:trHeight w:val="300"/>
        </w:trPr>
        <w:tc>
          <w:tcPr>
            <w:tcW w:w="2977" w:type="dxa"/>
            <w:noWrap/>
            <w:hideMark/>
          </w:tcPr>
          <w:p w14:paraId="5BE654FF" w14:textId="77777777" w:rsidR="003A12BF" w:rsidRPr="003A12BF" w:rsidRDefault="003A12BF" w:rsidP="00F51716">
            <w:pPr>
              <w:pStyle w:val="Tabletext0"/>
            </w:pPr>
            <w:r w:rsidRPr="003A12BF">
              <w:t>Grand Hyatt Melbourne</w:t>
            </w:r>
          </w:p>
        </w:tc>
        <w:tc>
          <w:tcPr>
            <w:tcW w:w="4481" w:type="dxa"/>
            <w:noWrap/>
            <w:hideMark/>
          </w:tcPr>
          <w:p w14:paraId="2E579EF8" w14:textId="77777777" w:rsidR="003A12BF" w:rsidRPr="003A12BF" w:rsidRDefault="003A12BF" w:rsidP="00F51716">
            <w:pPr>
              <w:pStyle w:val="Tabletext0"/>
            </w:pPr>
            <w:r w:rsidRPr="003A12BF">
              <w:t>Grand Hyatt Melbourne - Better Commercial Buildings Funding Agreement</w:t>
            </w:r>
          </w:p>
        </w:tc>
        <w:tc>
          <w:tcPr>
            <w:tcW w:w="1440" w:type="dxa"/>
            <w:noWrap/>
            <w:hideMark/>
          </w:tcPr>
          <w:p w14:paraId="727A4BE2" w14:textId="77777777" w:rsidR="003A12BF" w:rsidRPr="003A12BF" w:rsidRDefault="003A12BF" w:rsidP="00F51716">
            <w:pPr>
              <w:pStyle w:val="Tabletext0"/>
            </w:pPr>
            <w:r w:rsidRPr="003A12BF">
              <w:t>$5,000.00</w:t>
            </w:r>
          </w:p>
        </w:tc>
      </w:tr>
      <w:tr w:rsidR="003A12BF" w:rsidRPr="003A12BF" w14:paraId="090B0DFD" w14:textId="77777777" w:rsidTr="002D4B7F">
        <w:trPr>
          <w:trHeight w:val="300"/>
        </w:trPr>
        <w:tc>
          <w:tcPr>
            <w:tcW w:w="2977" w:type="dxa"/>
            <w:noWrap/>
            <w:hideMark/>
          </w:tcPr>
          <w:p w14:paraId="102C4E73" w14:textId="77777777" w:rsidR="003A12BF" w:rsidRPr="003A12BF" w:rsidRDefault="003A12BF" w:rsidP="00F51716">
            <w:pPr>
              <w:pStyle w:val="Tabletext0"/>
            </w:pPr>
            <w:r w:rsidRPr="003A12BF">
              <w:t>RACV</w:t>
            </w:r>
          </w:p>
        </w:tc>
        <w:tc>
          <w:tcPr>
            <w:tcW w:w="4481" w:type="dxa"/>
            <w:noWrap/>
            <w:hideMark/>
          </w:tcPr>
          <w:p w14:paraId="0ECA43D5" w14:textId="77777777" w:rsidR="003A12BF" w:rsidRPr="003A12BF" w:rsidRDefault="003A12BF" w:rsidP="00F51716">
            <w:pPr>
              <w:pStyle w:val="Tabletext0"/>
            </w:pPr>
            <w:r w:rsidRPr="003A12BF">
              <w:t>Better Commercial Buildings General Funding Agreement - RACV (485-501 Bourke St)</w:t>
            </w:r>
          </w:p>
        </w:tc>
        <w:tc>
          <w:tcPr>
            <w:tcW w:w="1440" w:type="dxa"/>
            <w:noWrap/>
            <w:hideMark/>
          </w:tcPr>
          <w:p w14:paraId="009902BF" w14:textId="77777777" w:rsidR="003A12BF" w:rsidRPr="003A12BF" w:rsidRDefault="003A12BF" w:rsidP="00F51716">
            <w:pPr>
              <w:pStyle w:val="Tabletext0"/>
            </w:pPr>
            <w:r w:rsidRPr="003A12BF">
              <w:t>$20,000.00</w:t>
            </w:r>
          </w:p>
        </w:tc>
      </w:tr>
      <w:tr w:rsidR="003A12BF" w:rsidRPr="003A12BF" w14:paraId="394BD6FD" w14:textId="77777777" w:rsidTr="002D4B7F">
        <w:trPr>
          <w:trHeight w:val="300"/>
        </w:trPr>
        <w:tc>
          <w:tcPr>
            <w:tcW w:w="2977" w:type="dxa"/>
            <w:noWrap/>
            <w:hideMark/>
          </w:tcPr>
          <w:p w14:paraId="08246A06" w14:textId="77777777" w:rsidR="003A12BF" w:rsidRPr="003A12BF" w:rsidRDefault="003A12BF" w:rsidP="00F51716">
            <w:pPr>
              <w:pStyle w:val="Tabletext0"/>
            </w:pPr>
            <w:r w:rsidRPr="003A12BF">
              <w:t>RACV</w:t>
            </w:r>
          </w:p>
        </w:tc>
        <w:tc>
          <w:tcPr>
            <w:tcW w:w="4481" w:type="dxa"/>
            <w:noWrap/>
            <w:hideMark/>
          </w:tcPr>
          <w:p w14:paraId="78040F40" w14:textId="77777777" w:rsidR="003A12BF" w:rsidRPr="003A12BF" w:rsidRDefault="003A12BF" w:rsidP="00F51716">
            <w:pPr>
              <w:pStyle w:val="Tabletext0"/>
            </w:pPr>
            <w:r w:rsidRPr="003A12BF">
              <w:t>Better Commercial Buildings General Funding Agreement - RACV (485-501 Bourke St)</w:t>
            </w:r>
          </w:p>
        </w:tc>
        <w:tc>
          <w:tcPr>
            <w:tcW w:w="1440" w:type="dxa"/>
            <w:noWrap/>
            <w:hideMark/>
          </w:tcPr>
          <w:p w14:paraId="4ECA131B" w14:textId="77777777" w:rsidR="003A12BF" w:rsidRPr="003A12BF" w:rsidRDefault="003A12BF" w:rsidP="00F51716">
            <w:pPr>
              <w:pStyle w:val="Tabletext0"/>
            </w:pPr>
            <w:r w:rsidRPr="003A12BF">
              <w:t>$5,000.00</w:t>
            </w:r>
          </w:p>
        </w:tc>
      </w:tr>
      <w:tr w:rsidR="003A12BF" w:rsidRPr="003A12BF" w14:paraId="71014524" w14:textId="77777777" w:rsidTr="002D4B7F">
        <w:trPr>
          <w:trHeight w:val="300"/>
        </w:trPr>
        <w:tc>
          <w:tcPr>
            <w:tcW w:w="2977" w:type="dxa"/>
            <w:noWrap/>
            <w:hideMark/>
          </w:tcPr>
          <w:p w14:paraId="2D837C22" w14:textId="77777777" w:rsidR="003A12BF" w:rsidRPr="003A12BF" w:rsidRDefault="003A12BF" w:rsidP="00F51716">
            <w:pPr>
              <w:pStyle w:val="Tabletext0"/>
            </w:pPr>
            <w:r w:rsidRPr="003A12BF">
              <w:t>RACV</w:t>
            </w:r>
          </w:p>
        </w:tc>
        <w:tc>
          <w:tcPr>
            <w:tcW w:w="4481" w:type="dxa"/>
            <w:noWrap/>
            <w:hideMark/>
          </w:tcPr>
          <w:p w14:paraId="283DDE20" w14:textId="77777777" w:rsidR="003A12BF" w:rsidRPr="003A12BF" w:rsidRDefault="003A12BF" w:rsidP="00F51716">
            <w:pPr>
              <w:pStyle w:val="Tabletext0"/>
            </w:pPr>
            <w:r w:rsidRPr="003A12BF">
              <w:t>Better Commercial Buildings General Funding Agreement - RACV (Eagle House)</w:t>
            </w:r>
          </w:p>
        </w:tc>
        <w:tc>
          <w:tcPr>
            <w:tcW w:w="1440" w:type="dxa"/>
            <w:noWrap/>
            <w:hideMark/>
          </w:tcPr>
          <w:p w14:paraId="687F26D2" w14:textId="77777777" w:rsidR="003A12BF" w:rsidRPr="003A12BF" w:rsidRDefault="003A12BF" w:rsidP="00F51716">
            <w:pPr>
              <w:pStyle w:val="Tabletext0"/>
            </w:pPr>
            <w:r w:rsidRPr="003A12BF">
              <w:t>$5,000.00</w:t>
            </w:r>
          </w:p>
        </w:tc>
      </w:tr>
      <w:tr w:rsidR="003A12BF" w:rsidRPr="003A12BF" w14:paraId="4D2C68EC" w14:textId="77777777" w:rsidTr="002D4B7F">
        <w:trPr>
          <w:trHeight w:val="300"/>
        </w:trPr>
        <w:tc>
          <w:tcPr>
            <w:tcW w:w="2977" w:type="dxa"/>
            <w:noWrap/>
            <w:hideMark/>
          </w:tcPr>
          <w:p w14:paraId="58C663C6" w14:textId="77777777" w:rsidR="003A12BF" w:rsidRPr="003A12BF" w:rsidRDefault="003A12BF" w:rsidP="00F51716">
            <w:pPr>
              <w:pStyle w:val="Tabletext0"/>
            </w:pPr>
            <w:r w:rsidRPr="003A12BF">
              <w:t>RACV</w:t>
            </w:r>
          </w:p>
        </w:tc>
        <w:tc>
          <w:tcPr>
            <w:tcW w:w="4481" w:type="dxa"/>
            <w:noWrap/>
            <w:hideMark/>
          </w:tcPr>
          <w:p w14:paraId="4DEE79C5" w14:textId="77777777" w:rsidR="003A12BF" w:rsidRPr="003A12BF" w:rsidRDefault="003A12BF" w:rsidP="00F51716">
            <w:pPr>
              <w:pStyle w:val="Tabletext0"/>
            </w:pPr>
            <w:r w:rsidRPr="003A12BF">
              <w:t>Better Commercial Buildings General Funding Agreement - RACV (Noble Park)</w:t>
            </w:r>
          </w:p>
        </w:tc>
        <w:tc>
          <w:tcPr>
            <w:tcW w:w="1440" w:type="dxa"/>
            <w:noWrap/>
            <w:hideMark/>
          </w:tcPr>
          <w:p w14:paraId="50C26869" w14:textId="77777777" w:rsidR="003A12BF" w:rsidRPr="003A12BF" w:rsidRDefault="003A12BF" w:rsidP="00F51716">
            <w:pPr>
              <w:pStyle w:val="Tabletext0"/>
            </w:pPr>
            <w:r w:rsidRPr="003A12BF">
              <w:t>$5,000.00</w:t>
            </w:r>
          </w:p>
        </w:tc>
      </w:tr>
      <w:tr w:rsidR="003A12BF" w:rsidRPr="003A12BF" w14:paraId="2098414F" w14:textId="77777777" w:rsidTr="002D4B7F">
        <w:trPr>
          <w:trHeight w:val="300"/>
        </w:trPr>
        <w:tc>
          <w:tcPr>
            <w:tcW w:w="2977" w:type="dxa"/>
            <w:noWrap/>
            <w:hideMark/>
          </w:tcPr>
          <w:p w14:paraId="3BC20B56" w14:textId="77777777" w:rsidR="003A12BF" w:rsidRPr="003A12BF" w:rsidRDefault="003A12BF" w:rsidP="00F51716">
            <w:pPr>
              <w:pStyle w:val="Tabletext0"/>
            </w:pPr>
            <w:r w:rsidRPr="003A12BF">
              <w:t>BMG United Investments Pty Ltd</w:t>
            </w:r>
          </w:p>
        </w:tc>
        <w:tc>
          <w:tcPr>
            <w:tcW w:w="4481" w:type="dxa"/>
            <w:noWrap/>
            <w:hideMark/>
          </w:tcPr>
          <w:p w14:paraId="1E39C7C6" w14:textId="77777777" w:rsidR="003A12BF" w:rsidRPr="003A12BF" w:rsidRDefault="003A12BF" w:rsidP="00F51716">
            <w:pPr>
              <w:pStyle w:val="Tabletext0"/>
            </w:pPr>
            <w:r w:rsidRPr="003A12BF">
              <w:t>Better Commercial Buildings General Funding Agreement - BMG United Investments</w:t>
            </w:r>
          </w:p>
        </w:tc>
        <w:tc>
          <w:tcPr>
            <w:tcW w:w="1440" w:type="dxa"/>
            <w:noWrap/>
            <w:hideMark/>
          </w:tcPr>
          <w:p w14:paraId="29B1AF21" w14:textId="77777777" w:rsidR="003A12BF" w:rsidRPr="003A12BF" w:rsidRDefault="003A12BF" w:rsidP="00F51716">
            <w:pPr>
              <w:pStyle w:val="Tabletext0"/>
            </w:pPr>
            <w:r w:rsidRPr="003A12BF">
              <w:t>$20,000.00</w:t>
            </w:r>
          </w:p>
        </w:tc>
      </w:tr>
      <w:tr w:rsidR="003A12BF" w:rsidRPr="003A12BF" w14:paraId="7BD58E63" w14:textId="77777777" w:rsidTr="002D4B7F">
        <w:trPr>
          <w:trHeight w:val="300"/>
        </w:trPr>
        <w:tc>
          <w:tcPr>
            <w:tcW w:w="2977" w:type="dxa"/>
            <w:noWrap/>
            <w:hideMark/>
          </w:tcPr>
          <w:p w14:paraId="0C0E2FA5" w14:textId="77777777" w:rsidR="003A12BF" w:rsidRPr="003A12BF" w:rsidRDefault="003A12BF" w:rsidP="00F51716">
            <w:pPr>
              <w:pStyle w:val="Tabletext0"/>
            </w:pPr>
            <w:r w:rsidRPr="003A12BF">
              <w:t>BMG United Investments Pty Ltd</w:t>
            </w:r>
          </w:p>
        </w:tc>
        <w:tc>
          <w:tcPr>
            <w:tcW w:w="4481" w:type="dxa"/>
            <w:noWrap/>
            <w:hideMark/>
          </w:tcPr>
          <w:p w14:paraId="17468C69" w14:textId="77777777" w:rsidR="003A12BF" w:rsidRPr="003A12BF" w:rsidRDefault="003A12BF" w:rsidP="00F51716">
            <w:pPr>
              <w:pStyle w:val="Tabletext0"/>
            </w:pPr>
            <w:r w:rsidRPr="003A12BF">
              <w:t>Better Commercial Buildings General Funding Agreement - BMG United Investments</w:t>
            </w:r>
          </w:p>
        </w:tc>
        <w:tc>
          <w:tcPr>
            <w:tcW w:w="1440" w:type="dxa"/>
            <w:noWrap/>
            <w:hideMark/>
          </w:tcPr>
          <w:p w14:paraId="088545DB" w14:textId="77777777" w:rsidR="003A12BF" w:rsidRPr="003A12BF" w:rsidRDefault="003A12BF" w:rsidP="00F51716">
            <w:pPr>
              <w:pStyle w:val="Tabletext0"/>
            </w:pPr>
            <w:r w:rsidRPr="003A12BF">
              <w:t>$5,000.00</w:t>
            </w:r>
          </w:p>
        </w:tc>
      </w:tr>
      <w:tr w:rsidR="003A12BF" w:rsidRPr="003A12BF" w14:paraId="229B9B8F" w14:textId="77777777" w:rsidTr="002D4B7F">
        <w:trPr>
          <w:trHeight w:val="300"/>
        </w:trPr>
        <w:tc>
          <w:tcPr>
            <w:tcW w:w="2977" w:type="dxa"/>
            <w:noWrap/>
            <w:hideMark/>
          </w:tcPr>
          <w:p w14:paraId="4AC47622" w14:textId="77777777" w:rsidR="003A12BF" w:rsidRPr="003A12BF" w:rsidRDefault="003A12BF" w:rsidP="00F51716">
            <w:pPr>
              <w:pStyle w:val="Tabletext0"/>
            </w:pPr>
            <w:r w:rsidRPr="003A12BF">
              <w:t>616 St Kilda Joint Venture</w:t>
            </w:r>
          </w:p>
        </w:tc>
        <w:tc>
          <w:tcPr>
            <w:tcW w:w="4481" w:type="dxa"/>
            <w:noWrap/>
            <w:hideMark/>
          </w:tcPr>
          <w:p w14:paraId="6DF4CE17" w14:textId="77777777" w:rsidR="003A12BF" w:rsidRPr="003A12BF" w:rsidRDefault="003A12BF" w:rsidP="00F51716">
            <w:pPr>
              <w:pStyle w:val="Tabletext0"/>
            </w:pPr>
            <w:r w:rsidRPr="003A12BF">
              <w:t>Better Commercial Buildings General Funding Agreement - Primewest-607 Bourke Street</w:t>
            </w:r>
          </w:p>
        </w:tc>
        <w:tc>
          <w:tcPr>
            <w:tcW w:w="1440" w:type="dxa"/>
            <w:noWrap/>
            <w:hideMark/>
          </w:tcPr>
          <w:p w14:paraId="63933D18" w14:textId="77777777" w:rsidR="003A12BF" w:rsidRPr="003A12BF" w:rsidRDefault="003A12BF" w:rsidP="00F51716">
            <w:pPr>
              <w:pStyle w:val="Tabletext0"/>
            </w:pPr>
            <w:r w:rsidRPr="003A12BF">
              <w:t>$5,000.00</w:t>
            </w:r>
          </w:p>
        </w:tc>
      </w:tr>
      <w:tr w:rsidR="003A12BF" w:rsidRPr="003A12BF" w14:paraId="1E54D772" w14:textId="77777777" w:rsidTr="002D4B7F">
        <w:trPr>
          <w:trHeight w:val="300"/>
        </w:trPr>
        <w:tc>
          <w:tcPr>
            <w:tcW w:w="2977" w:type="dxa"/>
            <w:noWrap/>
            <w:hideMark/>
          </w:tcPr>
          <w:p w14:paraId="46AB8E9F" w14:textId="77777777" w:rsidR="003A12BF" w:rsidRPr="003A12BF" w:rsidRDefault="003A12BF" w:rsidP="00F51716">
            <w:pPr>
              <w:pStyle w:val="Tabletext0"/>
            </w:pPr>
            <w:r w:rsidRPr="003A12BF">
              <w:t>CBM Australia</w:t>
            </w:r>
          </w:p>
        </w:tc>
        <w:tc>
          <w:tcPr>
            <w:tcW w:w="4481" w:type="dxa"/>
            <w:noWrap/>
            <w:hideMark/>
          </w:tcPr>
          <w:p w14:paraId="3E8B4327" w14:textId="77777777" w:rsidR="003A12BF" w:rsidRPr="003A12BF" w:rsidRDefault="003A12BF" w:rsidP="00F51716">
            <w:pPr>
              <w:pStyle w:val="Tabletext0"/>
            </w:pPr>
            <w:r w:rsidRPr="003A12BF">
              <w:t>Better Commercial Buildings General Funding Agreement - CBM Australia</w:t>
            </w:r>
          </w:p>
        </w:tc>
        <w:tc>
          <w:tcPr>
            <w:tcW w:w="1440" w:type="dxa"/>
            <w:noWrap/>
            <w:hideMark/>
          </w:tcPr>
          <w:p w14:paraId="7F9BFD64" w14:textId="77777777" w:rsidR="003A12BF" w:rsidRPr="003A12BF" w:rsidRDefault="003A12BF" w:rsidP="00F51716">
            <w:pPr>
              <w:pStyle w:val="Tabletext0"/>
            </w:pPr>
            <w:r w:rsidRPr="003A12BF">
              <w:t>$5,000.00</w:t>
            </w:r>
          </w:p>
        </w:tc>
      </w:tr>
      <w:tr w:rsidR="003A12BF" w:rsidRPr="003A12BF" w14:paraId="662B918F" w14:textId="77777777" w:rsidTr="002D4B7F">
        <w:trPr>
          <w:trHeight w:val="300"/>
        </w:trPr>
        <w:tc>
          <w:tcPr>
            <w:tcW w:w="2977" w:type="dxa"/>
            <w:noWrap/>
            <w:hideMark/>
          </w:tcPr>
          <w:p w14:paraId="37D9FC78" w14:textId="77777777" w:rsidR="003A12BF" w:rsidRPr="003A12BF" w:rsidRDefault="003A12BF" w:rsidP="00F51716">
            <w:pPr>
              <w:pStyle w:val="Tabletext0"/>
            </w:pPr>
            <w:r w:rsidRPr="003A12BF">
              <w:t>Globe International</w:t>
            </w:r>
          </w:p>
        </w:tc>
        <w:tc>
          <w:tcPr>
            <w:tcW w:w="4481" w:type="dxa"/>
            <w:noWrap/>
            <w:hideMark/>
          </w:tcPr>
          <w:p w14:paraId="40B74915" w14:textId="77777777" w:rsidR="003A12BF" w:rsidRPr="003A12BF" w:rsidRDefault="003A12BF" w:rsidP="00F51716">
            <w:pPr>
              <w:pStyle w:val="Tabletext0"/>
            </w:pPr>
            <w:r w:rsidRPr="003A12BF">
              <w:t>Better Commercial Buildings - Globe International Ltd</w:t>
            </w:r>
          </w:p>
        </w:tc>
        <w:tc>
          <w:tcPr>
            <w:tcW w:w="1440" w:type="dxa"/>
            <w:noWrap/>
            <w:hideMark/>
          </w:tcPr>
          <w:p w14:paraId="527B7B07" w14:textId="77777777" w:rsidR="003A12BF" w:rsidRPr="003A12BF" w:rsidRDefault="003A12BF" w:rsidP="00F51716">
            <w:pPr>
              <w:pStyle w:val="Tabletext0"/>
            </w:pPr>
            <w:r w:rsidRPr="003A12BF">
              <w:t>$6,665.00</w:t>
            </w:r>
          </w:p>
        </w:tc>
      </w:tr>
      <w:tr w:rsidR="003A12BF" w:rsidRPr="003A12BF" w14:paraId="4E38C9E3" w14:textId="77777777" w:rsidTr="002D4B7F">
        <w:trPr>
          <w:trHeight w:val="300"/>
        </w:trPr>
        <w:tc>
          <w:tcPr>
            <w:tcW w:w="2977" w:type="dxa"/>
            <w:noWrap/>
            <w:hideMark/>
          </w:tcPr>
          <w:p w14:paraId="307C08DF" w14:textId="77777777" w:rsidR="003A12BF" w:rsidRPr="003A12BF" w:rsidRDefault="003A12BF" w:rsidP="00F51716">
            <w:pPr>
              <w:pStyle w:val="Tabletext0"/>
            </w:pPr>
            <w:r w:rsidRPr="003A12BF">
              <w:t>*Garda Capital Limited as RE for GDF</w:t>
            </w:r>
          </w:p>
        </w:tc>
        <w:tc>
          <w:tcPr>
            <w:tcW w:w="4481" w:type="dxa"/>
            <w:noWrap/>
            <w:hideMark/>
          </w:tcPr>
          <w:p w14:paraId="216D1866" w14:textId="77777777" w:rsidR="003A12BF" w:rsidRPr="003A12BF" w:rsidRDefault="003A12BF" w:rsidP="00F51716">
            <w:pPr>
              <w:pStyle w:val="Tabletext0"/>
            </w:pPr>
            <w:r w:rsidRPr="003A12BF">
              <w:t>Better Commercial Buildings - Garda - 436 Elgar Rd Box Hill</w:t>
            </w:r>
          </w:p>
        </w:tc>
        <w:tc>
          <w:tcPr>
            <w:tcW w:w="1440" w:type="dxa"/>
            <w:noWrap/>
            <w:hideMark/>
          </w:tcPr>
          <w:p w14:paraId="714DBC2C" w14:textId="77777777" w:rsidR="003A12BF" w:rsidRPr="003A12BF" w:rsidRDefault="003A12BF" w:rsidP="00F51716">
            <w:pPr>
              <w:pStyle w:val="Tabletext0"/>
            </w:pPr>
            <w:r w:rsidRPr="003A12BF">
              <w:t>$20,000.00</w:t>
            </w:r>
          </w:p>
        </w:tc>
      </w:tr>
      <w:tr w:rsidR="003A12BF" w:rsidRPr="003A12BF" w14:paraId="68145F1B" w14:textId="77777777" w:rsidTr="002D4B7F">
        <w:trPr>
          <w:trHeight w:val="300"/>
        </w:trPr>
        <w:tc>
          <w:tcPr>
            <w:tcW w:w="2977" w:type="dxa"/>
            <w:noWrap/>
            <w:hideMark/>
          </w:tcPr>
          <w:p w14:paraId="73A5E480" w14:textId="77777777" w:rsidR="003A12BF" w:rsidRPr="003A12BF" w:rsidRDefault="003A12BF" w:rsidP="00F51716">
            <w:pPr>
              <w:pStyle w:val="Tabletext0"/>
            </w:pPr>
            <w:r w:rsidRPr="003A12BF">
              <w:t>*Garda Capital Limited as RE for GDF</w:t>
            </w:r>
          </w:p>
        </w:tc>
        <w:tc>
          <w:tcPr>
            <w:tcW w:w="4481" w:type="dxa"/>
            <w:noWrap/>
            <w:hideMark/>
          </w:tcPr>
          <w:p w14:paraId="3E3BF6F0" w14:textId="77777777" w:rsidR="003A12BF" w:rsidRPr="003A12BF" w:rsidRDefault="003A12BF" w:rsidP="00F51716">
            <w:pPr>
              <w:pStyle w:val="Tabletext0"/>
            </w:pPr>
            <w:r w:rsidRPr="003A12BF">
              <w:t>Better Commercial Buildings - Garda - 436 Elgar Rd Box Hill</w:t>
            </w:r>
          </w:p>
        </w:tc>
        <w:tc>
          <w:tcPr>
            <w:tcW w:w="1440" w:type="dxa"/>
            <w:noWrap/>
            <w:hideMark/>
          </w:tcPr>
          <w:p w14:paraId="1D7D3985" w14:textId="77777777" w:rsidR="003A12BF" w:rsidRPr="003A12BF" w:rsidRDefault="003A12BF" w:rsidP="00F51716">
            <w:pPr>
              <w:pStyle w:val="Tabletext0"/>
            </w:pPr>
            <w:r w:rsidRPr="003A12BF">
              <w:t>$5,000.00</w:t>
            </w:r>
          </w:p>
        </w:tc>
      </w:tr>
      <w:tr w:rsidR="003A12BF" w:rsidRPr="003A12BF" w14:paraId="6E783962" w14:textId="77777777" w:rsidTr="002D4B7F">
        <w:trPr>
          <w:trHeight w:val="300"/>
        </w:trPr>
        <w:tc>
          <w:tcPr>
            <w:tcW w:w="2977" w:type="dxa"/>
            <w:noWrap/>
            <w:hideMark/>
          </w:tcPr>
          <w:p w14:paraId="70918D0F" w14:textId="77777777" w:rsidR="003A12BF" w:rsidRPr="003A12BF" w:rsidRDefault="003A12BF" w:rsidP="00F51716">
            <w:pPr>
              <w:pStyle w:val="Tabletext0"/>
            </w:pPr>
            <w:r w:rsidRPr="003A12BF">
              <w:t>Mirvac Commercial Sub SPV Pty Ltd</w:t>
            </w:r>
          </w:p>
        </w:tc>
        <w:tc>
          <w:tcPr>
            <w:tcW w:w="4481" w:type="dxa"/>
            <w:noWrap/>
            <w:hideMark/>
          </w:tcPr>
          <w:p w14:paraId="1ADD7B20" w14:textId="77777777" w:rsidR="003A12BF" w:rsidRPr="003A12BF" w:rsidRDefault="003A12BF" w:rsidP="00F51716">
            <w:pPr>
              <w:pStyle w:val="Tabletext0"/>
            </w:pPr>
            <w:r w:rsidRPr="003A12BF">
              <w:t>Better Commercial Buildings - Mirvac - 367 Collins St</w:t>
            </w:r>
          </w:p>
        </w:tc>
        <w:tc>
          <w:tcPr>
            <w:tcW w:w="1440" w:type="dxa"/>
            <w:noWrap/>
            <w:hideMark/>
          </w:tcPr>
          <w:p w14:paraId="3DC94C13" w14:textId="77777777" w:rsidR="003A12BF" w:rsidRPr="003A12BF" w:rsidRDefault="003A12BF" w:rsidP="00F51716">
            <w:pPr>
              <w:pStyle w:val="Tabletext0"/>
            </w:pPr>
            <w:r w:rsidRPr="003A12BF">
              <w:t>$20,000.00</w:t>
            </w:r>
          </w:p>
        </w:tc>
      </w:tr>
      <w:tr w:rsidR="003A12BF" w:rsidRPr="003A12BF" w14:paraId="4C31AF8B" w14:textId="77777777" w:rsidTr="002D4B7F">
        <w:trPr>
          <w:trHeight w:val="300"/>
        </w:trPr>
        <w:tc>
          <w:tcPr>
            <w:tcW w:w="2977" w:type="dxa"/>
            <w:noWrap/>
            <w:hideMark/>
          </w:tcPr>
          <w:p w14:paraId="153E658E" w14:textId="77777777" w:rsidR="003A12BF" w:rsidRPr="003A12BF" w:rsidRDefault="003A12BF" w:rsidP="00F51716">
            <w:pPr>
              <w:pStyle w:val="Tabletext0"/>
            </w:pPr>
            <w:r w:rsidRPr="003A12BF">
              <w:t>Amora Hotel Riverwalk</w:t>
            </w:r>
          </w:p>
        </w:tc>
        <w:tc>
          <w:tcPr>
            <w:tcW w:w="4481" w:type="dxa"/>
            <w:noWrap/>
            <w:hideMark/>
          </w:tcPr>
          <w:p w14:paraId="15CAC34B" w14:textId="77777777" w:rsidR="003A12BF" w:rsidRPr="003A12BF" w:rsidRDefault="003A12BF" w:rsidP="00F51716">
            <w:pPr>
              <w:pStyle w:val="Tabletext0"/>
            </w:pPr>
            <w:r w:rsidRPr="003A12BF">
              <w:t>Better Commercial Buildings - Amora Hotel - 649 Bridge Rd Richmond</w:t>
            </w:r>
          </w:p>
        </w:tc>
        <w:tc>
          <w:tcPr>
            <w:tcW w:w="1440" w:type="dxa"/>
            <w:noWrap/>
            <w:hideMark/>
          </w:tcPr>
          <w:p w14:paraId="1EB2CB65" w14:textId="77777777" w:rsidR="003A12BF" w:rsidRPr="003A12BF" w:rsidRDefault="003A12BF" w:rsidP="00F51716">
            <w:pPr>
              <w:pStyle w:val="Tabletext0"/>
            </w:pPr>
            <w:r w:rsidRPr="003A12BF">
              <w:t>$4,545.45</w:t>
            </w:r>
          </w:p>
        </w:tc>
      </w:tr>
      <w:tr w:rsidR="003A12BF" w:rsidRPr="003A12BF" w14:paraId="27DB85B1" w14:textId="77777777" w:rsidTr="002D4B7F">
        <w:trPr>
          <w:trHeight w:val="300"/>
        </w:trPr>
        <w:tc>
          <w:tcPr>
            <w:tcW w:w="2977" w:type="dxa"/>
            <w:noWrap/>
            <w:hideMark/>
          </w:tcPr>
          <w:p w14:paraId="292836C6" w14:textId="77777777" w:rsidR="003A12BF" w:rsidRPr="003A12BF" w:rsidRDefault="003A12BF" w:rsidP="00F51716">
            <w:pPr>
              <w:pStyle w:val="Tabletext0"/>
            </w:pPr>
            <w:r w:rsidRPr="003A12BF">
              <w:t>Yarra Valley Lodge Pty Ltd</w:t>
            </w:r>
          </w:p>
        </w:tc>
        <w:tc>
          <w:tcPr>
            <w:tcW w:w="4481" w:type="dxa"/>
            <w:noWrap/>
            <w:hideMark/>
          </w:tcPr>
          <w:p w14:paraId="06CA0427" w14:textId="77777777" w:rsidR="003A12BF" w:rsidRPr="003A12BF" w:rsidRDefault="003A12BF" w:rsidP="00F51716">
            <w:pPr>
              <w:pStyle w:val="Tabletext0"/>
            </w:pPr>
            <w:r w:rsidRPr="003A12BF">
              <w:t>Better Commercial Buildings - Yarra Valley Lodge - 22 Heritage Ave Chirnside Park</w:t>
            </w:r>
          </w:p>
        </w:tc>
        <w:tc>
          <w:tcPr>
            <w:tcW w:w="1440" w:type="dxa"/>
            <w:noWrap/>
            <w:hideMark/>
          </w:tcPr>
          <w:p w14:paraId="0F0E04D1" w14:textId="77777777" w:rsidR="003A12BF" w:rsidRPr="003A12BF" w:rsidRDefault="003A12BF" w:rsidP="00F51716">
            <w:pPr>
              <w:pStyle w:val="Tabletext0"/>
            </w:pPr>
            <w:r w:rsidRPr="003A12BF">
              <w:t>$5,000.00</w:t>
            </w:r>
          </w:p>
        </w:tc>
      </w:tr>
      <w:tr w:rsidR="003A12BF" w:rsidRPr="003A12BF" w14:paraId="3FC4D54E" w14:textId="77777777" w:rsidTr="002D4B7F">
        <w:trPr>
          <w:trHeight w:val="300"/>
        </w:trPr>
        <w:tc>
          <w:tcPr>
            <w:tcW w:w="2977" w:type="dxa"/>
            <w:noWrap/>
            <w:hideMark/>
          </w:tcPr>
          <w:p w14:paraId="2BA4A0E2" w14:textId="77777777" w:rsidR="003A12BF" w:rsidRPr="003A12BF" w:rsidRDefault="003A12BF" w:rsidP="00F51716">
            <w:pPr>
              <w:pStyle w:val="Tabletext0"/>
            </w:pPr>
            <w:r w:rsidRPr="003A12BF">
              <w:t>Jones Lang Lasalle</w:t>
            </w:r>
          </w:p>
        </w:tc>
        <w:tc>
          <w:tcPr>
            <w:tcW w:w="4481" w:type="dxa"/>
            <w:noWrap/>
            <w:hideMark/>
          </w:tcPr>
          <w:p w14:paraId="65BCBFD0" w14:textId="77777777" w:rsidR="003A12BF" w:rsidRPr="003A12BF" w:rsidRDefault="003A12BF" w:rsidP="00F51716">
            <w:pPr>
              <w:pStyle w:val="Tabletext0"/>
            </w:pPr>
            <w:r w:rsidRPr="003A12BF">
              <w:t>Endeavour Hills Shopping Centre - Better Commercial Buildings Funding Agreement</w:t>
            </w:r>
          </w:p>
        </w:tc>
        <w:tc>
          <w:tcPr>
            <w:tcW w:w="1440" w:type="dxa"/>
            <w:noWrap/>
            <w:hideMark/>
          </w:tcPr>
          <w:p w14:paraId="151773DE" w14:textId="77777777" w:rsidR="003A12BF" w:rsidRPr="003A12BF" w:rsidRDefault="003A12BF" w:rsidP="00F51716">
            <w:pPr>
              <w:pStyle w:val="Tabletext0"/>
            </w:pPr>
            <w:r w:rsidRPr="003A12BF">
              <w:t>$5,000.00</w:t>
            </w:r>
          </w:p>
        </w:tc>
      </w:tr>
      <w:tr w:rsidR="003A12BF" w:rsidRPr="003A12BF" w14:paraId="76D61CEA" w14:textId="77777777" w:rsidTr="002D4B7F">
        <w:trPr>
          <w:trHeight w:val="300"/>
        </w:trPr>
        <w:tc>
          <w:tcPr>
            <w:tcW w:w="2977" w:type="dxa"/>
            <w:noWrap/>
            <w:hideMark/>
          </w:tcPr>
          <w:p w14:paraId="7D37DA03" w14:textId="77777777" w:rsidR="003A12BF" w:rsidRPr="003A12BF" w:rsidRDefault="003A12BF" w:rsidP="00F51716">
            <w:pPr>
              <w:pStyle w:val="Tabletext0"/>
            </w:pPr>
            <w:r w:rsidRPr="003A12BF">
              <w:t>Jones Lang Lasalle</w:t>
            </w:r>
          </w:p>
        </w:tc>
        <w:tc>
          <w:tcPr>
            <w:tcW w:w="4481" w:type="dxa"/>
            <w:noWrap/>
            <w:hideMark/>
          </w:tcPr>
          <w:p w14:paraId="62B3ACA2" w14:textId="77777777" w:rsidR="003A12BF" w:rsidRPr="003A12BF" w:rsidRDefault="003A12BF" w:rsidP="00F51716">
            <w:pPr>
              <w:pStyle w:val="Tabletext0"/>
            </w:pPr>
            <w:r w:rsidRPr="003A12BF">
              <w:t>Endeavour Hills Shopping Centre - Better Commercial Buildings Funding Agreement</w:t>
            </w:r>
          </w:p>
        </w:tc>
        <w:tc>
          <w:tcPr>
            <w:tcW w:w="1440" w:type="dxa"/>
            <w:noWrap/>
            <w:hideMark/>
          </w:tcPr>
          <w:p w14:paraId="21F2B352" w14:textId="77777777" w:rsidR="003A12BF" w:rsidRPr="003A12BF" w:rsidRDefault="003A12BF" w:rsidP="00F51716">
            <w:pPr>
              <w:pStyle w:val="Tabletext0"/>
            </w:pPr>
            <w:r w:rsidRPr="003A12BF">
              <w:t>$20,000.00</w:t>
            </w:r>
          </w:p>
        </w:tc>
      </w:tr>
      <w:tr w:rsidR="003A12BF" w:rsidRPr="003A12BF" w14:paraId="3E405881" w14:textId="77777777" w:rsidTr="002D4B7F">
        <w:trPr>
          <w:trHeight w:val="300"/>
        </w:trPr>
        <w:tc>
          <w:tcPr>
            <w:tcW w:w="2977" w:type="dxa"/>
            <w:noWrap/>
            <w:hideMark/>
          </w:tcPr>
          <w:p w14:paraId="0F202BD4" w14:textId="77777777" w:rsidR="003A12BF" w:rsidRPr="003A12BF" w:rsidRDefault="003A12BF" w:rsidP="00F51716">
            <w:pPr>
              <w:pStyle w:val="Tabletext0"/>
            </w:pPr>
            <w:r w:rsidRPr="003A12BF">
              <w:t>Swanston Hotel Grand Mercure</w:t>
            </w:r>
          </w:p>
        </w:tc>
        <w:tc>
          <w:tcPr>
            <w:tcW w:w="4481" w:type="dxa"/>
            <w:noWrap/>
            <w:hideMark/>
          </w:tcPr>
          <w:p w14:paraId="603E305E" w14:textId="77777777" w:rsidR="003A12BF" w:rsidRPr="003A12BF" w:rsidRDefault="003A12BF" w:rsidP="00F51716">
            <w:pPr>
              <w:pStyle w:val="Tabletext0"/>
            </w:pPr>
            <w:r w:rsidRPr="003A12BF">
              <w:t>Swanston Hotel Grand Mercure - Better Commercial Buildings Funding Agreement</w:t>
            </w:r>
          </w:p>
        </w:tc>
        <w:tc>
          <w:tcPr>
            <w:tcW w:w="1440" w:type="dxa"/>
            <w:noWrap/>
            <w:hideMark/>
          </w:tcPr>
          <w:p w14:paraId="4CD26382" w14:textId="77777777" w:rsidR="003A12BF" w:rsidRPr="003A12BF" w:rsidRDefault="003A12BF" w:rsidP="00F51716">
            <w:pPr>
              <w:pStyle w:val="Tabletext0"/>
            </w:pPr>
            <w:r w:rsidRPr="003A12BF">
              <w:t>$5,000.00</w:t>
            </w:r>
          </w:p>
        </w:tc>
      </w:tr>
      <w:tr w:rsidR="003A12BF" w:rsidRPr="003A12BF" w14:paraId="4058E6D5" w14:textId="77777777" w:rsidTr="002D4B7F">
        <w:trPr>
          <w:trHeight w:val="300"/>
        </w:trPr>
        <w:tc>
          <w:tcPr>
            <w:tcW w:w="2977" w:type="dxa"/>
            <w:noWrap/>
            <w:hideMark/>
          </w:tcPr>
          <w:p w14:paraId="45902461" w14:textId="77777777" w:rsidR="003A12BF" w:rsidRPr="003A12BF" w:rsidRDefault="003A12BF" w:rsidP="00F51716">
            <w:pPr>
              <w:pStyle w:val="Tabletext0"/>
            </w:pPr>
            <w:r w:rsidRPr="003A12BF">
              <w:t>Swanston Hotel Grand Mercure</w:t>
            </w:r>
          </w:p>
        </w:tc>
        <w:tc>
          <w:tcPr>
            <w:tcW w:w="4481" w:type="dxa"/>
            <w:noWrap/>
            <w:hideMark/>
          </w:tcPr>
          <w:p w14:paraId="45D07D12" w14:textId="77777777" w:rsidR="003A12BF" w:rsidRPr="003A12BF" w:rsidRDefault="003A12BF" w:rsidP="00F51716">
            <w:pPr>
              <w:pStyle w:val="Tabletext0"/>
            </w:pPr>
            <w:r w:rsidRPr="003A12BF">
              <w:t>Swanston Hotel Grand Mercure - Better Commercial Buildings Funding Agreement</w:t>
            </w:r>
          </w:p>
        </w:tc>
        <w:tc>
          <w:tcPr>
            <w:tcW w:w="1440" w:type="dxa"/>
            <w:noWrap/>
            <w:hideMark/>
          </w:tcPr>
          <w:p w14:paraId="6A5B0197" w14:textId="77777777" w:rsidR="003A12BF" w:rsidRPr="003A12BF" w:rsidRDefault="003A12BF" w:rsidP="00F51716">
            <w:pPr>
              <w:pStyle w:val="Tabletext0"/>
            </w:pPr>
            <w:r w:rsidRPr="003A12BF">
              <w:t>$20,000.00</w:t>
            </w:r>
          </w:p>
        </w:tc>
      </w:tr>
      <w:tr w:rsidR="003A12BF" w:rsidRPr="003A12BF" w14:paraId="21CEF58F" w14:textId="77777777" w:rsidTr="002D4B7F">
        <w:trPr>
          <w:trHeight w:val="300"/>
        </w:trPr>
        <w:tc>
          <w:tcPr>
            <w:tcW w:w="2977" w:type="dxa"/>
            <w:noWrap/>
            <w:hideMark/>
          </w:tcPr>
          <w:p w14:paraId="2D9C3F37" w14:textId="77777777" w:rsidR="003A12BF" w:rsidRPr="003A12BF" w:rsidRDefault="003A12BF" w:rsidP="00F51716">
            <w:pPr>
              <w:pStyle w:val="Tabletext0"/>
            </w:pPr>
            <w:r w:rsidRPr="003A12BF">
              <w:t>Mercure Welcome Hotel</w:t>
            </w:r>
          </w:p>
        </w:tc>
        <w:tc>
          <w:tcPr>
            <w:tcW w:w="4481" w:type="dxa"/>
            <w:noWrap/>
            <w:hideMark/>
          </w:tcPr>
          <w:p w14:paraId="5E31DF8B" w14:textId="77777777" w:rsidR="003A12BF" w:rsidRPr="003A12BF" w:rsidRDefault="003A12BF" w:rsidP="00F51716">
            <w:pPr>
              <w:pStyle w:val="Tabletext0"/>
            </w:pPr>
            <w:r w:rsidRPr="003A12BF">
              <w:t>Mercure Welcome Hotel</w:t>
            </w:r>
          </w:p>
        </w:tc>
        <w:tc>
          <w:tcPr>
            <w:tcW w:w="1440" w:type="dxa"/>
            <w:noWrap/>
            <w:hideMark/>
          </w:tcPr>
          <w:p w14:paraId="3A59CB09" w14:textId="77777777" w:rsidR="003A12BF" w:rsidRPr="003A12BF" w:rsidRDefault="003A12BF" w:rsidP="00F51716">
            <w:pPr>
              <w:pStyle w:val="Tabletext0"/>
            </w:pPr>
            <w:r w:rsidRPr="003A12BF">
              <w:t>$5,000.00</w:t>
            </w:r>
          </w:p>
        </w:tc>
      </w:tr>
      <w:tr w:rsidR="003A12BF" w:rsidRPr="003A12BF" w14:paraId="2017EE89" w14:textId="77777777" w:rsidTr="002D4B7F">
        <w:trPr>
          <w:trHeight w:val="300"/>
        </w:trPr>
        <w:tc>
          <w:tcPr>
            <w:tcW w:w="2977" w:type="dxa"/>
            <w:noWrap/>
            <w:hideMark/>
          </w:tcPr>
          <w:p w14:paraId="1BAF27E6" w14:textId="77777777" w:rsidR="003A12BF" w:rsidRPr="003A12BF" w:rsidRDefault="003A12BF" w:rsidP="00F51716">
            <w:pPr>
              <w:pStyle w:val="Tabletext0"/>
            </w:pPr>
            <w:r w:rsidRPr="003A12BF">
              <w:t>Mercure Welcome Hotel</w:t>
            </w:r>
          </w:p>
        </w:tc>
        <w:tc>
          <w:tcPr>
            <w:tcW w:w="4481" w:type="dxa"/>
            <w:noWrap/>
            <w:hideMark/>
          </w:tcPr>
          <w:p w14:paraId="299A57D5" w14:textId="77777777" w:rsidR="003A12BF" w:rsidRPr="003A12BF" w:rsidRDefault="003A12BF" w:rsidP="00F51716">
            <w:pPr>
              <w:pStyle w:val="Tabletext0"/>
            </w:pPr>
            <w:r w:rsidRPr="003A12BF">
              <w:t>Mercure Welcome Hotel</w:t>
            </w:r>
          </w:p>
        </w:tc>
        <w:tc>
          <w:tcPr>
            <w:tcW w:w="1440" w:type="dxa"/>
            <w:noWrap/>
            <w:hideMark/>
          </w:tcPr>
          <w:p w14:paraId="21283F7A" w14:textId="77777777" w:rsidR="003A12BF" w:rsidRPr="003A12BF" w:rsidRDefault="003A12BF" w:rsidP="00F51716">
            <w:pPr>
              <w:pStyle w:val="Tabletext0"/>
            </w:pPr>
            <w:r w:rsidRPr="003A12BF">
              <w:t>$20,000.00</w:t>
            </w:r>
          </w:p>
        </w:tc>
      </w:tr>
      <w:tr w:rsidR="003A12BF" w:rsidRPr="003A12BF" w14:paraId="3DE5F2BC" w14:textId="77777777" w:rsidTr="002D4B7F">
        <w:trPr>
          <w:trHeight w:val="300"/>
        </w:trPr>
        <w:tc>
          <w:tcPr>
            <w:tcW w:w="2977" w:type="dxa"/>
            <w:noWrap/>
            <w:hideMark/>
          </w:tcPr>
          <w:p w14:paraId="5126AE9F" w14:textId="77777777" w:rsidR="003A12BF" w:rsidRPr="003A12BF" w:rsidRDefault="003A12BF" w:rsidP="00F51716">
            <w:pPr>
              <w:pStyle w:val="Tabletext0"/>
            </w:pPr>
            <w:r w:rsidRPr="003A12BF">
              <w:t>Mercure Welcome Hotel</w:t>
            </w:r>
          </w:p>
        </w:tc>
        <w:tc>
          <w:tcPr>
            <w:tcW w:w="4481" w:type="dxa"/>
            <w:noWrap/>
            <w:hideMark/>
          </w:tcPr>
          <w:p w14:paraId="5405F416" w14:textId="77777777" w:rsidR="003A12BF" w:rsidRPr="003A12BF" w:rsidRDefault="003A12BF" w:rsidP="00F51716">
            <w:pPr>
              <w:pStyle w:val="Tabletext0"/>
            </w:pPr>
            <w:r w:rsidRPr="003A12BF">
              <w:t>Mercure Welcome Hotel</w:t>
            </w:r>
          </w:p>
        </w:tc>
        <w:tc>
          <w:tcPr>
            <w:tcW w:w="1440" w:type="dxa"/>
            <w:noWrap/>
            <w:hideMark/>
          </w:tcPr>
          <w:p w14:paraId="0371C02B" w14:textId="77777777" w:rsidR="003A12BF" w:rsidRPr="003A12BF" w:rsidRDefault="003A12BF" w:rsidP="00F51716">
            <w:pPr>
              <w:pStyle w:val="Tabletext0"/>
            </w:pPr>
            <w:r w:rsidRPr="003A12BF">
              <w:t>$5,000.00</w:t>
            </w:r>
          </w:p>
        </w:tc>
      </w:tr>
      <w:tr w:rsidR="003A12BF" w:rsidRPr="003A12BF" w14:paraId="662A846A" w14:textId="77777777" w:rsidTr="002D4B7F">
        <w:trPr>
          <w:trHeight w:val="300"/>
        </w:trPr>
        <w:tc>
          <w:tcPr>
            <w:tcW w:w="2977" w:type="dxa"/>
            <w:noWrap/>
            <w:hideMark/>
          </w:tcPr>
          <w:p w14:paraId="399DEA38" w14:textId="77777777" w:rsidR="003A12BF" w:rsidRPr="003A12BF" w:rsidRDefault="003A12BF" w:rsidP="00F51716">
            <w:pPr>
              <w:pStyle w:val="Tabletext0"/>
            </w:pPr>
            <w:r w:rsidRPr="003A12BF">
              <w:t>Owners Corp #3 Plan of subdivision #428191E</w:t>
            </w:r>
          </w:p>
        </w:tc>
        <w:tc>
          <w:tcPr>
            <w:tcW w:w="4481" w:type="dxa"/>
            <w:noWrap/>
            <w:hideMark/>
          </w:tcPr>
          <w:p w14:paraId="7A2F2A9A" w14:textId="77777777" w:rsidR="003A12BF" w:rsidRPr="003A12BF" w:rsidRDefault="003A12BF" w:rsidP="00F51716">
            <w:pPr>
              <w:pStyle w:val="Tabletext0"/>
            </w:pPr>
            <w:r w:rsidRPr="003A12BF">
              <w:t>140 Burke St - Better Commercial Buildings Funding Agreement</w:t>
            </w:r>
          </w:p>
        </w:tc>
        <w:tc>
          <w:tcPr>
            <w:tcW w:w="1440" w:type="dxa"/>
            <w:noWrap/>
            <w:hideMark/>
          </w:tcPr>
          <w:p w14:paraId="7E8241FD" w14:textId="77777777" w:rsidR="003A12BF" w:rsidRPr="003A12BF" w:rsidRDefault="003A12BF" w:rsidP="00F51716">
            <w:pPr>
              <w:pStyle w:val="Tabletext0"/>
            </w:pPr>
            <w:r w:rsidRPr="003A12BF">
              <w:t>$5,000.00</w:t>
            </w:r>
          </w:p>
        </w:tc>
      </w:tr>
      <w:tr w:rsidR="003A12BF" w:rsidRPr="003A12BF" w14:paraId="64374F4A" w14:textId="77777777" w:rsidTr="002D4B7F">
        <w:trPr>
          <w:trHeight w:val="300"/>
        </w:trPr>
        <w:tc>
          <w:tcPr>
            <w:tcW w:w="2977" w:type="dxa"/>
            <w:noWrap/>
            <w:hideMark/>
          </w:tcPr>
          <w:p w14:paraId="0826B9F1" w14:textId="77777777" w:rsidR="003A12BF" w:rsidRPr="003A12BF" w:rsidRDefault="003A12BF" w:rsidP="00F51716">
            <w:pPr>
              <w:pStyle w:val="Tabletext0"/>
            </w:pPr>
            <w:r w:rsidRPr="003A12BF">
              <w:t>Owners Corp #3 Plan of subdivision #428191E</w:t>
            </w:r>
          </w:p>
        </w:tc>
        <w:tc>
          <w:tcPr>
            <w:tcW w:w="4481" w:type="dxa"/>
            <w:noWrap/>
            <w:hideMark/>
          </w:tcPr>
          <w:p w14:paraId="50B80773" w14:textId="77777777" w:rsidR="003A12BF" w:rsidRPr="003A12BF" w:rsidRDefault="003A12BF" w:rsidP="00F51716">
            <w:pPr>
              <w:pStyle w:val="Tabletext0"/>
            </w:pPr>
            <w:r w:rsidRPr="003A12BF">
              <w:t>140 Burke St - Better Commercial Buildings Funding Agreement</w:t>
            </w:r>
          </w:p>
        </w:tc>
        <w:tc>
          <w:tcPr>
            <w:tcW w:w="1440" w:type="dxa"/>
            <w:noWrap/>
            <w:hideMark/>
          </w:tcPr>
          <w:p w14:paraId="3F02A9C2" w14:textId="77777777" w:rsidR="003A12BF" w:rsidRPr="003A12BF" w:rsidRDefault="003A12BF" w:rsidP="00F51716">
            <w:pPr>
              <w:pStyle w:val="Tabletext0"/>
            </w:pPr>
            <w:r w:rsidRPr="003A12BF">
              <w:t>$20,000.00</w:t>
            </w:r>
          </w:p>
        </w:tc>
      </w:tr>
      <w:tr w:rsidR="003A12BF" w:rsidRPr="003A12BF" w14:paraId="6ADE91F0" w14:textId="77777777" w:rsidTr="002D4B7F">
        <w:trPr>
          <w:trHeight w:val="300"/>
        </w:trPr>
        <w:tc>
          <w:tcPr>
            <w:tcW w:w="2977" w:type="dxa"/>
            <w:noWrap/>
            <w:hideMark/>
          </w:tcPr>
          <w:p w14:paraId="38E9C597" w14:textId="77777777" w:rsidR="003A12BF" w:rsidRPr="003A12BF" w:rsidRDefault="003A12BF" w:rsidP="00F51716">
            <w:pPr>
              <w:pStyle w:val="Tabletext0"/>
            </w:pPr>
            <w:r w:rsidRPr="003A12BF">
              <w:t>Yarra Ranges Shire Council</w:t>
            </w:r>
          </w:p>
        </w:tc>
        <w:tc>
          <w:tcPr>
            <w:tcW w:w="4481" w:type="dxa"/>
            <w:noWrap/>
            <w:hideMark/>
          </w:tcPr>
          <w:p w14:paraId="7B4E076C" w14:textId="77777777" w:rsidR="003A12BF" w:rsidRPr="003A12BF" w:rsidRDefault="003A12BF" w:rsidP="00F51716">
            <w:pPr>
              <w:pStyle w:val="Tabletext0"/>
            </w:pPr>
            <w:r w:rsidRPr="003A12BF">
              <w:t>Healesville CoRE Administration Systems Integration Project &amp; Report</w:t>
            </w:r>
          </w:p>
        </w:tc>
        <w:tc>
          <w:tcPr>
            <w:tcW w:w="1440" w:type="dxa"/>
            <w:noWrap/>
            <w:hideMark/>
          </w:tcPr>
          <w:p w14:paraId="7B7FA4B4" w14:textId="77777777" w:rsidR="003A12BF" w:rsidRPr="003A12BF" w:rsidRDefault="003A12BF" w:rsidP="00F51716">
            <w:pPr>
              <w:pStyle w:val="Tabletext0"/>
            </w:pPr>
            <w:r w:rsidRPr="003A12BF">
              <w:t>$5,000.00</w:t>
            </w:r>
          </w:p>
        </w:tc>
      </w:tr>
      <w:tr w:rsidR="003A12BF" w:rsidRPr="003A12BF" w14:paraId="1C047529" w14:textId="77777777" w:rsidTr="002D4B7F">
        <w:trPr>
          <w:trHeight w:val="300"/>
        </w:trPr>
        <w:tc>
          <w:tcPr>
            <w:tcW w:w="2977" w:type="dxa"/>
            <w:noWrap/>
            <w:hideMark/>
          </w:tcPr>
          <w:p w14:paraId="77918A76" w14:textId="77777777" w:rsidR="003A12BF" w:rsidRPr="003A12BF" w:rsidRDefault="003A12BF" w:rsidP="00F51716">
            <w:pPr>
              <w:pStyle w:val="Tabletext0"/>
            </w:pPr>
            <w:r w:rsidRPr="003A12BF">
              <w:t>Yarra Ranges Shire Council</w:t>
            </w:r>
          </w:p>
        </w:tc>
        <w:tc>
          <w:tcPr>
            <w:tcW w:w="4481" w:type="dxa"/>
            <w:noWrap/>
            <w:hideMark/>
          </w:tcPr>
          <w:p w14:paraId="2579CED3" w14:textId="77777777" w:rsidR="003A12BF" w:rsidRPr="003A12BF" w:rsidRDefault="003A12BF" w:rsidP="00F51716">
            <w:pPr>
              <w:pStyle w:val="Tabletext0"/>
            </w:pPr>
            <w:r w:rsidRPr="003A12BF">
              <w:t>Healesville CoRE Administration Systems Integration Project &amp; Report</w:t>
            </w:r>
          </w:p>
        </w:tc>
        <w:tc>
          <w:tcPr>
            <w:tcW w:w="1440" w:type="dxa"/>
            <w:noWrap/>
            <w:hideMark/>
          </w:tcPr>
          <w:p w14:paraId="4D00352A" w14:textId="77777777" w:rsidR="003A12BF" w:rsidRPr="003A12BF" w:rsidRDefault="003A12BF" w:rsidP="00F51716">
            <w:pPr>
              <w:pStyle w:val="Tabletext0"/>
            </w:pPr>
            <w:r w:rsidRPr="003A12BF">
              <w:t>$5,000.00</w:t>
            </w:r>
          </w:p>
        </w:tc>
      </w:tr>
      <w:tr w:rsidR="003A12BF" w:rsidRPr="003A12BF" w14:paraId="20EE9105" w14:textId="77777777" w:rsidTr="002D4B7F">
        <w:trPr>
          <w:trHeight w:val="300"/>
        </w:trPr>
        <w:tc>
          <w:tcPr>
            <w:tcW w:w="2977" w:type="dxa"/>
            <w:noWrap/>
            <w:hideMark/>
          </w:tcPr>
          <w:p w14:paraId="720F64C2" w14:textId="77777777" w:rsidR="003A12BF" w:rsidRPr="003A12BF" w:rsidRDefault="003A12BF" w:rsidP="00F51716">
            <w:pPr>
              <w:pStyle w:val="Tabletext0"/>
            </w:pPr>
            <w:r w:rsidRPr="003A12BF">
              <w:t>Mount Alexander Shire Council</w:t>
            </w:r>
          </w:p>
        </w:tc>
        <w:tc>
          <w:tcPr>
            <w:tcW w:w="4481" w:type="dxa"/>
            <w:noWrap/>
            <w:hideMark/>
          </w:tcPr>
          <w:p w14:paraId="53994F86" w14:textId="77777777" w:rsidR="003A12BF" w:rsidRPr="003A12BF" w:rsidRDefault="003A12BF" w:rsidP="00F51716">
            <w:pPr>
              <w:pStyle w:val="Tabletext0"/>
            </w:pPr>
            <w:r w:rsidRPr="003A12BF">
              <w:t>Mount Alexander Shire Community Transition Plan (Stage 1)</w:t>
            </w:r>
          </w:p>
        </w:tc>
        <w:tc>
          <w:tcPr>
            <w:tcW w:w="1440" w:type="dxa"/>
            <w:noWrap/>
            <w:hideMark/>
          </w:tcPr>
          <w:p w14:paraId="3B8CBAFF" w14:textId="77777777" w:rsidR="003A12BF" w:rsidRPr="003A12BF" w:rsidRDefault="003A12BF" w:rsidP="00F51716">
            <w:pPr>
              <w:pStyle w:val="Tabletext0"/>
            </w:pPr>
            <w:r w:rsidRPr="003A12BF">
              <w:t>$5,500.00</w:t>
            </w:r>
          </w:p>
        </w:tc>
      </w:tr>
      <w:tr w:rsidR="003A12BF" w:rsidRPr="003A12BF" w14:paraId="7A620552" w14:textId="77777777" w:rsidTr="002D4B7F">
        <w:trPr>
          <w:trHeight w:val="300"/>
        </w:trPr>
        <w:tc>
          <w:tcPr>
            <w:tcW w:w="2977" w:type="dxa"/>
            <w:noWrap/>
            <w:hideMark/>
          </w:tcPr>
          <w:p w14:paraId="7B3E321F" w14:textId="77777777" w:rsidR="003A12BF" w:rsidRPr="003A12BF" w:rsidRDefault="003A12BF" w:rsidP="00F51716">
            <w:pPr>
              <w:pStyle w:val="Tabletext0"/>
            </w:pPr>
            <w:r w:rsidRPr="003A12BF">
              <w:t>Mount Alexander Shire Council</w:t>
            </w:r>
          </w:p>
        </w:tc>
        <w:tc>
          <w:tcPr>
            <w:tcW w:w="4481" w:type="dxa"/>
            <w:noWrap/>
            <w:hideMark/>
          </w:tcPr>
          <w:p w14:paraId="1C15D024" w14:textId="77777777" w:rsidR="003A12BF" w:rsidRPr="003A12BF" w:rsidRDefault="003A12BF" w:rsidP="00F51716">
            <w:pPr>
              <w:pStyle w:val="Tabletext0"/>
            </w:pPr>
            <w:r w:rsidRPr="003A12BF">
              <w:t>Mount Alexander Shire Community Transition Plan (Stage 1)</w:t>
            </w:r>
          </w:p>
        </w:tc>
        <w:tc>
          <w:tcPr>
            <w:tcW w:w="1440" w:type="dxa"/>
            <w:noWrap/>
            <w:hideMark/>
          </w:tcPr>
          <w:p w14:paraId="0BDEB8BE" w14:textId="77777777" w:rsidR="003A12BF" w:rsidRPr="003A12BF" w:rsidRDefault="003A12BF" w:rsidP="00F51716">
            <w:pPr>
              <w:pStyle w:val="Tabletext0"/>
            </w:pPr>
            <w:r w:rsidRPr="003A12BF">
              <w:t>$5,000.00</w:t>
            </w:r>
          </w:p>
        </w:tc>
      </w:tr>
      <w:tr w:rsidR="003A12BF" w:rsidRPr="003A12BF" w14:paraId="01592627" w14:textId="77777777" w:rsidTr="002D4B7F">
        <w:trPr>
          <w:trHeight w:val="300"/>
        </w:trPr>
        <w:tc>
          <w:tcPr>
            <w:tcW w:w="2977" w:type="dxa"/>
            <w:noWrap/>
            <w:hideMark/>
          </w:tcPr>
          <w:p w14:paraId="1D7312C0" w14:textId="77777777" w:rsidR="003A12BF" w:rsidRPr="003A12BF" w:rsidRDefault="003A12BF" w:rsidP="00F51716">
            <w:pPr>
              <w:pStyle w:val="Tabletext0"/>
            </w:pPr>
            <w:r w:rsidRPr="003A12BF">
              <w:t>RENEW</w:t>
            </w:r>
          </w:p>
        </w:tc>
        <w:tc>
          <w:tcPr>
            <w:tcW w:w="4481" w:type="dxa"/>
            <w:noWrap/>
            <w:hideMark/>
          </w:tcPr>
          <w:p w14:paraId="62A3223F" w14:textId="77777777" w:rsidR="003A12BF" w:rsidRPr="003A12BF" w:rsidRDefault="003A12BF" w:rsidP="00F51716">
            <w:pPr>
              <w:pStyle w:val="Tabletext0"/>
            </w:pPr>
            <w:r w:rsidRPr="003A12BF">
              <w:t>Zero Carbon Community Transition Grant - Hepburn Z-NET: Scaling Up Community Transitions</w:t>
            </w:r>
          </w:p>
        </w:tc>
        <w:tc>
          <w:tcPr>
            <w:tcW w:w="1440" w:type="dxa"/>
            <w:noWrap/>
            <w:hideMark/>
          </w:tcPr>
          <w:p w14:paraId="2765A434" w14:textId="77777777" w:rsidR="003A12BF" w:rsidRPr="003A12BF" w:rsidRDefault="003A12BF" w:rsidP="00F51716">
            <w:pPr>
              <w:pStyle w:val="Tabletext0"/>
            </w:pPr>
            <w:r w:rsidRPr="003A12BF">
              <w:t>$5,000.00</w:t>
            </w:r>
          </w:p>
        </w:tc>
      </w:tr>
      <w:tr w:rsidR="003A12BF" w:rsidRPr="003A12BF" w14:paraId="32C60512" w14:textId="77777777" w:rsidTr="002D4B7F">
        <w:trPr>
          <w:trHeight w:val="300"/>
        </w:trPr>
        <w:tc>
          <w:tcPr>
            <w:tcW w:w="2977" w:type="dxa"/>
            <w:noWrap/>
            <w:hideMark/>
          </w:tcPr>
          <w:p w14:paraId="54194FAD" w14:textId="77777777" w:rsidR="003A12BF" w:rsidRPr="003A12BF" w:rsidRDefault="003A12BF" w:rsidP="00F51716">
            <w:pPr>
              <w:pStyle w:val="Tabletext0"/>
            </w:pPr>
            <w:r w:rsidRPr="003A12BF">
              <w:t>RENEW</w:t>
            </w:r>
          </w:p>
        </w:tc>
        <w:tc>
          <w:tcPr>
            <w:tcW w:w="4481" w:type="dxa"/>
            <w:noWrap/>
            <w:hideMark/>
          </w:tcPr>
          <w:p w14:paraId="6A1291D0" w14:textId="77777777" w:rsidR="003A12BF" w:rsidRPr="003A12BF" w:rsidRDefault="003A12BF" w:rsidP="00F51716">
            <w:pPr>
              <w:pStyle w:val="Tabletext0"/>
            </w:pPr>
            <w:r w:rsidRPr="003A12BF">
              <w:t>Zero Carbon Community Transition Grant - Hepburn Z-NET: Scaling Up Community Transitions</w:t>
            </w:r>
          </w:p>
        </w:tc>
        <w:tc>
          <w:tcPr>
            <w:tcW w:w="1440" w:type="dxa"/>
            <w:noWrap/>
            <w:hideMark/>
          </w:tcPr>
          <w:p w14:paraId="6570C86E" w14:textId="77777777" w:rsidR="003A12BF" w:rsidRPr="003A12BF" w:rsidRDefault="003A12BF" w:rsidP="00F51716">
            <w:pPr>
              <w:pStyle w:val="Tabletext0"/>
            </w:pPr>
            <w:r w:rsidRPr="003A12BF">
              <w:t>$5,000.00</w:t>
            </w:r>
          </w:p>
        </w:tc>
      </w:tr>
      <w:tr w:rsidR="003A12BF" w:rsidRPr="003A12BF" w14:paraId="182D5899" w14:textId="77777777" w:rsidTr="002D4B7F">
        <w:trPr>
          <w:trHeight w:val="300"/>
        </w:trPr>
        <w:tc>
          <w:tcPr>
            <w:tcW w:w="2977" w:type="dxa"/>
            <w:noWrap/>
            <w:hideMark/>
          </w:tcPr>
          <w:p w14:paraId="71BD4699" w14:textId="77777777" w:rsidR="003A12BF" w:rsidRPr="003A12BF" w:rsidRDefault="003A12BF" w:rsidP="00F51716">
            <w:pPr>
              <w:pStyle w:val="Tabletext0"/>
            </w:pPr>
            <w:r w:rsidRPr="003A12BF">
              <w:t>Warrnambool City Council</w:t>
            </w:r>
          </w:p>
        </w:tc>
        <w:tc>
          <w:tcPr>
            <w:tcW w:w="4481" w:type="dxa"/>
            <w:noWrap/>
            <w:hideMark/>
          </w:tcPr>
          <w:p w14:paraId="054A4B3B" w14:textId="77777777" w:rsidR="003A12BF" w:rsidRPr="003A12BF" w:rsidRDefault="003A12BF" w:rsidP="00F51716">
            <w:pPr>
              <w:pStyle w:val="Tabletext0"/>
            </w:pPr>
            <w:r w:rsidRPr="003A12BF">
              <w:t>Zero Warrnambool Emissions Profile</w:t>
            </w:r>
          </w:p>
        </w:tc>
        <w:tc>
          <w:tcPr>
            <w:tcW w:w="1440" w:type="dxa"/>
            <w:noWrap/>
            <w:hideMark/>
          </w:tcPr>
          <w:p w14:paraId="0E34BC6D" w14:textId="77777777" w:rsidR="003A12BF" w:rsidRPr="003A12BF" w:rsidRDefault="003A12BF" w:rsidP="00F51716">
            <w:pPr>
              <w:pStyle w:val="Tabletext0"/>
            </w:pPr>
            <w:r w:rsidRPr="003A12BF">
              <w:t>$10,000.00</w:t>
            </w:r>
          </w:p>
        </w:tc>
      </w:tr>
      <w:tr w:rsidR="003A12BF" w:rsidRPr="003A12BF" w14:paraId="45F8F28D" w14:textId="77777777" w:rsidTr="002D4B7F">
        <w:trPr>
          <w:trHeight w:val="300"/>
        </w:trPr>
        <w:tc>
          <w:tcPr>
            <w:tcW w:w="2977" w:type="dxa"/>
            <w:noWrap/>
            <w:hideMark/>
          </w:tcPr>
          <w:p w14:paraId="1EACA580" w14:textId="77777777" w:rsidR="003A12BF" w:rsidRPr="003A12BF" w:rsidRDefault="003A12BF" w:rsidP="00F51716">
            <w:pPr>
              <w:pStyle w:val="Tabletext0"/>
            </w:pPr>
            <w:r w:rsidRPr="003A12BF">
              <w:t>First Person Consulting</w:t>
            </w:r>
          </w:p>
        </w:tc>
        <w:tc>
          <w:tcPr>
            <w:tcW w:w="4481" w:type="dxa"/>
            <w:noWrap/>
            <w:hideMark/>
          </w:tcPr>
          <w:p w14:paraId="6055D0A7" w14:textId="77777777" w:rsidR="003A12BF" w:rsidRPr="003A12BF" w:rsidRDefault="003A12BF" w:rsidP="00F51716">
            <w:pPr>
              <w:pStyle w:val="Tabletext0"/>
            </w:pPr>
            <w:r w:rsidRPr="003A12BF">
              <w:t>TAKE2 Evaluation</w:t>
            </w:r>
          </w:p>
        </w:tc>
        <w:tc>
          <w:tcPr>
            <w:tcW w:w="1440" w:type="dxa"/>
            <w:noWrap/>
            <w:hideMark/>
          </w:tcPr>
          <w:p w14:paraId="57327680" w14:textId="77777777" w:rsidR="003A12BF" w:rsidRPr="003A12BF" w:rsidRDefault="003A12BF" w:rsidP="00F51716">
            <w:pPr>
              <w:pStyle w:val="Tabletext0"/>
            </w:pPr>
            <w:r w:rsidRPr="003A12BF">
              <w:t>$11,560.00</w:t>
            </w:r>
          </w:p>
        </w:tc>
      </w:tr>
      <w:tr w:rsidR="003A12BF" w:rsidRPr="003A12BF" w14:paraId="3BFE7DDF" w14:textId="77777777" w:rsidTr="002D4B7F">
        <w:trPr>
          <w:trHeight w:val="300"/>
        </w:trPr>
        <w:tc>
          <w:tcPr>
            <w:tcW w:w="2977" w:type="dxa"/>
            <w:noWrap/>
            <w:hideMark/>
          </w:tcPr>
          <w:p w14:paraId="7A7DF432" w14:textId="77777777" w:rsidR="003A12BF" w:rsidRPr="003A12BF" w:rsidRDefault="003A12BF" w:rsidP="00F51716">
            <w:pPr>
              <w:pStyle w:val="Tabletext0"/>
            </w:pPr>
            <w:r w:rsidRPr="003A12BF">
              <w:t>Macedon Ranges Shire Council</w:t>
            </w:r>
          </w:p>
        </w:tc>
        <w:tc>
          <w:tcPr>
            <w:tcW w:w="4481" w:type="dxa"/>
            <w:noWrap/>
            <w:hideMark/>
          </w:tcPr>
          <w:p w14:paraId="4D0E0E5C" w14:textId="77777777" w:rsidR="003A12BF" w:rsidRPr="003A12BF" w:rsidRDefault="003A12BF" w:rsidP="00F51716">
            <w:pPr>
              <w:pStyle w:val="Tabletext0"/>
            </w:pPr>
            <w:r w:rsidRPr="003A12BF">
              <w:t>Cool Changes – Woodend District 3442</w:t>
            </w:r>
          </w:p>
        </w:tc>
        <w:tc>
          <w:tcPr>
            <w:tcW w:w="1440" w:type="dxa"/>
            <w:noWrap/>
            <w:hideMark/>
          </w:tcPr>
          <w:p w14:paraId="2F49C45A" w14:textId="77777777" w:rsidR="003A12BF" w:rsidRPr="003A12BF" w:rsidRDefault="003A12BF" w:rsidP="00F51716">
            <w:pPr>
              <w:pStyle w:val="Tabletext0"/>
            </w:pPr>
            <w:r w:rsidRPr="003A12BF">
              <w:t>$5,000.00</w:t>
            </w:r>
          </w:p>
        </w:tc>
      </w:tr>
      <w:tr w:rsidR="003A12BF" w:rsidRPr="003A12BF" w14:paraId="12525A30" w14:textId="77777777" w:rsidTr="002D4B7F">
        <w:trPr>
          <w:trHeight w:val="300"/>
        </w:trPr>
        <w:tc>
          <w:tcPr>
            <w:tcW w:w="2977" w:type="dxa"/>
            <w:noWrap/>
            <w:hideMark/>
          </w:tcPr>
          <w:p w14:paraId="2D2FB14D" w14:textId="77777777" w:rsidR="003A12BF" w:rsidRPr="003A12BF" w:rsidRDefault="003A12BF" w:rsidP="00F51716">
            <w:pPr>
              <w:pStyle w:val="Tabletext0"/>
            </w:pPr>
            <w:r w:rsidRPr="003A12BF">
              <w:t>Macedon Ranges Shire Council</w:t>
            </w:r>
          </w:p>
        </w:tc>
        <w:tc>
          <w:tcPr>
            <w:tcW w:w="4481" w:type="dxa"/>
            <w:noWrap/>
            <w:hideMark/>
          </w:tcPr>
          <w:p w14:paraId="19B18FEC" w14:textId="77777777" w:rsidR="003A12BF" w:rsidRPr="003A12BF" w:rsidRDefault="003A12BF" w:rsidP="00F51716">
            <w:pPr>
              <w:pStyle w:val="Tabletext0"/>
            </w:pPr>
            <w:r w:rsidRPr="003A12BF">
              <w:t>Cool Changes – Woodend District 3442</w:t>
            </w:r>
          </w:p>
        </w:tc>
        <w:tc>
          <w:tcPr>
            <w:tcW w:w="1440" w:type="dxa"/>
            <w:noWrap/>
            <w:hideMark/>
          </w:tcPr>
          <w:p w14:paraId="4BEB0602" w14:textId="77777777" w:rsidR="003A12BF" w:rsidRPr="003A12BF" w:rsidRDefault="003A12BF" w:rsidP="00F51716">
            <w:pPr>
              <w:pStyle w:val="Tabletext0"/>
            </w:pPr>
            <w:r w:rsidRPr="003A12BF">
              <w:t>$5,000.00</w:t>
            </w:r>
          </w:p>
        </w:tc>
      </w:tr>
      <w:tr w:rsidR="003A12BF" w:rsidRPr="003A12BF" w14:paraId="1950C8C1" w14:textId="77777777" w:rsidTr="002D4B7F">
        <w:trPr>
          <w:trHeight w:val="300"/>
        </w:trPr>
        <w:tc>
          <w:tcPr>
            <w:tcW w:w="2977" w:type="dxa"/>
            <w:noWrap/>
            <w:hideMark/>
          </w:tcPr>
          <w:p w14:paraId="7C5AA6A5" w14:textId="77777777" w:rsidR="003A12BF" w:rsidRPr="003A12BF" w:rsidRDefault="003A12BF" w:rsidP="00F51716">
            <w:pPr>
              <w:pStyle w:val="Tabletext0"/>
            </w:pPr>
            <w:r w:rsidRPr="003A12BF">
              <w:t>Bendigo Sustainability Group</w:t>
            </w:r>
          </w:p>
        </w:tc>
        <w:tc>
          <w:tcPr>
            <w:tcW w:w="4481" w:type="dxa"/>
            <w:noWrap/>
            <w:hideMark/>
          </w:tcPr>
          <w:p w14:paraId="3CB80586" w14:textId="77777777" w:rsidR="003A12BF" w:rsidRPr="003A12BF" w:rsidRDefault="003A12BF" w:rsidP="00F51716">
            <w:pPr>
              <w:pStyle w:val="Tabletext0"/>
            </w:pPr>
            <w:r w:rsidRPr="003A12BF">
              <w:t>Community Power Hub - Bendigo</w:t>
            </w:r>
          </w:p>
        </w:tc>
        <w:tc>
          <w:tcPr>
            <w:tcW w:w="1440" w:type="dxa"/>
            <w:noWrap/>
            <w:hideMark/>
          </w:tcPr>
          <w:p w14:paraId="7AB8A9A3" w14:textId="77777777" w:rsidR="003A12BF" w:rsidRPr="003A12BF" w:rsidRDefault="003A12BF" w:rsidP="00F51716">
            <w:pPr>
              <w:pStyle w:val="Tabletext0"/>
            </w:pPr>
            <w:r w:rsidRPr="003A12BF">
              <w:t>$30,000.00</w:t>
            </w:r>
          </w:p>
        </w:tc>
      </w:tr>
      <w:tr w:rsidR="003A12BF" w:rsidRPr="003A12BF" w14:paraId="0A653EDD" w14:textId="77777777" w:rsidTr="002D4B7F">
        <w:trPr>
          <w:trHeight w:val="300"/>
        </w:trPr>
        <w:tc>
          <w:tcPr>
            <w:tcW w:w="2977" w:type="dxa"/>
            <w:noWrap/>
            <w:hideMark/>
          </w:tcPr>
          <w:p w14:paraId="4B325560" w14:textId="77777777" w:rsidR="003A12BF" w:rsidRPr="003A12BF" w:rsidRDefault="003A12BF" w:rsidP="00F51716">
            <w:pPr>
              <w:pStyle w:val="Tabletext0"/>
            </w:pPr>
            <w:r w:rsidRPr="003A12BF">
              <w:t>Bendigo Sustainability Group</w:t>
            </w:r>
          </w:p>
        </w:tc>
        <w:tc>
          <w:tcPr>
            <w:tcW w:w="4481" w:type="dxa"/>
            <w:noWrap/>
            <w:hideMark/>
          </w:tcPr>
          <w:p w14:paraId="650225BB" w14:textId="77777777" w:rsidR="003A12BF" w:rsidRPr="003A12BF" w:rsidRDefault="003A12BF" w:rsidP="00F51716">
            <w:pPr>
              <w:pStyle w:val="Tabletext0"/>
            </w:pPr>
            <w:r w:rsidRPr="003A12BF">
              <w:t>Community Power Hub - Bendigo</w:t>
            </w:r>
          </w:p>
        </w:tc>
        <w:tc>
          <w:tcPr>
            <w:tcW w:w="1440" w:type="dxa"/>
            <w:noWrap/>
            <w:hideMark/>
          </w:tcPr>
          <w:p w14:paraId="1E6E5951" w14:textId="77777777" w:rsidR="003A12BF" w:rsidRPr="003A12BF" w:rsidRDefault="003A12BF" w:rsidP="00F51716">
            <w:pPr>
              <w:pStyle w:val="Tabletext0"/>
            </w:pPr>
            <w:r w:rsidRPr="003A12BF">
              <w:t>$15,000.00</w:t>
            </w:r>
          </w:p>
        </w:tc>
      </w:tr>
      <w:tr w:rsidR="003A12BF" w:rsidRPr="003A12BF" w14:paraId="76EBEFB7" w14:textId="77777777" w:rsidTr="002D4B7F">
        <w:trPr>
          <w:trHeight w:val="300"/>
        </w:trPr>
        <w:tc>
          <w:tcPr>
            <w:tcW w:w="2977" w:type="dxa"/>
            <w:noWrap/>
            <w:hideMark/>
          </w:tcPr>
          <w:p w14:paraId="69294DDE" w14:textId="3FD6A889" w:rsidR="003A12BF" w:rsidRPr="003A12BF" w:rsidRDefault="003A12BF" w:rsidP="00F51716">
            <w:pPr>
              <w:pStyle w:val="Tabletext0"/>
            </w:pPr>
            <w:r w:rsidRPr="003A12BF">
              <w:t>Ballarat Renewable Energy and Zero Emissions (B</w:t>
            </w:r>
            <w:r w:rsidR="00653AB9">
              <w:t>REAZE</w:t>
            </w:r>
            <w:r w:rsidRPr="003A12BF">
              <w:t>) Inc</w:t>
            </w:r>
            <w:r w:rsidR="00737453">
              <w:t>.</w:t>
            </w:r>
          </w:p>
        </w:tc>
        <w:tc>
          <w:tcPr>
            <w:tcW w:w="4481" w:type="dxa"/>
            <w:noWrap/>
            <w:hideMark/>
          </w:tcPr>
          <w:p w14:paraId="709D3694" w14:textId="77777777" w:rsidR="003A12BF" w:rsidRPr="003A12BF" w:rsidRDefault="003A12BF" w:rsidP="00F51716">
            <w:pPr>
              <w:pStyle w:val="Tabletext0"/>
            </w:pPr>
            <w:r w:rsidRPr="003A12BF">
              <w:t>Community Power Hub - Ballarat</w:t>
            </w:r>
          </w:p>
        </w:tc>
        <w:tc>
          <w:tcPr>
            <w:tcW w:w="1440" w:type="dxa"/>
            <w:noWrap/>
            <w:hideMark/>
          </w:tcPr>
          <w:p w14:paraId="5A43D269" w14:textId="77777777" w:rsidR="003A12BF" w:rsidRPr="003A12BF" w:rsidRDefault="003A12BF" w:rsidP="00F51716">
            <w:pPr>
              <w:pStyle w:val="Tabletext0"/>
            </w:pPr>
            <w:r w:rsidRPr="003A12BF">
              <w:t>$30,000.00</w:t>
            </w:r>
          </w:p>
        </w:tc>
      </w:tr>
      <w:tr w:rsidR="003A12BF" w:rsidRPr="003A12BF" w14:paraId="2B753AEC" w14:textId="77777777" w:rsidTr="002D4B7F">
        <w:trPr>
          <w:trHeight w:val="300"/>
        </w:trPr>
        <w:tc>
          <w:tcPr>
            <w:tcW w:w="2977" w:type="dxa"/>
            <w:noWrap/>
            <w:hideMark/>
          </w:tcPr>
          <w:p w14:paraId="54583D0F" w14:textId="1A100642" w:rsidR="003A12BF" w:rsidRPr="003A12BF" w:rsidRDefault="003A12BF" w:rsidP="00F51716">
            <w:pPr>
              <w:pStyle w:val="Tabletext0"/>
            </w:pPr>
            <w:r w:rsidRPr="003A12BF">
              <w:t>Ballarat Renewable Energy and Zero Emissions (B</w:t>
            </w:r>
            <w:r w:rsidR="00653AB9">
              <w:t>REAZE</w:t>
            </w:r>
            <w:r w:rsidRPr="003A12BF">
              <w:t>) Inc</w:t>
            </w:r>
            <w:r w:rsidR="00737453">
              <w:t>.</w:t>
            </w:r>
          </w:p>
        </w:tc>
        <w:tc>
          <w:tcPr>
            <w:tcW w:w="4481" w:type="dxa"/>
            <w:noWrap/>
            <w:hideMark/>
          </w:tcPr>
          <w:p w14:paraId="582B52C5" w14:textId="77777777" w:rsidR="003A12BF" w:rsidRPr="003A12BF" w:rsidRDefault="003A12BF" w:rsidP="00F51716">
            <w:pPr>
              <w:pStyle w:val="Tabletext0"/>
            </w:pPr>
            <w:r w:rsidRPr="003A12BF">
              <w:t>Community Power Hub - Ballarat</w:t>
            </w:r>
          </w:p>
        </w:tc>
        <w:tc>
          <w:tcPr>
            <w:tcW w:w="1440" w:type="dxa"/>
            <w:noWrap/>
            <w:hideMark/>
          </w:tcPr>
          <w:p w14:paraId="1113461B" w14:textId="77777777" w:rsidR="003A12BF" w:rsidRPr="003A12BF" w:rsidRDefault="003A12BF" w:rsidP="00F51716">
            <w:pPr>
              <w:pStyle w:val="Tabletext0"/>
            </w:pPr>
            <w:r w:rsidRPr="003A12BF">
              <w:t>$15,000.00</w:t>
            </w:r>
          </w:p>
        </w:tc>
      </w:tr>
      <w:tr w:rsidR="003A12BF" w:rsidRPr="003A12BF" w14:paraId="1C2FC375" w14:textId="77777777" w:rsidTr="002D4B7F">
        <w:trPr>
          <w:trHeight w:val="300"/>
        </w:trPr>
        <w:tc>
          <w:tcPr>
            <w:tcW w:w="2977" w:type="dxa"/>
            <w:noWrap/>
            <w:hideMark/>
          </w:tcPr>
          <w:p w14:paraId="4B6243A7" w14:textId="77777777" w:rsidR="003A12BF" w:rsidRPr="003A12BF" w:rsidRDefault="003A12BF" w:rsidP="00F51716">
            <w:pPr>
              <w:pStyle w:val="Tabletext0"/>
            </w:pPr>
            <w:r w:rsidRPr="003A12BF">
              <w:t>Gippsland Climate Change Network (GCCN)</w:t>
            </w:r>
          </w:p>
        </w:tc>
        <w:tc>
          <w:tcPr>
            <w:tcW w:w="4481" w:type="dxa"/>
            <w:noWrap/>
            <w:hideMark/>
          </w:tcPr>
          <w:p w14:paraId="13CA484B" w14:textId="77777777" w:rsidR="003A12BF" w:rsidRPr="003A12BF" w:rsidRDefault="003A12BF" w:rsidP="00F51716">
            <w:pPr>
              <w:pStyle w:val="Tabletext0"/>
            </w:pPr>
            <w:r w:rsidRPr="003A12BF">
              <w:t>Community Power Hub - Latrobe Valley</w:t>
            </w:r>
          </w:p>
        </w:tc>
        <w:tc>
          <w:tcPr>
            <w:tcW w:w="1440" w:type="dxa"/>
            <w:noWrap/>
            <w:hideMark/>
          </w:tcPr>
          <w:p w14:paraId="52442AEE" w14:textId="77777777" w:rsidR="003A12BF" w:rsidRPr="003A12BF" w:rsidRDefault="003A12BF" w:rsidP="00F51716">
            <w:pPr>
              <w:pStyle w:val="Tabletext0"/>
            </w:pPr>
            <w:r w:rsidRPr="003A12BF">
              <w:t>$30,000.00</w:t>
            </w:r>
          </w:p>
        </w:tc>
      </w:tr>
      <w:tr w:rsidR="003A12BF" w:rsidRPr="003A12BF" w14:paraId="0861166A" w14:textId="77777777" w:rsidTr="002D4B7F">
        <w:trPr>
          <w:trHeight w:val="300"/>
        </w:trPr>
        <w:tc>
          <w:tcPr>
            <w:tcW w:w="2977" w:type="dxa"/>
            <w:noWrap/>
            <w:hideMark/>
          </w:tcPr>
          <w:p w14:paraId="6F6A0E8E" w14:textId="77777777" w:rsidR="003A12BF" w:rsidRPr="003A12BF" w:rsidRDefault="003A12BF" w:rsidP="00F51716">
            <w:pPr>
              <w:pStyle w:val="Tabletext0"/>
            </w:pPr>
            <w:r w:rsidRPr="003A12BF">
              <w:t>Gippsland Climate Change Network (GCCN)</w:t>
            </w:r>
          </w:p>
        </w:tc>
        <w:tc>
          <w:tcPr>
            <w:tcW w:w="4481" w:type="dxa"/>
            <w:noWrap/>
            <w:hideMark/>
          </w:tcPr>
          <w:p w14:paraId="52BD607C" w14:textId="77777777" w:rsidR="003A12BF" w:rsidRPr="003A12BF" w:rsidRDefault="003A12BF" w:rsidP="00F51716">
            <w:pPr>
              <w:pStyle w:val="Tabletext0"/>
            </w:pPr>
            <w:r w:rsidRPr="003A12BF">
              <w:t>Community Power Hub - Latrobe Valley</w:t>
            </w:r>
          </w:p>
        </w:tc>
        <w:tc>
          <w:tcPr>
            <w:tcW w:w="1440" w:type="dxa"/>
            <w:noWrap/>
            <w:hideMark/>
          </w:tcPr>
          <w:p w14:paraId="462B5B79" w14:textId="77777777" w:rsidR="003A12BF" w:rsidRPr="003A12BF" w:rsidRDefault="003A12BF" w:rsidP="00F51716">
            <w:pPr>
              <w:pStyle w:val="Tabletext0"/>
            </w:pPr>
            <w:r w:rsidRPr="003A12BF">
              <w:t>$15,000.00</w:t>
            </w:r>
          </w:p>
        </w:tc>
      </w:tr>
      <w:tr w:rsidR="003A12BF" w:rsidRPr="003A12BF" w14:paraId="65C89970" w14:textId="77777777" w:rsidTr="002D4B7F">
        <w:trPr>
          <w:trHeight w:val="300"/>
        </w:trPr>
        <w:tc>
          <w:tcPr>
            <w:tcW w:w="2977" w:type="dxa"/>
            <w:noWrap/>
            <w:hideMark/>
          </w:tcPr>
          <w:p w14:paraId="0FA591BD" w14:textId="77777777" w:rsidR="003A12BF" w:rsidRPr="003A12BF" w:rsidRDefault="003A12BF" w:rsidP="00F51716">
            <w:pPr>
              <w:pStyle w:val="Tabletext0"/>
            </w:pPr>
            <w:r w:rsidRPr="003A12BF">
              <w:t>Bayside City Council</w:t>
            </w:r>
          </w:p>
        </w:tc>
        <w:tc>
          <w:tcPr>
            <w:tcW w:w="4481" w:type="dxa"/>
            <w:noWrap/>
            <w:hideMark/>
          </w:tcPr>
          <w:p w14:paraId="5DD4C019" w14:textId="77777777" w:rsidR="003A12BF" w:rsidRPr="003A12BF" w:rsidRDefault="003A12BF" w:rsidP="00F51716">
            <w:pPr>
              <w:pStyle w:val="Tabletext0"/>
            </w:pPr>
            <w:r w:rsidRPr="003A12BF">
              <w:t>E-waste Campaign Implementation Support Grant - Bayside City Council E-waste Education &amp; Community Engagement Campaign</w:t>
            </w:r>
          </w:p>
        </w:tc>
        <w:tc>
          <w:tcPr>
            <w:tcW w:w="1440" w:type="dxa"/>
            <w:noWrap/>
            <w:hideMark/>
          </w:tcPr>
          <w:p w14:paraId="45DA6103" w14:textId="77777777" w:rsidR="003A12BF" w:rsidRPr="003A12BF" w:rsidRDefault="003A12BF" w:rsidP="00F51716">
            <w:pPr>
              <w:pStyle w:val="Tabletext0"/>
            </w:pPr>
            <w:r w:rsidRPr="003A12BF">
              <w:t>$2,000.00</w:t>
            </w:r>
          </w:p>
        </w:tc>
      </w:tr>
      <w:tr w:rsidR="003A12BF" w:rsidRPr="003A12BF" w14:paraId="4959D162" w14:textId="77777777" w:rsidTr="002D4B7F">
        <w:trPr>
          <w:trHeight w:val="300"/>
        </w:trPr>
        <w:tc>
          <w:tcPr>
            <w:tcW w:w="2977" w:type="dxa"/>
            <w:noWrap/>
            <w:hideMark/>
          </w:tcPr>
          <w:p w14:paraId="5BB3465C" w14:textId="77777777" w:rsidR="003A12BF" w:rsidRPr="003A12BF" w:rsidRDefault="003A12BF" w:rsidP="00F51716">
            <w:pPr>
              <w:pStyle w:val="Tabletext0"/>
            </w:pPr>
            <w:r w:rsidRPr="003A12BF">
              <w:t>Boroondara City Council</w:t>
            </w:r>
          </w:p>
        </w:tc>
        <w:tc>
          <w:tcPr>
            <w:tcW w:w="4481" w:type="dxa"/>
            <w:noWrap/>
            <w:hideMark/>
          </w:tcPr>
          <w:p w14:paraId="079F2E1D" w14:textId="77777777" w:rsidR="003A12BF" w:rsidRPr="003A12BF" w:rsidRDefault="003A12BF" w:rsidP="00F51716">
            <w:pPr>
              <w:pStyle w:val="Tabletext0"/>
            </w:pPr>
            <w:r w:rsidRPr="003A12BF">
              <w:t>E-waste Campaign Implementation Support Grant - Boroondara E-waste Education Campaign</w:t>
            </w:r>
          </w:p>
        </w:tc>
        <w:tc>
          <w:tcPr>
            <w:tcW w:w="1440" w:type="dxa"/>
            <w:noWrap/>
            <w:hideMark/>
          </w:tcPr>
          <w:p w14:paraId="00B8B73A" w14:textId="77777777" w:rsidR="003A12BF" w:rsidRPr="003A12BF" w:rsidRDefault="003A12BF" w:rsidP="00F51716">
            <w:pPr>
              <w:pStyle w:val="Tabletext0"/>
            </w:pPr>
            <w:r w:rsidRPr="003A12BF">
              <w:t>$2,703.78</w:t>
            </w:r>
          </w:p>
        </w:tc>
      </w:tr>
      <w:tr w:rsidR="003A12BF" w:rsidRPr="003A12BF" w14:paraId="067B6C88" w14:textId="77777777" w:rsidTr="002D4B7F">
        <w:trPr>
          <w:trHeight w:val="300"/>
        </w:trPr>
        <w:tc>
          <w:tcPr>
            <w:tcW w:w="2977" w:type="dxa"/>
            <w:noWrap/>
            <w:hideMark/>
          </w:tcPr>
          <w:p w14:paraId="15C287FA" w14:textId="77777777" w:rsidR="003A12BF" w:rsidRPr="003A12BF" w:rsidRDefault="003A12BF" w:rsidP="00F51716">
            <w:pPr>
              <w:pStyle w:val="Tabletext0"/>
            </w:pPr>
            <w:r w:rsidRPr="003A12BF">
              <w:t>Brimbank City Council</w:t>
            </w:r>
          </w:p>
        </w:tc>
        <w:tc>
          <w:tcPr>
            <w:tcW w:w="4481" w:type="dxa"/>
            <w:noWrap/>
            <w:hideMark/>
          </w:tcPr>
          <w:p w14:paraId="62E74BEC" w14:textId="77777777" w:rsidR="003A12BF" w:rsidRPr="003A12BF" w:rsidRDefault="003A12BF" w:rsidP="00F51716">
            <w:pPr>
              <w:pStyle w:val="Tabletext0"/>
            </w:pPr>
            <w:r w:rsidRPr="003A12BF">
              <w:t>E-waste Campaign Implementation Support Grant - Brimbank E-Waste Ban Education and Engagement Campaign</w:t>
            </w:r>
          </w:p>
        </w:tc>
        <w:tc>
          <w:tcPr>
            <w:tcW w:w="1440" w:type="dxa"/>
            <w:noWrap/>
            <w:hideMark/>
          </w:tcPr>
          <w:p w14:paraId="5E588F39" w14:textId="77777777" w:rsidR="003A12BF" w:rsidRPr="003A12BF" w:rsidRDefault="003A12BF" w:rsidP="00F51716">
            <w:pPr>
              <w:pStyle w:val="Tabletext0"/>
            </w:pPr>
            <w:r w:rsidRPr="003A12BF">
              <w:t>$3,000.00</w:t>
            </w:r>
          </w:p>
        </w:tc>
      </w:tr>
      <w:tr w:rsidR="003A12BF" w:rsidRPr="003A12BF" w14:paraId="22ABAB51" w14:textId="77777777" w:rsidTr="002D4B7F">
        <w:trPr>
          <w:trHeight w:val="300"/>
        </w:trPr>
        <w:tc>
          <w:tcPr>
            <w:tcW w:w="2977" w:type="dxa"/>
            <w:noWrap/>
            <w:hideMark/>
          </w:tcPr>
          <w:p w14:paraId="47FF4352" w14:textId="77777777" w:rsidR="003A12BF" w:rsidRPr="003A12BF" w:rsidRDefault="003A12BF" w:rsidP="00F51716">
            <w:pPr>
              <w:pStyle w:val="Tabletext0"/>
            </w:pPr>
            <w:r w:rsidRPr="003A12BF">
              <w:t>Cardinia Shire Council</w:t>
            </w:r>
          </w:p>
        </w:tc>
        <w:tc>
          <w:tcPr>
            <w:tcW w:w="4481" w:type="dxa"/>
            <w:noWrap/>
            <w:hideMark/>
          </w:tcPr>
          <w:p w14:paraId="26C6772F" w14:textId="77777777" w:rsidR="003A12BF" w:rsidRPr="003A12BF" w:rsidRDefault="003A12BF" w:rsidP="00F51716">
            <w:pPr>
              <w:pStyle w:val="Tabletext0"/>
            </w:pPr>
            <w:r w:rsidRPr="003A12BF">
              <w:t>E-waste Campaign Implementation Support Grant - E-waste Education Program</w:t>
            </w:r>
          </w:p>
        </w:tc>
        <w:tc>
          <w:tcPr>
            <w:tcW w:w="1440" w:type="dxa"/>
            <w:noWrap/>
            <w:hideMark/>
          </w:tcPr>
          <w:p w14:paraId="26D70A1C" w14:textId="77777777" w:rsidR="003A12BF" w:rsidRPr="003A12BF" w:rsidRDefault="003A12BF" w:rsidP="00F51716">
            <w:pPr>
              <w:pStyle w:val="Tabletext0"/>
            </w:pPr>
            <w:r w:rsidRPr="003A12BF">
              <w:t>$3,000.00</w:t>
            </w:r>
          </w:p>
        </w:tc>
      </w:tr>
      <w:tr w:rsidR="003A12BF" w:rsidRPr="003A12BF" w14:paraId="1CC24ADE" w14:textId="77777777" w:rsidTr="002D4B7F">
        <w:trPr>
          <w:trHeight w:val="300"/>
        </w:trPr>
        <w:tc>
          <w:tcPr>
            <w:tcW w:w="2977" w:type="dxa"/>
            <w:noWrap/>
            <w:hideMark/>
          </w:tcPr>
          <w:p w14:paraId="2ED7FF6B" w14:textId="77777777" w:rsidR="003A12BF" w:rsidRPr="003A12BF" w:rsidRDefault="003A12BF" w:rsidP="00F51716">
            <w:pPr>
              <w:pStyle w:val="Tabletext0"/>
            </w:pPr>
            <w:r w:rsidRPr="003A12BF">
              <w:t>City of Greater Dandenong</w:t>
            </w:r>
          </w:p>
        </w:tc>
        <w:tc>
          <w:tcPr>
            <w:tcW w:w="4481" w:type="dxa"/>
            <w:noWrap/>
            <w:hideMark/>
          </w:tcPr>
          <w:p w14:paraId="2F6E802B" w14:textId="77777777" w:rsidR="003A12BF" w:rsidRPr="003A12BF" w:rsidRDefault="003A12BF" w:rsidP="00F51716">
            <w:pPr>
              <w:pStyle w:val="Tabletext0"/>
            </w:pPr>
            <w:r w:rsidRPr="003A12BF">
              <w:t>E-waste Campaign Implementation Support Grant - Take Your E-Waste to a Better Place</w:t>
            </w:r>
          </w:p>
        </w:tc>
        <w:tc>
          <w:tcPr>
            <w:tcW w:w="1440" w:type="dxa"/>
            <w:noWrap/>
            <w:hideMark/>
          </w:tcPr>
          <w:p w14:paraId="3D37B25C" w14:textId="77777777" w:rsidR="003A12BF" w:rsidRPr="003A12BF" w:rsidRDefault="003A12BF" w:rsidP="00F51716">
            <w:pPr>
              <w:pStyle w:val="Tabletext0"/>
            </w:pPr>
            <w:r w:rsidRPr="003A12BF">
              <w:t>$2,955.00</w:t>
            </w:r>
          </w:p>
        </w:tc>
      </w:tr>
      <w:tr w:rsidR="003A12BF" w:rsidRPr="003A12BF" w14:paraId="05D06B98" w14:textId="77777777" w:rsidTr="002D4B7F">
        <w:trPr>
          <w:trHeight w:val="300"/>
        </w:trPr>
        <w:tc>
          <w:tcPr>
            <w:tcW w:w="2977" w:type="dxa"/>
            <w:noWrap/>
            <w:hideMark/>
          </w:tcPr>
          <w:p w14:paraId="64BED926" w14:textId="77777777" w:rsidR="003A12BF" w:rsidRPr="003A12BF" w:rsidRDefault="003A12BF" w:rsidP="00F51716">
            <w:pPr>
              <w:pStyle w:val="Tabletext0"/>
            </w:pPr>
            <w:r w:rsidRPr="003A12BF">
              <w:t>Yarra City Council</w:t>
            </w:r>
          </w:p>
        </w:tc>
        <w:tc>
          <w:tcPr>
            <w:tcW w:w="4481" w:type="dxa"/>
            <w:noWrap/>
            <w:hideMark/>
          </w:tcPr>
          <w:p w14:paraId="089D70FB" w14:textId="77777777" w:rsidR="003A12BF" w:rsidRPr="003A12BF" w:rsidRDefault="003A12BF" w:rsidP="00F51716">
            <w:pPr>
              <w:pStyle w:val="Tabletext0"/>
            </w:pPr>
            <w:r w:rsidRPr="003A12BF">
              <w:t>E-waste Campaign Implementation Support Grant - Take Your E-waste to a Better Place' campaign in Yarra</w:t>
            </w:r>
          </w:p>
        </w:tc>
        <w:tc>
          <w:tcPr>
            <w:tcW w:w="1440" w:type="dxa"/>
            <w:noWrap/>
            <w:hideMark/>
          </w:tcPr>
          <w:p w14:paraId="1B040F6C" w14:textId="77777777" w:rsidR="003A12BF" w:rsidRPr="003A12BF" w:rsidRDefault="003A12BF" w:rsidP="00F51716">
            <w:pPr>
              <w:pStyle w:val="Tabletext0"/>
            </w:pPr>
            <w:r w:rsidRPr="003A12BF">
              <w:t>$7,000.00</w:t>
            </w:r>
          </w:p>
        </w:tc>
      </w:tr>
      <w:tr w:rsidR="003A12BF" w:rsidRPr="003A12BF" w14:paraId="631C2A07" w14:textId="77777777" w:rsidTr="002D4B7F">
        <w:trPr>
          <w:trHeight w:val="300"/>
        </w:trPr>
        <w:tc>
          <w:tcPr>
            <w:tcW w:w="2977" w:type="dxa"/>
            <w:noWrap/>
            <w:hideMark/>
          </w:tcPr>
          <w:p w14:paraId="27BC5307" w14:textId="77777777" w:rsidR="003A12BF" w:rsidRPr="003A12BF" w:rsidRDefault="003A12BF" w:rsidP="00F51716">
            <w:pPr>
              <w:pStyle w:val="Tabletext0"/>
            </w:pPr>
            <w:r w:rsidRPr="003A12BF">
              <w:t>Yarra City Council</w:t>
            </w:r>
          </w:p>
        </w:tc>
        <w:tc>
          <w:tcPr>
            <w:tcW w:w="4481" w:type="dxa"/>
            <w:noWrap/>
            <w:hideMark/>
          </w:tcPr>
          <w:p w14:paraId="7EC9FED8" w14:textId="77777777" w:rsidR="003A12BF" w:rsidRPr="003A12BF" w:rsidRDefault="003A12BF" w:rsidP="00F51716">
            <w:pPr>
              <w:pStyle w:val="Tabletext0"/>
            </w:pPr>
            <w:r w:rsidRPr="003A12BF">
              <w:t>E-waste Campaign Implementation Support Grant - Take Your E-waste to a Better Place' campaign in Yarra</w:t>
            </w:r>
          </w:p>
        </w:tc>
        <w:tc>
          <w:tcPr>
            <w:tcW w:w="1440" w:type="dxa"/>
            <w:noWrap/>
            <w:hideMark/>
          </w:tcPr>
          <w:p w14:paraId="2642935D" w14:textId="77777777" w:rsidR="003A12BF" w:rsidRPr="003A12BF" w:rsidRDefault="003A12BF" w:rsidP="00F51716">
            <w:pPr>
              <w:pStyle w:val="Tabletext0"/>
            </w:pPr>
            <w:r w:rsidRPr="003A12BF">
              <w:t>$2,952.49</w:t>
            </w:r>
          </w:p>
        </w:tc>
      </w:tr>
      <w:tr w:rsidR="003A12BF" w:rsidRPr="003A12BF" w14:paraId="7E9E58D9" w14:textId="77777777" w:rsidTr="002D4B7F">
        <w:trPr>
          <w:trHeight w:val="300"/>
        </w:trPr>
        <w:tc>
          <w:tcPr>
            <w:tcW w:w="2977" w:type="dxa"/>
            <w:noWrap/>
            <w:hideMark/>
          </w:tcPr>
          <w:p w14:paraId="4A85472D" w14:textId="77777777" w:rsidR="003A12BF" w:rsidRPr="003A12BF" w:rsidRDefault="003A12BF" w:rsidP="00F51716">
            <w:pPr>
              <w:pStyle w:val="Tabletext0"/>
            </w:pPr>
            <w:r w:rsidRPr="003A12BF">
              <w:t>City of Darebin</w:t>
            </w:r>
          </w:p>
        </w:tc>
        <w:tc>
          <w:tcPr>
            <w:tcW w:w="4481" w:type="dxa"/>
            <w:noWrap/>
            <w:hideMark/>
          </w:tcPr>
          <w:p w14:paraId="7608741E" w14:textId="77777777" w:rsidR="003A12BF" w:rsidRPr="003A12BF" w:rsidRDefault="003A12BF" w:rsidP="00F51716">
            <w:pPr>
              <w:pStyle w:val="Tabletext0"/>
            </w:pPr>
            <w:r w:rsidRPr="003A12BF">
              <w:t>E-waste Campaign Implementation Support Grant - Don't Waste Your E-waste Darebin</w:t>
            </w:r>
          </w:p>
        </w:tc>
        <w:tc>
          <w:tcPr>
            <w:tcW w:w="1440" w:type="dxa"/>
            <w:noWrap/>
            <w:hideMark/>
          </w:tcPr>
          <w:p w14:paraId="3D5B9CE2" w14:textId="77777777" w:rsidR="003A12BF" w:rsidRPr="003A12BF" w:rsidRDefault="003A12BF" w:rsidP="00F51716">
            <w:pPr>
              <w:pStyle w:val="Tabletext0"/>
            </w:pPr>
            <w:r w:rsidRPr="003A12BF">
              <w:t>$3,000.00</w:t>
            </w:r>
          </w:p>
        </w:tc>
      </w:tr>
      <w:tr w:rsidR="003A12BF" w:rsidRPr="003A12BF" w14:paraId="500A2E9F" w14:textId="77777777" w:rsidTr="002D4B7F">
        <w:trPr>
          <w:trHeight w:val="300"/>
        </w:trPr>
        <w:tc>
          <w:tcPr>
            <w:tcW w:w="2977" w:type="dxa"/>
            <w:noWrap/>
            <w:hideMark/>
          </w:tcPr>
          <w:p w14:paraId="1BC3795E" w14:textId="77777777" w:rsidR="003A12BF" w:rsidRPr="003A12BF" w:rsidRDefault="003A12BF" w:rsidP="00F51716">
            <w:pPr>
              <w:pStyle w:val="Tabletext0"/>
            </w:pPr>
            <w:r w:rsidRPr="003A12BF">
              <w:t>Glen Eira City Council</w:t>
            </w:r>
          </w:p>
        </w:tc>
        <w:tc>
          <w:tcPr>
            <w:tcW w:w="4481" w:type="dxa"/>
            <w:noWrap/>
            <w:hideMark/>
          </w:tcPr>
          <w:p w14:paraId="3513BA6E" w14:textId="77777777" w:rsidR="003A12BF" w:rsidRPr="003A12BF" w:rsidRDefault="003A12BF" w:rsidP="00F51716">
            <w:pPr>
              <w:pStyle w:val="Tabletext0"/>
            </w:pPr>
            <w:r w:rsidRPr="003A12BF">
              <w:t>E-waste Campaign Implementation Support Grant - E-waste Communications Campaign</w:t>
            </w:r>
          </w:p>
        </w:tc>
        <w:tc>
          <w:tcPr>
            <w:tcW w:w="1440" w:type="dxa"/>
            <w:noWrap/>
            <w:hideMark/>
          </w:tcPr>
          <w:p w14:paraId="50E3D90A" w14:textId="77777777" w:rsidR="003A12BF" w:rsidRPr="003A12BF" w:rsidRDefault="003A12BF" w:rsidP="00F51716">
            <w:pPr>
              <w:pStyle w:val="Tabletext0"/>
            </w:pPr>
            <w:r w:rsidRPr="003A12BF">
              <w:t>$7,000.00</w:t>
            </w:r>
          </w:p>
        </w:tc>
      </w:tr>
      <w:tr w:rsidR="003A12BF" w:rsidRPr="003A12BF" w14:paraId="02389D3A" w14:textId="77777777" w:rsidTr="002D4B7F">
        <w:trPr>
          <w:trHeight w:val="300"/>
        </w:trPr>
        <w:tc>
          <w:tcPr>
            <w:tcW w:w="2977" w:type="dxa"/>
            <w:noWrap/>
            <w:hideMark/>
          </w:tcPr>
          <w:p w14:paraId="31AB695F" w14:textId="77777777" w:rsidR="003A12BF" w:rsidRPr="003A12BF" w:rsidRDefault="003A12BF" w:rsidP="00F51716">
            <w:pPr>
              <w:pStyle w:val="Tabletext0"/>
            </w:pPr>
            <w:r w:rsidRPr="003A12BF">
              <w:t>Hume City Council</w:t>
            </w:r>
          </w:p>
        </w:tc>
        <w:tc>
          <w:tcPr>
            <w:tcW w:w="4481" w:type="dxa"/>
            <w:noWrap/>
            <w:hideMark/>
          </w:tcPr>
          <w:p w14:paraId="17F632A9" w14:textId="77777777" w:rsidR="003A12BF" w:rsidRPr="003A12BF" w:rsidRDefault="003A12BF" w:rsidP="00F51716">
            <w:pPr>
              <w:pStyle w:val="Tabletext0"/>
            </w:pPr>
            <w:r w:rsidRPr="003A12BF">
              <w:t>E-waste Campaign Implementation Support Grant</w:t>
            </w:r>
          </w:p>
        </w:tc>
        <w:tc>
          <w:tcPr>
            <w:tcW w:w="1440" w:type="dxa"/>
            <w:noWrap/>
            <w:hideMark/>
          </w:tcPr>
          <w:p w14:paraId="5B024C5E" w14:textId="77777777" w:rsidR="003A12BF" w:rsidRPr="003A12BF" w:rsidRDefault="003A12BF" w:rsidP="00F51716">
            <w:pPr>
              <w:pStyle w:val="Tabletext0"/>
            </w:pPr>
            <w:r w:rsidRPr="003A12BF">
              <w:t>$2,982.00</w:t>
            </w:r>
          </w:p>
        </w:tc>
      </w:tr>
      <w:tr w:rsidR="003A12BF" w:rsidRPr="003A12BF" w14:paraId="5EE55A6A" w14:textId="77777777" w:rsidTr="002D4B7F">
        <w:trPr>
          <w:trHeight w:val="300"/>
        </w:trPr>
        <w:tc>
          <w:tcPr>
            <w:tcW w:w="2977" w:type="dxa"/>
            <w:noWrap/>
            <w:hideMark/>
          </w:tcPr>
          <w:p w14:paraId="50F45CD6" w14:textId="77777777" w:rsidR="003A12BF" w:rsidRPr="003A12BF" w:rsidRDefault="003A12BF" w:rsidP="00F51716">
            <w:pPr>
              <w:pStyle w:val="Tabletext0"/>
            </w:pPr>
            <w:r w:rsidRPr="003A12BF">
              <w:t>Knox City Council</w:t>
            </w:r>
          </w:p>
        </w:tc>
        <w:tc>
          <w:tcPr>
            <w:tcW w:w="4481" w:type="dxa"/>
            <w:noWrap/>
            <w:hideMark/>
          </w:tcPr>
          <w:p w14:paraId="499A625F" w14:textId="77777777" w:rsidR="003A12BF" w:rsidRPr="003A12BF" w:rsidRDefault="003A12BF" w:rsidP="00F51716">
            <w:pPr>
              <w:pStyle w:val="Tabletext0"/>
            </w:pPr>
            <w:r w:rsidRPr="003A12BF">
              <w:t>E-waste Campaign Implementation Support Grant - Knox City Council E-waste Communication Resources</w:t>
            </w:r>
          </w:p>
        </w:tc>
        <w:tc>
          <w:tcPr>
            <w:tcW w:w="1440" w:type="dxa"/>
            <w:noWrap/>
            <w:hideMark/>
          </w:tcPr>
          <w:p w14:paraId="42BCC52E" w14:textId="77777777" w:rsidR="003A12BF" w:rsidRPr="003A12BF" w:rsidRDefault="003A12BF" w:rsidP="00F51716">
            <w:pPr>
              <w:pStyle w:val="Tabletext0"/>
            </w:pPr>
            <w:r w:rsidRPr="003A12BF">
              <w:t>$2,940.94</w:t>
            </w:r>
          </w:p>
        </w:tc>
      </w:tr>
      <w:tr w:rsidR="003A12BF" w:rsidRPr="003A12BF" w14:paraId="0DC5F852" w14:textId="77777777" w:rsidTr="002D4B7F">
        <w:trPr>
          <w:trHeight w:val="300"/>
        </w:trPr>
        <w:tc>
          <w:tcPr>
            <w:tcW w:w="2977" w:type="dxa"/>
            <w:noWrap/>
            <w:hideMark/>
          </w:tcPr>
          <w:p w14:paraId="1FCA7325" w14:textId="77777777" w:rsidR="003A12BF" w:rsidRPr="003A12BF" w:rsidRDefault="003A12BF" w:rsidP="00F51716">
            <w:pPr>
              <w:pStyle w:val="Tabletext0"/>
            </w:pPr>
            <w:r w:rsidRPr="003A12BF">
              <w:t>Maribyrnong City Council</w:t>
            </w:r>
          </w:p>
        </w:tc>
        <w:tc>
          <w:tcPr>
            <w:tcW w:w="4481" w:type="dxa"/>
            <w:noWrap/>
            <w:hideMark/>
          </w:tcPr>
          <w:p w14:paraId="34B015BA" w14:textId="77777777" w:rsidR="003A12BF" w:rsidRPr="003A12BF" w:rsidRDefault="003A12BF" w:rsidP="00F51716">
            <w:pPr>
              <w:pStyle w:val="Tabletext0"/>
            </w:pPr>
            <w:r w:rsidRPr="003A12BF">
              <w:t>E-waste Campaign Implementation Support Grant</w:t>
            </w:r>
          </w:p>
        </w:tc>
        <w:tc>
          <w:tcPr>
            <w:tcW w:w="1440" w:type="dxa"/>
            <w:noWrap/>
            <w:hideMark/>
          </w:tcPr>
          <w:p w14:paraId="623E5EC1" w14:textId="77777777" w:rsidR="003A12BF" w:rsidRPr="003A12BF" w:rsidRDefault="003A12BF" w:rsidP="00F51716">
            <w:pPr>
              <w:pStyle w:val="Tabletext0"/>
            </w:pPr>
            <w:r w:rsidRPr="003A12BF">
              <w:t>$3,000.00</w:t>
            </w:r>
          </w:p>
        </w:tc>
      </w:tr>
      <w:tr w:rsidR="003A12BF" w:rsidRPr="003A12BF" w14:paraId="1F09AC87" w14:textId="77777777" w:rsidTr="002D4B7F">
        <w:trPr>
          <w:trHeight w:val="300"/>
        </w:trPr>
        <w:tc>
          <w:tcPr>
            <w:tcW w:w="2977" w:type="dxa"/>
            <w:noWrap/>
            <w:hideMark/>
          </w:tcPr>
          <w:p w14:paraId="7ED40BF8" w14:textId="77777777" w:rsidR="003A12BF" w:rsidRPr="003A12BF" w:rsidRDefault="003A12BF" w:rsidP="00F51716">
            <w:pPr>
              <w:pStyle w:val="Tabletext0"/>
            </w:pPr>
            <w:r w:rsidRPr="003A12BF">
              <w:t>Melbourne City Council</w:t>
            </w:r>
          </w:p>
        </w:tc>
        <w:tc>
          <w:tcPr>
            <w:tcW w:w="4481" w:type="dxa"/>
            <w:noWrap/>
            <w:hideMark/>
          </w:tcPr>
          <w:p w14:paraId="27DC336A" w14:textId="77777777" w:rsidR="003A12BF" w:rsidRPr="003A12BF" w:rsidRDefault="003A12BF" w:rsidP="00F51716">
            <w:pPr>
              <w:pStyle w:val="Tabletext0"/>
            </w:pPr>
            <w:r w:rsidRPr="003A12BF">
              <w:t>E-waste Campaign Implementation Support Grant - City of Melbourne E-waste Education and Awareness Campaign 2019</w:t>
            </w:r>
          </w:p>
        </w:tc>
        <w:tc>
          <w:tcPr>
            <w:tcW w:w="1440" w:type="dxa"/>
            <w:noWrap/>
            <w:hideMark/>
          </w:tcPr>
          <w:p w14:paraId="45AD28F9" w14:textId="77777777" w:rsidR="003A12BF" w:rsidRPr="003A12BF" w:rsidRDefault="003A12BF" w:rsidP="00F51716">
            <w:pPr>
              <w:pStyle w:val="Tabletext0"/>
            </w:pPr>
            <w:r w:rsidRPr="003A12BF">
              <w:t>$3,000.00</w:t>
            </w:r>
          </w:p>
        </w:tc>
      </w:tr>
      <w:tr w:rsidR="003A12BF" w:rsidRPr="003A12BF" w14:paraId="6F1AAB54" w14:textId="77777777" w:rsidTr="002D4B7F">
        <w:trPr>
          <w:trHeight w:val="300"/>
        </w:trPr>
        <w:tc>
          <w:tcPr>
            <w:tcW w:w="2977" w:type="dxa"/>
            <w:noWrap/>
            <w:hideMark/>
          </w:tcPr>
          <w:p w14:paraId="512C893D" w14:textId="77777777" w:rsidR="003A12BF" w:rsidRPr="003A12BF" w:rsidRDefault="003A12BF" w:rsidP="00F51716">
            <w:pPr>
              <w:pStyle w:val="Tabletext0"/>
            </w:pPr>
            <w:r w:rsidRPr="003A12BF">
              <w:t>Monash City Council</w:t>
            </w:r>
          </w:p>
        </w:tc>
        <w:tc>
          <w:tcPr>
            <w:tcW w:w="4481" w:type="dxa"/>
            <w:noWrap/>
            <w:hideMark/>
          </w:tcPr>
          <w:p w14:paraId="3499CCF7" w14:textId="77777777" w:rsidR="003A12BF" w:rsidRPr="003A12BF" w:rsidRDefault="003A12BF" w:rsidP="00F51716">
            <w:pPr>
              <w:pStyle w:val="Tabletext0"/>
            </w:pPr>
            <w:r w:rsidRPr="003A12BF">
              <w:t>E-waste Campaign Implementation Support Grant - Monash E-waste Ban Education Campaign</w:t>
            </w:r>
          </w:p>
        </w:tc>
        <w:tc>
          <w:tcPr>
            <w:tcW w:w="1440" w:type="dxa"/>
            <w:noWrap/>
            <w:hideMark/>
          </w:tcPr>
          <w:p w14:paraId="0B58F77A" w14:textId="77777777" w:rsidR="003A12BF" w:rsidRPr="003A12BF" w:rsidRDefault="003A12BF" w:rsidP="00F51716">
            <w:pPr>
              <w:pStyle w:val="Tabletext0"/>
            </w:pPr>
            <w:r w:rsidRPr="003A12BF">
              <w:t>$3,000.00</w:t>
            </w:r>
          </w:p>
        </w:tc>
      </w:tr>
      <w:tr w:rsidR="003A12BF" w:rsidRPr="003A12BF" w14:paraId="6C58318C" w14:textId="77777777" w:rsidTr="002D4B7F">
        <w:trPr>
          <w:trHeight w:val="300"/>
        </w:trPr>
        <w:tc>
          <w:tcPr>
            <w:tcW w:w="2977" w:type="dxa"/>
            <w:noWrap/>
            <w:hideMark/>
          </w:tcPr>
          <w:p w14:paraId="6D2BB591" w14:textId="77777777" w:rsidR="003A12BF" w:rsidRPr="003A12BF" w:rsidRDefault="003A12BF" w:rsidP="00F51716">
            <w:pPr>
              <w:pStyle w:val="Tabletext0"/>
            </w:pPr>
            <w:r w:rsidRPr="003A12BF">
              <w:t>Mornington Peninsula Shire Council</w:t>
            </w:r>
          </w:p>
        </w:tc>
        <w:tc>
          <w:tcPr>
            <w:tcW w:w="4481" w:type="dxa"/>
            <w:noWrap/>
            <w:hideMark/>
          </w:tcPr>
          <w:p w14:paraId="40E165D9" w14:textId="77777777" w:rsidR="003A12BF" w:rsidRPr="003A12BF" w:rsidRDefault="003A12BF" w:rsidP="00F51716">
            <w:pPr>
              <w:pStyle w:val="Tabletext0"/>
            </w:pPr>
            <w:r w:rsidRPr="003A12BF">
              <w:t>E-waste Campaign Implementation Support Grant - Engaging the Mornington Peninsula on the E-waste Ban</w:t>
            </w:r>
          </w:p>
        </w:tc>
        <w:tc>
          <w:tcPr>
            <w:tcW w:w="1440" w:type="dxa"/>
            <w:noWrap/>
            <w:hideMark/>
          </w:tcPr>
          <w:p w14:paraId="220D1E82" w14:textId="77777777" w:rsidR="003A12BF" w:rsidRPr="003A12BF" w:rsidRDefault="003A12BF" w:rsidP="00F51716">
            <w:pPr>
              <w:pStyle w:val="Tabletext0"/>
            </w:pPr>
            <w:r w:rsidRPr="003A12BF">
              <w:t>$2,985.00</w:t>
            </w:r>
          </w:p>
        </w:tc>
      </w:tr>
      <w:tr w:rsidR="003A12BF" w:rsidRPr="003A12BF" w14:paraId="3B3BF09B" w14:textId="77777777" w:rsidTr="002D4B7F">
        <w:trPr>
          <w:trHeight w:val="300"/>
        </w:trPr>
        <w:tc>
          <w:tcPr>
            <w:tcW w:w="2977" w:type="dxa"/>
            <w:noWrap/>
            <w:hideMark/>
          </w:tcPr>
          <w:p w14:paraId="0E71BD46" w14:textId="77777777" w:rsidR="003A12BF" w:rsidRPr="003A12BF" w:rsidRDefault="003A12BF" w:rsidP="00F51716">
            <w:pPr>
              <w:pStyle w:val="Tabletext0"/>
            </w:pPr>
            <w:r w:rsidRPr="003A12BF">
              <w:t>Nillumbik Shire Council</w:t>
            </w:r>
          </w:p>
        </w:tc>
        <w:tc>
          <w:tcPr>
            <w:tcW w:w="4481" w:type="dxa"/>
            <w:noWrap/>
            <w:hideMark/>
          </w:tcPr>
          <w:p w14:paraId="3C76F22F" w14:textId="77777777" w:rsidR="003A12BF" w:rsidRPr="003A12BF" w:rsidRDefault="003A12BF" w:rsidP="00F51716">
            <w:pPr>
              <w:pStyle w:val="Tabletext0"/>
            </w:pPr>
            <w:r w:rsidRPr="003A12BF">
              <w:t>E-waste Campaign Implementation Support Grant - E-waste Recycling in Nillumbik</w:t>
            </w:r>
          </w:p>
        </w:tc>
        <w:tc>
          <w:tcPr>
            <w:tcW w:w="1440" w:type="dxa"/>
            <w:noWrap/>
            <w:hideMark/>
          </w:tcPr>
          <w:p w14:paraId="3A35C10D" w14:textId="77777777" w:rsidR="003A12BF" w:rsidRPr="003A12BF" w:rsidRDefault="003A12BF" w:rsidP="00F51716">
            <w:pPr>
              <w:pStyle w:val="Tabletext0"/>
            </w:pPr>
            <w:r w:rsidRPr="003A12BF">
              <w:t>$3,000.00</w:t>
            </w:r>
          </w:p>
        </w:tc>
      </w:tr>
      <w:tr w:rsidR="003A12BF" w:rsidRPr="003A12BF" w14:paraId="004601F3" w14:textId="77777777" w:rsidTr="002D4B7F">
        <w:trPr>
          <w:trHeight w:val="300"/>
        </w:trPr>
        <w:tc>
          <w:tcPr>
            <w:tcW w:w="2977" w:type="dxa"/>
            <w:noWrap/>
            <w:hideMark/>
          </w:tcPr>
          <w:p w14:paraId="058A3ED5" w14:textId="77777777" w:rsidR="003A12BF" w:rsidRPr="003A12BF" w:rsidRDefault="003A12BF" w:rsidP="00F51716">
            <w:pPr>
              <w:pStyle w:val="Tabletext0"/>
            </w:pPr>
            <w:r w:rsidRPr="003A12BF">
              <w:t>Whittlesea City Council (Epping depot)</w:t>
            </w:r>
          </w:p>
        </w:tc>
        <w:tc>
          <w:tcPr>
            <w:tcW w:w="4481" w:type="dxa"/>
            <w:noWrap/>
            <w:hideMark/>
          </w:tcPr>
          <w:p w14:paraId="239920A9" w14:textId="77777777" w:rsidR="003A12BF" w:rsidRPr="003A12BF" w:rsidRDefault="003A12BF" w:rsidP="00F51716">
            <w:pPr>
              <w:pStyle w:val="Tabletext0"/>
            </w:pPr>
            <w:r w:rsidRPr="003A12BF">
              <w:t>E-waste Campaign Implementation Support Grant - Promoting the E-Waste Ban to City of Whittlesea Residents</w:t>
            </w:r>
          </w:p>
        </w:tc>
        <w:tc>
          <w:tcPr>
            <w:tcW w:w="1440" w:type="dxa"/>
            <w:noWrap/>
            <w:hideMark/>
          </w:tcPr>
          <w:p w14:paraId="4486BE79" w14:textId="77777777" w:rsidR="003A12BF" w:rsidRPr="003A12BF" w:rsidRDefault="003A12BF" w:rsidP="00F51716">
            <w:pPr>
              <w:pStyle w:val="Tabletext0"/>
            </w:pPr>
            <w:r w:rsidRPr="003A12BF">
              <w:t>$3,000.00</w:t>
            </w:r>
          </w:p>
        </w:tc>
      </w:tr>
      <w:tr w:rsidR="003A12BF" w:rsidRPr="003A12BF" w14:paraId="531DB847" w14:textId="77777777" w:rsidTr="002D4B7F">
        <w:trPr>
          <w:trHeight w:val="300"/>
        </w:trPr>
        <w:tc>
          <w:tcPr>
            <w:tcW w:w="2977" w:type="dxa"/>
            <w:noWrap/>
            <w:hideMark/>
          </w:tcPr>
          <w:p w14:paraId="18C58086" w14:textId="77777777" w:rsidR="003A12BF" w:rsidRPr="003A12BF" w:rsidRDefault="003A12BF" w:rsidP="00F51716">
            <w:pPr>
              <w:pStyle w:val="Tabletext0"/>
            </w:pPr>
            <w:r w:rsidRPr="003A12BF">
              <w:t>Wyndham City Council</w:t>
            </w:r>
          </w:p>
        </w:tc>
        <w:tc>
          <w:tcPr>
            <w:tcW w:w="4481" w:type="dxa"/>
            <w:noWrap/>
            <w:hideMark/>
          </w:tcPr>
          <w:p w14:paraId="6BE065D3" w14:textId="77777777" w:rsidR="003A12BF" w:rsidRPr="003A12BF" w:rsidRDefault="003A12BF" w:rsidP="00F51716">
            <w:pPr>
              <w:pStyle w:val="Tabletext0"/>
            </w:pPr>
            <w:r w:rsidRPr="003A12BF">
              <w:t>E-waste Campaign Implementation Support Grant - Recycle Your Electrical Waste, it's a Resource not Waste</w:t>
            </w:r>
          </w:p>
        </w:tc>
        <w:tc>
          <w:tcPr>
            <w:tcW w:w="1440" w:type="dxa"/>
            <w:noWrap/>
            <w:hideMark/>
          </w:tcPr>
          <w:p w14:paraId="1AAF535C" w14:textId="77777777" w:rsidR="003A12BF" w:rsidRPr="003A12BF" w:rsidRDefault="003A12BF" w:rsidP="00F51716">
            <w:pPr>
              <w:pStyle w:val="Tabletext0"/>
            </w:pPr>
            <w:r w:rsidRPr="003A12BF">
              <w:t>$2,955.00</w:t>
            </w:r>
          </w:p>
        </w:tc>
      </w:tr>
      <w:tr w:rsidR="003A12BF" w:rsidRPr="003A12BF" w14:paraId="731D7BD6" w14:textId="77777777" w:rsidTr="002D4B7F">
        <w:trPr>
          <w:trHeight w:val="300"/>
        </w:trPr>
        <w:tc>
          <w:tcPr>
            <w:tcW w:w="2977" w:type="dxa"/>
            <w:noWrap/>
            <w:hideMark/>
          </w:tcPr>
          <w:p w14:paraId="36335D0D" w14:textId="77777777" w:rsidR="003A12BF" w:rsidRPr="003A12BF" w:rsidRDefault="003A12BF" w:rsidP="00F51716">
            <w:pPr>
              <w:pStyle w:val="Tabletext0"/>
            </w:pPr>
            <w:r w:rsidRPr="003A12BF">
              <w:t>Yarra Ranges Shire Council</w:t>
            </w:r>
          </w:p>
        </w:tc>
        <w:tc>
          <w:tcPr>
            <w:tcW w:w="4481" w:type="dxa"/>
            <w:noWrap/>
            <w:hideMark/>
          </w:tcPr>
          <w:p w14:paraId="6B858CB8" w14:textId="77777777" w:rsidR="003A12BF" w:rsidRPr="003A12BF" w:rsidRDefault="003A12BF" w:rsidP="00F51716">
            <w:pPr>
              <w:pStyle w:val="Tabletext0"/>
            </w:pPr>
            <w:r w:rsidRPr="003A12BF">
              <w:t>E-waste Campaign Implementation Support Grant - Yarra Ranges Shire Council</w:t>
            </w:r>
          </w:p>
        </w:tc>
        <w:tc>
          <w:tcPr>
            <w:tcW w:w="1440" w:type="dxa"/>
            <w:noWrap/>
            <w:hideMark/>
          </w:tcPr>
          <w:p w14:paraId="7D74563E" w14:textId="77777777" w:rsidR="003A12BF" w:rsidRPr="003A12BF" w:rsidRDefault="003A12BF" w:rsidP="00F51716">
            <w:pPr>
              <w:pStyle w:val="Tabletext0"/>
            </w:pPr>
            <w:r w:rsidRPr="003A12BF">
              <w:t>$3,000.00</w:t>
            </w:r>
          </w:p>
        </w:tc>
      </w:tr>
      <w:tr w:rsidR="003A12BF" w:rsidRPr="003A12BF" w14:paraId="5F35CB2D" w14:textId="77777777" w:rsidTr="002D4B7F">
        <w:trPr>
          <w:trHeight w:val="300"/>
        </w:trPr>
        <w:tc>
          <w:tcPr>
            <w:tcW w:w="2977" w:type="dxa"/>
            <w:noWrap/>
            <w:hideMark/>
          </w:tcPr>
          <w:p w14:paraId="4D24AF90" w14:textId="77777777" w:rsidR="003A12BF" w:rsidRPr="003A12BF" w:rsidRDefault="003A12BF" w:rsidP="00F51716">
            <w:pPr>
              <w:pStyle w:val="Tabletext0"/>
            </w:pPr>
            <w:r w:rsidRPr="003A12BF">
              <w:t>Gippsland Waste and Resource Recovery Group (GWRRG)</w:t>
            </w:r>
          </w:p>
        </w:tc>
        <w:tc>
          <w:tcPr>
            <w:tcW w:w="4481" w:type="dxa"/>
            <w:noWrap/>
            <w:hideMark/>
          </w:tcPr>
          <w:p w14:paraId="136FF3AB" w14:textId="77777777" w:rsidR="003A12BF" w:rsidRPr="003A12BF" w:rsidRDefault="003A12BF" w:rsidP="00F51716">
            <w:pPr>
              <w:pStyle w:val="Tabletext0"/>
            </w:pPr>
            <w:r w:rsidRPr="003A12BF">
              <w:t>E-Waste Implementation Support Grant</w:t>
            </w:r>
          </w:p>
        </w:tc>
        <w:tc>
          <w:tcPr>
            <w:tcW w:w="1440" w:type="dxa"/>
            <w:noWrap/>
            <w:hideMark/>
          </w:tcPr>
          <w:p w14:paraId="48E39E1E" w14:textId="77777777" w:rsidR="003A12BF" w:rsidRPr="003A12BF" w:rsidRDefault="003A12BF" w:rsidP="00F51716">
            <w:pPr>
              <w:pStyle w:val="Tabletext0"/>
            </w:pPr>
            <w:r w:rsidRPr="003A12BF">
              <w:t>$15,000.00</w:t>
            </w:r>
          </w:p>
        </w:tc>
      </w:tr>
      <w:tr w:rsidR="003A12BF" w:rsidRPr="003A12BF" w14:paraId="355EB941" w14:textId="77777777" w:rsidTr="002D4B7F">
        <w:trPr>
          <w:trHeight w:val="300"/>
        </w:trPr>
        <w:tc>
          <w:tcPr>
            <w:tcW w:w="2977" w:type="dxa"/>
            <w:noWrap/>
            <w:hideMark/>
          </w:tcPr>
          <w:p w14:paraId="2DC054DE" w14:textId="77777777" w:rsidR="003A12BF" w:rsidRPr="003A12BF" w:rsidRDefault="003A12BF" w:rsidP="00F51716">
            <w:pPr>
              <w:pStyle w:val="Tabletext0"/>
            </w:pPr>
            <w:r w:rsidRPr="003A12BF">
              <w:t>Gippsland Waste and Resource Recovery Group (GWRRG)</w:t>
            </w:r>
          </w:p>
        </w:tc>
        <w:tc>
          <w:tcPr>
            <w:tcW w:w="4481" w:type="dxa"/>
            <w:noWrap/>
            <w:hideMark/>
          </w:tcPr>
          <w:p w14:paraId="4684821E" w14:textId="77777777" w:rsidR="003A12BF" w:rsidRPr="003A12BF" w:rsidRDefault="003A12BF" w:rsidP="00F51716">
            <w:pPr>
              <w:pStyle w:val="Tabletext0"/>
            </w:pPr>
            <w:r w:rsidRPr="003A12BF">
              <w:t>E-Waste Implementation Support Grant</w:t>
            </w:r>
          </w:p>
        </w:tc>
        <w:tc>
          <w:tcPr>
            <w:tcW w:w="1440" w:type="dxa"/>
            <w:noWrap/>
            <w:hideMark/>
          </w:tcPr>
          <w:p w14:paraId="64809EF3" w14:textId="77777777" w:rsidR="003A12BF" w:rsidRPr="003A12BF" w:rsidRDefault="003A12BF" w:rsidP="00F51716">
            <w:pPr>
              <w:pStyle w:val="Tabletext0"/>
            </w:pPr>
            <w:r w:rsidRPr="003A12BF">
              <w:t>$14,578.11</w:t>
            </w:r>
          </w:p>
        </w:tc>
      </w:tr>
      <w:tr w:rsidR="003A12BF" w:rsidRPr="003A12BF" w14:paraId="26B933BB" w14:textId="77777777" w:rsidTr="002D4B7F">
        <w:trPr>
          <w:trHeight w:val="300"/>
        </w:trPr>
        <w:tc>
          <w:tcPr>
            <w:tcW w:w="2977" w:type="dxa"/>
            <w:noWrap/>
            <w:hideMark/>
          </w:tcPr>
          <w:p w14:paraId="0DF5B873" w14:textId="77777777" w:rsidR="003A12BF" w:rsidRPr="003A12BF" w:rsidRDefault="003A12BF" w:rsidP="00F51716">
            <w:pPr>
              <w:pStyle w:val="Tabletext0"/>
            </w:pPr>
            <w:r w:rsidRPr="003A12BF">
              <w:t>SignAction Design and Manufacture</w:t>
            </w:r>
          </w:p>
        </w:tc>
        <w:tc>
          <w:tcPr>
            <w:tcW w:w="4481" w:type="dxa"/>
            <w:noWrap/>
            <w:hideMark/>
          </w:tcPr>
          <w:p w14:paraId="26B1D258" w14:textId="77777777" w:rsidR="003A12BF" w:rsidRPr="003A12BF" w:rsidRDefault="003A12BF" w:rsidP="00F51716">
            <w:pPr>
              <w:pStyle w:val="Tabletext0"/>
            </w:pPr>
            <w:r w:rsidRPr="003A12BF">
              <w:t>E-waste Fencing Signage</w:t>
            </w:r>
          </w:p>
        </w:tc>
        <w:tc>
          <w:tcPr>
            <w:tcW w:w="1440" w:type="dxa"/>
            <w:noWrap/>
            <w:hideMark/>
          </w:tcPr>
          <w:p w14:paraId="0EDF4726" w14:textId="77777777" w:rsidR="003A12BF" w:rsidRPr="003A12BF" w:rsidRDefault="003A12BF" w:rsidP="00F51716">
            <w:pPr>
              <w:pStyle w:val="Tabletext0"/>
            </w:pPr>
            <w:r w:rsidRPr="003A12BF">
              <w:t>$11,805.50</w:t>
            </w:r>
          </w:p>
        </w:tc>
      </w:tr>
      <w:tr w:rsidR="003A12BF" w:rsidRPr="003A12BF" w14:paraId="5DD86474" w14:textId="77777777" w:rsidTr="002D4B7F">
        <w:trPr>
          <w:trHeight w:val="300"/>
        </w:trPr>
        <w:tc>
          <w:tcPr>
            <w:tcW w:w="2977" w:type="dxa"/>
            <w:noWrap/>
            <w:hideMark/>
          </w:tcPr>
          <w:p w14:paraId="2A0245E1" w14:textId="77777777" w:rsidR="003A12BF" w:rsidRPr="003A12BF" w:rsidRDefault="003A12BF" w:rsidP="00F51716">
            <w:pPr>
              <w:pStyle w:val="Tabletext0"/>
            </w:pPr>
            <w:r w:rsidRPr="003A12BF">
              <w:t>SignAction Design and Manufacture</w:t>
            </w:r>
          </w:p>
        </w:tc>
        <w:tc>
          <w:tcPr>
            <w:tcW w:w="4481" w:type="dxa"/>
            <w:noWrap/>
            <w:hideMark/>
          </w:tcPr>
          <w:p w14:paraId="343FA460" w14:textId="77777777" w:rsidR="003A12BF" w:rsidRPr="003A12BF" w:rsidRDefault="003A12BF" w:rsidP="00F51716">
            <w:pPr>
              <w:pStyle w:val="Tabletext0"/>
            </w:pPr>
            <w:r w:rsidRPr="003A12BF">
              <w:t>E-waste Fencing Signage</w:t>
            </w:r>
          </w:p>
        </w:tc>
        <w:tc>
          <w:tcPr>
            <w:tcW w:w="1440" w:type="dxa"/>
            <w:noWrap/>
            <w:hideMark/>
          </w:tcPr>
          <w:p w14:paraId="0891D656" w14:textId="77777777" w:rsidR="003A12BF" w:rsidRPr="003A12BF" w:rsidRDefault="003A12BF" w:rsidP="00F51716">
            <w:pPr>
              <w:pStyle w:val="Tabletext0"/>
            </w:pPr>
            <w:r w:rsidRPr="003A12BF">
              <w:t>$3,256.69</w:t>
            </w:r>
          </w:p>
        </w:tc>
      </w:tr>
      <w:tr w:rsidR="003A12BF" w:rsidRPr="003A12BF" w14:paraId="6AF82C8E" w14:textId="77777777" w:rsidTr="002D4B7F">
        <w:trPr>
          <w:trHeight w:val="300"/>
        </w:trPr>
        <w:tc>
          <w:tcPr>
            <w:tcW w:w="2977" w:type="dxa"/>
            <w:noWrap/>
            <w:hideMark/>
          </w:tcPr>
          <w:p w14:paraId="51928D5B" w14:textId="77777777" w:rsidR="003A12BF" w:rsidRPr="003A12BF" w:rsidRDefault="003A12BF" w:rsidP="00F51716">
            <w:pPr>
              <w:pStyle w:val="Tabletext0"/>
            </w:pPr>
            <w:r w:rsidRPr="003A12BF">
              <w:t>North East Waste and Resource Recovery Group (NEWRRG)</w:t>
            </w:r>
          </w:p>
        </w:tc>
        <w:tc>
          <w:tcPr>
            <w:tcW w:w="4481" w:type="dxa"/>
            <w:noWrap/>
            <w:hideMark/>
          </w:tcPr>
          <w:p w14:paraId="7E45C661" w14:textId="77777777" w:rsidR="003A12BF" w:rsidRPr="003A12BF" w:rsidRDefault="003A12BF" w:rsidP="00F51716">
            <w:pPr>
              <w:pStyle w:val="Tabletext0"/>
            </w:pPr>
            <w:r w:rsidRPr="003A12BF">
              <w:t>E-Waste Campaign Implementation Support Grant - E-Waste Education and Awareness Campaign</w:t>
            </w:r>
          </w:p>
        </w:tc>
        <w:tc>
          <w:tcPr>
            <w:tcW w:w="1440" w:type="dxa"/>
            <w:noWrap/>
            <w:hideMark/>
          </w:tcPr>
          <w:p w14:paraId="55D86DC6" w14:textId="77777777" w:rsidR="003A12BF" w:rsidRPr="003A12BF" w:rsidRDefault="003A12BF" w:rsidP="00F51716">
            <w:pPr>
              <w:pStyle w:val="Tabletext0"/>
            </w:pPr>
            <w:r w:rsidRPr="003A12BF">
              <w:t>$25,000.00</w:t>
            </w:r>
          </w:p>
        </w:tc>
      </w:tr>
      <w:tr w:rsidR="003A12BF" w:rsidRPr="003A12BF" w14:paraId="1C8E5035" w14:textId="77777777" w:rsidTr="002D4B7F">
        <w:trPr>
          <w:trHeight w:val="300"/>
        </w:trPr>
        <w:tc>
          <w:tcPr>
            <w:tcW w:w="2977" w:type="dxa"/>
            <w:noWrap/>
            <w:hideMark/>
          </w:tcPr>
          <w:p w14:paraId="4DD22571" w14:textId="77777777" w:rsidR="003A12BF" w:rsidRPr="003A12BF" w:rsidRDefault="003A12BF" w:rsidP="00F51716">
            <w:pPr>
              <w:pStyle w:val="Tabletext0"/>
            </w:pPr>
            <w:r w:rsidRPr="003A12BF">
              <w:t>North East Waste and Resource Recovery Group (NEWRRG)</w:t>
            </w:r>
          </w:p>
        </w:tc>
        <w:tc>
          <w:tcPr>
            <w:tcW w:w="4481" w:type="dxa"/>
            <w:noWrap/>
            <w:hideMark/>
          </w:tcPr>
          <w:p w14:paraId="11F34296" w14:textId="77777777" w:rsidR="003A12BF" w:rsidRPr="003A12BF" w:rsidRDefault="003A12BF" w:rsidP="00F51716">
            <w:pPr>
              <w:pStyle w:val="Tabletext0"/>
            </w:pPr>
            <w:r w:rsidRPr="003A12BF">
              <w:t>E-Waste Campaign Implementation Support Grant - E-Waste Education and Awareness Campaign</w:t>
            </w:r>
          </w:p>
        </w:tc>
        <w:tc>
          <w:tcPr>
            <w:tcW w:w="1440" w:type="dxa"/>
            <w:noWrap/>
            <w:hideMark/>
          </w:tcPr>
          <w:p w14:paraId="3C4E2280" w14:textId="77777777" w:rsidR="003A12BF" w:rsidRPr="003A12BF" w:rsidRDefault="003A12BF" w:rsidP="00F51716">
            <w:pPr>
              <w:pStyle w:val="Tabletext0"/>
            </w:pPr>
            <w:r w:rsidRPr="003A12BF">
              <w:t>$25,000.00</w:t>
            </w:r>
          </w:p>
        </w:tc>
      </w:tr>
      <w:tr w:rsidR="003A12BF" w:rsidRPr="003A12BF" w14:paraId="1478016E" w14:textId="77777777" w:rsidTr="002D4B7F">
        <w:trPr>
          <w:trHeight w:val="300"/>
        </w:trPr>
        <w:tc>
          <w:tcPr>
            <w:tcW w:w="2977" w:type="dxa"/>
            <w:noWrap/>
            <w:hideMark/>
          </w:tcPr>
          <w:p w14:paraId="1AA7D494" w14:textId="77777777" w:rsidR="003A12BF" w:rsidRPr="003A12BF" w:rsidRDefault="003A12BF" w:rsidP="00F51716">
            <w:pPr>
              <w:pStyle w:val="Tabletext0"/>
            </w:pPr>
            <w:r w:rsidRPr="003A12BF">
              <w:t>Loddon Mallee Waste and Resource Recovery Group (LMWRRG)</w:t>
            </w:r>
          </w:p>
        </w:tc>
        <w:tc>
          <w:tcPr>
            <w:tcW w:w="4481" w:type="dxa"/>
            <w:noWrap/>
            <w:hideMark/>
          </w:tcPr>
          <w:p w14:paraId="3392E4A5" w14:textId="77777777" w:rsidR="003A12BF" w:rsidRPr="003A12BF" w:rsidRDefault="003A12BF" w:rsidP="00F51716">
            <w:pPr>
              <w:pStyle w:val="Tabletext0"/>
            </w:pPr>
            <w:r w:rsidRPr="003A12BF">
              <w:t>E-Waste Implementation Support Grant - Loddon Mallee E-waste Campaign Implementation</w:t>
            </w:r>
          </w:p>
        </w:tc>
        <w:tc>
          <w:tcPr>
            <w:tcW w:w="1440" w:type="dxa"/>
            <w:noWrap/>
            <w:hideMark/>
          </w:tcPr>
          <w:p w14:paraId="255A4E3B" w14:textId="77777777" w:rsidR="003A12BF" w:rsidRPr="003A12BF" w:rsidRDefault="003A12BF" w:rsidP="00F51716">
            <w:pPr>
              <w:pStyle w:val="Tabletext0"/>
            </w:pPr>
            <w:r w:rsidRPr="003A12BF">
              <w:t>$12,750.00</w:t>
            </w:r>
          </w:p>
        </w:tc>
      </w:tr>
      <w:tr w:rsidR="003A12BF" w:rsidRPr="003A12BF" w14:paraId="37FDCA11" w14:textId="77777777" w:rsidTr="002D4B7F">
        <w:trPr>
          <w:trHeight w:val="300"/>
        </w:trPr>
        <w:tc>
          <w:tcPr>
            <w:tcW w:w="2977" w:type="dxa"/>
            <w:noWrap/>
            <w:hideMark/>
          </w:tcPr>
          <w:p w14:paraId="5ADBA430" w14:textId="77777777" w:rsidR="003A12BF" w:rsidRPr="003A12BF" w:rsidRDefault="003A12BF" w:rsidP="00F51716">
            <w:pPr>
              <w:pStyle w:val="Tabletext0"/>
            </w:pPr>
            <w:r w:rsidRPr="003A12BF">
              <w:t>Loddon Mallee Waste and Resource Recovery Group (LMWRRG)</w:t>
            </w:r>
          </w:p>
        </w:tc>
        <w:tc>
          <w:tcPr>
            <w:tcW w:w="4481" w:type="dxa"/>
            <w:noWrap/>
            <w:hideMark/>
          </w:tcPr>
          <w:p w14:paraId="3736AD5D" w14:textId="77777777" w:rsidR="003A12BF" w:rsidRPr="003A12BF" w:rsidRDefault="003A12BF" w:rsidP="00F51716">
            <w:pPr>
              <w:pStyle w:val="Tabletext0"/>
            </w:pPr>
            <w:r w:rsidRPr="003A12BF">
              <w:t>E-Waste Implementation Support Grant - Loddon Mallee E-waste Campaign Implementation</w:t>
            </w:r>
          </w:p>
        </w:tc>
        <w:tc>
          <w:tcPr>
            <w:tcW w:w="1440" w:type="dxa"/>
            <w:noWrap/>
            <w:hideMark/>
          </w:tcPr>
          <w:p w14:paraId="47A5A027" w14:textId="77777777" w:rsidR="003A12BF" w:rsidRPr="003A12BF" w:rsidRDefault="003A12BF" w:rsidP="00F51716">
            <w:pPr>
              <w:pStyle w:val="Tabletext0"/>
            </w:pPr>
            <w:r w:rsidRPr="003A12BF">
              <w:t>$11,965.45</w:t>
            </w:r>
          </w:p>
        </w:tc>
      </w:tr>
      <w:tr w:rsidR="003A12BF" w:rsidRPr="003A12BF" w14:paraId="28B26338" w14:textId="77777777" w:rsidTr="002D4B7F">
        <w:trPr>
          <w:trHeight w:val="300"/>
        </w:trPr>
        <w:tc>
          <w:tcPr>
            <w:tcW w:w="2977" w:type="dxa"/>
            <w:noWrap/>
            <w:hideMark/>
          </w:tcPr>
          <w:p w14:paraId="1E3DB61C" w14:textId="048C3B9B" w:rsidR="003A12BF" w:rsidRPr="003A12BF" w:rsidRDefault="003A12BF" w:rsidP="00F51716">
            <w:pPr>
              <w:pStyle w:val="Tabletext0"/>
            </w:pPr>
            <w:r w:rsidRPr="003A12BF">
              <w:t xml:space="preserve">Barwon South West Waste and Resource Recovery Group </w:t>
            </w:r>
          </w:p>
        </w:tc>
        <w:tc>
          <w:tcPr>
            <w:tcW w:w="4481" w:type="dxa"/>
            <w:noWrap/>
            <w:hideMark/>
          </w:tcPr>
          <w:p w14:paraId="40801209" w14:textId="77777777" w:rsidR="003A12BF" w:rsidRPr="003A12BF" w:rsidRDefault="003A12BF" w:rsidP="00F51716">
            <w:pPr>
              <w:pStyle w:val="Tabletext0"/>
            </w:pPr>
            <w:r w:rsidRPr="003A12BF">
              <w:t>E-Waste Implementation Support Grant - Barwon South West E-waste Education Campaign</w:t>
            </w:r>
          </w:p>
        </w:tc>
        <w:tc>
          <w:tcPr>
            <w:tcW w:w="1440" w:type="dxa"/>
            <w:noWrap/>
            <w:hideMark/>
          </w:tcPr>
          <w:p w14:paraId="0C40B026" w14:textId="77777777" w:rsidR="003A12BF" w:rsidRPr="003A12BF" w:rsidRDefault="003A12BF" w:rsidP="00F51716">
            <w:pPr>
              <w:pStyle w:val="Tabletext0"/>
            </w:pPr>
            <w:r w:rsidRPr="003A12BF">
              <w:t>$22,500.00</w:t>
            </w:r>
          </w:p>
        </w:tc>
      </w:tr>
      <w:tr w:rsidR="003A12BF" w:rsidRPr="003A12BF" w14:paraId="7818611C" w14:textId="77777777" w:rsidTr="002D4B7F">
        <w:trPr>
          <w:trHeight w:val="300"/>
        </w:trPr>
        <w:tc>
          <w:tcPr>
            <w:tcW w:w="2977" w:type="dxa"/>
            <w:noWrap/>
            <w:hideMark/>
          </w:tcPr>
          <w:p w14:paraId="5E9524C6" w14:textId="7E777214" w:rsidR="003A12BF" w:rsidRPr="003A12BF" w:rsidRDefault="003A12BF" w:rsidP="00F51716">
            <w:pPr>
              <w:pStyle w:val="Tabletext0"/>
            </w:pPr>
            <w:r w:rsidRPr="003A12BF">
              <w:t xml:space="preserve">Barwon South West Waste and Resource Recovery Group </w:t>
            </w:r>
          </w:p>
        </w:tc>
        <w:tc>
          <w:tcPr>
            <w:tcW w:w="4481" w:type="dxa"/>
            <w:noWrap/>
            <w:hideMark/>
          </w:tcPr>
          <w:p w14:paraId="1AB09A12" w14:textId="77777777" w:rsidR="003A12BF" w:rsidRPr="003A12BF" w:rsidRDefault="003A12BF" w:rsidP="00F51716">
            <w:pPr>
              <w:pStyle w:val="Tabletext0"/>
            </w:pPr>
            <w:r w:rsidRPr="003A12BF">
              <w:t>E-Waste Implementation Support Grant - Barwon South West E-waste Education Campaign</w:t>
            </w:r>
          </w:p>
        </w:tc>
        <w:tc>
          <w:tcPr>
            <w:tcW w:w="1440" w:type="dxa"/>
            <w:noWrap/>
            <w:hideMark/>
          </w:tcPr>
          <w:p w14:paraId="04136BBA" w14:textId="77777777" w:rsidR="003A12BF" w:rsidRPr="003A12BF" w:rsidRDefault="003A12BF" w:rsidP="00F51716">
            <w:pPr>
              <w:pStyle w:val="Tabletext0"/>
            </w:pPr>
            <w:r w:rsidRPr="003A12BF">
              <w:t>$22,500.00</w:t>
            </w:r>
          </w:p>
        </w:tc>
      </w:tr>
      <w:tr w:rsidR="003A12BF" w:rsidRPr="003A12BF" w14:paraId="0FAE1D1B" w14:textId="77777777" w:rsidTr="002D4B7F">
        <w:trPr>
          <w:trHeight w:val="300"/>
        </w:trPr>
        <w:tc>
          <w:tcPr>
            <w:tcW w:w="2977" w:type="dxa"/>
            <w:noWrap/>
            <w:hideMark/>
          </w:tcPr>
          <w:p w14:paraId="5A526542" w14:textId="58DD70CA" w:rsidR="003A12BF" w:rsidRPr="003A12BF" w:rsidRDefault="003A12BF" w:rsidP="00F51716">
            <w:pPr>
              <w:pStyle w:val="Tabletext0"/>
            </w:pPr>
            <w:r w:rsidRPr="003A12BF">
              <w:t>Grampians Central West Waste and Resource Recovery Group - HEAD OFFICE</w:t>
            </w:r>
          </w:p>
        </w:tc>
        <w:tc>
          <w:tcPr>
            <w:tcW w:w="4481" w:type="dxa"/>
            <w:noWrap/>
            <w:hideMark/>
          </w:tcPr>
          <w:p w14:paraId="26037902" w14:textId="77777777" w:rsidR="003A12BF" w:rsidRPr="003A12BF" w:rsidRDefault="003A12BF" w:rsidP="00F51716">
            <w:pPr>
              <w:pStyle w:val="Tabletext0"/>
            </w:pPr>
            <w:r w:rsidRPr="003A12BF">
              <w:t>E_Waste Implementation Support Grant -</w:t>
            </w:r>
          </w:p>
        </w:tc>
        <w:tc>
          <w:tcPr>
            <w:tcW w:w="1440" w:type="dxa"/>
            <w:noWrap/>
            <w:hideMark/>
          </w:tcPr>
          <w:p w14:paraId="6E460802" w14:textId="77777777" w:rsidR="003A12BF" w:rsidRPr="003A12BF" w:rsidRDefault="003A12BF" w:rsidP="00F51716">
            <w:pPr>
              <w:pStyle w:val="Tabletext0"/>
            </w:pPr>
            <w:r w:rsidRPr="003A12BF">
              <w:t>$30,000.00</w:t>
            </w:r>
          </w:p>
        </w:tc>
      </w:tr>
      <w:tr w:rsidR="003A12BF" w:rsidRPr="003A12BF" w14:paraId="311A0FF1" w14:textId="77777777" w:rsidTr="002D4B7F">
        <w:trPr>
          <w:trHeight w:val="300"/>
        </w:trPr>
        <w:tc>
          <w:tcPr>
            <w:tcW w:w="2977" w:type="dxa"/>
            <w:noWrap/>
            <w:hideMark/>
          </w:tcPr>
          <w:p w14:paraId="259F4956" w14:textId="423CCAA7" w:rsidR="003A12BF" w:rsidRPr="003A12BF" w:rsidRDefault="003A12BF" w:rsidP="00F51716">
            <w:pPr>
              <w:pStyle w:val="Tabletext0"/>
            </w:pPr>
            <w:r w:rsidRPr="003A12BF">
              <w:t>Grampians Central West Waste and Resource Recovery Group - HEAD OFFICE</w:t>
            </w:r>
          </w:p>
        </w:tc>
        <w:tc>
          <w:tcPr>
            <w:tcW w:w="4481" w:type="dxa"/>
            <w:noWrap/>
            <w:hideMark/>
          </w:tcPr>
          <w:p w14:paraId="6ACD2861" w14:textId="77777777" w:rsidR="003A12BF" w:rsidRPr="003A12BF" w:rsidRDefault="003A12BF" w:rsidP="00F51716">
            <w:pPr>
              <w:pStyle w:val="Tabletext0"/>
            </w:pPr>
            <w:r w:rsidRPr="003A12BF">
              <w:t>E_Waste Implementation Support Grant -</w:t>
            </w:r>
          </w:p>
        </w:tc>
        <w:tc>
          <w:tcPr>
            <w:tcW w:w="1440" w:type="dxa"/>
            <w:noWrap/>
            <w:hideMark/>
          </w:tcPr>
          <w:p w14:paraId="5B92FDA8" w14:textId="77777777" w:rsidR="003A12BF" w:rsidRPr="003A12BF" w:rsidRDefault="003A12BF" w:rsidP="00F51716">
            <w:pPr>
              <w:pStyle w:val="Tabletext0"/>
            </w:pPr>
            <w:r w:rsidRPr="003A12BF">
              <w:t>$30,000.00</w:t>
            </w:r>
          </w:p>
        </w:tc>
      </w:tr>
      <w:tr w:rsidR="003A12BF" w:rsidRPr="003A12BF" w14:paraId="0E4BEEB1" w14:textId="77777777" w:rsidTr="002D4B7F">
        <w:trPr>
          <w:trHeight w:val="300"/>
        </w:trPr>
        <w:tc>
          <w:tcPr>
            <w:tcW w:w="2977" w:type="dxa"/>
            <w:noWrap/>
            <w:hideMark/>
          </w:tcPr>
          <w:p w14:paraId="4FE25855" w14:textId="77777777" w:rsidR="003A12BF" w:rsidRPr="003A12BF" w:rsidRDefault="003A12BF" w:rsidP="00F51716">
            <w:pPr>
              <w:pStyle w:val="Tabletext0"/>
            </w:pPr>
            <w:r w:rsidRPr="003A12BF">
              <w:t>Goulburn Valley Waste and Resource Recovery Group (GVWRRG)</w:t>
            </w:r>
          </w:p>
        </w:tc>
        <w:tc>
          <w:tcPr>
            <w:tcW w:w="4481" w:type="dxa"/>
            <w:noWrap/>
            <w:hideMark/>
          </w:tcPr>
          <w:p w14:paraId="39638F2B" w14:textId="77777777" w:rsidR="003A12BF" w:rsidRPr="003A12BF" w:rsidRDefault="003A12BF" w:rsidP="00F51716">
            <w:pPr>
              <w:pStyle w:val="Tabletext0"/>
            </w:pPr>
            <w:r w:rsidRPr="003A12BF">
              <w:t>Goulburn Valley E Waste Education and Awareness Campaign</w:t>
            </w:r>
          </w:p>
        </w:tc>
        <w:tc>
          <w:tcPr>
            <w:tcW w:w="1440" w:type="dxa"/>
            <w:noWrap/>
            <w:hideMark/>
          </w:tcPr>
          <w:p w14:paraId="3B7839BE" w14:textId="77777777" w:rsidR="003A12BF" w:rsidRPr="003A12BF" w:rsidRDefault="003A12BF" w:rsidP="00F51716">
            <w:pPr>
              <w:pStyle w:val="Tabletext0"/>
            </w:pPr>
            <w:r w:rsidRPr="003A12BF">
              <w:t>$20,000.00</w:t>
            </w:r>
          </w:p>
        </w:tc>
      </w:tr>
      <w:tr w:rsidR="003A12BF" w:rsidRPr="003A12BF" w14:paraId="5295F924" w14:textId="77777777" w:rsidTr="002D4B7F">
        <w:trPr>
          <w:trHeight w:val="300"/>
        </w:trPr>
        <w:tc>
          <w:tcPr>
            <w:tcW w:w="2977" w:type="dxa"/>
            <w:noWrap/>
            <w:hideMark/>
          </w:tcPr>
          <w:p w14:paraId="1210A66A" w14:textId="77777777" w:rsidR="003A12BF" w:rsidRPr="003A12BF" w:rsidRDefault="003A12BF" w:rsidP="00F51716">
            <w:pPr>
              <w:pStyle w:val="Tabletext0"/>
            </w:pPr>
            <w:r w:rsidRPr="003A12BF">
              <w:t>Goulburn Valley Waste and Resource Recovery Group (GVWRRG)</w:t>
            </w:r>
          </w:p>
        </w:tc>
        <w:tc>
          <w:tcPr>
            <w:tcW w:w="4481" w:type="dxa"/>
            <w:noWrap/>
            <w:hideMark/>
          </w:tcPr>
          <w:p w14:paraId="23CCE722" w14:textId="77777777" w:rsidR="003A12BF" w:rsidRPr="003A12BF" w:rsidRDefault="003A12BF" w:rsidP="00F51716">
            <w:pPr>
              <w:pStyle w:val="Tabletext0"/>
            </w:pPr>
            <w:r w:rsidRPr="003A12BF">
              <w:t>Goulburn Valley E Waste Education and Awareness Campaign</w:t>
            </w:r>
          </w:p>
        </w:tc>
        <w:tc>
          <w:tcPr>
            <w:tcW w:w="1440" w:type="dxa"/>
            <w:noWrap/>
            <w:hideMark/>
          </w:tcPr>
          <w:p w14:paraId="06CBC6CA" w14:textId="77777777" w:rsidR="003A12BF" w:rsidRPr="003A12BF" w:rsidRDefault="003A12BF" w:rsidP="00F51716">
            <w:pPr>
              <w:pStyle w:val="Tabletext0"/>
            </w:pPr>
            <w:r w:rsidRPr="003A12BF">
              <w:t>$10,000.00</w:t>
            </w:r>
          </w:p>
        </w:tc>
      </w:tr>
      <w:tr w:rsidR="003A12BF" w:rsidRPr="003A12BF" w14:paraId="17659258" w14:textId="77777777" w:rsidTr="002D4B7F">
        <w:trPr>
          <w:trHeight w:val="300"/>
        </w:trPr>
        <w:tc>
          <w:tcPr>
            <w:tcW w:w="2977" w:type="dxa"/>
            <w:noWrap/>
            <w:hideMark/>
          </w:tcPr>
          <w:p w14:paraId="5E83B809" w14:textId="77777777" w:rsidR="003A12BF" w:rsidRPr="003A12BF" w:rsidRDefault="003A12BF" w:rsidP="00F51716">
            <w:pPr>
              <w:pStyle w:val="Tabletext0"/>
            </w:pPr>
            <w:r w:rsidRPr="003A12BF">
              <w:t>Swinburne University of Technology</w:t>
            </w:r>
          </w:p>
        </w:tc>
        <w:tc>
          <w:tcPr>
            <w:tcW w:w="4481" w:type="dxa"/>
            <w:noWrap/>
            <w:hideMark/>
          </w:tcPr>
          <w:p w14:paraId="7E3828ED" w14:textId="77777777" w:rsidR="003A12BF" w:rsidRPr="003A12BF" w:rsidRDefault="003A12BF" w:rsidP="00F51716">
            <w:pPr>
              <w:pStyle w:val="Tabletext0"/>
            </w:pPr>
            <w:r w:rsidRPr="003A12BF">
              <w:t>Swinburne - Pilot process for extraction and production of Zinc powder from end of life batteries</w:t>
            </w:r>
          </w:p>
        </w:tc>
        <w:tc>
          <w:tcPr>
            <w:tcW w:w="1440" w:type="dxa"/>
            <w:noWrap/>
            <w:hideMark/>
          </w:tcPr>
          <w:p w14:paraId="4B870F5F" w14:textId="77777777" w:rsidR="003A12BF" w:rsidRPr="003A12BF" w:rsidRDefault="003A12BF" w:rsidP="00F51716">
            <w:pPr>
              <w:pStyle w:val="Tabletext0"/>
            </w:pPr>
            <w:r w:rsidRPr="003A12BF">
              <w:t>$30,000.00</w:t>
            </w:r>
          </w:p>
        </w:tc>
      </w:tr>
      <w:tr w:rsidR="003A12BF" w:rsidRPr="003A12BF" w14:paraId="78219B73" w14:textId="77777777" w:rsidTr="002D4B7F">
        <w:trPr>
          <w:trHeight w:val="300"/>
        </w:trPr>
        <w:tc>
          <w:tcPr>
            <w:tcW w:w="2977" w:type="dxa"/>
            <w:noWrap/>
            <w:hideMark/>
          </w:tcPr>
          <w:p w14:paraId="2EAC03D9" w14:textId="77777777" w:rsidR="003A12BF" w:rsidRPr="003A12BF" w:rsidRDefault="003A12BF" w:rsidP="00F51716">
            <w:pPr>
              <w:pStyle w:val="Tabletext0"/>
            </w:pPr>
            <w:r w:rsidRPr="003A12BF">
              <w:t>Deakin University- Waurn Ponds Campus</w:t>
            </w:r>
          </w:p>
        </w:tc>
        <w:tc>
          <w:tcPr>
            <w:tcW w:w="4481" w:type="dxa"/>
            <w:noWrap/>
            <w:hideMark/>
          </w:tcPr>
          <w:p w14:paraId="181C796C" w14:textId="77777777" w:rsidR="003A12BF" w:rsidRPr="003A12BF" w:rsidRDefault="003A12BF" w:rsidP="00F51716">
            <w:pPr>
              <w:pStyle w:val="Tabletext0"/>
            </w:pPr>
            <w:r w:rsidRPr="003A12BF">
              <w:t>Deakin - Recycled silicon from PV panels</w:t>
            </w:r>
          </w:p>
        </w:tc>
        <w:tc>
          <w:tcPr>
            <w:tcW w:w="1440" w:type="dxa"/>
            <w:noWrap/>
            <w:hideMark/>
          </w:tcPr>
          <w:p w14:paraId="176AD2B1" w14:textId="77777777" w:rsidR="003A12BF" w:rsidRPr="003A12BF" w:rsidRDefault="003A12BF" w:rsidP="00F51716">
            <w:pPr>
              <w:pStyle w:val="Tabletext0"/>
            </w:pPr>
            <w:r w:rsidRPr="003A12BF">
              <w:t>$50,000.00</w:t>
            </w:r>
          </w:p>
        </w:tc>
      </w:tr>
      <w:tr w:rsidR="003A12BF" w:rsidRPr="003A12BF" w14:paraId="3F2CA18C" w14:textId="77777777" w:rsidTr="002D4B7F">
        <w:trPr>
          <w:trHeight w:val="300"/>
        </w:trPr>
        <w:tc>
          <w:tcPr>
            <w:tcW w:w="2977" w:type="dxa"/>
            <w:noWrap/>
            <w:hideMark/>
          </w:tcPr>
          <w:p w14:paraId="3C559219" w14:textId="77777777" w:rsidR="003A12BF" w:rsidRPr="003A12BF" w:rsidRDefault="003A12BF" w:rsidP="00F51716">
            <w:pPr>
              <w:pStyle w:val="Tabletext0"/>
            </w:pPr>
            <w:r w:rsidRPr="003A12BF">
              <w:t>Deakin University- Waurn Ponds Campus</w:t>
            </w:r>
          </w:p>
        </w:tc>
        <w:tc>
          <w:tcPr>
            <w:tcW w:w="4481" w:type="dxa"/>
            <w:noWrap/>
            <w:hideMark/>
          </w:tcPr>
          <w:p w14:paraId="39D2A4B8" w14:textId="77777777" w:rsidR="003A12BF" w:rsidRPr="003A12BF" w:rsidRDefault="003A12BF" w:rsidP="00F51716">
            <w:pPr>
              <w:pStyle w:val="Tabletext0"/>
            </w:pPr>
            <w:r w:rsidRPr="003A12BF">
              <w:t>Deakin - Recycled silicon from PV panels</w:t>
            </w:r>
          </w:p>
        </w:tc>
        <w:tc>
          <w:tcPr>
            <w:tcW w:w="1440" w:type="dxa"/>
            <w:noWrap/>
            <w:hideMark/>
          </w:tcPr>
          <w:p w14:paraId="6106064D" w14:textId="77777777" w:rsidR="003A12BF" w:rsidRPr="003A12BF" w:rsidRDefault="003A12BF" w:rsidP="00F51716">
            <w:pPr>
              <w:pStyle w:val="Tabletext0"/>
            </w:pPr>
            <w:r w:rsidRPr="003A12BF">
              <w:t>$50,000.00</w:t>
            </w:r>
          </w:p>
        </w:tc>
      </w:tr>
      <w:tr w:rsidR="003A12BF" w:rsidRPr="003A12BF" w14:paraId="3452B500" w14:textId="77777777" w:rsidTr="002D4B7F">
        <w:trPr>
          <w:trHeight w:val="300"/>
        </w:trPr>
        <w:tc>
          <w:tcPr>
            <w:tcW w:w="2977" w:type="dxa"/>
            <w:noWrap/>
            <w:hideMark/>
          </w:tcPr>
          <w:p w14:paraId="2E3E4F14" w14:textId="77777777" w:rsidR="003A12BF" w:rsidRPr="003A12BF" w:rsidRDefault="003A12BF" w:rsidP="00F51716">
            <w:pPr>
              <w:pStyle w:val="Tabletext0"/>
            </w:pPr>
            <w:r w:rsidRPr="003A12BF">
              <w:t>Mount Hotham Alpine Resort Management Board</w:t>
            </w:r>
          </w:p>
        </w:tc>
        <w:tc>
          <w:tcPr>
            <w:tcW w:w="4481" w:type="dxa"/>
            <w:noWrap/>
            <w:hideMark/>
          </w:tcPr>
          <w:p w14:paraId="276C763A" w14:textId="77777777" w:rsidR="003A12BF" w:rsidRPr="003A12BF" w:rsidRDefault="003A12BF" w:rsidP="00F51716">
            <w:pPr>
              <w:pStyle w:val="Tabletext0"/>
            </w:pPr>
            <w:r w:rsidRPr="003A12BF">
              <w:t>E-waste Infrastructure Upgrade - Mt Hotham RRC</w:t>
            </w:r>
          </w:p>
        </w:tc>
        <w:tc>
          <w:tcPr>
            <w:tcW w:w="1440" w:type="dxa"/>
            <w:noWrap/>
            <w:hideMark/>
          </w:tcPr>
          <w:p w14:paraId="07005F3F" w14:textId="77777777" w:rsidR="003A12BF" w:rsidRPr="003A12BF" w:rsidRDefault="003A12BF" w:rsidP="00F51716">
            <w:pPr>
              <w:pStyle w:val="Tabletext0"/>
            </w:pPr>
            <w:r w:rsidRPr="003A12BF">
              <w:t>$10,000.00</w:t>
            </w:r>
          </w:p>
        </w:tc>
      </w:tr>
      <w:tr w:rsidR="003A12BF" w:rsidRPr="003A12BF" w14:paraId="219E79C8" w14:textId="77777777" w:rsidTr="002D4B7F">
        <w:trPr>
          <w:trHeight w:val="300"/>
        </w:trPr>
        <w:tc>
          <w:tcPr>
            <w:tcW w:w="2977" w:type="dxa"/>
            <w:noWrap/>
            <w:hideMark/>
          </w:tcPr>
          <w:p w14:paraId="63F694EB" w14:textId="77777777" w:rsidR="003A12BF" w:rsidRPr="003A12BF" w:rsidRDefault="003A12BF" w:rsidP="00F51716">
            <w:pPr>
              <w:pStyle w:val="Tabletext0"/>
            </w:pPr>
            <w:r w:rsidRPr="003A12BF">
              <w:t>Towong Shire Council</w:t>
            </w:r>
          </w:p>
        </w:tc>
        <w:tc>
          <w:tcPr>
            <w:tcW w:w="4481" w:type="dxa"/>
            <w:noWrap/>
            <w:hideMark/>
          </w:tcPr>
          <w:p w14:paraId="05BBE5FF" w14:textId="77777777" w:rsidR="003A12BF" w:rsidRPr="003A12BF" w:rsidRDefault="003A12BF" w:rsidP="00F51716">
            <w:pPr>
              <w:pStyle w:val="Tabletext0"/>
            </w:pPr>
            <w:r w:rsidRPr="003A12BF">
              <w:t>E-waste Infrastructure Upgrade - Towong Shire - Tallangatta Site</w:t>
            </w:r>
          </w:p>
        </w:tc>
        <w:tc>
          <w:tcPr>
            <w:tcW w:w="1440" w:type="dxa"/>
            <w:noWrap/>
            <w:hideMark/>
          </w:tcPr>
          <w:p w14:paraId="14732D53" w14:textId="77777777" w:rsidR="003A12BF" w:rsidRPr="003A12BF" w:rsidRDefault="003A12BF" w:rsidP="00F51716">
            <w:pPr>
              <w:pStyle w:val="Tabletext0"/>
            </w:pPr>
            <w:r w:rsidRPr="003A12BF">
              <w:t>$50,000.00</w:t>
            </w:r>
          </w:p>
        </w:tc>
      </w:tr>
      <w:tr w:rsidR="003A12BF" w:rsidRPr="003A12BF" w14:paraId="579CDD44" w14:textId="77777777" w:rsidTr="002D4B7F">
        <w:trPr>
          <w:trHeight w:val="300"/>
        </w:trPr>
        <w:tc>
          <w:tcPr>
            <w:tcW w:w="2977" w:type="dxa"/>
            <w:noWrap/>
            <w:hideMark/>
          </w:tcPr>
          <w:p w14:paraId="57B2C313" w14:textId="77777777" w:rsidR="003A12BF" w:rsidRPr="003A12BF" w:rsidRDefault="003A12BF" w:rsidP="00F51716">
            <w:pPr>
              <w:pStyle w:val="Tabletext0"/>
            </w:pPr>
            <w:r w:rsidRPr="003A12BF">
              <w:t>Towong Shire Council</w:t>
            </w:r>
          </w:p>
        </w:tc>
        <w:tc>
          <w:tcPr>
            <w:tcW w:w="4481" w:type="dxa"/>
            <w:noWrap/>
            <w:hideMark/>
          </w:tcPr>
          <w:p w14:paraId="7FF28C6F" w14:textId="77777777" w:rsidR="003A12BF" w:rsidRPr="003A12BF" w:rsidRDefault="003A12BF" w:rsidP="00F51716">
            <w:pPr>
              <w:pStyle w:val="Tabletext0"/>
            </w:pPr>
            <w:r w:rsidRPr="003A12BF">
              <w:t>E-waste Infrastructure Upgrade - Towong Shire - Tallangatta Site</w:t>
            </w:r>
          </w:p>
        </w:tc>
        <w:tc>
          <w:tcPr>
            <w:tcW w:w="1440" w:type="dxa"/>
            <w:noWrap/>
            <w:hideMark/>
          </w:tcPr>
          <w:p w14:paraId="17028B0B" w14:textId="77777777" w:rsidR="003A12BF" w:rsidRPr="003A12BF" w:rsidRDefault="003A12BF" w:rsidP="00F51716">
            <w:pPr>
              <w:pStyle w:val="Tabletext0"/>
            </w:pPr>
            <w:r w:rsidRPr="003A12BF">
              <w:t>$18,563.55</w:t>
            </w:r>
          </w:p>
        </w:tc>
      </w:tr>
      <w:tr w:rsidR="003A12BF" w:rsidRPr="003A12BF" w14:paraId="0E4F901A" w14:textId="77777777" w:rsidTr="002D4B7F">
        <w:trPr>
          <w:trHeight w:val="300"/>
        </w:trPr>
        <w:tc>
          <w:tcPr>
            <w:tcW w:w="2977" w:type="dxa"/>
            <w:noWrap/>
            <w:hideMark/>
          </w:tcPr>
          <w:p w14:paraId="37E1635A" w14:textId="77777777" w:rsidR="003A12BF" w:rsidRPr="003A12BF" w:rsidRDefault="003A12BF" w:rsidP="00F51716">
            <w:pPr>
              <w:pStyle w:val="Tabletext0"/>
            </w:pPr>
            <w:r w:rsidRPr="003A12BF">
              <w:t>Towong Shire Council</w:t>
            </w:r>
          </w:p>
        </w:tc>
        <w:tc>
          <w:tcPr>
            <w:tcW w:w="4481" w:type="dxa"/>
            <w:noWrap/>
            <w:hideMark/>
          </w:tcPr>
          <w:p w14:paraId="5CAD51E1" w14:textId="77777777" w:rsidR="003A12BF" w:rsidRPr="003A12BF" w:rsidRDefault="003A12BF" w:rsidP="00F51716">
            <w:pPr>
              <w:pStyle w:val="Tabletext0"/>
            </w:pPr>
            <w:r w:rsidRPr="003A12BF">
              <w:t>E-waste Infrastructure Upgrade - Towong Shire - Corryong Transfer Station</w:t>
            </w:r>
          </w:p>
        </w:tc>
        <w:tc>
          <w:tcPr>
            <w:tcW w:w="1440" w:type="dxa"/>
            <w:noWrap/>
            <w:hideMark/>
          </w:tcPr>
          <w:p w14:paraId="002B0AF2" w14:textId="77777777" w:rsidR="003A12BF" w:rsidRPr="003A12BF" w:rsidRDefault="003A12BF" w:rsidP="00F51716">
            <w:pPr>
              <w:pStyle w:val="Tabletext0"/>
            </w:pPr>
            <w:r w:rsidRPr="003A12BF">
              <w:t>$50,000.00</w:t>
            </w:r>
          </w:p>
        </w:tc>
      </w:tr>
      <w:tr w:rsidR="003A12BF" w:rsidRPr="003A12BF" w14:paraId="77DDFC15" w14:textId="77777777" w:rsidTr="002D4B7F">
        <w:trPr>
          <w:trHeight w:val="300"/>
        </w:trPr>
        <w:tc>
          <w:tcPr>
            <w:tcW w:w="2977" w:type="dxa"/>
            <w:noWrap/>
            <w:hideMark/>
          </w:tcPr>
          <w:p w14:paraId="1D57F30A" w14:textId="77777777" w:rsidR="003A12BF" w:rsidRPr="003A12BF" w:rsidRDefault="003A12BF" w:rsidP="00F51716">
            <w:pPr>
              <w:pStyle w:val="Tabletext0"/>
            </w:pPr>
            <w:r w:rsidRPr="003A12BF">
              <w:t>Towong Shire Council</w:t>
            </w:r>
          </w:p>
        </w:tc>
        <w:tc>
          <w:tcPr>
            <w:tcW w:w="4481" w:type="dxa"/>
            <w:noWrap/>
            <w:hideMark/>
          </w:tcPr>
          <w:p w14:paraId="52139450" w14:textId="77777777" w:rsidR="003A12BF" w:rsidRPr="003A12BF" w:rsidRDefault="003A12BF" w:rsidP="00F51716">
            <w:pPr>
              <w:pStyle w:val="Tabletext0"/>
            </w:pPr>
            <w:r w:rsidRPr="003A12BF">
              <w:t>E-waste Infrastructure Upgrade - Towong Shire - Corryong Transfer Station</w:t>
            </w:r>
          </w:p>
        </w:tc>
        <w:tc>
          <w:tcPr>
            <w:tcW w:w="1440" w:type="dxa"/>
            <w:noWrap/>
            <w:hideMark/>
          </w:tcPr>
          <w:p w14:paraId="542DB0A1" w14:textId="77777777" w:rsidR="003A12BF" w:rsidRPr="003A12BF" w:rsidRDefault="003A12BF" w:rsidP="00F51716">
            <w:pPr>
              <w:pStyle w:val="Tabletext0"/>
            </w:pPr>
            <w:r w:rsidRPr="003A12BF">
              <w:t>$20,000.00</w:t>
            </w:r>
          </w:p>
        </w:tc>
      </w:tr>
      <w:tr w:rsidR="003A12BF" w:rsidRPr="003A12BF" w14:paraId="2B76359F" w14:textId="77777777" w:rsidTr="002D4B7F">
        <w:trPr>
          <w:trHeight w:val="300"/>
        </w:trPr>
        <w:tc>
          <w:tcPr>
            <w:tcW w:w="2977" w:type="dxa"/>
            <w:noWrap/>
            <w:hideMark/>
          </w:tcPr>
          <w:p w14:paraId="1A1CAB8A" w14:textId="77777777" w:rsidR="003A12BF" w:rsidRPr="003A12BF" w:rsidRDefault="003A12BF" w:rsidP="00F51716">
            <w:pPr>
              <w:pStyle w:val="Tabletext0"/>
            </w:pPr>
            <w:r w:rsidRPr="003A12BF">
              <w:t>City of Ballarat</w:t>
            </w:r>
          </w:p>
        </w:tc>
        <w:tc>
          <w:tcPr>
            <w:tcW w:w="4481" w:type="dxa"/>
            <w:noWrap/>
            <w:hideMark/>
          </w:tcPr>
          <w:p w14:paraId="58ED94FD" w14:textId="77777777" w:rsidR="003A12BF" w:rsidRPr="003A12BF" w:rsidRDefault="003A12BF" w:rsidP="00F51716">
            <w:pPr>
              <w:pStyle w:val="Tabletext0"/>
            </w:pPr>
            <w:r w:rsidRPr="003A12BF">
              <w:t>E-waste Infrastructure Upgrade - Ballarat Transfer Station</w:t>
            </w:r>
          </w:p>
        </w:tc>
        <w:tc>
          <w:tcPr>
            <w:tcW w:w="1440" w:type="dxa"/>
            <w:noWrap/>
            <w:hideMark/>
          </w:tcPr>
          <w:p w14:paraId="2D798F2B" w14:textId="77777777" w:rsidR="003A12BF" w:rsidRPr="003A12BF" w:rsidRDefault="003A12BF" w:rsidP="00F51716">
            <w:pPr>
              <w:pStyle w:val="Tabletext0"/>
            </w:pPr>
            <w:r w:rsidRPr="003A12BF">
              <w:t>$48,575.00</w:t>
            </w:r>
          </w:p>
        </w:tc>
      </w:tr>
      <w:tr w:rsidR="003A12BF" w:rsidRPr="003A12BF" w14:paraId="3A9E615D" w14:textId="77777777" w:rsidTr="002D4B7F">
        <w:trPr>
          <w:trHeight w:val="300"/>
        </w:trPr>
        <w:tc>
          <w:tcPr>
            <w:tcW w:w="2977" w:type="dxa"/>
            <w:noWrap/>
            <w:hideMark/>
          </w:tcPr>
          <w:p w14:paraId="70F3D5CC" w14:textId="77777777" w:rsidR="003A12BF" w:rsidRPr="003A12BF" w:rsidRDefault="003A12BF" w:rsidP="00F51716">
            <w:pPr>
              <w:pStyle w:val="Tabletext0"/>
            </w:pPr>
            <w:r w:rsidRPr="003A12BF">
              <w:t>City of Ballarat</w:t>
            </w:r>
          </w:p>
        </w:tc>
        <w:tc>
          <w:tcPr>
            <w:tcW w:w="4481" w:type="dxa"/>
            <w:noWrap/>
            <w:hideMark/>
          </w:tcPr>
          <w:p w14:paraId="555DE66C" w14:textId="77777777" w:rsidR="003A12BF" w:rsidRPr="003A12BF" w:rsidRDefault="003A12BF" w:rsidP="00F51716">
            <w:pPr>
              <w:pStyle w:val="Tabletext0"/>
            </w:pPr>
            <w:r w:rsidRPr="003A12BF">
              <w:t>E-waste Infrastructure Upgrade - Ballarat Transfer Station</w:t>
            </w:r>
          </w:p>
        </w:tc>
        <w:tc>
          <w:tcPr>
            <w:tcW w:w="1440" w:type="dxa"/>
            <w:noWrap/>
            <w:hideMark/>
          </w:tcPr>
          <w:p w14:paraId="0E5DAC0F" w14:textId="77777777" w:rsidR="003A12BF" w:rsidRPr="003A12BF" w:rsidRDefault="003A12BF" w:rsidP="00F51716">
            <w:pPr>
              <w:pStyle w:val="Tabletext0"/>
            </w:pPr>
            <w:r w:rsidRPr="003A12BF">
              <w:t>$19,430.00</w:t>
            </w:r>
          </w:p>
        </w:tc>
      </w:tr>
      <w:tr w:rsidR="003A12BF" w:rsidRPr="003A12BF" w14:paraId="16B5F367" w14:textId="77777777" w:rsidTr="002D4B7F">
        <w:trPr>
          <w:trHeight w:val="300"/>
        </w:trPr>
        <w:tc>
          <w:tcPr>
            <w:tcW w:w="2977" w:type="dxa"/>
            <w:noWrap/>
            <w:hideMark/>
          </w:tcPr>
          <w:p w14:paraId="690A032D" w14:textId="77777777" w:rsidR="003A12BF" w:rsidRPr="003A12BF" w:rsidRDefault="003A12BF" w:rsidP="00F51716">
            <w:pPr>
              <w:pStyle w:val="Tabletext0"/>
            </w:pPr>
            <w:r w:rsidRPr="003A12BF">
              <w:t>Campaspe Shire Council</w:t>
            </w:r>
          </w:p>
        </w:tc>
        <w:tc>
          <w:tcPr>
            <w:tcW w:w="4481" w:type="dxa"/>
            <w:noWrap/>
            <w:hideMark/>
          </w:tcPr>
          <w:p w14:paraId="4028BFBF" w14:textId="77777777" w:rsidR="003A12BF" w:rsidRPr="003A12BF" w:rsidRDefault="003A12BF" w:rsidP="00F51716">
            <w:pPr>
              <w:pStyle w:val="Tabletext0"/>
            </w:pPr>
            <w:r w:rsidRPr="003A12BF">
              <w:t>E-waste Infrastructure Upgrade - Campaspe Shire Council - Echuca Environment Centre</w:t>
            </w:r>
          </w:p>
        </w:tc>
        <w:tc>
          <w:tcPr>
            <w:tcW w:w="1440" w:type="dxa"/>
            <w:noWrap/>
            <w:hideMark/>
          </w:tcPr>
          <w:p w14:paraId="7650D986" w14:textId="77777777" w:rsidR="003A12BF" w:rsidRPr="003A12BF" w:rsidRDefault="003A12BF" w:rsidP="00F51716">
            <w:pPr>
              <w:pStyle w:val="Tabletext0"/>
            </w:pPr>
            <w:r w:rsidRPr="003A12BF">
              <w:t>$46,800.00</w:t>
            </w:r>
          </w:p>
        </w:tc>
      </w:tr>
      <w:tr w:rsidR="003A12BF" w:rsidRPr="003A12BF" w14:paraId="0995A67A" w14:textId="77777777" w:rsidTr="002D4B7F">
        <w:trPr>
          <w:trHeight w:val="300"/>
        </w:trPr>
        <w:tc>
          <w:tcPr>
            <w:tcW w:w="2977" w:type="dxa"/>
            <w:noWrap/>
            <w:hideMark/>
          </w:tcPr>
          <w:p w14:paraId="5D47647F" w14:textId="77777777" w:rsidR="003A12BF" w:rsidRPr="003A12BF" w:rsidRDefault="003A12BF" w:rsidP="00F51716">
            <w:pPr>
              <w:pStyle w:val="Tabletext0"/>
            </w:pPr>
            <w:r w:rsidRPr="003A12BF">
              <w:t>Campaspe Shire Council</w:t>
            </w:r>
          </w:p>
        </w:tc>
        <w:tc>
          <w:tcPr>
            <w:tcW w:w="4481" w:type="dxa"/>
            <w:noWrap/>
            <w:hideMark/>
          </w:tcPr>
          <w:p w14:paraId="16E7512D" w14:textId="77777777" w:rsidR="003A12BF" w:rsidRPr="003A12BF" w:rsidRDefault="003A12BF" w:rsidP="00F51716">
            <w:pPr>
              <w:pStyle w:val="Tabletext0"/>
            </w:pPr>
            <w:r w:rsidRPr="003A12BF">
              <w:t>E-waste Infrastructure Upgrade - Campaspe Shire Council - Echuca Environment Centre</w:t>
            </w:r>
          </w:p>
        </w:tc>
        <w:tc>
          <w:tcPr>
            <w:tcW w:w="1440" w:type="dxa"/>
            <w:noWrap/>
            <w:hideMark/>
          </w:tcPr>
          <w:p w14:paraId="4321FA8C" w14:textId="77777777" w:rsidR="003A12BF" w:rsidRPr="003A12BF" w:rsidRDefault="003A12BF" w:rsidP="00F51716">
            <w:pPr>
              <w:pStyle w:val="Tabletext0"/>
            </w:pPr>
            <w:r w:rsidRPr="003A12BF">
              <w:t>$7,996.02</w:t>
            </w:r>
          </w:p>
        </w:tc>
      </w:tr>
      <w:tr w:rsidR="003A12BF" w:rsidRPr="003A12BF" w14:paraId="0D90E5CE" w14:textId="77777777" w:rsidTr="002D4B7F">
        <w:trPr>
          <w:trHeight w:val="300"/>
        </w:trPr>
        <w:tc>
          <w:tcPr>
            <w:tcW w:w="2977" w:type="dxa"/>
            <w:noWrap/>
            <w:hideMark/>
          </w:tcPr>
          <w:p w14:paraId="4D205316" w14:textId="77777777" w:rsidR="003A12BF" w:rsidRPr="003A12BF" w:rsidRDefault="003A12BF" w:rsidP="00F51716">
            <w:pPr>
              <w:pStyle w:val="Tabletext0"/>
            </w:pPr>
            <w:r w:rsidRPr="003A12BF">
              <w:t>South Gippsland Shire Council</w:t>
            </w:r>
          </w:p>
        </w:tc>
        <w:tc>
          <w:tcPr>
            <w:tcW w:w="4481" w:type="dxa"/>
            <w:noWrap/>
            <w:hideMark/>
          </w:tcPr>
          <w:p w14:paraId="6C2058BE" w14:textId="77777777" w:rsidR="003A12BF" w:rsidRPr="003A12BF" w:rsidRDefault="003A12BF" w:rsidP="00F51716">
            <w:pPr>
              <w:pStyle w:val="Tabletext0"/>
            </w:pPr>
            <w:r w:rsidRPr="003A12BF">
              <w:t>E-waste Infrastructure Upgrade - South Gippsland Shire Council - Koonwarra Transfer Station</w:t>
            </w:r>
          </w:p>
        </w:tc>
        <w:tc>
          <w:tcPr>
            <w:tcW w:w="1440" w:type="dxa"/>
            <w:noWrap/>
            <w:hideMark/>
          </w:tcPr>
          <w:p w14:paraId="2FF9647D" w14:textId="77777777" w:rsidR="003A12BF" w:rsidRPr="003A12BF" w:rsidRDefault="003A12BF" w:rsidP="00F51716">
            <w:pPr>
              <w:pStyle w:val="Tabletext0"/>
            </w:pPr>
            <w:r w:rsidRPr="003A12BF">
              <w:t>$50,000.00</w:t>
            </w:r>
          </w:p>
        </w:tc>
      </w:tr>
      <w:tr w:rsidR="003A12BF" w:rsidRPr="003A12BF" w14:paraId="1894C920" w14:textId="77777777" w:rsidTr="002D4B7F">
        <w:trPr>
          <w:trHeight w:val="300"/>
        </w:trPr>
        <w:tc>
          <w:tcPr>
            <w:tcW w:w="2977" w:type="dxa"/>
            <w:noWrap/>
            <w:hideMark/>
          </w:tcPr>
          <w:p w14:paraId="0ACCD3E0" w14:textId="77777777" w:rsidR="003A12BF" w:rsidRPr="003A12BF" w:rsidRDefault="003A12BF" w:rsidP="00F51716">
            <w:pPr>
              <w:pStyle w:val="Tabletext0"/>
            </w:pPr>
            <w:r w:rsidRPr="003A12BF">
              <w:t>South Gippsland Shire Council</w:t>
            </w:r>
          </w:p>
        </w:tc>
        <w:tc>
          <w:tcPr>
            <w:tcW w:w="4481" w:type="dxa"/>
            <w:noWrap/>
            <w:hideMark/>
          </w:tcPr>
          <w:p w14:paraId="6EE8E927" w14:textId="77777777" w:rsidR="003A12BF" w:rsidRPr="003A12BF" w:rsidRDefault="003A12BF" w:rsidP="00F51716">
            <w:pPr>
              <w:pStyle w:val="Tabletext0"/>
            </w:pPr>
            <w:r w:rsidRPr="003A12BF">
              <w:t>E-waste Infrastructure Upgrade - South Gippsland Shire Council - Koonwarra Transfer Station</w:t>
            </w:r>
          </w:p>
        </w:tc>
        <w:tc>
          <w:tcPr>
            <w:tcW w:w="1440" w:type="dxa"/>
            <w:noWrap/>
            <w:hideMark/>
          </w:tcPr>
          <w:p w14:paraId="78456085" w14:textId="77777777" w:rsidR="003A12BF" w:rsidRPr="003A12BF" w:rsidRDefault="003A12BF" w:rsidP="00F51716">
            <w:pPr>
              <w:pStyle w:val="Tabletext0"/>
            </w:pPr>
            <w:r w:rsidRPr="003A12BF">
              <w:t>$15,080.48</w:t>
            </w:r>
          </w:p>
        </w:tc>
      </w:tr>
      <w:tr w:rsidR="003A12BF" w:rsidRPr="003A12BF" w14:paraId="421829EA" w14:textId="77777777" w:rsidTr="002D4B7F">
        <w:trPr>
          <w:trHeight w:val="300"/>
        </w:trPr>
        <w:tc>
          <w:tcPr>
            <w:tcW w:w="2977" w:type="dxa"/>
            <w:noWrap/>
            <w:hideMark/>
          </w:tcPr>
          <w:p w14:paraId="1EF49F61" w14:textId="77777777" w:rsidR="003A12BF" w:rsidRPr="003A12BF" w:rsidRDefault="003A12BF" w:rsidP="00F51716">
            <w:pPr>
              <w:pStyle w:val="Tabletext0"/>
            </w:pPr>
            <w:r w:rsidRPr="003A12BF">
              <w:t>South Gippsland Shire Council</w:t>
            </w:r>
          </w:p>
        </w:tc>
        <w:tc>
          <w:tcPr>
            <w:tcW w:w="4481" w:type="dxa"/>
            <w:noWrap/>
            <w:hideMark/>
          </w:tcPr>
          <w:p w14:paraId="2992FC0B" w14:textId="77777777" w:rsidR="003A12BF" w:rsidRPr="003A12BF" w:rsidRDefault="003A12BF" w:rsidP="00F51716">
            <w:pPr>
              <w:pStyle w:val="Tabletext0"/>
            </w:pPr>
            <w:r w:rsidRPr="003A12BF">
              <w:t>E-waste Infrastructure Upgrade - South Gippsland Shire Council - Foster Transfer Station</w:t>
            </w:r>
          </w:p>
        </w:tc>
        <w:tc>
          <w:tcPr>
            <w:tcW w:w="1440" w:type="dxa"/>
            <w:noWrap/>
            <w:hideMark/>
          </w:tcPr>
          <w:p w14:paraId="06DC077E" w14:textId="77777777" w:rsidR="003A12BF" w:rsidRPr="003A12BF" w:rsidRDefault="003A12BF" w:rsidP="00F51716">
            <w:pPr>
              <w:pStyle w:val="Tabletext0"/>
            </w:pPr>
            <w:r w:rsidRPr="003A12BF">
              <w:t>$50,000.00</w:t>
            </w:r>
          </w:p>
        </w:tc>
      </w:tr>
      <w:tr w:rsidR="003A12BF" w:rsidRPr="003A12BF" w14:paraId="4A0CE99F" w14:textId="77777777" w:rsidTr="002D4B7F">
        <w:trPr>
          <w:trHeight w:val="300"/>
        </w:trPr>
        <w:tc>
          <w:tcPr>
            <w:tcW w:w="2977" w:type="dxa"/>
            <w:noWrap/>
            <w:hideMark/>
          </w:tcPr>
          <w:p w14:paraId="340CD83D" w14:textId="77777777" w:rsidR="003A12BF" w:rsidRPr="003A12BF" w:rsidRDefault="003A12BF" w:rsidP="00F51716">
            <w:pPr>
              <w:pStyle w:val="Tabletext0"/>
            </w:pPr>
            <w:r w:rsidRPr="003A12BF">
              <w:t>South Gippsland Shire Council</w:t>
            </w:r>
          </w:p>
        </w:tc>
        <w:tc>
          <w:tcPr>
            <w:tcW w:w="4481" w:type="dxa"/>
            <w:noWrap/>
            <w:hideMark/>
          </w:tcPr>
          <w:p w14:paraId="6BD07B04" w14:textId="77777777" w:rsidR="003A12BF" w:rsidRPr="003A12BF" w:rsidRDefault="003A12BF" w:rsidP="00F51716">
            <w:pPr>
              <w:pStyle w:val="Tabletext0"/>
            </w:pPr>
            <w:r w:rsidRPr="003A12BF">
              <w:t>E-waste Infrastructure Upgrade - South Gippsland Shire Council - Foster Transfer Station</w:t>
            </w:r>
          </w:p>
        </w:tc>
        <w:tc>
          <w:tcPr>
            <w:tcW w:w="1440" w:type="dxa"/>
            <w:noWrap/>
            <w:hideMark/>
          </w:tcPr>
          <w:p w14:paraId="380C4702" w14:textId="77777777" w:rsidR="003A12BF" w:rsidRPr="003A12BF" w:rsidRDefault="003A12BF" w:rsidP="00F51716">
            <w:pPr>
              <w:pStyle w:val="Tabletext0"/>
            </w:pPr>
            <w:r w:rsidRPr="003A12BF">
              <w:t>$20,000.00</w:t>
            </w:r>
          </w:p>
        </w:tc>
      </w:tr>
      <w:tr w:rsidR="003A12BF" w:rsidRPr="003A12BF" w14:paraId="1E208FE9" w14:textId="77777777" w:rsidTr="002D4B7F">
        <w:trPr>
          <w:trHeight w:val="300"/>
        </w:trPr>
        <w:tc>
          <w:tcPr>
            <w:tcW w:w="2977" w:type="dxa"/>
            <w:noWrap/>
            <w:hideMark/>
          </w:tcPr>
          <w:p w14:paraId="6C6B670E" w14:textId="77777777" w:rsidR="003A12BF" w:rsidRPr="003A12BF" w:rsidRDefault="003A12BF" w:rsidP="00F51716">
            <w:pPr>
              <w:pStyle w:val="Tabletext0"/>
            </w:pPr>
            <w:r w:rsidRPr="003A12BF">
              <w:t>South Gippsland Shire Council</w:t>
            </w:r>
          </w:p>
        </w:tc>
        <w:tc>
          <w:tcPr>
            <w:tcW w:w="4481" w:type="dxa"/>
            <w:noWrap/>
            <w:hideMark/>
          </w:tcPr>
          <w:p w14:paraId="6F5D6C4F" w14:textId="77777777" w:rsidR="003A12BF" w:rsidRPr="003A12BF" w:rsidRDefault="003A12BF" w:rsidP="00F51716">
            <w:pPr>
              <w:pStyle w:val="Tabletext0"/>
            </w:pPr>
            <w:r w:rsidRPr="003A12BF">
              <w:t>E-waste Infrastructure Upgrade - South Gippsland Shire Council - Mirboo North Transfer Station</w:t>
            </w:r>
          </w:p>
        </w:tc>
        <w:tc>
          <w:tcPr>
            <w:tcW w:w="1440" w:type="dxa"/>
            <w:noWrap/>
            <w:hideMark/>
          </w:tcPr>
          <w:p w14:paraId="6E110603" w14:textId="77777777" w:rsidR="003A12BF" w:rsidRPr="003A12BF" w:rsidRDefault="003A12BF" w:rsidP="00F51716">
            <w:pPr>
              <w:pStyle w:val="Tabletext0"/>
            </w:pPr>
            <w:r w:rsidRPr="003A12BF">
              <w:t>$50,000.00</w:t>
            </w:r>
          </w:p>
        </w:tc>
      </w:tr>
      <w:tr w:rsidR="003A12BF" w:rsidRPr="003A12BF" w14:paraId="32464C9A" w14:textId="77777777" w:rsidTr="002D4B7F">
        <w:trPr>
          <w:trHeight w:val="300"/>
        </w:trPr>
        <w:tc>
          <w:tcPr>
            <w:tcW w:w="2977" w:type="dxa"/>
            <w:noWrap/>
            <w:hideMark/>
          </w:tcPr>
          <w:p w14:paraId="623DA9FF" w14:textId="77777777" w:rsidR="003A12BF" w:rsidRPr="003A12BF" w:rsidRDefault="003A12BF" w:rsidP="00F51716">
            <w:pPr>
              <w:pStyle w:val="Tabletext0"/>
            </w:pPr>
            <w:r w:rsidRPr="003A12BF">
              <w:t>South Gippsland Shire Council</w:t>
            </w:r>
          </w:p>
        </w:tc>
        <w:tc>
          <w:tcPr>
            <w:tcW w:w="4481" w:type="dxa"/>
            <w:noWrap/>
            <w:hideMark/>
          </w:tcPr>
          <w:p w14:paraId="72AF78FF" w14:textId="77777777" w:rsidR="003A12BF" w:rsidRPr="003A12BF" w:rsidRDefault="003A12BF" w:rsidP="00F51716">
            <w:pPr>
              <w:pStyle w:val="Tabletext0"/>
            </w:pPr>
            <w:r w:rsidRPr="003A12BF">
              <w:t>E-waste Infrastructure Upgrade - South Gippsland Shire Council - Mirboo North Transfer Station</w:t>
            </w:r>
          </w:p>
        </w:tc>
        <w:tc>
          <w:tcPr>
            <w:tcW w:w="1440" w:type="dxa"/>
            <w:noWrap/>
            <w:hideMark/>
          </w:tcPr>
          <w:p w14:paraId="50C1B4EA" w14:textId="77777777" w:rsidR="003A12BF" w:rsidRPr="003A12BF" w:rsidRDefault="003A12BF" w:rsidP="00F51716">
            <w:pPr>
              <w:pStyle w:val="Tabletext0"/>
            </w:pPr>
            <w:r w:rsidRPr="003A12BF">
              <w:t>$20,000.00</w:t>
            </w:r>
          </w:p>
        </w:tc>
      </w:tr>
      <w:tr w:rsidR="003A12BF" w:rsidRPr="003A12BF" w14:paraId="4E3ABFCA" w14:textId="77777777" w:rsidTr="002D4B7F">
        <w:trPr>
          <w:trHeight w:val="300"/>
        </w:trPr>
        <w:tc>
          <w:tcPr>
            <w:tcW w:w="2977" w:type="dxa"/>
            <w:noWrap/>
            <w:hideMark/>
          </w:tcPr>
          <w:p w14:paraId="4DF57062" w14:textId="77777777" w:rsidR="003A12BF" w:rsidRPr="003A12BF" w:rsidRDefault="003A12BF" w:rsidP="00F51716">
            <w:pPr>
              <w:pStyle w:val="Tabletext0"/>
            </w:pPr>
            <w:r w:rsidRPr="003A12BF">
              <w:t>South Gippsland Shire Council</w:t>
            </w:r>
          </w:p>
        </w:tc>
        <w:tc>
          <w:tcPr>
            <w:tcW w:w="4481" w:type="dxa"/>
            <w:noWrap/>
            <w:hideMark/>
          </w:tcPr>
          <w:p w14:paraId="5BE54188" w14:textId="77777777" w:rsidR="003A12BF" w:rsidRPr="003A12BF" w:rsidRDefault="003A12BF" w:rsidP="00F51716">
            <w:pPr>
              <w:pStyle w:val="Tabletext0"/>
            </w:pPr>
            <w:r w:rsidRPr="003A12BF">
              <w:t>E-waste Infrastructure Upgrade - South Gippsland Shire Council - Venus Bay Transfer Station</w:t>
            </w:r>
          </w:p>
        </w:tc>
        <w:tc>
          <w:tcPr>
            <w:tcW w:w="1440" w:type="dxa"/>
            <w:noWrap/>
            <w:hideMark/>
          </w:tcPr>
          <w:p w14:paraId="050FE7C2" w14:textId="77777777" w:rsidR="003A12BF" w:rsidRPr="003A12BF" w:rsidRDefault="003A12BF" w:rsidP="00F51716">
            <w:pPr>
              <w:pStyle w:val="Tabletext0"/>
            </w:pPr>
            <w:r w:rsidRPr="003A12BF">
              <w:t>$50,000.00</w:t>
            </w:r>
          </w:p>
        </w:tc>
      </w:tr>
      <w:tr w:rsidR="003A12BF" w:rsidRPr="003A12BF" w14:paraId="345784F7" w14:textId="77777777" w:rsidTr="002D4B7F">
        <w:trPr>
          <w:trHeight w:val="300"/>
        </w:trPr>
        <w:tc>
          <w:tcPr>
            <w:tcW w:w="2977" w:type="dxa"/>
            <w:noWrap/>
            <w:hideMark/>
          </w:tcPr>
          <w:p w14:paraId="3EDC78B5" w14:textId="77777777" w:rsidR="003A12BF" w:rsidRPr="003A12BF" w:rsidRDefault="003A12BF" w:rsidP="00F51716">
            <w:pPr>
              <w:pStyle w:val="Tabletext0"/>
            </w:pPr>
            <w:r w:rsidRPr="003A12BF">
              <w:t>South Gippsland Shire Council</w:t>
            </w:r>
          </w:p>
        </w:tc>
        <w:tc>
          <w:tcPr>
            <w:tcW w:w="4481" w:type="dxa"/>
            <w:noWrap/>
            <w:hideMark/>
          </w:tcPr>
          <w:p w14:paraId="2B0F86CE" w14:textId="77777777" w:rsidR="003A12BF" w:rsidRPr="003A12BF" w:rsidRDefault="003A12BF" w:rsidP="00F51716">
            <w:pPr>
              <w:pStyle w:val="Tabletext0"/>
            </w:pPr>
            <w:r w:rsidRPr="003A12BF">
              <w:t>E-waste Infrastructure Upgrade - South Gippsland Shire Council - Venus Bay Transfer Station</w:t>
            </w:r>
          </w:p>
        </w:tc>
        <w:tc>
          <w:tcPr>
            <w:tcW w:w="1440" w:type="dxa"/>
            <w:noWrap/>
            <w:hideMark/>
          </w:tcPr>
          <w:p w14:paraId="0DB35884" w14:textId="77777777" w:rsidR="003A12BF" w:rsidRPr="003A12BF" w:rsidRDefault="003A12BF" w:rsidP="00F51716">
            <w:pPr>
              <w:pStyle w:val="Tabletext0"/>
            </w:pPr>
            <w:r w:rsidRPr="003A12BF">
              <w:t>$20,000.00</w:t>
            </w:r>
          </w:p>
        </w:tc>
      </w:tr>
      <w:tr w:rsidR="003A12BF" w:rsidRPr="003A12BF" w14:paraId="0EEFA9DA" w14:textId="77777777" w:rsidTr="002D4B7F">
        <w:trPr>
          <w:trHeight w:val="300"/>
        </w:trPr>
        <w:tc>
          <w:tcPr>
            <w:tcW w:w="2977" w:type="dxa"/>
            <w:noWrap/>
            <w:hideMark/>
          </w:tcPr>
          <w:p w14:paraId="1C94B65F" w14:textId="77777777" w:rsidR="003A12BF" w:rsidRPr="003A12BF" w:rsidRDefault="003A12BF" w:rsidP="00F51716">
            <w:pPr>
              <w:pStyle w:val="Tabletext0"/>
            </w:pPr>
            <w:r w:rsidRPr="003A12BF">
              <w:t>Mitchell Shire Council</w:t>
            </w:r>
          </w:p>
        </w:tc>
        <w:tc>
          <w:tcPr>
            <w:tcW w:w="4481" w:type="dxa"/>
            <w:noWrap/>
            <w:hideMark/>
          </w:tcPr>
          <w:p w14:paraId="10252EA9" w14:textId="77777777" w:rsidR="003A12BF" w:rsidRPr="003A12BF" w:rsidRDefault="003A12BF" w:rsidP="00F51716">
            <w:pPr>
              <w:pStyle w:val="Tabletext0"/>
            </w:pPr>
            <w:r w:rsidRPr="003A12BF">
              <w:t>E-waste Infrastructure Upgrade - Mitchell Shire Council - Broadford Transfer Station</w:t>
            </w:r>
          </w:p>
        </w:tc>
        <w:tc>
          <w:tcPr>
            <w:tcW w:w="1440" w:type="dxa"/>
            <w:noWrap/>
            <w:hideMark/>
          </w:tcPr>
          <w:p w14:paraId="7D7BBC31" w14:textId="77777777" w:rsidR="003A12BF" w:rsidRPr="003A12BF" w:rsidRDefault="003A12BF" w:rsidP="00F51716">
            <w:pPr>
              <w:pStyle w:val="Tabletext0"/>
            </w:pPr>
            <w:r w:rsidRPr="003A12BF">
              <w:t>$50,000.00</w:t>
            </w:r>
          </w:p>
        </w:tc>
      </w:tr>
      <w:tr w:rsidR="003A12BF" w:rsidRPr="003A12BF" w14:paraId="5DE38992" w14:textId="77777777" w:rsidTr="002D4B7F">
        <w:trPr>
          <w:trHeight w:val="300"/>
        </w:trPr>
        <w:tc>
          <w:tcPr>
            <w:tcW w:w="2977" w:type="dxa"/>
            <w:noWrap/>
            <w:hideMark/>
          </w:tcPr>
          <w:p w14:paraId="1B53C206" w14:textId="77777777" w:rsidR="003A12BF" w:rsidRPr="003A12BF" w:rsidRDefault="003A12BF" w:rsidP="00F51716">
            <w:pPr>
              <w:pStyle w:val="Tabletext0"/>
            </w:pPr>
            <w:r w:rsidRPr="003A12BF">
              <w:t>Mitchell Shire Council</w:t>
            </w:r>
          </w:p>
        </w:tc>
        <w:tc>
          <w:tcPr>
            <w:tcW w:w="4481" w:type="dxa"/>
            <w:noWrap/>
            <w:hideMark/>
          </w:tcPr>
          <w:p w14:paraId="77473200" w14:textId="77777777" w:rsidR="003A12BF" w:rsidRPr="003A12BF" w:rsidRDefault="003A12BF" w:rsidP="00F51716">
            <w:pPr>
              <w:pStyle w:val="Tabletext0"/>
            </w:pPr>
            <w:r w:rsidRPr="003A12BF">
              <w:t>E-waste Infrastructure Upgrade - Mitchell Shire Council - Broadford Transfer Station</w:t>
            </w:r>
          </w:p>
        </w:tc>
        <w:tc>
          <w:tcPr>
            <w:tcW w:w="1440" w:type="dxa"/>
            <w:noWrap/>
            <w:hideMark/>
          </w:tcPr>
          <w:p w14:paraId="01561155" w14:textId="77777777" w:rsidR="003A12BF" w:rsidRPr="003A12BF" w:rsidRDefault="003A12BF" w:rsidP="00F51716">
            <w:pPr>
              <w:pStyle w:val="Tabletext0"/>
            </w:pPr>
            <w:r w:rsidRPr="003A12BF">
              <w:t>$20,000.00</w:t>
            </w:r>
          </w:p>
        </w:tc>
      </w:tr>
      <w:tr w:rsidR="003A12BF" w:rsidRPr="003A12BF" w14:paraId="4E945297" w14:textId="77777777" w:rsidTr="002D4B7F">
        <w:trPr>
          <w:trHeight w:val="300"/>
        </w:trPr>
        <w:tc>
          <w:tcPr>
            <w:tcW w:w="2977" w:type="dxa"/>
            <w:noWrap/>
            <w:hideMark/>
          </w:tcPr>
          <w:p w14:paraId="7D219FDF" w14:textId="77777777" w:rsidR="003A12BF" w:rsidRPr="003A12BF" w:rsidRDefault="003A12BF" w:rsidP="00F51716">
            <w:pPr>
              <w:pStyle w:val="Tabletext0"/>
            </w:pPr>
            <w:r w:rsidRPr="003A12BF">
              <w:t>Mitchell Shire Council</w:t>
            </w:r>
          </w:p>
        </w:tc>
        <w:tc>
          <w:tcPr>
            <w:tcW w:w="4481" w:type="dxa"/>
            <w:noWrap/>
            <w:hideMark/>
          </w:tcPr>
          <w:p w14:paraId="0DFF20A8" w14:textId="77777777" w:rsidR="003A12BF" w:rsidRPr="003A12BF" w:rsidRDefault="003A12BF" w:rsidP="00F51716">
            <w:pPr>
              <w:pStyle w:val="Tabletext0"/>
            </w:pPr>
            <w:r w:rsidRPr="003A12BF">
              <w:t>E-waste Infrastructure Upgrade - Mitchell Shire Council - Wallan Transfer Station</w:t>
            </w:r>
          </w:p>
        </w:tc>
        <w:tc>
          <w:tcPr>
            <w:tcW w:w="1440" w:type="dxa"/>
            <w:noWrap/>
            <w:hideMark/>
          </w:tcPr>
          <w:p w14:paraId="0F947D37" w14:textId="77777777" w:rsidR="003A12BF" w:rsidRPr="003A12BF" w:rsidRDefault="003A12BF" w:rsidP="00F51716">
            <w:pPr>
              <w:pStyle w:val="Tabletext0"/>
            </w:pPr>
            <w:r w:rsidRPr="003A12BF">
              <w:t>$28,410.73</w:t>
            </w:r>
          </w:p>
        </w:tc>
      </w:tr>
      <w:tr w:rsidR="003A12BF" w:rsidRPr="003A12BF" w14:paraId="40FEE579" w14:textId="77777777" w:rsidTr="002D4B7F">
        <w:trPr>
          <w:trHeight w:val="300"/>
        </w:trPr>
        <w:tc>
          <w:tcPr>
            <w:tcW w:w="2977" w:type="dxa"/>
            <w:noWrap/>
            <w:hideMark/>
          </w:tcPr>
          <w:p w14:paraId="2B3139C2" w14:textId="77777777" w:rsidR="003A12BF" w:rsidRPr="003A12BF" w:rsidRDefault="003A12BF" w:rsidP="00F51716">
            <w:pPr>
              <w:pStyle w:val="Tabletext0"/>
            </w:pPr>
            <w:r w:rsidRPr="003A12BF">
              <w:t>Mitchell Shire Council</w:t>
            </w:r>
          </w:p>
        </w:tc>
        <w:tc>
          <w:tcPr>
            <w:tcW w:w="4481" w:type="dxa"/>
            <w:noWrap/>
            <w:hideMark/>
          </w:tcPr>
          <w:p w14:paraId="1A818538" w14:textId="77777777" w:rsidR="003A12BF" w:rsidRPr="003A12BF" w:rsidRDefault="003A12BF" w:rsidP="00F51716">
            <w:pPr>
              <w:pStyle w:val="Tabletext0"/>
            </w:pPr>
            <w:r w:rsidRPr="003A12BF">
              <w:t>E-waste Infrastructure Upgrade - Mitchell Shire Council - Wallan Transfer Station</w:t>
            </w:r>
          </w:p>
        </w:tc>
        <w:tc>
          <w:tcPr>
            <w:tcW w:w="1440" w:type="dxa"/>
            <w:noWrap/>
            <w:hideMark/>
          </w:tcPr>
          <w:p w14:paraId="75E08298" w14:textId="77777777" w:rsidR="003A12BF" w:rsidRPr="003A12BF" w:rsidRDefault="003A12BF" w:rsidP="00F51716">
            <w:pPr>
              <w:pStyle w:val="Tabletext0"/>
            </w:pPr>
            <w:r w:rsidRPr="003A12BF">
              <w:t>$20,000.00</w:t>
            </w:r>
          </w:p>
        </w:tc>
      </w:tr>
      <w:tr w:rsidR="003A12BF" w:rsidRPr="003A12BF" w14:paraId="2BD5BFA4" w14:textId="77777777" w:rsidTr="002D4B7F">
        <w:trPr>
          <w:trHeight w:val="300"/>
        </w:trPr>
        <w:tc>
          <w:tcPr>
            <w:tcW w:w="2977" w:type="dxa"/>
            <w:noWrap/>
            <w:hideMark/>
          </w:tcPr>
          <w:p w14:paraId="0DB62E4C" w14:textId="77777777" w:rsidR="003A12BF" w:rsidRPr="003A12BF" w:rsidRDefault="003A12BF" w:rsidP="00F51716">
            <w:pPr>
              <w:pStyle w:val="Tabletext0"/>
            </w:pPr>
            <w:r w:rsidRPr="003A12BF">
              <w:t>Mount Alexander Shire Council</w:t>
            </w:r>
          </w:p>
        </w:tc>
        <w:tc>
          <w:tcPr>
            <w:tcW w:w="4481" w:type="dxa"/>
            <w:noWrap/>
            <w:hideMark/>
          </w:tcPr>
          <w:p w14:paraId="211ADD32" w14:textId="77777777" w:rsidR="003A12BF" w:rsidRPr="003A12BF" w:rsidRDefault="003A12BF" w:rsidP="00F51716">
            <w:pPr>
              <w:pStyle w:val="Tabletext0"/>
            </w:pPr>
            <w:r w:rsidRPr="003A12BF">
              <w:t>E-waste Infrastructure Upgrade - Mount Alexander Shire - Maldon Transfer Station</w:t>
            </w:r>
          </w:p>
        </w:tc>
        <w:tc>
          <w:tcPr>
            <w:tcW w:w="1440" w:type="dxa"/>
            <w:noWrap/>
            <w:hideMark/>
          </w:tcPr>
          <w:p w14:paraId="1EA49ADC" w14:textId="77777777" w:rsidR="003A12BF" w:rsidRPr="003A12BF" w:rsidRDefault="003A12BF" w:rsidP="00F51716">
            <w:pPr>
              <w:pStyle w:val="Tabletext0"/>
            </w:pPr>
            <w:r w:rsidRPr="003A12BF">
              <w:t>$37,500.00</w:t>
            </w:r>
          </w:p>
        </w:tc>
      </w:tr>
      <w:tr w:rsidR="003A12BF" w:rsidRPr="003A12BF" w14:paraId="20EE509B" w14:textId="77777777" w:rsidTr="002D4B7F">
        <w:trPr>
          <w:trHeight w:val="300"/>
        </w:trPr>
        <w:tc>
          <w:tcPr>
            <w:tcW w:w="2977" w:type="dxa"/>
            <w:noWrap/>
            <w:hideMark/>
          </w:tcPr>
          <w:p w14:paraId="4225C8A0" w14:textId="77777777" w:rsidR="003A12BF" w:rsidRPr="003A12BF" w:rsidRDefault="003A12BF" w:rsidP="00F51716">
            <w:pPr>
              <w:pStyle w:val="Tabletext0"/>
            </w:pPr>
            <w:r w:rsidRPr="003A12BF">
              <w:t>Mount Alexander Shire Council</w:t>
            </w:r>
          </w:p>
        </w:tc>
        <w:tc>
          <w:tcPr>
            <w:tcW w:w="4481" w:type="dxa"/>
            <w:noWrap/>
            <w:hideMark/>
          </w:tcPr>
          <w:p w14:paraId="3E8E77FE" w14:textId="77777777" w:rsidR="003A12BF" w:rsidRPr="003A12BF" w:rsidRDefault="003A12BF" w:rsidP="00F51716">
            <w:pPr>
              <w:pStyle w:val="Tabletext0"/>
            </w:pPr>
            <w:r w:rsidRPr="003A12BF">
              <w:t>E-waste Infrastructure Upgrade - Mount Alexander Shire - Maldon Transfer Station</w:t>
            </w:r>
          </w:p>
        </w:tc>
        <w:tc>
          <w:tcPr>
            <w:tcW w:w="1440" w:type="dxa"/>
            <w:noWrap/>
            <w:hideMark/>
          </w:tcPr>
          <w:p w14:paraId="7A9E2B41" w14:textId="77777777" w:rsidR="003A12BF" w:rsidRPr="003A12BF" w:rsidRDefault="003A12BF" w:rsidP="00F51716">
            <w:pPr>
              <w:pStyle w:val="Tabletext0"/>
            </w:pPr>
            <w:r w:rsidRPr="003A12BF">
              <w:t>$13,876.01</w:t>
            </w:r>
          </w:p>
        </w:tc>
      </w:tr>
      <w:tr w:rsidR="003A12BF" w:rsidRPr="003A12BF" w14:paraId="4C82CAEC" w14:textId="77777777" w:rsidTr="002D4B7F">
        <w:trPr>
          <w:trHeight w:val="300"/>
        </w:trPr>
        <w:tc>
          <w:tcPr>
            <w:tcW w:w="2977" w:type="dxa"/>
            <w:noWrap/>
            <w:hideMark/>
          </w:tcPr>
          <w:p w14:paraId="719704AD" w14:textId="77777777" w:rsidR="003A12BF" w:rsidRPr="003A12BF" w:rsidRDefault="003A12BF" w:rsidP="00F51716">
            <w:pPr>
              <w:pStyle w:val="Tabletext0"/>
            </w:pPr>
            <w:r w:rsidRPr="003A12BF">
              <w:t>Loddon Shire Council</w:t>
            </w:r>
          </w:p>
        </w:tc>
        <w:tc>
          <w:tcPr>
            <w:tcW w:w="4481" w:type="dxa"/>
            <w:noWrap/>
            <w:hideMark/>
          </w:tcPr>
          <w:p w14:paraId="499B4DCB" w14:textId="77777777" w:rsidR="003A12BF" w:rsidRPr="003A12BF" w:rsidRDefault="003A12BF" w:rsidP="00F51716">
            <w:pPr>
              <w:pStyle w:val="Tabletext0"/>
            </w:pPr>
            <w:r w:rsidRPr="003A12BF">
              <w:t>E-waste Infrastructure Upgrade - Boort landfill and recycle</w:t>
            </w:r>
          </w:p>
        </w:tc>
        <w:tc>
          <w:tcPr>
            <w:tcW w:w="1440" w:type="dxa"/>
            <w:noWrap/>
            <w:hideMark/>
          </w:tcPr>
          <w:p w14:paraId="660442C7" w14:textId="77777777" w:rsidR="003A12BF" w:rsidRPr="003A12BF" w:rsidRDefault="003A12BF" w:rsidP="00F51716">
            <w:pPr>
              <w:pStyle w:val="Tabletext0"/>
            </w:pPr>
            <w:r w:rsidRPr="003A12BF">
              <w:t>$45,950.00</w:t>
            </w:r>
          </w:p>
        </w:tc>
      </w:tr>
      <w:tr w:rsidR="003A12BF" w:rsidRPr="003A12BF" w14:paraId="6392B0B5" w14:textId="77777777" w:rsidTr="002D4B7F">
        <w:trPr>
          <w:trHeight w:val="300"/>
        </w:trPr>
        <w:tc>
          <w:tcPr>
            <w:tcW w:w="2977" w:type="dxa"/>
            <w:noWrap/>
            <w:hideMark/>
          </w:tcPr>
          <w:p w14:paraId="50AF9886" w14:textId="77777777" w:rsidR="003A12BF" w:rsidRPr="003A12BF" w:rsidRDefault="003A12BF" w:rsidP="00F51716">
            <w:pPr>
              <w:pStyle w:val="Tabletext0"/>
            </w:pPr>
            <w:r w:rsidRPr="003A12BF">
              <w:t>Loddon Shire Council</w:t>
            </w:r>
          </w:p>
        </w:tc>
        <w:tc>
          <w:tcPr>
            <w:tcW w:w="4481" w:type="dxa"/>
            <w:noWrap/>
            <w:hideMark/>
          </w:tcPr>
          <w:p w14:paraId="7B7B2FE2" w14:textId="77777777" w:rsidR="003A12BF" w:rsidRPr="003A12BF" w:rsidRDefault="003A12BF" w:rsidP="00F51716">
            <w:pPr>
              <w:pStyle w:val="Tabletext0"/>
            </w:pPr>
            <w:r w:rsidRPr="003A12BF">
              <w:t>E-waste Infrastructure Upgrade - Boort landfill and recycle</w:t>
            </w:r>
          </w:p>
        </w:tc>
        <w:tc>
          <w:tcPr>
            <w:tcW w:w="1440" w:type="dxa"/>
            <w:noWrap/>
            <w:hideMark/>
          </w:tcPr>
          <w:p w14:paraId="3FE8DDD3" w14:textId="77777777" w:rsidR="003A12BF" w:rsidRPr="003A12BF" w:rsidRDefault="003A12BF" w:rsidP="00F51716">
            <w:pPr>
              <w:pStyle w:val="Tabletext0"/>
            </w:pPr>
            <w:r w:rsidRPr="003A12BF">
              <w:t>$15,939.96</w:t>
            </w:r>
          </w:p>
        </w:tc>
      </w:tr>
      <w:tr w:rsidR="003A12BF" w:rsidRPr="003A12BF" w14:paraId="690185E8" w14:textId="77777777" w:rsidTr="002D4B7F">
        <w:trPr>
          <w:trHeight w:val="300"/>
        </w:trPr>
        <w:tc>
          <w:tcPr>
            <w:tcW w:w="2977" w:type="dxa"/>
            <w:noWrap/>
            <w:hideMark/>
          </w:tcPr>
          <w:p w14:paraId="0D91ED6B" w14:textId="77777777" w:rsidR="003A12BF" w:rsidRPr="003A12BF" w:rsidRDefault="003A12BF" w:rsidP="00F51716">
            <w:pPr>
              <w:pStyle w:val="Tabletext0"/>
            </w:pPr>
            <w:r w:rsidRPr="003A12BF">
              <w:t>City of Greater Geelong</w:t>
            </w:r>
          </w:p>
        </w:tc>
        <w:tc>
          <w:tcPr>
            <w:tcW w:w="4481" w:type="dxa"/>
            <w:noWrap/>
            <w:hideMark/>
          </w:tcPr>
          <w:p w14:paraId="324DD74C" w14:textId="77777777" w:rsidR="003A12BF" w:rsidRPr="003A12BF" w:rsidRDefault="003A12BF" w:rsidP="00F51716">
            <w:pPr>
              <w:pStyle w:val="Tabletext0"/>
            </w:pPr>
            <w:r w:rsidRPr="003A12BF">
              <w:t>E-waste Infrastructure Upgrade - City of Greater Geelong - Drysdale Resource Recovery Centre</w:t>
            </w:r>
          </w:p>
        </w:tc>
        <w:tc>
          <w:tcPr>
            <w:tcW w:w="1440" w:type="dxa"/>
            <w:noWrap/>
            <w:hideMark/>
          </w:tcPr>
          <w:p w14:paraId="6F4945A4" w14:textId="77777777" w:rsidR="003A12BF" w:rsidRPr="003A12BF" w:rsidRDefault="003A12BF" w:rsidP="00F51716">
            <w:pPr>
              <w:pStyle w:val="Tabletext0"/>
            </w:pPr>
            <w:r w:rsidRPr="003A12BF">
              <w:t>$50,000.00</w:t>
            </w:r>
          </w:p>
        </w:tc>
      </w:tr>
      <w:tr w:rsidR="003A12BF" w:rsidRPr="003A12BF" w14:paraId="196FC1E6" w14:textId="77777777" w:rsidTr="002D4B7F">
        <w:trPr>
          <w:trHeight w:val="300"/>
        </w:trPr>
        <w:tc>
          <w:tcPr>
            <w:tcW w:w="2977" w:type="dxa"/>
            <w:noWrap/>
            <w:hideMark/>
          </w:tcPr>
          <w:p w14:paraId="7A7B13AF" w14:textId="77777777" w:rsidR="003A12BF" w:rsidRPr="003A12BF" w:rsidRDefault="003A12BF" w:rsidP="00F51716">
            <w:pPr>
              <w:pStyle w:val="Tabletext0"/>
            </w:pPr>
            <w:r w:rsidRPr="003A12BF">
              <w:t>City of Greater Geelong</w:t>
            </w:r>
          </w:p>
        </w:tc>
        <w:tc>
          <w:tcPr>
            <w:tcW w:w="4481" w:type="dxa"/>
            <w:noWrap/>
            <w:hideMark/>
          </w:tcPr>
          <w:p w14:paraId="5EAF0AD2" w14:textId="77777777" w:rsidR="003A12BF" w:rsidRPr="003A12BF" w:rsidRDefault="003A12BF" w:rsidP="00F51716">
            <w:pPr>
              <w:pStyle w:val="Tabletext0"/>
            </w:pPr>
            <w:r w:rsidRPr="003A12BF">
              <w:t>E-waste Infrastructure Upgrade - City of Greater Geelong - Drysdale Resource Recovery Centre</w:t>
            </w:r>
          </w:p>
        </w:tc>
        <w:tc>
          <w:tcPr>
            <w:tcW w:w="1440" w:type="dxa"/>
            <w:noWrap/>
            <w:hideMark/>
          </w:tcPr>
          <w:p w14:paraId="7C3F0A01" w14:textId="77777777" w:rsidR="003A12BF" w:rsidRPr="003A12BF" w:rsidRDefault="003A12BF" w:rsidP="00F51716">
            <w:pPr>
              <w:pStyle w:val="Tabletext0"/>
            </w:pPr>
            <w:r w:rsidRPr="003A12BF">
              <w:t>$20,000.00</w:t>
            </w:r>
          </w:p>
        </w:tc>
      </w:tr>
      <w:tr w:rsidR="003A12BF" w:rsidRPr="003A12BF" w14:paraId="099CE476" w14:textId="77777777" w:rsidTr="002D4B7F">
        <w:trPr>
          <w:trHeight w:val="300"/>
        </w:trPr>
        <w:tc>
          <w:tcPr>
            <w:tcW w:w="2977" w:type="dxa"/>
            <w:noWrap/>
            <w:hideMark/>
          </w:tcPr>
          <w:p w14:paraId="6F6E6001" w14:textId="77777777" w:rsidR="003A12BF" w:rsidRPr="003A12BF" w:rsidRDefault="003A12BF" w:rsidP="00F51716">
            <w:pPr>
              <w:pStyle w:val="Tabletext0"/>
            </w:pPr>
            <w:r w:rsidRPr="003A12BF">
              <w:t>City of Greater Geelong</w:t>
            </w:r>
          </w:p>
        </w:tc>
        <w:tc>
          <w:tcPr>
            <w:tcW w:w="4481" w:type="dxa"/>
            <w:noWrap/>
            <w:hideMark/>
          </w:tcPr>
          <w:p w14:paraId="78660331" w14:textId="77777777" w:rsidR="003A12BF" w:rsidRPr="003A12BF" w:rsidRDefault="003A12BF" w:rsidP="00F51716">
            <w:pPr>
              <w:pStyle w:val="Tabletext0"/>
            </w:pPr>
            <w:r w:rsidRPr="003A12BF">
              <w:t>E-waste Infrastructure Upgrade - City of Greater Geelong - North Geelong RRC</w:t>
            </w:r>
          </w:p>
        </w:tc>
        <w:tc>
          <w:tcPr>
            <w:tcW w:w="1440" w:type="dxa"/>
            <w:noWrap/>
            <w:hideMark/>
          </w:tcPr>
          <w:p w14:paraId="7C956050" w14:textId="77777777" w:rsidR="003A12BF" w:rsidRPr="003A12BF" w:rsidRDefault="003A12BF" w:rsidP="00F51716">
            <w:pPr>
              <w:pStyle w:val="Tabletext0"/>
            </w:pPr>
            <w:r w:rsidRPr="003A12BF">
              <w:t>$50,000.00</w:t>
            </w:r>
          </w:p>
        </w:tc>
      </w:tr>
      <w:tr w:rsidR="003A12BF" w:rsidRPr="003A12BF" w14:paraId="408862EA" w14:textId="77777777" w:rsidTr="002D4B7F">
        <w:trPr>
          <w:trHeight w:val="300"/>
        </w:trPr>
        <w:tc>
          <w:tcPr>
            <w:tcW w:w="2977" w:type="dxa"/>
            <w:noWrap/>
            <w:hideMark/>
          </w:tcPr>
          <w:p w14:paraId="62F53F08" w14:textId="77777777" w:rsidR="003A12BF" w:rsidRPr="003A12BF" w:rsidRDefault="003A12BF" w:rsidP="00F51716">
            <w:pPr>
              <w:pStyle w:val="Tabletext0"/>
            </w:pPr>
            <w:r w:rsidRPr="003A12BF">
              <w:t>City of Greater Geelong</w:t>
            </w:r>
          </w:p>
        </w:tc>
        <w:tc>
          <w:tcPr>
            <w:tcW w:w="4481" w:type="dxa"/>
            <w:noWrap/>
            <w:hideMark/>
          </w:tcPr>
          <w:p w14:paraId="758010A3" w14:textId="77777777" w:rsidR="003A12BF" w:rsidRPr="003A12BF" w:rsidRDefault="003A12BF" w:rsidP="00F51716">
            <w:pPr>
              <w:pStyle w:val="Tabletext0"/>
            </w:pPr>
            <w:r w:rsidRPr="003A12BF">
              <w:t>E-waste Infrastructure Upgrade - City of Greater Geelong - North Geelong RRC</w:t>
            </w:r>
          </w:p>
        </w:tc>
        <w:tc>
          <w:tcPr>
            <w:tcW w:w="1440" w:type="dxa"/>
            <w:noWrap/>
            <w:hideMark/>
          </w:tcPr>
          <w:p w14:paraId="4D0B2B49" w14:textId="77777777" w:rsidR="003A12BF" w:rsidRPr="003A12BF" w:rsidRDefault="003A12BF" w:rsidP="00F51716">
            <w:pPr>
              <w:pStyle w:val="Tabletext0"/>
            </w:pPr>
            <w:r w:rsidRPr="003A12BF">
              <w:t>$20,000.00</w:t>
            </w:r>
          </w:p>
        </w:tc>
      </w:tr>
      <w:tr w:rsidR="003A12BF" w:rsidRPr="003A12BF" w14:paraId="718DFD12" w14:textId="77777777" w:rsidTr="002D4B7F">
        <w:trPr>
          <w:trHeight w:val="300"/>
        </w:trPr>
        <w:tc>
          <w:tcPr>
            <w:tcW w:w="2977" w:type="dxa"/>
            <w:noWrap/>
            <w:hideMark/>
          </w:tcPr>
          <w:p w14:paraId="4B478B37" w14:textId="77777777" w:rsidR="003A12BF" w:rsidRPr="003A12BF" w:rsidRDefault="003A12BF" w:rsidP="00F51716">
            <w:pPr>
              <w:pStyle w:val="Tabletext0"/>
            </w:pPr>
            <w:r w:rsidRPr="003A12BF">
              <w:t>Loddon Shire Council</w:t>
            </w:r>
          </w:p>
        </w:tc>
        <w:tc>
          <w:tcPr>
            <w:tcW w:w="4481" w:type="dxa"/>
            <w:noWrap/>
            <w:hideMark/>
          </w:tcPr>
          <w:p w14:paraId="12B49F84" w14:textId="77777777" w:rsidR="003A12BF" w:rsidRPr="003A12BF" w:rsidRDefault="003A12BF" w:rsidP="00F51716">
            <w:pPr>
              <w:pStyle w:val="Tabletext0"/>
            </w:pPr>
            <w:r w:rsidRPr="003A12BF">
              <w:t>E-waste Infrastructure Upgrade - Inglewood Transfer Station</w:t>
            </w:r>
          </w:p>
        </w:tc>
        <w:tc>
          <w:tcPr>
            <w:tcW w:w="1440" w:type="dxa"/>
            <w:noWrap/>
            <w:hideMark/>
          </w:tcPr>
          <w:p w14:paraId="365838F6" w14:textId="77777777" w:rsidR="003A12BF" w:rsidRPr="003A12BF" w:rsidRDefault="003A12BF" w:rsidP="00F51716">
            <w:pPr>
              <w:pStyle w:val="Tabletext0"/>
            </w:pPr>
            <w:r w:rsidRPr="003A12BF">
              <w:t>$28,880.00</w:t>
            </w:r>
          </w:p>
        </w:tc>
      </w:tr>
      <w:tr w:rsidR="003A12BF" w:rsidRPr="003A12BF" w14:paraId="3284548B" w14:textId="77777777" w:rsidTr="002D4B7F">
        <w:trPr>
          <w:trHeight w:val="300"/>
        </w:trPr>
        <w:tc>
          <w:tcPr>
            <w:tcW w:w="2977" w:type="dxa"/>
            <w:noWrap/>
            <w:hideMark/>
          </w:tcPr>
          <w:p w14:paraId="6F329538" w14:textId="77777777" w:rsidR="003A12BF" w:rsidRPr="003A12BF" w:rsidRDefault="003A12BF" w:rsidP="00F51716">
            <w:pPr>
              <w:pStyle w:val="Tabletext0"/>
            </w:pPr>
            <w:r w:rsidRPr="003A12BF">
              <w:t>Loddon Shire Council</w:t>
            </w:r>
          </w:p>
        </w:tc>
        <w:tc>
          <w:tcPr>
            <w:tcW w:w="4481" w:type="dxa"/>
            <w:noWrap/>
            <w:hideMark/>
          </w:tcPr>
          <w:p w14:paraId="029384F3" w14:textId="77777777" w:rsidR="003A12BF" w:rsidRPr="003A12BF" w:rsidRDefault="003A12BF" w:rsidP="00F51716">
            <w:pPr>
              <w:pStyle w:val="Tabletext0"/>
            </w:pPr>
            <w:r w:rsidRPr="003A12BF">
              <w:t>E-waste Infrastructure Upgrade - Inglewood Transfer Station</w:t>
            </w:r>
          </w:p>
        </w:tc>
        <w:tc>
          <w:tcPr>
            <w:tcW w:w="1440" w:type="dxa"/>
            <w:noWrap/>
            <w:hideMark/>
          </w:tcPr>
          <w:p w14:paraId="70601EA3" w14:textId="77777777" w:rsidR="003A12BF" w:rsidRPr="003A12BF" w:rsidRDefault="003A12BF" w:rsidP="00F51716">
            <w:pPr>
              <w:pStyle w:val="Tabletext0"/>
            </w:pPr>
            <w:r w:rsidRPr="003A12BF">
              <w:t>$28,251.96</w:t>
            </w:r>
          </w:p>
        </w:tc>
      </w:tr>
      <w:tr w:rsidR="003A12BF" w:rsidRPr="003A12BF" w14:paraId="2209931E" w14:textId="77777777" w:rsidTr="002D4B7F">
        <w:trPr>
          <w:trHeight w:val="300"/>
        </w:trPr>
        <w:tc>
          <w:tcPr>
            <w:tcW w:w="2977" w:type="dxa"/>
            <w:noWrap/>
            <w:hideMark/>
          </w:tcPr>
          <w:p w14:paraId="19AC36AF" w14:textId="77777777" w:rsidR="003A12BF" w:rsidRPr="003A12BF" w:rsidRDefault="003A12BF" w:rsidP="00F51716">
            <w:pPr>
              <w:pStyle w:val="Tabletext0"/>
            </w:pPr>
            <w:r w:rsidRPr="003A12BF">
              <w:t>Wangaratta Rural City Council</w:t>
            </w:r>
          </w:p>
        </w:tc>
        <w:tc>
          <w:tcPr>
            <w:tcW w:w="4481" w:type="dxa"/>
            <w:noWrap/>
            <w:hideMark/>
          </w:tcPr>
          <w:p w14:paraId="7EBA9769" w14:textId="77777777" w:rsidR="003A12BF" w:rsidRPr="003A12BF" w:rsidRDefault="003A12BF" w:rsidP="00F51716">
            <w:pPr>
              <w:pStyle w:val="Tabletext0"/>
            </w:pPr>
            <w:r w:rsidRPr="003A12BF">
              <w:t>E-waste Infrastructure Upgrade - Wangaratta - Wangaratta Transfer Station</w:t>
            </w:r>
          </w:p>
        </w:tc>
        <w:tc>
          <w:tcPr>
            <w:tcW w:w="1440" w:type="dxa"/>
            <w:noWrap/>
            <w:hideMark/>
          </w:tcPr>
          <w:p w14:paraId="574F8E0E" w14:textId="77777777" w:rsidR="003A12BF" w:rsidRPr="003A12BF" w:rsidRDefault="003A12BF" w:rsidP="00F51716">
            <w:pPr>
              <w:pStyle w:val="Tabletext0"/>
            </w:pPr>
            <w:r w:rsidRPr="003A12BF">
              <w:t>$49,156.77</w:t>
            </w:r>
          </w:p>
        </w:tc>
      </w:tr>
      <w:tr w:rsidR="003A12BF" w:rsidRPr="003A12BF" w14:paraId="11C6DD5F" w14:textId="77777777" w:rsidTr="002D4B7F">
        <w:trPr>
          <w:trHeight w:val="300"/>
        </w:trPr>
        <w:tc>
          <w:tcPr>
            <w:tcW w:w="2977" w:type="dxa"/>
            <w:noWrap/>
            <w:hideMark/>
          </w:tcPr>
          <w:p w14:paraId="645DAC2E" w14:textId="77777777" w:rsidR="003A12BF" w:rsidRPr="003A12BF" w:rsidRDefault="003A12BF" w:rsidP="00F51716">
            <w:pPr>
              <w:pStyle w:val="Tabletext0"/>
            </w:pPr>
            <w:r w:rsidRPr="003A12BF">
              <w:t>Wangaratta Rural City Council</w:t>
            </w:r>
          </w:p>
        </w:tc>
        <w:tc>
          <w:tcPr>
            <w:tcW w:w="4481" w:type="dxa"/>
            <w:noWrap/>
            <w:hideMark/>
          </w:tcPr>
          <w:p w14:paraId="78A34915" w14:textId="77777777" w:rsidR="003A12BF" w:rsidRPr="003A12BF" w:rsidRDefault="003A12BF" w:rsidP="00F51716">
            <w:pPr>
              <w:pStyle w:val="Tabletext0"/>
            </w:pPr>
            <w:r w:rsidRPr="003A12BF">
              <w:t>E-waste Infrastructure Upgrade - Wangaratta - Wangaratta Transfer Station</w:t>
            </w:r>
          </w:p>
        </w:tc>
        <w:tc>
          <w:tcPr>
            <w:tcW w:w="1440" w:type="dxa"/>
            <w:noWrap/>
            <w:hideMark/>
          </w:tcPr>
          <w:p w14:paraId="2B37ABCF" w14:textId="77777777" w:rsidR="003A12BF" w:rsidRPr="003A12BF" w:rsidRDefault="003A12BF" w:rsidP="00F51716">
            <w:pPr>
              <w:pStyle w:val="Tabletext0"/>
            </w:pPr>
            <w:r w:rsidRPr="003A12BF">
              <w:t>$19,266.12</w:t>
            </w:r>
          </w:p>
        </w:tc>
      </w:tr>
      <w:tr w:rsidR="003A12BF" w:rsidRPr="003A12BF" w14:paraId="2050EDFB" w14:textId="77777777" w:rsidTr="002D4B7F">
        <w:trPr>
          <w:trHeight w:val="300"/>
        </w:trPr>
        <w:tc>
          <w:tcPr>
            <w:tcW w:w="2977" w:type="dxa"/>
            <w:noWrap/>
            <w:hideMark/>
          </w:tcPr>
          <w:p w14:paraId="15274FB2" w14:textId="77777777" w:rsidR="003A12BF" w:rsidRPr="003A12BF" w:rsidRDefault="003A12BF" w:rsidP="00F51716">
            <w:pPr>
              <w:pStyle w:val="Tabletext0"/>
            </w:pPr>
            <w:r w:rsidRPr="003A12BF">
              <w:t>Macedon Ranges Shire Council</w:t>
            </w:r>
          </w:p>
        </w:tc>
        <w:tc>
          <w:tcPr>
            <w:tcW w:w="4481" w:type="dxa"/>
            <w:noWrap/>
            <w:hideMark/>
          </w:tcPr>
          <w:p w14:paraId="20290C66" w14:textId="77777777" w:rsidR="003A12BF" w:rsidRPr="003A12BF" w:rsidRDefault="003A12BF" w:rsidP="00F51716">
            <w:pPr>
              <w:pStyle w:val="Tabletext0"/>
            </w:pPr>
            <w:r w:rsidRPr="003A12BF">
              <w:t>E-waste Infrastructure Upgrade - Woodend Transfer Station</w:t>
            </w:r>
          </w:p>
        </w:tc>
        <w:tc>
          <w:tcPr>
            <w:tcW w:w="1440" w:type="dxa"/>
            <w:noWrap/>
            <w:hideMark/>
          </w:tcPr>
          <w:p w14:paraId="61CD6963" w14:textId="77777777" w:rsidR="003A12BF" w:rsidRPr="003A12BF" w:rsidRDefault="003A12BF" w:rsidP="00F51716">
            <w:pPr>
              <w:pStyle w:val="Tabletext0"/>
            </w:pPr>
            <w:r w:rsidRPr="003A12BF">
              <w:t>$50,000.00</w:t>
            </w:r>
          </w:p>
        </w:tc>
      </w:tr>
      <w:tr w:rsidR="003A12BF" w:rsidRPr="003A12BF" w14:paraId="0BCB98DD" w14:textId="77777777" w:rsidTr="002D4B7F">
        <w:trPr>
          <w:trHeight w:val="300"/>
        </w:trPr>
        <w:tc>
          <w:tcPr>
            <w:tcW w:w="2977" w:type="dxa"/>
            <w:noWrap/>
            <w:hideMark/>
          </w:tcPr>
          <w:p w14:paraId="5BC6890E" w14:textId="77777777" w:rsidR="003A12BF" w:rsidRPr="003A12BF" w:rsidRDefault="003A12BF" w:rsidP="00F51716">
            <w:pPr>
              <w:pStyle w:val="Tabletext0"/>
            </w:pPr>
            <w:r w:rsidRPr="003A12BF">
              <w:t>Macedon Ranges Shire Council</w:t>
            </w:r>
          </w:p>
        </w:tc>
        <w:tc>
          <w:tcPr>
            <w:tcW w:w="4481" w:type="dxa"/>
            <w:noWrap/>
            <w:hideMark/>
          </w:tcPr>
          <w:p w14:paraId="6A84B3E0" w14:textId="77777777" w:rsidR="003A12BF" w:rsidRPr="003A12BF" w:rsidRDefault="003A12BF" w:rsidP="00F51716">
            <w:pPr>
              <w:pStyle w:val="Tabletext0"/>
            </w:pPr>
            <w:r w:rsidRPr="003A12BF">
              <w:t>E-waste Infrastructure Upgrade - Woodend Transfer Station</w:t>
            </w:r>
          </w:p>
        </w:tc>
        <w:tc>
          <w:tcPr>
            <w:tcW w:w="1440" w:type="dxa"/>
            <w:noWrap/>
            <w:hideMark/>
          </w:tcPr>
          <w:p w14:paraId="7FF597C0" w14:textId="77777777" w:rsidR="003A12BF" w:rsidRPr="003A12BF" w:rsidRDefault="003A12BF" w:rsidP="00F51716">
            <w:pPr>
              <w:pStyle w:val="Tabletext0"/>
            </w:pPr>
            <w:r w:rsidRPr="003A12BF">
              <w:t>$22,552.70</w:t>
            </w:r>
          </w:p>
        </w:tc>
      </w:tr>
      <w:tr w:rsidR="003A12BF" w:rsidRPr="003A12BF" w14:paraId="5F465640" w14:textId="77777777" w:rsidTr="002D4B7F">
        <w:trPr>
          <w:trHeight w:val="300"/>
        </w:trPr>
        <w:tc>
          <w:tcPr>
            <w:tcW w:w="2977" w:type="dxa"/>
            <w:noWrap/>
            <w:hideMark/>
          </w:tcPr>
          <w:p w14:paraId="1CB4105B" w14:textId="77777777" w:rsidR="003A12BF" w:rsidRPr="003A12BF" w:rsidRDefault="003A12BF" w:rsidP="00F51716">
            <w:pPr>
              <w:pStyle w:val="Tabletext0"/>
            </w:pPr>
            <w:r w:rsidRPr="003A12BF">
              <w:t>City of Darebin</w:t>
            </w:r>
          </w:p>
        </w:tc>
        <w:tc>
          <w:tcPr>
            <w:tcW w:w="4481" w:type="dxa"/>
            <w:noWrap/>
            <w:hideMark/>
          </w:tcPr>
          <w:p w14:paraId="42E44422" w14:textId="77777777" w:rsidR="003A12BF" w:rsidRPr="003A12BF" w:rsidRDefault="003A12BF" w:rsidP="00F51716">
            <w:pPr>
              <w:pStyle w:val="Tabletext0"/>
            </w:pPr>
            <w:r w:rsidRPr="003A12BF">
              <w:t>E-waste Infrastructure Upgrade - Darebin City Council - Darebin RRC</w:t>
            </w:r>
          </w:p>
        </w:tc>
        <w:tc>
          <w:tcPr>
            <w:tcW w:w="1440" w:type="dxa"/>
            <w:noWrap/>
            <w:hideMark/>
          </w:tcPr>
          <w:p w14:paraId="4A16945B" w14:textId="77777777" w:rsidR="003A12BF" w:rsidRPr="003A12BF" w:rsidRDefault="003A12BF" w:rsidP="00F51716">
            <w:pPr>
              <w:pStyle w:val="Tabletext0"/>
            </w:pPr>
            <w:r w:rsidRPr="003A12BF">
              <w:t>$30,000.00</w:t>
            </w:r>
          </w:p>
        </w:tc>
      </w:tr>
      <w:tr w:rsidR="003A12BF" w:rsidRPr="003A12BF" w14:paraId="2D9B98A3" w14:textId="77777777" w:rsidTr="002D4B7F">
        <w:trPr>
          <w:trHeight w:val="300"/>
        </w:trPr>
        <w:tc>
          <w:tcPr>
            <w:tcW w:w="2977" w:type="dxa"/>
            <w:noWrap/>
            <w:hideMark/>
          </w:tcPr>
          <w:p w14:paraId="2867C45F" w14:textId="77777777" w:rsidR="003A12BF" w:rsidRPr="003A12BF" w:rsidRDefault="003A12BF" w:rsidP="00F51716">
            <w:pPr>
              <w:pStyle w:val="Tabletext0"/>
            </w:pPr>
            <w:r w:rsidRPr="003A12BF">
              <w:t>City of Darebin</w:t>
            </w:r>
          </w:p>
        </w:tc>
        <w:tc>
          <w:tcPr>
            <w:tcW w:w="4481" w:type="dxa"/>
            <w:noWrap/>
            <w:hideMark/>
          </w:tcPr>
          <w:p w14:paraId="2FE5324D" w14:textId="77777777" w:rsidR="003A12BF" w:rsidRPr="003A12BF" w:rsidRDefault="003A12BF" w:rsidP="00F51716">
            <w:pPr>
              <w:pStyle w:val="Tabletext0"/>
            </w:pPr>
            <w:r w:rsidRPr="003A12BF">
              <w:t>E-waste Infrastructure Upgrade - Darebin City Council - Darebin RRC</w:t>
            </w:r>
          </w:p>
        </w:tc>
        <w:tc>
          <w:tcPr>
            <w:tcW w:w="1440" w:type="dxa"/>
            <w:noWrap/>
            <w:hideMark/>
          </w:tcPr>
          <w:p w14:paraId="06C779E2" w14:textId="77777777" w:rsidR="003A12BF" w:rsidRPr="003A12BF" w:rsidRDefault="003A12BF" w:rsidP="00F51716">
            <w:pPr>
              <w:pStyle w:val="Tabletext0"/>
            </w:pPr>
            <w:r w:rsidRPr="003A12BF">
              <w:t>$50,000.00</w:t>
            </w:r>
          </w:p>
        </w:tc>
      </w:tr>
      <w:tr w:rsidR="003A12BF" w:rsidRPr="003A12BF" w14:paraId="295D7975" w14:textId="77777777" w:rsidTr="002D4B7F">
        <w:trPr>
          <w:trHeight w:val="300"/>
        </w:trPr>
        <w:tc>
          <w:tcPr>
            <w:tcW w:w="2977" w:type="dxa"/>
            <w:noWrap/>
            <w:hideMark/>
          </w:tcPr>
          <w:p w14:paraId="453B6E45" w14:textId="77777777" w:rsidR="003A12BF" w:rsidRPr="003A12BF" w:rsidRDefault="003A12BF" w:rsidP="00F51716">
            <w:pPr>
              <w:pStyle w:val="Tabletext0"/>
            </w:pPr>
            <w:r w:rsidRPr="003A12BF">
              <w:t>City of Darebin</w:t>
            </w:r>
          </w:p>
        </w:tc>
        <w:tc>
          <w:tcPr>
            <w:tcW w:w="4481" w:type="dxa"/>
            <w:noWrap/>
            <w:hideMark/>
          </w:tcPr>
          <w:p w14:paraId="14022ABB" w14:textId="77777777" w:rsidR="003A12BF" w:rsidRPr="003A12BF" w:rsidRDefault="003A12BF" w:rsidP="00F51716">
            <w:pPr>
              <w:pStyle w:val="Tabletext0"/>
            </w:pPr>
            <w:r w:rsidRPr="003A12BF">
              <w:t>E-waste Infrastructure Upgrade - Darebin City Council - Darebin RRC</w:t>
            </w:r>
          </w:p>
        </w:tc>
        <w:tc>
          <w:tcPr>
            <w:tcW w:w="1440" w:type="dxa"/>
            <w:noWrap/>
            <w:hideMark/>
          </w:tcPr>
          <w:p w14:paraId="322DFD5C" w14:textId="77777777" w:rsidR="003A12BF" w:rsidRPr="003A12BF" w:rsidRDefault="003A12BF" w:rsidP="00F51716">
            <w:pPr>
              <w:pStyle w:val="Tabletext0"/>
            </w:pPr>
            <w:r w:rsidRPr="003A12BF">
              <w:t>$20,000.00</w:t>
            </w:r>
          </w:p>
        </w:tc>
      </w:tr>
      <w:tr w:rsidR="003A12BF" w:rsidRPr="003A12BF" w14:paraId="7B4FB3C7" w14:textId="77777777" w:rsidTr="002D4B7F">
        <w:trPr>
          <w:trHeight w:val="300"/>
        </w:trPr>
        <w:tc>
          <w:tcPr>
            <w:tcW w:w="2977" w:type="dxa"/>
            <w:noWrap/>
            <w:hideMark/>
          </w:tcPr>
          <w:p w14:paraId="0209387A" w14:textId="77777777" w:rsidR="003A12BF" w:rsidRPr="003A12BF" w:rsidRDefault="003A12BF" w:rsidP="00F51716">
            <w:pPr>
              <w:pStyle w:val="Tabletext0"/>
            </w:pPr>
            <w:r w:rsidRPr="003A12BF">
              <w:t>Macedon Ranges Shire Council</w:t>
            </w:r>
          </w:p>
        </w:tc>
        <w:tc>
          <w:tcPr>
            <w:tcW w:w="4481" w:type="dxa"/>
            <w:noWrap/>
            <w:hideMark/>
          </w:tcPr>
          <w:p w14:paraId="36C851EC" w14:textId="77777777" w:rsidR="003A12BF" w:rsidRPr="003A12BF" w:rsidRDefault="003A12BF" w:rsidP="00F51716">
            <w:pPr>
              <w:pStyle w:val="Tabletext0"/>
            </w:pPr>
            <w:r w:rsidRPr="003A12BF">
              <w:t>E-waste Infrastructure Upgrade - Kyneton Transfer Station</w:t>
            </w:r>
          </w:p>
        </w:tc>
        <w:tc>
          <w:tcPr>
            <w:tcW w:w="1440" w:type="dxa"/>
            <w:noWrap/>
            <w:hideMark/>
          </w:tcPr>
          <w:p w14:paraId="3DFBAE04" w14:textId="77777777" w:rsidR="003A12BF" w:rsidRPr="003A12BF" w:rsidRDefault="003A12BF" w:rsidP="00F51716">
            <w:pPr>
              <w:pStyle w:val="Tabletext0"/>
            </w:pPr>
            <w:r w:rsidRPr="003A12BF">
              <w:t>$50,000.00</w:t>
            </w:r>
          </w:p>
        </w:tc>
      </w:tr>
      <w:tr w:rsidR="003A12BF" w:rsidRPr="003A12BF" w14:paraId="2CDD4D5F" w14:textId="77777777" w:rsidTr="002D4B7F">
        <w:trPr>
          <w:trHeight w:val="300"/>
        </w:trPr>
        <w:tc>
          <w:tcPr>
            <w:tcW w:w="2977" w:type="dxa"/>
            <w:noWrap/>
            <w:hideMark/>
          </w:tcPr>
          <w:p w14:paraId="3BB0E1D0" w14:textId="77777777" w:rsidR="003A12BF" w:rsidRPr="003A12BF" w:rsidRDefault="003A12BF" w:rsidP="00F51716">
            <w:pPr>
              <w:pStyle w:val="Tabletext0"/>
            </w:pPr>
            <w:r w:rsidRPr="003A12BF">
              <w:t>Macedon Ranges Shire Council</w:t>
            </w:r>
          </w:p>
        </w:tc>
        <w:tc>
          <w:tcPr>
            <w:tcW w:w="4481" w:type="dxa"/>
            <w:noWrap/>
            <w:hideMark/>
          </w:tcPr>
          <w:p w14:paraId="0BD3C09B" w14:textId="77777777" w:rsidR="003A12BF" w:rsidRPr="003A12BF" w:rsidRDefault="003A12BF" w:rsidP="00F51716">
            <w:pPr>
              <w:pStyle w:val="Tabletext0"/>
            </w:pPr>
            <w:r w:rsidRPr="003A12BF">
              <w:t>E-waste Infrastructure Upgrade - Kyneton Transfer Station</w:t>
            </w:r>
          </w:p>
        </w:tc>
        <w:tc>
          <w:tcPr>
            <w:tcW w:w="1440" w:type="dxa"/>
            <w:noWrap/>
            <w:hideMark/>
          </w:tcPr>
          <w:p w14:paraId="5590BE31" w14:textId="77777777" w:rsidR="003A12BF" w:rsidRPr="003A12BF" w:rsidRDefault="003A12BF" w:rsidP="00F51716">
            <w:pPr>
              <w:pStyle w:val="Tabletext0"/>
            </w:pPr>
            <w:r w:rsidRPr="003A12BF">
              <w:t>$20,125.40</w:t>
            </w:r>
          </w:p>
        </w:tc>
      </w:tr>
      <w:tr w:rsidR="003A12BF" w:rsidRPr="003A12BF" w14:paraId="6B05B098" w14:textId="77777777" w:rsidTr="002D4B7F">
        <w:trPr>
          <w:trHeight w:val="300"/>
        </w:trPr>
        <w:tc>
          <w:tcPr>
            <w:tcW w:w="2977" w:type="dxa"/>
            <w:noWrap/>
            <w:hideMark/>
          </w:tcPr>
          <w:p w14:paraId="40EDFABF" w14:textId="77777777" w:rsidR="003A12BF" w:rsidRPr="003A12BF" w:rsidRDefault="003A12BF" w:rsidP="00F51716">
            <w:pPr>
              <w:pStyle w:val="Tabletext0"/>
            </w:pPr>
            <w:r w:rsidRPr="003A12BF">
              <w:t>Macedon Ranges Shire Council</w:t>
            </w:r>
          </w:p>
        </w:tc>
        <w:tc>
          <w:tcPr>
            <w:tcW w:w="4481" w:type="dxa"/>
            <w:noWrap/>
            <w:hideMark/>
          </w:tcPr>
          <w:p w14:paraId="04B944F0" w14:textId="77777777" w:rsidR="003A12BF" w:rsidRPr="003A12BF" w:rsidRDefault="003A12BF" w:rsidP="00F51716">
            <w:pPr>
              <w:pStyle w:val="Tabletext0"/>
            </w:pPr>
            <w:r w:rsidRPr="003A12BF">
              <w:t>E-waste Infrastructure Upgrade - Romsey Transfer Station</w:t>
            </w:r>
          </w:p>
        </w:tc>
        <w:tc>
          <w:tcPr>
            <w:tcW w:w="1440" w:type="dxa"/>
            <w:noWrap/>
            <w:hideMark/>
          </w:tcPr>
          <w:p w14:paraId="52964C9B" w14:textId="77777777" w:rsidR="003A12BF" w:rsidRPr="003A12BF" w:rsidRDefault="003A12BF" w:rsidP="00F51716">
            <w:pPr>
              <w:pStyle w:val="Tabletext0"/>
            </w:pPr>
            <w:r w:rsidRPr="003A12BF">
              <w:t>$50,000.00</w:t>
            </w:r>
          </w:p>
        </w:tc>
      </w:tr>
      <w:tr w:rsidR="003A12BF" w:rsidRPr="003A12BF" w14:paraId="195D73F0" w14:textId="77777777" w:rsidTr="002D4B7F">
        <w:trPr>
          <w:trHeight w:val="300"/>
        </w:trPr>
        <w:tc>
          <w:tcPr>
            <w:tcW w:w="2977" w:type="dxa"/>
            <w:noWrap/>
            <w:hideMark/>
          </w:tcPr>
          <w:p w14:paraId="5454B2B3" w14:textId="77777777" w:rsidR="003A12BF" w:rsidRPr="003A12BF" w:rsidRDefault="003A12BF" w:rsidP="00F51716">
            <w:pPr>
              <w:pStyle w:val="Tabletext0"/>
            </w:pPr>
            <w:r w:rsidRPr="003A12BF">
              <w:t>Macedon Ranges Shire Council</w:t>
            </w:r>
          </w:p>
        </w:tc>
        <w:tc>
          <w:tcPr>
            <w:tcW w:w="4481" w:type="dxa"/>
            <w:noWrap/>
            <w:hideMark/>
          </w:tcPr>
          <w:p w14:paraId="5058640E" w14:textId="77777777" w:rsidR="003A12BF" w:rsidRPr="003A12BF" w:rsidRDefault="003A12BF" w:rsidP="00F51716">
            <w:pPr>
              <w:pStyle w:val="Tabletext0"/>
            </w:pPr>
            <w:r w:rsidRPr="003A12BF">
              <w:t>E-waste Infrastructure Upgrade - Romsey Transfer Station</w:t>
            </w:r>
          </w:p>
        </w:tc>
        <w:tc>
          <w:tcPr>
            <w:tcW w:w="1440" w:type="dxa"/>
            <w:noWrap/>
            <w:hideMark/>
          </w:tcPr>
          <w:p w14:paraId="6A033D8F" w14:textId="77777777" w:rsidR="003A12BF" w:rsidRPr="003A12BF" w:rsidRDefault="003A12BF" w:rsidP="00F51716">
            <w:pPr>
              <w:pStyle w:val="Tabletext0"/>
            </w:pPr>
            <w:r w:rsidRPr="003A12BF">
              <w:t>$23,419.40</w:t>
            </w:r>
          </w:p>
        </w:tc>
      </w:tr>
      <w:tr w:rsidR="003A12BF" w:rsidRPr="003A12BF" w14:paraId="72A1FF42" w14:textId="77777777" w:rsidTr="002D4B7F">
        <w:trPr>
          <w:trHeight w:val="300"/>
        </w:trPr>
        <w:tc>
          <w:tcPr>
            <w:tcW w:w="2977" w:type="dxa"/>
            <w:noWrap/>
            <w:hideMark/>
          </w:tcPr>
          <w:p w14:paraId="313581A0" w14:textId="77777777" w:rsidR="003A12BF" w:rsidRPr="003A12BF" w:rsidRDefault="003A12BF" w:rsidP="00F51716">
            <w:pPr>
              <w:pStyle w:val="Tabletext0"/>
            </w:pPr>
            <w:r w:rsidRPr="003A12BF">
              <w:t>Ararat Rural City Council</w:t>
            </w:r>
          </w:p>
        </w:tc>
        <w:tc>
          <w:tcPr>
            <w:tcW w:w="4481" w:type="dxa"/>
            <w:noWrap/>
            <w:hideMark/>
          </w:tcPr>
          <w:p w14:paraId="6CBA9CE1" w14:textId="77777777" w:rsidR="003A12BF" w:rsidRPr="003A12BF" w:rsidRDefault="003A12BF" w:rsidP="00F51716">
            <w:pPr>
              <w:pStyle w:val="Tabletext0"/>
            </w:pPr>
            <w:r w:rsidRPr="003A12BF">
              <w:t>E-waste Infrastructure Upgrade - Lake Bolac Resource Recovery Centre</w:t>
            </w:r>
          </w:p>
        </w:tc>
        <w:tc>
          <w:tcPr>
            <w:tcW w:w="1440" w:type="dxa"/>
            <w:noWrap/>
            <w:hideMark/>
          </w:tcPr>
          <w:p w14:paraId="4E216810" w14:textId="77777777" w:rsidR="003A12BF" w:rsidRPr="003A12BF" w:rsidRDefault="003A12BF" w:rsidP="00F51716">
            <w:pPr>
              <w:pStyle w:val="Tabletext0"/>
            </w:pPr>
            <w:r w:rsidRPr="003A12BF">
              <w:t>$30,000.00</w:t>
            </w:r>
          </w:p>
        </w:tc>
      </w:tr>
      <w:tr w:rsidR="003A12BF" w:rsidRPr="003A12BF" w14:paraId="4E3F597E" w14:textId="77777777" w:rsidTr="002D4B7F">
        <w:trPr>
          <w:trHeight w:val="300"/>
        </w:trPr>
        <w:tc>
          <w:tcPr>
            <w:tcW w:w="2977" w:type="dxa"/>
            <w:noWrap/>
            <w:hideMark/>
          </w:tcPr>
          <w:p w14:paraId="4BCA71D3" w14:textId="77777777" w:rsidR="003A12BF" w:rsidRPr="003A12BF" w:rsidRDefault="003A12BF" w:rsidP="00F51716">
            <w:pPr>
              <w:pStyle w:val="Tabletext0"/>
            </w:pPr>
            <w:r w:rsidRPr="003A12BF">
              <w:t>Ararat Rural City Council</w:t>
            </w:r>
          </w:p>
        </w:tc>
        <w:tc>
          <w:tcPr>
            <w:tcW w:w="4481" w:type="dxa"/>
            <w:noWrap/>
            <w:hideMark/>
          </w:tcPr>
          <w:p w14:paraId="307D8664" w14:textId="77777777" w:rsidR="003A12BF" w:rsidRPr="003A12BF" w:rsidRDefault="003A12BF" w:rsidP="00F51716">
            <w:pPr>
              <w:pStyle w:val="Tabletext0"/>
            </w:pPr>
            <w:r w:rsidRPr="003A12BF">
              <w:t>E-waste Infrastructure Upgrade - Ararat Resource Recovery Centre</w:t>
            </w:r>
          </w:p>
        </w:tc>
        <w:tc>
          <w:tcPr>
            <w:tcW w:w="1440" w:type="dxa"/>
            <w:noWrap/>
            <w:hideMark/>
          </w:tcPr>
          <w:p w14:paraId="5A9982E4" w14:textId="77777777" w:rsidR="003A12BF" w:rsidRPr="003A12BF" w:rsidRDefault="003A12BF" w:rsidP="00F51716">
            <w:pPr>
              <w:pStyle w:val="Tabletext0"/>
            </w:pPr>
            <w:r w:rsidRPr="003A12BF">
              <w:t>$50,000.00</w:t>
            </w:r>
          </w:p>
        </w:tc>
      </w:tr>
      <w:tr w:rsidR="003A12BF" w:rsidRPr="003A12BF" w14:paraId="6BFD5346" w14:textId="77777777" w:rsidTr="002D4B7F">
        <w:trPr>
          <w:trHeight w:val="300"/>
        </w:trPr>
        <w:tc>
          <w:tcPr>
            <w:tcW w:w="2977" w:type="dxa"/>
            <w:noWrap/>
            <w:hideMark/>
          </w:tcPr>
          <w:p w14:paraId="6F59097E" w14:textId="77777777" w:rsidR="003A12BF" w:rsidRPr="003A12BF" w:rsidRDefault="003A12BF" w:rsidP="00F51716">
            <w:pPr>
              <w:pStyle w:val="Tabletext0"/>
            </w:pPr>
            <w:r w:rsidRPr="003A12BF">
              <w:t>Ararat Rural City Council</w:t>
            </w:r>
          </w:p>
        </w:tc>
        <w:tc>
          <w:tcPr>
            <w:tcW w:w="4481" w:type="dxa"/>
            <w:noWrap/>
            <w:hideMark/>
          </w:tcPr>
          <w:p w14:paraId="45CE14FE" w14:textId="77777777" w:rsidR="003A12BF" w:rsidRPr="003A12BF" w:rsidRDefault="003A12BF" w:rsidP="00F51716">
            <w:pPr>
              <w:pStyle w:val="Tabletext0"/>
            </w:pPr>
            <w:r w:rsidRPr="003A12BF">
              <w:t>E-waste Infrastructure Upgrade - Ararat Resource Recovery Centre</w:t>
            </w:r>
          </w:p>
        </w:tc>
        <w:tc>
          <w:tcPr>
            <w:tcW w:w="1440" w:type="dxa"/>
            <w:noWrap/>
            <w:hideMark/>
          </w:tcPr>
          <w:p w14:paraId="0E08359C" w14:textId="77777777" w:rsidR="003A12BF" w:rsidRPr="003A12BF" w:rsidRDefault="003A12BF" w:rsidP="00F51716">
            <w:pPr>
              <w:pStyle w:val="Tabletext0"/>
            </w:pPr>
            <w:r w:rsidRPr="003A12BF">
              <w:t>$20,000.00</w:t>
            </w:r>
          </w:p>
        </w:tc>
      </w:tr>
      <w:tr w:rsidR="003A12BF" w:rsidRPr="003A12BF" w14:paraId="47BD5E42" w14:textId="77777777" w:rsidTr="002D4B7F">
        <w:trPr>
          <w:trHeight w:val="300"/>
        </w:trPr>
        <w:tc>
          <w:tcPr>
            <w:tcW w:w="2977" w:type="dxa"/>
            <w:noWrap/>
            <w:hideMark/>
          </w:tcPr>
          <w:p w14:paraId="707087B5" w14:textId="77777777" w:rsidR="003A12BF" w:rsidRPr="003A12BF" w:rsidRDefault="003A12BF" w:rsidP="00F51716">
            <w:pPr>
              <w:pStyle w:val="Tabletext0"/>
            </w:pPr>
            <w:r w:rsidRPr="003A12BF">
              <w:t>Northern Grampians Shire Council</w:t>
            </w:r>
          </w:p>
        </w:tc>
        <w:tc>
          <w:tcPr>
            <w:tcW w:w="4481" w:type="dxa"/>
            <w:noWrap/>
            <w:hideMark/>
          </w:tcPr>
          <w:p w14:paraId="28131E85" w14:textId="77777777" w:rsidR="003A12BF" w:rsidRPr="003A12BF" w:rsidRDefault="003A12BF" w:rsidP="00F51716">
            <w:pPr>
              <w:pStyle w:val="Tabletext0"/>
            </w:pPr>
            <w:r w:rsidRPr="003A12BF">
              <w:t>E-waste Infrastructure Upgrade - St Arnaud Transfer Station</w:t>
            </w:r>
          </w:p>
        </w:tc>
        <w:tc>
          <w:tcPr>
            <w:tcW w:w="1440" w:type="dxa"/>
            <w:noWrap/>
            <w:hideMark/>
          </w:tcPr>
          <w:p w14:paraId="0086A039" w14:textId="77777777" w:rsidR="003A12BF" w:rsidRPr="003A12BF" w:rsidRDefault="003A12BF" w:rsidP="00F51716">
            <w:pPr>
              <w:pStyle w:val="Tabletext0"/>
            </w:pPr>
            <w:r w:rsidRPr="003A12BF">
              <w:t>$50,000.00</w:t>
            </w:r>
          </w:p>
        </w:tc>
      </w:tr>
      <w:tr w:rsidR="003A12BF" w:rsidRPr="003A12BF" w14:paraId="16E93CB6" w14:textId="77777777" w:rsidTr="002D4B7F">
        <w:trPr>
          <w:trHeight w:val="300"/>
        </w:trPr>
        <w:tc>
          <w:tcPr>
            <w:tcW w:w="2977" w:type="dxa"/>
            <w:noWrap/>
            <w:hideMark/>
          </w:tcPr>
          <w:p w14:paraId="46D5E29E" w14:textId="77777777" w:rsidR="003A12BF" w:rsidRPr="003A12BF" w:rsidRDefault="003A12BF" w:rsidP="00F51716">
            <w:pPr>
              <w:pStyle w:val="Tabletext0"/>
            </w:pPr>
            <w:r w:rsidRPr="003A12BF">
              <w:t>Northern Grampians Shire Council</w:t>
            </w:r>
          </w:p>
        </w:tc>
        <w:tc>
          <w:tcPr>
            <w:tcW w:w="4481" w:type="dxa"/>
            <w:noWrap/>
            <w:hideMark/>
          </w:tcPr>
          <w:p w14:paraId="1663A822" w14:textId="77777777" w:rsidR="003A12BF" w:rsidRPr="003A12BF" w:rsidRDefault="003A12BF" w:rsidP="00F51716">
            <w:pPr>
              <w:pStyle w:val="Tabletext0"/>
            </w:pPr>
            <w:r w:rsidRPr="003A12BF">
              <w:t>E-waste Infrastructure Upgrade - St Arnaud Transfer Station</w:t>
            </w:r>
          </w:p>
        </w:tc>
        <w:tc>
          <w:tcPr>
            <w:tcW w:w="1440" w:type="dxa"/>
            <w:noWrap/>
            <w:hideMark/>
          </w:tcPr>
          <w:p w14:paraId="0835E6F0" w14:textId="77777777" w:rsidR="003A12BF" w:rsidRPr="003A12BF" w:rsidRDefault="003A12BF" w:rsidP="00F51716">
            <w:pPr>
              <w:pStyle w:val="Tabletext0"/>
            </w:pPr>
            <w:r w:rsidRPr="003A12BF">
              <w:t>$20,000.00</w:t>
            </w:r>
          </w:p>
        </w:tc>
      </w:tr>
      <w:tr w:rsidR="003A12BF" w:rsidRPr="003A12BF" w14:paraId="6AB56569" w14:textId="77777777" w:rsidTr="002D4B7F">
        <w:trPr>
          <w:trHeight w:val="300"/>
        </w:trPr>
        <w:tc>
          <w:tcPr>
            <w:tcW w:w="2977" w:type="dxa"/>
            <w:noWrap/>
            <w:hideMark/>
          </w:tcPr>
          <w:p w14:paraId="0CCADC73" w14:textId="77777777" w:rsidR="003A12BF" w:rsidRPr="003A12BF" w:rsidRDefault="003A12BF" w:rsidP="00F51716">
            <w:pPr>
              <w:pStyle w:val="Tabletext0"/>
            </w:pPr>
            <w:r w:rsidRPr="003A12BF">
              <w:t>Northern Grampians Shire Council</w:t>
            </w:r>
          </w:p>
        </w:tc>
        <w:tc>
          <w:tcPr>
            <w:tcW w:w="4481" w:type="dxa"/>
            <w:noWrap/>
            <w:hideMark/>
          </w:tcPr>
          <w:p w14:paraId="5D77E272" w14:textId="77777777" w:rsidR="003A12BF" w:rsidRPr="003A12BF" w:rsidRDefault="003A12BF" w:rsidP="00F51716">
            <w:pPr>
              <w:pStyle w:val="Tabletext0"/>
            </w:pPr>
            <w:r w:rsidRPr="003A12BF">
              <w:t>E-waste Infrastructure Upgrade - Stawell Transfer Station</w:t>
            </w:r>
          </w:p>
        </w:tc>
        <w:tc>
          <w:tcPr>
            <w:tcW w:w="1440" w:type="dxa"/>
            <w:noWrap/>
            <w:hideMark/>
          </w:tcPr>
          <w:p w14:paraId="5B3711DE" w14:textId="77777777" w:rsidR="003A12BF" w:rsidRPr="003A12BF" w:rsidRDefault="003A12BF" w:rsidP="00F51716">
            <w:pPr>
              <w:pStyle w:val="Tabletext0"/>
            </w:pPr>
            <w:r w:rsidRPr="003A12BF">
              <w:t>$50,000.00</w:t>
            </w:r>
          </w:p>
        </w:tc>
      </w:tr>
      <w:tr w:rsidR="003A12BF" w:rsidRPr="003A12BF" w14:paraId="0B39506D" w14:textId="77777777" w:rsidTr="002D4B7F">
        <w:trPr>
          <w:trHeight w:val="300"/>
        </w:trPr>
        <w:tc>
          <w:tcPr>
            <w:tcW w:w="2977" w:type="dxa"/>
            <w:noWrap/>
            <w:hideMark/>
          </w:tcPr>
          <w:p w14:paraId="4C005F56" w14:textId="77777777" w:rsidR="003A12BF" w:rsidRPr="003A12BF" w:rsidRDefault="003A12BF" w:rsidP="00F51716">
            <w:pPr>
              <w:pStyle w:val="Tabletext0"/>
            </w:pPr>
            <w:r w:rsidRPr="003A12BF">
              <w:t>Northern Grampians Shire Council</w:t>
            </w:r>
          </w:p>
        </w:tc>
        <w:tc>
          <w:tcPr>
            <w:tcW w:w="4481" w:type="dxa"/>
            <w:noWrap/>
            <w:hideMark/>
          </w:tcPr>
          <w:p w14:paraId="45563930" w14:textId="77777777" w:rsidR="003A12BF" w:rsidRPr="003A12BF" w:rsidRDefault="003A12BF" w:rsidP="00F51716">
            <w:pPr>
              <w:pStyle w:val="Tabletext0"/>
            </w:pPr>
            <w:r w:rsidRPr="003A12BF">
              <w:t>E-waste Infrastructure Upgrade - Stawell Transfer Station</w:t>
            </w:r>
          </w:p>
        </w:tc>
        <w:tc>
          <w:tcPr>
            <w:tcW w:w="1440" w:type="dxa"/>
            <w:noWrap/>
            <w:hideMark/>
          </w:tcPr>
          <w:p w14:paraId="17DCC334" w14:textId="77777777" w:rsidR="003A12BF" w:rsidRPr="003A12BF" w:rsidRDefault="003A12BF" w:rsidP="00F51716">
            <w:pPr>
              <w:pStyle w:val="Tabletext0"/>
            </w:pPr>
            <w:r w:rsidRPr="003A12BF">
              <w:t>$20,000.00</w:t>
            </w:r>
          </w:p>
        </w:tc>
      </w:tr>
      <w:tr w:rsidR="003A12BF" w:rsidRPr="003A12BF" w14:paraId="50C44C16" w14:textId="77777777" w:rsidTr="002D4B7F">
        <w:trPr>
          <w:trHeight w:val="300"/>
        </w:trPr>
        <w:tc>
          <w:tcPr>
            <w:tcW w:w="2977" w:type="dxa"/>
            <w:noWrap/>
            <w:hideMark/>
          </w:tcPr>
          <w:p w14:paraId="30CF115B" w14:textId="77777777" w:rsidR="003A12BF" w:rsidRPr="003A12BF" w:rsidRDefault="003A12BF" w:rsidP="00F51716">
            <w:pPr>
              <w:pStyle w:val="Tabletext0"/>
            </w:pPr>
            <w:r w:rsidRPr="003A12BF">
              <w:t>Strathbogie Shire Council</w:t>
            </w:r>
          </w:p>
        </w:tc>
        <w:tc>
          <w:tcPr>
            <w:tcW w:w="4481" w:type="dxa"/>
            <w:noWrap/>
            <w:hideMark/>
          </w:tcPr>
          <w:p w14:paraId="12D9ACE6" w14:textId="77777777" w:rsidR="003A12BF" w:rsidRPr="003A12BF" w:rsidRDefault="003A12BF" w:rsidP="00F51716">
            <w:pPr>
              <w:pStyle w:val="Tabletext0"/>
            </w:pPr>
            <w:r w:rsidRPr="003A12BF">
              <w:t>E-waste Infrastructure Upgrade - Euroa Resource Recovery</w:t>
            </w:r>
          </w:p>
        </w:tc>
        <w:tc>
          <w:tcPr>
            <w:tcW w:w="1440" w:type="dxa"/>
            <w:noWrap/>
            <w:hideMark/>
          </w:tcPr>
          <w:p w14:paraId="43CAA90E" w14:textId="77777777" w:rsidR="003A12BF" w:rsidRPr="003A12BF" w:rsidRDefault="003A12BF" w:rsidP="00F51716">
            <w:pPr>
              <w:pStyle w:val="Tabletext0"/>
            </w:pPr>
            <w:r w:rsidRPr="003A12BF">
              <w:t>$26,453.06</w:t>
            </w:r>
          </w:p>
        </w:tc>
      </w:tr>
      <w:tr w:rsidR="003A12BF" w:rsidRPr="003A12BF" w14:paraId="24DB85E3" w14:textId="77777777" w:rsidTr="002D4B7F">
        <w:trPr>
          <w:trHeight w:val="300"/>
        </w:trPr>
        <w:tc>
          <w:tcPr>
            <w:tcW w:w="2977" w:type="dxa"/>
            <w:noWrap/>
            <w:hideMark/>
          </w:tcPr>
          <w:p w14:paraId="15A7C535" w14:textId="77777777" w:rsidR="003A12BF" w:rsidRPr="003A12BF" w:rsidRDefault="003A12BF" w:rsidP="00F51716">
            <w:pPr>
              <w:pStyle w:val="Tabletext0"/>
            </w:pPr>
            <w:r w:rsidRPr="003A12BF">
              <w:t>Strathbogie Shire Council</w:t>
            </w:r>
          </w:p>
        </w:tc>
        <w:tc>
          <w:tcPr>
            <w:tcW w:w="4481" w:type="dxa"/>
            <w:noWrap/>
            <w:hideMark/>
          </w:tcPr>
          <w:p w14:paraId="6045343B" w14:textId="77777777" w:rsidR="003A12BF" w:rsidRPr="003A12BF" w:rsidRDefault="003A12BF" w:rsidP="00F51716">
            <w:pPr>
              <w:pStyle w:val="Tabletext0"/>
            </w:pPr>
            <w:r w:rsidRPr="003A12BF">
              <w:t>E-waste Infrastructure Upgrade - Euroa Resource Recovery</w:t>
            </w:r>
          </w:p>
        </w:tc>
        <w:tc>
          <w:tcPr>
            <w:tcW w:w="1440" w:type="dxa"/>
            <w:noWrap/>
            <w:hideMark/>
          </w:tcPr>
          <w:p w14:paraId="59F19B31" w14:textId="77777777" w:rsidR="003A12BF" w:rsidRPr="003A12BF" w:rsidRDefault="003A12BF" w:rsidP="00F51716">
            <w:pPr>
              <w:pStyle w:val="Tabletext0"/>
            </w:pPr>
            <w:r w:rsidRPr="003A12BF">
              <w:t>$11,160.50</w:t>
            </w:r>
          </w:p>
        </w:tc>
      </w:tr>
      <w:tr w:rsidR="003A12BF" w:rsidRPr="003A12BF" w14:paraId="1EC5346C" w14:textId="77777777" w:rsidTr="002D4B7F">
        <w:trPr>
          <w:trHeight w:val="300"/>
        </w:trPr>
        <w:tc>
          <w:tcPr>
            <w:tcW w:w="2977" w:type="dxa"/>
            <w:noWrap/>
            <w:hideMark/>
          </w:tcPr>
          <w:p w14:paraId="14AC1C33" w14:textId="77777777" w:rsidR="003A12BF" w:rsidRPr="003A12BF" w:rsidRDefault="003A12BF" w:rsidP="00F51716">
            <w:pPr>
              <w:pStyle w:val="Tabletext0"/>
            </w:pPr>
            <w:r w:rsidRPr="003A12BF">
              <w:t>Strathbogie Shire Council</w:t>
            </w:r>
          </w:p>
        </w:tc>
        <w:tc>
          <w:tcPr>
            <w:tcW w:w="4481" w:type="dxa"/>
            <w:noWrap/>
            <w:hideMark/>
          </w:tcPr>
          <w:p w14:paraId="29C295FD" w14:textId="77777777" w:rsidR="003A12BF" w:rsidRPr="003A12BF" w:rsidRDefault="003A12BF" w:rsidP="00F51716">
            <w:pPr>
              <w:pStyle w:val="Tabletext0"/>
            </w:pPr>
            <w:r w:rsidRPr="003A12BF">
              <w:t>E-waste Infrastructure Upgrade - Nagambie Resource Recovery Centre</w:t>
            </w:r>
          </w:p>
        </w:tc>
        <w:tc>
          <w:tcPr>
            <w:tcW w:w="1440" w:type="dxa"/>
            <w:noWrap/>
            <w:hideMark/>
          </w:tcPr>
          <w:p w14:paraId="2900CD00" w14:textId="77777777" w:rsidR="003A12BF" w:rsidRPr="003A12BF" w:rsidRDefault="003A12BF" w:rsidP="00F51716">
            <w:pPr>
              <w:pStyle w:val="Tabletext0"/>
            </w:pPr>
            <w:r w:rsidRPr="003A12BF">
              <w:t>$20,922.00</w:t>
            </w:r>
          </w:p>
        </w:tc>
      </w:tr>
      <w:tr w:rsidR="003A12BF" w:rsidRPr="003A12BF" w14:paraId="0F0BE16B" w14:textId="77777777" w:rsidTr="002D4B7F">
        <w:trPr>
          <w:trHeight w:val="300"/>
        </w:trPr>
        <w:tc>
          <w:tcPr>
            <w:tcW w:w="2977" w:type="dxa"/>
            <w:noWrap/>
            <w:hideMark/>
          </w:tcPr>
          <w:p w14:paraId="0E78C849" w14:textId="77777777" w:rsidR="003A12BF" w:rsidRPr="003A12BF" w:rsidRDefault="003A12BF" w:rsidP="00F51716">
            <w:pPr>
              <w:pStyle w:val="Tabletext0"/>
            </w:pPr>
            <w:r w:rsidRPr="003A12BF">
              <w:t>Strathbogie Shire Council</w:t>
            </w:r>
          </w:p>
        </w:tc>
        <w:tc>
          <w:tcPr>
            <w:tcW w:w="4481" w:type="dxa"/>
            <w:noWrap/>
            <w:hideMark/>
          </w:tcPr>
          <w:p w14:paraId="4AA86313" w14:textId="77777777" w:rsidR="003A12BF" w:rsidRPr="003A12BF" w:rsidRDefault="003A12BF" w:rsidP="00F51716">
            <w:pPr>
              <w:pStyle w:val="Tabletext0"/>
            </w:pPr>
            <w:r w:rsidRPr="003A12BF">
              <w:t>E-waste Infrastructure Upgrade - Nagambie Resource Recovery Centre</w:t>
            </w:r>
          </w:p>
        </w:tc>
        <w:tc>
          <w:tcPr>
            <w:tcW w:w="1440" w:type="dxa"/>
            <w:noWrap/>
            <w:hideMark/>
          </w:tcPr>
          <w:p w14:paraId="38ED9F7A" w14:textId="77777777" w:rsidR="003A12BF" w:rsidRPr="003A12BF" w:rsidRDefault="003A12BF" w:rsidP="00F51716">
            <w:pPr>
              <w:pStyle w:val="Tabletext0"/>
            </w:pPr>
            <w:r w:rsidRPr="003A12BF">
              <w:t>$8,368.80</w:t>
            </w:r>
          </w:p>
        </w:tc>
      </w:tr>
      <w:tr w:rsidR="003A12BF" w:rsidRPr="003A12BF" w14:paraId="7873D3B8" w14:textId="77777777" w:rsidTr="002D4B7F">
        <w:trPr>
          <w:trHeight w:val="300"/>
        </w:trPr>
        <w:tc>
          <w:tcPr>
            <w:tcW w:w="2977" w:type="dxa"/>
            <w:noWrap/>
            <w:hideMark/>
          </w:tcPr>
          <w:p w14:paraId="55D36E08" w14:textId="77777777" w:rsidR="003A12BF" w:rsidRPr="003A12BF" w:rsidRDefault="003A12BF" w:rsidP="00F51716">
            <w:pPr>
              <w:pStyle w:val="Tabletext0"/>
            </w:pPr>
            <w:r w:rsidRPr="003A12BF">
              <w:t>Swan Hill Rural City Council</w:t>
            </w:r>
          </w:p>
        </w:tc>
        <w:tc>
          <w:tcPr>
            <w:tcW w:w="4481" w:type="dxa"/>
            <w:noWrap/>
            <w:hideMark/>
          </w:tcPr>
          <w:p w14:paraId="2B311089" w14:textId="77777777" w:rsidR="003A12BF" w:rsidRPr="003A12BF" w:rsidRDefault="003A12BF" w:rsidP="00F51716">
            <w:pPr>
              <w:pStyle w:val="Tabletext0"/>
            </w:pPr>
            <w:r w:rsidRPr="003A12BF">
              <w:t>E-waste Infrastructure Upgrade - Swan Hill Rural City Council - Circular Eco Centre - E-Waste Detox Recycling Facility</w:t>
            </w:r>
          </w:p>
        </w:tc>
        <w:tc>
          <w:tcPr>
            <w:tcW w:w="1440" w:type="dxa"/>
            <w:noWrap/>
            <w:hideMark/>
          </w:tcPr>
          <w:p w14:paraId="14541344" w14:textId="77777777" w:rsidR="003A12BF" w:rsidRPr="003A12BF" w:rsidRDefault="003A12BF" w:rsidP="00F51716">
            <w:pPr>
              <w:pStyle w:val="Tabletext0"/>
            </w:pPr>
            <w:r w:rsidRPr="003A12BF">
              <w:t>$39,396.32</w:t>
            </w:r>
          </w:p>
        </w:tc>
      </w:tr>
      <w:tr w:rsidR="003A12BF" w:rsidRPr="003A12BF" w14:paraId="4DFC9978" w14:textId="77777777" w:rsidTr="002D4B7F">
        <w:trPr>
          <w:trHeight w:val="300"/>
        </w:trPr>
        <w:tc>
          <w:tcPr>
            <w:tcW w:w="2977" w:type="dxa"/>
            <w:noWrap/>
            <w:hideMark/>
          </w:tcPr>
          <w:p w14:paraId="0E8E26A5" w14:textId="77777777" w:rsidR="003A12BF" w:rsidRPr="003A12BF" w:rsidRDefault="003A12BF" w:rsidP="00F51716">
            <w:pPr>
              <w:pStyle w:val="Tabletext0"/>
            </w:pPr>
            <w:r w:rsidRPr="003A12BF">
              <w:t>Swan Hill Rural City Council</w:t>
            </w:r>
          </w:p>
        </w:tc>
        <w:tc>
          <w:tcPr>
            <w:tcW w:w="4481" w:type="dxa"/>
            <w:noWrap/>
            <w:hideMark/>
          </w:tcPr>
          <w:p w14:paraId="7E6D3186" w14:textId="77777777" w:rsidR="003A12BF" w:rsidRPr="003A12BF" w:rsidRDefault="003A12BF" w:rsidP="00F51716">
            <w:pPr>
              <w:pStyle w:val="Tabletext0"/>
            </w:pPr>
            <w:r w:rsidRPr="003A12BF">
              <w:t>E-waste Infrastructure Upgrade - Swan Hill Rural City Council - Circular Eco Centre - E-Waste Detox Recycling Facility</w:t>
            </w:r>
          </w:p>
        </w:tc>
        <w:tc>
          <w:tcPr>
            <w:tcW w:w="1440" w:type="dxa"/>
            <w:noWrap/>
            <w:hideMark/>
          </w:tcPr>
          <w:p w14:paraId="3E11DA9D" w14:textId="77777777" w:rsidR="003A12BF" w:rsidRPr="003A12BF" w:rsidRDefault="003A12BF" w:rsidP="00F51716">
            <w:pPr>
              <w:pStyle w:val="Tabletext0"/>
            </w:pPr>
            <w:r w:rsidRPr="003A12BF">
              <w:t>$16,884.14</w:t>
            </w:r>
          </w:p>
        </w:tc>
      </w:tr>
      <w:tr w:rsidR="003A12BF" w:rsidRPr="003A12BF" w14:paraId="7DED3FE9" w14:textId="77777777" w:rsidTr="002D4B7F">
        <w:trPr>
          <w:trHeight w:val="300"/>
        </w:trPr>
        <w:tc>
          <w:tcPr>
            <w:tcW w:w="2977" w:type="dxa"/>
            <w:noWrap/>
            <w:hideMark/>
          </w:tcPr>
          <w:p w14:paraId="6E9861AA" w14:textId="77777777" w:rsidR="003A12BF" w:rsidRPr="003A12BF" w:rsidRDefault="003A12BF" w:rsidP="00F51716">
            <w:pPr>
              <w:pStyle w:val="Tabletext0"/>
            </w:pPr>
            <w:r w:rsidRPr="003A12BF">
              <w:t>Mount Hotham Alpine Resort Management Board</w:t>
            </w:r>
          </w:p>
        </w:tc>
        <w:tc>
          <w:tcPr>
            <w:tcW w:w="4481" w:type="dxa"/>
            <w:noWrap/>
            <w:hideMark/>
          </w:tcPr>
          <w:p w14:paraId="66E7A520" w14:textId="77777777" w:rsidR="003A12BF" w:rsidRPr="003A12BF" w:rsidRDefault="003A12BF" w:rsidP="00F51716">
            <w:pPr>
              <w:pStyle w:val="Tabletext0"/>
            </w:pPr>
            <w:r w:rsidRPr="003A12BF">
              <w:t>E-waste Infrastructure Upgrade - Mt Hotham RRC</w:t>
            </w:r>
          </w:p>
        </w:tc>
        <w:tc>
          <w:tcPr>
            <w:tcW w:w="1440" w:type="dxa"/>
            <w:noWrap/>
            <w:hideMark/>
          </w:tcPr>
          <w:p w14:paraId="5FB6ABE4" w14:textId="77777777" w:rsidR="003A12BF" w:rsidRPr="003A12BF" w:rsidRDefault="003A12BF" w:rsidP="00F51716">
            <w:pPr>
              <w:pStyle w:val="Tabletext0"/>
            </w:pPr>
            <w:r w:rsidRPr="003A12BF">
              <w:t>$25,000.00</w:t>
            </w:r>
          </w:p>
        </w:tc>
      </w:tr>
      <w:tr w:rsidR="003A12BF" w:rsidRPr="003A12BF" w14:paraId="5C4BCE4E" w14:textId="77777777" w:rsidTr="002D4B7F">
        <w:trPr>
          <w:trHeight w:val="300"/>
        </w:trPr>
        <w:tc>
          <w:tcPr>
            <w:tcW w:w="2977" w:type="dxa"/>
            <w:noWrap/>
            <w:hideMark/>
          </w:tcPr>
          <w:p w14:paraId="11B9D80A" w14:textId="77777777" w:rsidR="003A12BF" w:rsidRPr="003A12BF" w:rsidRDefault="003A12BF" w:rsidP="00F51716">
            <w:pPr>
              <w:pStyle w:val="Tabletext0"/>
            </w:pPr>
            <w:r w:rsidRPr="003A12BF">
              <w:t>Knox Transfer Station Pty Ltd</w:t>
            </w:r>
          </w:p>
        </w:tc>
        <w:tc>
          <w:tcPr>
            <w:tcW w:w="4481" w:type="dxa"/>
            <w:noWrap/>
            <w:hideMark/>
          </w:tcPr>
          <w:p w14:paraId="21A1BDFE" w14:textId="77777777" w:rsidR="003A12BF" w:rsidRPr="003A12BF" w:rsidRDefault="003A12BF" w:rsidP="00F51716">
            <w:pPr>
              <w:pStyle w:val="Tabletext0"/>
            </w:pPr>
            <w:r w:rsidRPr="003A12BF">
              <w:t>E-waste Infrastructure Upgrade - Wesburn Transfer Station</w:t>
            </w:r>
          </w:p>
        </w:tc>
        <w:tc>
          <w:tcPr>
            <w:tcW w:w="1440" w:type="dxa"/>
            <w:noWrap/>
            <w:hideMark/>
          </w:tcPr>
          <w:p w14:paraId="55028241" w14:textId="77777777" w:rsidR="003A12BF" w:rsidRPr="003A12BF" w:rsidRDefault="003A12BF" w:rsidP="00F51716">
            <w:pPr>
              <w:pStyle w:val="Tabletext0"/>
            </w:pPr>
            <w:r w:rsidRPr="003A12BF">
              <w:t>$8,087.34</w:t>
            </w:r>
          </w:p>
        </w:tc>
      </w:tr>
      <w:tr w:rsidR="003A12BF" w:rsidRPr="003A12BF" w14:paraId="2D9CA4E8" w14:textId="77777777" w:rsidTr="002D4B7F">
        <w:trPr>
          <w:trHeight w:val="300"/>
        </w:trPr>
        <w:tc>
          <w:tcPr>
            <w:tcW w:w="2977" w:type="dxa"/>
            <w:noWrap/>
            <w:hideMark/>
          </w:tcPr>
          <w:p w14:paraId="6336663E" w14:textId="77777777" w:rsidR="003A12BF" w:rsidRPr="003A12BF" w:rsidRDefault="003A12BF" w:rsidP="00F51716">
            <w:pPr>
              <w:pStyle w:val="Tabletext0"/>
            </w:pPr>
            <w:r w:rsidRPr="003A12BF">
              <w:t>Knox Transfer Station Pty Ltd</w:t>
            </w:r>
          </w:p>
        </w:tc>
        <w:tc>
          <w:tcPr>
            <w:tcW w:w="4481" w:type="dxa"/>
            <w:noWrap/>
            <w:hideMark/>
          </w:tcPr>
          <w:p w14:paraId="38FD458B" w14:textId="77777777" w:rsidR="003A12BF" w:rsidRPr="003A12BF" w:rsidRDefault="003A12BF" w:rsidP="00F51716">
            <w:pPr>
              <w:pStyle w:val="Tabletext0"/>
            </w:pPr>
            <w:r w:rsidRPr="003A12BF">
              <w:t>E-waste Infrastructure Upgrade - Wesburn Transfer Station</w:t>
            </w:r>
          </w:p>
        </w:tc>
        <w:tc>
          <w:tcPr>
            <w:tcW w:w="1440" w:type="dxa"/>
            <w:noWrap/>
            <w:hideMark/>
          </w:tcPr>
          <w:p w14:paraId="6761CA59" w14:textId="77777777" w:rsidR="003A12BF" w:rsidRPr="003A12BF" w:rsidRDefault="003A12BF" w:rsidP="00F51716">
            <w:pPr>
              <w:pStyle w:val="Tabletext0"/>
            </w:pPr>
            <w:r w:rsidRPr="003A12BF">
              <w:t>$3,466.00</w:t>
            </w:r>
          </w:p>
        </w:tc>
      </w:tr>
      <w:tr w:rsidR="003A12BF" w:rsidRPr="003A12BF" w14:paraId="508C8ABD" w14:textId="77777777" w:rsidTr="002D4B7F">
        <w:trPr>
          <w:trHeight w:val="300"/>
        </w:trPr>
        <w:tc>
          <w:tcPr>
            <w:tcW w:w="2977" w:type="dxa"/>
            <w:noWrap/>
            <w:hideMark/>
          </w:tcPr>
          <w:p w14:paraId="6D6F1353" w14:textId="77777777" w:rsidR="003A12BF" w:rsidRPr="003A12BF" w:rsidRDefault="003A12BF" w:rsidP="00F51716">
            <w:pPr>
              <w:pStyle w:val="Tabletext0"/>
            </w:pPr>
            <w:r w:rsidRPr="003A12BF">
              <w:t>Baw Baw Shire Council</w:t>
            </w:r>
          </w:p>
        </w:tc>
        <w:tc>
          <w:tcPr>
            <w:tcW w:w="4481" w:type="dxa"/>
            <w:noWrap/>
            <w:hideMark/>
          </w:tcPr>
          <w:p w14:paraId="59453616" w14:textId="77777777" w:rsidR="003A12BF" w:rsidRPr="003A12BF" w:rsidRDefault="003A12BF" w:rsidP="00F51716">
            <w:pPr>
              <w:pStyle w:val="Tabletext0"/>
            </w:pPr>
            <w:r w:rsidRPr="003A12BF">
              <w:t>E-waste Infrastructure Upgrade - Baw Baw Shire Council - Lardner TS</w:t>
            </w:r>
          </w:p>
        </w:tc>
        <w:tc>
          <w:tcPr>
            <w:tcW w:w="1440" w:type="dxa"/>
            <w:noWrap/>
            <w:hideMark/>
          </w:tcPr>
          <w:p w14:paraId="4F38C93A" w14:textId="77777777" w:rsidR="003A12BF" w:rsidRPr="003A12BF" w:rsidRDefault="003A12BF" w:rsidP="00F51716">
            <w:pPr>
              <w:pStyle w:val="Tabletext0"/>
            </w:pPr>
            <w:r w:rsidRPr="003A12BF">
              <w:t>$19,626.00</w:t>
            </w:r>
          </w:p>
        </w:tc>
      </w:tr>
      <w:tr w:rsidR="003A12BF" w:rsidRPr="003A12BF" w14:paraId="71427E75" w14:textId="77777777" w:rsidTr="002D4B7F">
        <w:trPr>
          <w:trHeight w:val="300"/>
        </w:trPr>
        <w:tc>
          <w:tcPr>
            <w:tcW w:w="2977" w:type="dxa"/>
            <w:noWrap/>
            <w:hideMark/>
          </w:tcPr>
          <w:p w14:paraId="3AB3583E" w14:textId="77777777" w:rsidR="003A12BF" w:rsidRPr="003A12BF" w:rsidRDefault="003A12BF" w:rsidP="00F51716">
            <w:pPr>
              <w:pStyle w:val="Tabletext0"/>
            </w:pPr>
            <w:r w:rsidRPr="003A12BF">
              <w:t>Baw Baw Shire Council</w:t>
            </w:r>
          </w:p>
        </w:tc>
        <w:tc>
          <w:tcPr>
            <w:tcW w:w="4481" w:type="dxa"/>
            <w:noWrap/>
            <w:hideMark/>
          </w:tcPr>
          <w:p w14:paraId="0D4D055D" w14:textId="77777777" w:rsidR="003A12BF" w:rsidRPr="003A12BF" w:rsidRDefault="003A12BF" w:rsidP="00F51716">
            <w:pPr>
              <w:pStyle w:val="Tabletext0"/>
            </w:pPr>
            <w:r w:rsidRPr="003A12BF">
              <w:t>E-waste Infrastructure Upgrade - Baw Baw Shire Council - Neerim South TS</w:t>
            </w:r>
          </w:p>
        </w:tc>
        <w:tc>
          <w:tcPr>
            <w:tcW w:w="1440" w:type="dxa"/>
            <w:noWrap/>
            <w:hideMark/>
          </w:tcPr>
          <w:p w14:paraId="5ED37529" w14:textId="77777777" w:rsidR="003A12BF" w:rsidRPr="003A12BF" w:rsidRDefault="003A12BF" w:rsidP="00F51716">
            <w:pPr>
              <w:pStyle w:val="Tabletext0"/>
            </w:pPr>
            <w:r w:rsidRPr="003A12BF">
              <w:t>$2,342.00</w:t>
            </w:r>
          </w:p>
        </w:tc>
      </w:tr>
      <w:tr w:rsidR="003A12BF" w:rsidRPr="003A12BF" w14:paraId="4C1B57CD" w14:textId="77777777" w:rsidTr="002D4B7F">
        <w:trPr>
          <w:trHeight w:val="300"/>
        </w:trPr>
        <w:tc>
          <w:tcPr>
            <w:tcW w:w="2977" w:type="dxa"/>
            <w:noWrap/>
            <w:hideMark/>
          </w:tcPr>
          <w:p w14:paraId="1EFA432B" w14:textId="77777777" w:rsidR="003A12BF" w:rsidRPr="003A12BF" w:rsidRDefault="003A12BF" w:rsidP="00F51716">
            <w:pPr>
              <w:pStyle w:val="Tabletext0"/>
            </w:pPr>
            <w:r w:rsidRPr="003A12BF">
              <w:t>Baw Baw Shire Council</w:t>
            </w:r>
          </w:p>
        </w:tc>
        <w:tc>
          <w:tcPr>
            <w:tcW w:w="4481" w:type="dxa"/>
            <w:noWrap/>
            <w:hideMark/>
          </w:tcPr>
          <w:p w14:paraId="01EF9B6C" w14:textId="77777777" w:rsidR="003A12BF" w:rsidRPr="003A12BF" w:rsidRDefault="003A12BF" w:rsidP="00F51716">
            <w:pPr>
              <w:pStyle w:val="Tabletext0"/>
            </w:pPr>
            <w:r w:rsidRPr="003A12BF">
              <w:t>E-waste Infrastructure Upgrade - Baw Baw Shire Council - Trafalgar Transfer Station</w:t>
            </w:r>
          </w:p>
        </w:tc>
        <w:tc>
          <w:tcPr>
            <w:tcW w:w="1440" w:type="dxa"/>
            <w:noWrap/>
            <w:hideMark/>
          </w:tcPr>
          <w:p w14:paraId="602A26B2" w14:textId="77777777" w:rsidR="003A12BF" w:rsidRPr="003A12BF" w:rsidRDefault="003A12BF" w:rsidP="00F51716">
            <w:pPr>
              <w:pStyle w:val="Tabletext0"/>
            </w:pPr>
            <w:r w:rsidRPr="003A12BF">
              <w:t>$17,812.00</w:t>
            </w:r>
          </w:p>
        </w:tc>
      </w:tr>
      <w:tr w:rsidR="003A12BF" w:rsidRPr="003A12BF" w14:paraId="426D6580" w14:textId="77777777" w:rsidTr="002D4B7F">
        <w:trPr>
          <w:trHeight w:val="300"/>
        </w:trPr>
        <w:tc>
          <w:tcPr>
            <w:tcW w:w="2977" w:type="dxa"/>
            <w:noWrap/>
            <w:hideMark/>
          </w:tcPr>
          <w:p w14:paraId="50043BD9" w14:textId="77777777" w:rsidR="003A12BF" w:rsidRPr="003A12BF" w:rsidRDefault="003A12BF" w:rsidP="00F51716">
            <w:pPr>
              <w:pStyle w:val="Tabletext0"/>
            </w:pPr>
            <w:r w:rsidRPr="003A12BF">
              <w:t>Yarra City Council</w:t>
            </w:r>
          </w:p>
        </w:tc>
        <w:tc>
          <w:tcPr>
            <w:tcW w:w="4481" w:type="dxa"/>
            <w:noWrap/>
            <w:hideMark/>
          </w:tcPr>
          <w:p w14:paraId="4D78CEA5" w14:textId="77777777" w:rsidR="003A12BF" w:rsidRPr="003A12BF" w:rsidRDefault="003A12BF" w:rsidP="00F51716">
            <w:pPr>
              <w:pStyle w:val="Tabletext0"/>
            </w:pPr>
            <w:r w:rsidRPr="003A12BF">
              <w:t>E-waste Infrastructure Upgrade - Clifton Hill Recycling Centre</w:t>
            </w:r>
          </w:p>
        </w:tc>
        <w:tc>
          <w:tcPr>
            <w:tcW w:w="1440" w:type="dxa"/>
            <w:noWrap/>
            <w:hideMark/>
          </w:tcPr>
          <w:p w14:paraId="2E9C6F7A" w14:textId="77777777" w:rsidR="003A12BF" w:rsidRPr="003A12BF" w:rsidRDefault="003A12BF" w:rsidP="00F51716">
            <w:pPr>
              <w:pStyle w:val="Tabletext0"/>
            </w:pPr>
            <w:r w:rsidRPr="003A12BF">
              <w:t>$39,492.11</w:t>
            </w:r>
          </w:p>
        </w:tc>
      </w:tr>
      <w:tr w:rsidR="003A12BF" w:rsidRPr="003A12BF" w14:paraId="0E24A021" w14:textId="77777777" w:rsidTr="002D4B7F">
        <w:trPr>
          <w:trHeight w:val="300"/>
        </w:trPr>
        <w:tc>
          <w:tcPr>
            <w:tcW w:w="2977" w:type="dxa"/>
            <w:noWrap/>
            <w:hideMark/>
          </w:tcPr>
          <w:p w14:paraId="79DBB298" w14:textId="77777777" w:rsidR="003A12BF" w:rsidRPr="003A12BF" w:rsidRDefault="003A12BF" w:rsidP="00F51716">
            <w:pPr>
              <w:pStyle w:val="Tabletext0"/>
            </w:pPr>
            <w:r w:rsidRPr="003A12BF">
              <w:t>Yarra City Council</w:t>
            </w:r>
          </w:p>
        </w:tc>
        <w:tc>
          <w:tcPr>
            <w:tcW w:w="4481" w:type="dxa"/>
            <w:noWrap/>
            <w:hideMark/>
          </w:tcPr>
          <w:p w14:paraId="7C5F5BEA" w14:textId="77777777" w:rsidR="003A12BF" w:rsidRPr="003A12BF" w:rsidRDefault="003A12BF" w:rsidP="00F51716">
            <w:pPr>
              <w:pStyle w:val="Tabletext0"/>
            </w:pPr>
            <w:r w:rsidRPr="003A12BF">
              <w:t>E-waste Infrastructure Upgrade - Clifton Hill Recycling Centre</w:t>
            </w:r>
          </w:p>
        </w:tc>
        <w:tc>
          <w:tcPr>
            <w:tcW w:w="1440" w:type="dxa"/>
            <w:noWrap/>
            <w:hideMark/>
          </w:tcPr>
          <w:p w14:paraId="71561305" w14:textId="77777777" w:rsidR="003A12BF" w:rsidRPr="003A12BF" w:rsidRDefault="003A12BF" w:rsidP="00F51716">
            <w:pPr>
              <w:pStyle w:val="Tabletext0"/>
            </w:pPr>
            <w:r w:rsidRPr="003A12BF">
              <w:t>$16,925.19</w:t>
            </w:r>
          </w:p>
        </w:tc>
      </w:tr>
      <w:tr w:rsidR="003A12BF" w:rsidRPr="003A12BF" w14:paraId="68129708" w14:textId="77777777" w:rsidTr="002D4B7F">
        <w:trPr>
          <w:trHeight w:val="300"/>
        </w:trPr>
        <w:tc>
          <w:tcPr>
            <w:tcW w:w="2977" w:type="dxa"/>
            <w:noWrap/>
            <w:hideMark/>
          </w:tcPr>
          <w:p w14:paraId="2E1FC876" w14:textId="77777777" w:rsidR="003A12BF" w:rsidRPr="003A12BF" w:rsidRDefault="003A12BF" w:rsidP="00F51716">
            <w:pPr>
              <w:pStyle w:val="Tabletext0"/>
            </w:pPr>
            <w:r w:rsidRPr="003A12BF">
              <w:t>Swan Hill Rural City Council</w:t>
            </w:r>
          </w:p>
        </w:tc>
        <w:tc>
          <w:tcPr>
            <w:tcW w:w="4481" w:type="dxa"/>
            <w:noWrap/>
            <w:hideMark/>
          </w:tcPr>
          <w:p w14:paraId="145A32BB" w14:textId="31373745" w:rsidR="003A12BF" w:rsidRPr="003A12BF" w:rsidRDefault="003A12BF" w:rsidP="00F51716">
            <w:pPr>
              <w:pStyle w:val="Tabletext0"/>
            </w:pPr>
            <w:r w:rsidRPr="003A12BF">
              <w:t xml:space="preserve">E-waste Infrastructure Upgrade - SHRCC - Circular ECO Centre </w:t>
            </w:r>
            <w:r w:rsidR="00737453">
              <w:t>–</w:t>
            </w:r>
            <w:r w:rsidRPr="003A12BF">
              <w:t xml:space="preserve"> E</w:t>
            </w:r>
            <w:r w:rsidR="00737453">
              <w:t>-</w:t>
            </w:r>
            <w:r w:rsidRPr="003A12BF">
              <w:t>waste &amp; Detox Recycling Facility - Robinvale</w:t>
            </w:r>
          </w:p>
        </w:tc>
        <w:tc>
          <w:tcPr>
            <w:tcW w:w="1440" w:type="dxa"/>
            <w:noWrap/>
            <w:hideMark/>
          </w:tcPr>
          <w:p w14:paraId="6358FDEF" w14:textId="77777777" w:rsidR="003A12BF" w:rsidRPr="003A12BF" w:rsidRDefault="003A12BF" w:rsidP="00F51716">
            <w:pPr>
              <w:pStyle w:val="Tabletext0"/>
            </w:pPr>
            <w:r w:rsidRPr="003A12BF">
              <w:t>$50,000.00</w:t>
            </w:r>
          </w:p>
        </w:tc>
      </w:tr>
      <w:tr w:rsidR="003A12BF" w:rsidRPr="003A12BF" w14:paraId="756E1E17" w14:textId="77777777" w:rsidTr="002D4B7F">
        <w:trPr>
          <w:trHeight w:val="300"/>
        </w:trPr>
        <w:tc>
          <w:tcPr>
            <w:tcW w:w="2977" w:type="dxa"/>
            <w:noWrap/>
            <w:hideMark/>
          </w:tcPr>
          <w:p w14:paraId="2C390C9D" w14:textId="77777777" w:rsidR="003A12BF" w:rsidRPr="003A12BF" w:rsidRDefault="003A12BF" w:rsidP="00F51716">
            <w:pPr>
              <w:pStyle w:val="Tabletext0"/>
            </w:pPr>
            <w:r w:rsidRPr="003A12BF">
              <w:t>Swan Hill Rural City Council</w:t>
            </w:r>
          </w:p>
        </w:tc>
        <w:tc>
          <w:tcPr>
            <w:tcW w:w="4481" w:type="dxa"/>
            <w:noWrap/>
            <w:hideMark/>
          </w:tcPr>
          <w:p w14:paraId="23A59C6F" w14:textId="7715D77E" w:rsidR="003A12BF" w:rsidRPr="003A12BF" w:rsidRDefault="003A12BF" w:rsidP="00F51716">
            <w:pPr>
              <w:pStyle w:val="Tabletext0"/>
            </w:pPr>
            <w:r w:rsidRPr="003A12BF">
              <w:t xml:space="preserve">E-waste Infrastructure Upgrade - SHRCC - Circular ECO Centre </w:t>
            </w:r>
            <w:r w:rsidR="00737453">
              <w:t>–</w:t>
            </w:r>
            <w:r w:rsidRPr="003A12BF">
              <w:t xml:space="preserve"> E</w:t>
            </w:r>
            <w:r w:rsidR="00737453">
              <w:t>-</w:t>
            </w:r>
            <w:r w:rsidRPr="003A12BF">
              <w:t>waste &amp; Detox Recycling Facility - Robinvale</w:t>
            </w:r>
          </w:p>
        </w:tc>
        <w:tc>
          <w:tcPr>
            <w:tcW w:w="1440" w:type="dxa"/>
            <w:noWrap/>
            <w:hideMark/>
          </w:tcPr>
          <w:p w14:paraId="236F070C" w14:textId="77777777" w:rsidR="003A12BF" w:rsidRPr="003A12BF" w:rsidRDefault="003A12BF" w:rsidP="00F51716">
            <w:pPr>
              <w:pStyle w:val="Tabletext0"/>
            </w:pPr>
            <w:r w:rsidRPr="003A12BF">
              <w:t>$20,000.00</w:t>
            </w:r>
          </w:p>
        </w:tc>
      </w:tr>
      <w:tr w:rsidR="003A12BF" w:rsidRPr="003A12BF" w14:paraId="3105E122" w14:textId="77777777" w:rsidTr="002D4B7F">
        <w:trPr>
          <w:trHeight w:val="300"/>
        </w:trPr>
        <w:tc>
          <w:tcPr>
            <w:tcW w:w="2977" w:type="dxa"/>
            <w:noWrap/>
            <w:hideMark/>
          </w:tcPr>
          <w:p w14:paraId="1C85442E" w14:textId="77777777" w:rsidR="003A12BF" w:rsidRPr="003A12BF" w:rsidRDefault="003A12BF" w:rsidP="00F51716">
            <w:pPr>
              <w:pStyle w:val="Tabletext0"/>
            </w:pPr>
            <w:r w:rsidRPr="003A12BF">
              <w:t>Hume City Council</w:t>
            </w:r>
          </w:p>
        </w:tc>
        <w:tc>
          <w:tcPr>
            <w:tcW w:w="4481" w:type="dxa"/>
            <w:noWrap/>
            <w:hideMark/>
          </w:tcPr>
          <w:p w14:paraId="3F955ADF" w14:textId="77777777" w:rsidR="003A12BF" w:rsidRPr="003A12BF" w:rsidRDefault="003A12BF" w:rsidP="00F51716">
            <w:pPr>
              <w:pStyle w:val="Tabletext0"/>
            </w:pPr>
            <w:r w:rsidRPr="003A12BF">
              <w:t>E-waste Infrastructure Upgrade - Sunbury Transfer Station</w:t>
            </w:r>
          </w:p>
        </w:tc>
        <w:tc>
          <w:tcPr>
            <w:tcW w:w="1440" w:type="dxa"/>
            <w:noWrap/>
            <w:hideMark/>
          </w:tcPr>
          <w:p w14:paraId="5FCC05C3" w14:textId="77777777" w:rsidR="003A12BF" w:rsidRPr="003A12BF" w:rsidRDefault="003A12BF" w:rsidP="00F51716">
            <w:pPr>
              <w:pStyle w:val="Tabletext0"/>
            </w:pPr>
            <w:r w:rsidRPr="003A12BF">
              <w:t>$30,000.00</w:t>
            </w:r>
          </w:p>
        </w:tc>
      </w:tr>
      <w:tr w:rsidR="003A12BF" w:rsidRPr="003A12BF" w14:paraId="40219735" w14:textId="77777777" w:rsidTr="002D4B7F">
        <w:trPr>
          <w:trHeight w:val="300"/>
        </w:trPr>
        <w:tc>
          <w:tcPr>
            <w:tcW w:w="2977" w:type="dxa"/>
            <w:noWrap/>
            <w:hideMark/>
          </w:tcPr>
          <w:p w14:paraId="499AA048" w14:textId="77777777" w:rsidR="003A12BF" w:rsidRPr="003A12BF" w:rsidRDefault="003A12BF" w:rsidP="00F51716">
            <w:pPr>
              <w:pStyle w:val="Tabletext0"/>
            </w:pPr>
            <w:r w:rsidRPr="003A12BF">
              <w:t>Hume City Council</w:t>
            </w:r>
          </w:p>
        </w:tc>
        <w:tc>
          <w:tcPr>
            <w:tcW w:w="4481" w:type="dxa"/>
            <w:noWrap/>
            <w:hideMark/>
          </w:tcPr>
          <w:p w14:paraId="4C03B635" w14:textId="77777777" w:rsidR="003A12BF" w:rsidRPr="003A12BF" w:rsidRDefault="003A12BF" w:rsidP="00F51716">
            <w:pPr>
              <w:pStyle w:val="Tabletext0"/>
            </w:pPr>
            <w:r w:rsidRPr="003A12BF">
              <w:t>E-waste Infrastructure Upgrade - Sunbury Transfer Station</w:t>
            </w:r>
          </w:p>
        </w:tc>
        <w:tc>
          <w:tcPr>
            <w:tcW w:w="1440" w:type="dxa"/>
            <w:noWrap/>
            <w:hideMark/>
          </w:tcPr>
          <w:p w14:paraId="4571F71B" w14:textId="77777777" w:rsidR="003A12BF" w:rsidRPr="003A12BF" w:rsidRDefault="003A12BF" w:rsidP="00F51716">
            <w:pPr>
              <w:pStyle w:val="Tabletext0"/>
            </w:pPr>
            <w:r w:rsidRPr="003A12BF">
              <w:t>$50,000.00</w:t>
            </w:r>
          </w:p>
        </w:tc>
      </w:tr>
      <w:tr w:rsidR="003A12BF" w:rsidRPr="003A12BF" w14:paraId="38013FBB" w14:textId="77777777" w:rsidTr="002D4B7F">
        <w:trPr>
          <w:trHeight w:val="300"/>
        </w:trPr>
        <w:tc>
          <w:tcPr>
            <w:tcW w:w="2977" w:type="dxa"/>
            <w:noWrap/>
            <w:hideMark/>
          </w:tcPr>
          <w:p w14:paraId="63B2A245" w14:textId="77777777" w:rsidR="003A12BF" w:rsidRPr="003A12BF" w:rsidRDefault="003A12BF" w:rsidP="00F51716">
            <w:pPr>
              <w:pStyle w:val="Tabletext0"/>
            </w:pPr>
            <w:r w:rsidRPr="003A12BF">
              <w:t>Hume City Council</w:t>
            </w:r>
          </w:p>
        </w:tc>
        <w:tc>
          <w:tcPr>
            <w:tcW w:w="4481" w:type="dxa"/>
            <w:noWrap/>
            <w:hideMark/>
          </w:tcPr>
          <w:p w14:paraId="57081EFC" w14:textId="77777777" w:rsidR="003A12BF" w:rsidRPr="003A12BF" w:rsidRDefault="003A12BF" w:rsidP="00F51716">
            <w:pPr>
              <w:pStyle w:val="Tabletext0"/>
            </w:pPr>
            <w:r w:rsidRPr="003A12BF">
              <w:t>E-waste Infrastructure Upgrade - Sunbury Transfer Station</w:t>
            </w:r>
          </w:p>
        </w:tc>
        <w:tc>
          <w:tcPr>
            <w:tcW w:w="1440" w:type="dxa"/>
            <w:noWrap/>
            <w:hideMark/>
          </w:tcPr>
          <w:p w14:paraId="6D99954B" w14:textId="77777777" w:rsidR="003A12BF" w:rsidRPr="003A12BF" w:rsidRDefault="003A12BF" w:rsidP="00F51716">
            <w:pPr>
              <w:pStyle w:val="Tabletext0"/>
            </w:pPr>
            <w:r w:rsidRPr="003A12BF">
              <w:t>$20,000.00</w:t>
            </w:r>
          </w:p>
        </w:tc>
      </w:tr>
      <w:tr w:rsidR="003A12BF" w:rsidRPr="003A12BF" w14:paraId="1C061294" w14:textId="77777777" w:rsidTr="002D4B7F">
        <w:trPr>
          <w:trHeight w:val="300"/>
        </w:trPr>
        <w:tc>
          <w:tcPr>
            <w:tcW w:w="2977" w:type="dxa"/>
            <w:noWrap/>
            <w:hideMark/>
          </w:tcPr>
          <w:p w14:paraId="22F6A88D" w14:textId="77777777" w:rsidR="003A12BF" w:rsidRPr="003A12BF" w:rsidRDefault="003A12BF" w:rsidP="00F51716">
            <w:pPr>
              <w:pStyle w:val="Tabletext0"/>
            </w:pPr>
            <w:r w:rsidRPr="003A12BF">
              <w:t>Frankston City Council</w:t>
            </w:r>
          </w:p>
        </w:tc>
        <w:tc>
          <w:tcPr>
            <w:tcW w:w="4481" w:type="dxa"/>
            <w:noWrap/>
            <w:hideMark/>
          </w:tcPr>
          <w:p w14:paraId="6BACE4DD" w14:textId="77777777" w:rsidR="003A12BF" w:rsidRPr="003A12BF" w:rsidRDefault="003A12BF" w:rsidP="00F51716">
            <w:pPr>
              <w:pStyle w:val="Tabletext0"/>
            </w:pPr>
            <w:r w:rsidRPr="003A12BF">
              <w:t>E-waste Infrastructure Upgrade - Frankston Recycle Centre</w:t>
            </w:r>
          </w:p>
        </w:tc>
        <w:tc>
          <w:tcPr>
            <w:tcW w:w="1440" w:type="dxa"/>
            <w:noWrap/>
            <w:hideMark/>
          </w:tcPr>
          <w:p w14:paraId="62D4E29A" w14:textId="77777777" w:rsidR="003A12BF" w:rsidRPr="003A12BF" w:rsidRDefault="003A12BF" w:rsidP="00F51716">
            <w:pPr>
              <w:pStyle w:val="Tabletext0"/>
            </w:pPr>
            <w:r w:rsidRPr="003A12BF">
              <w:t>$50,000.00</w:t>
            </w:r>
          </w:p>
        </w:tc>
      </w:tr>
      <w:tr w:rsidR="003A12BF" w:rsidRPr="003A12BF" w14:paraId="5E7BADEE" w14:textId="77777777" w:rsidTr="002D4B7F">
        <w:trPr>
          <w:trHeight w:val="300"/>
        </w:trPr>
        <w:tc>
          <w:tcPr>
            <w:tcW w:w="2977" w:type="dxa"/>
            <w:noWrap/>
            <w:hideMark/>
          </w:tcPr>
          <w:p w14:paraId="30036912" w14:textId="77777777" w:rsidR="003A12BF" w:rsidRPr="003A12BF" w:rsidRDefault="003A12BF" w:rsidP="00F51716">
            <w:pPr>
              <w:pStyle w:val="Tabletext0"/>
            </w:pPr>
            <w:r w:rsidRPr="003A12BF">
              <w:t>Frankston City Council</w:t>
            </w:r>
          </w:p>
        </w:tc>
        <w:tc>
          <w:tcPr>
            <w:tcW w:w="4481" w:type="dxa"/>
            <w:noWrap/>
            <w:hideMark/>
          </w:tcPr>
          <w:p w14:paraId="0DE29EF3" w14:textId="77777777" w:rsidR="003A12BF" w:rsidRPr="003A12BF" w:rsidRDefault="003A12BF" w:rsidP="00F51716">
            <w:pPr>
              <w:pStyle w:val="Tabletext0"/>
            </w:pPr>
            <w:r w:rsidRPr="003A12BF">
              <w:t>E-waste Infrastructure Upgrade - Frankston Recycle Centre</w:t>
            </w:r>
          </w:p>
        </w:tc>
        <w:tc>
          <w:tcPr>
            <w:tcW w:w="1440" w:type="dxa"/>
            <w:noWrap/>
            <w:hideMark/>
          </w:tcPr>
          <w:p w14:paraId="49F887B9" w14:textId="77777777" w:rsidR="003A12BF" w:rsidRPr="003A12BF" w:rsidRDefault="003A12BF" w:rsidP="00F51716">
            <w:pPr>
              <w:pStyle w:val="Tabletext0"/>
            </w:pPr>
            <w:r w:rsidRPr="003A12BF">
              <w:t>$20,000.00</w:t>
            </w:r>
          </w:p>
        </w:tc>
      </w:tr>
      <w:tr w:rsidR="003A12BF" w:rsidRPr="003A12BF" w14:paraId="648984B8" w14:textId="77777777" w:rsidTr="002D4B7F">
        <w:trPr>
          <w:trHeight w:val="300"/>
        </w:trPr>
        <w:tc>
          <w:tcPr>
            <w:tcW w:w="2977" w:type="dxa"/>
            <w:noWrap/>
            <w:hideMark/>
          </w:tcPr>
          <w:p w14:paraId="49CC689D" w14:textId="77777777" w:rsidR="003A12BF" w:rsidRPr="003A12BF" w:rsidRDefault="003A12BF" w:rsidP="00F51716">
            <w:pPr>
              <w:pStyle w:val="Tabletext0"/>
            </w:pPr>
            <w:r w:rsidRPr="003A12BF">
              <w:t>Golden Plains Shire Council</w:t>
            </w:r>
          </w:p>
        </w:tc>
        <w:tc>
          <w:tcPr>
            <w:tcW w:w="4481" w:type="dxa"/>
            <w:noWrap/>
            <w:hideMark/>
          </w:tcPr>
          <w:p w14:paraId="41D6311E" w14:textId="77777777" w:rsidR="003A12BF" w:rsidRPr="003A12BF" w:rsidRDefault="003A12BF" w:rsidP="00F51716">
            <w:pPr>
              <w:pStyle w:val="Tabletext0"/>
            </w:pPr>
            <w:r w:rsidRPr="003A12BF">
              <w:t>E-waste Infrastructure Upgrade - Rokewood Transfer Station</w:t>
            </w:r>
          </w:p>
        </w:tc>
        <w:tc>
          <w:tcPr>
            <w:tcW w:w="1440" w:type="dxa"/>
            <w:noWrap/>
            <w:hideMark/>
          </w:tcPr>
          <w:p w14:paraId="51271CD2" w14:textId="77777777" w:rsidR="003A12BF" w:rsidRPr="003A12BF" w:rsidRDefault="003A12BF" w:rsidP="00F51716">
            <w:pPr>
              <w:pStyle w:val="Tabletext0"/>
            </w:pPr>
            <w:r w:rsidRPr="003A12BF">
              <w:t>$5,508.94</w:t>
            </w:r>
          </w:p>
        </w:tc>
      </w:tr>
      <w:tr w:rsidR="003A12BF" w:rsidRPr="003A12BF" w14:paraId="3A3D971D" w14:textId="77777777" w:rsidTr="002D4B7F">
        <w:trPr>
          <w:trHeight w:val="300"/>
        </w:trPr>
        <w:tc>
          <w:tcPr>
            <w:tcW w:w="2977" w:type="dxa"/>
            <w:noWrap/>
            <w:hideMark/>
          </w:tcPr>
          <w:p w14:paraId="0AB57E48" w14:textId="77777777" w:rsidR="003A12BF" w:rsidRPr="003A12BF" w:rsidRDefault="003A12BF" w:rsidP="00F51716">
            <w:pPr>
              <w:pStyle w:val="Tabletext0"/>
            </w:pPr>
            <w:r w:rsidRPr="003A12BF">
              <w:t>Greater Shepparton City Council</w:t>
            </w:r>
          </w:p>
        </w:tc>
        <w:tc>
          <w:tcPr>
            <w:tcW w:w="4481" w:type="dxa"/>
            <w:noWrap/>
            <w:hideMark/>
          </w:tcPr>
          <w:p w14:paraId="6FBA5829" w14:textId="77777777" w:rsidR="003A12BF" w:rsidRPr="003A12BF" w:rsidRDefault="003A12BF" w:rsidP="00F51716">
            <w:pPr>
              <w:pStyle w:val="Tabletext0"/>
            </w:pPr>
            <w:r w:rsidRPr="003A12BF">
              <w:t>E-waste Infrastructure Upgrade - Shepparton Resource Recovery Centre</w:t>
            </w:r>
          </w:p>
        </w:tc>
        <w:tc>
          <w:tcPr>
            <w:tcW w:w="1440" w:type="dxa"/>
            <w:noWrap/>
            <w:hideMark/>
          </w:tcPr>
          <w:p w14:paraId="5AD50C16" w14:textId="77777777" w:rsidR="003A12BF" w:rsidRPr="003A12BF" w:rsidRDefault="003A12BF" w:rsidP="00F51716">
            <w:pPr>
              <w:pStyle w:val="Tabletext0"/>
            </w:pPr>
            <w:r w:rsidRPr="003A12BF">
              <w:t>$22,500.00</w:t>
            </w:r>
          </w:p>
        </w:tc>
      </w:tr>
      <w:tr w:rsidR="003A12BF" w:rsidRPr="003A12BF" w14:paraId="6356ED63" w14:textId="77777777" w:rsidTr="002D4B7F">
        <w:trPr>
          <w:trHeight w:val="300"/>
        </w:trPr>
        <w:tc>
          <w:tcPr>
            <w:tcW w:w="2977" w:type="dxa"/>
            <w:noWrap/>
            <w:hideMark/>
          </w:tcPr>
          <w:p w14:paraId="67DAF552" w14:textId="77777777" w:rsidR="003A12BF" w:rsidRPr="003A12BF" w:rsidRDefault="003A12BF" w:rsidP="00F51716">
            <w:pPr>
              <w:pStyle w:val="Tabletext0"/>
            </w:pPr>
            <w:r w:rsidRPr="003A12BF">
              <w:t>Greater Shepparton City Council</w:t>
            </w:r>
          </w:p>
        </w:tc>
        <w:tc>
          <w:tcPr>
            <w:tcW w:w="4481" w:type="dxa"/>
            <w:noWrap/>
            <w:hideMark/>
          </w:tcPr>
          <w:p w14:paraId="5602370F" w14:textId="77777777" w:rsidR="003A12BF" w:rsidRPr="003A12BF" w:rsidRDefault="003A12BF" w:rsidP="00F51716">
            <w:pPr>
              <w:pStyle w:val="Tabletext0"/>
            </w:pPr>
            <w:r w:rsidRPr="003A12BF">
              <w:t>E-waste Infrastructure Upgrade - Shepparton Resource Recovery Centre</w:t>
            </w:r>
          </w:p>
        </w:tc>
        <w:tc>
          <w:tcPr>
            <w:tcW w:w="1440" w:type="dxa"/>
            <w:noWrap/>
            <w:hideMark/>
          </w:tcPr>
          <w:p w14:paraId="2E072659" w14:textId="77777777" w:rsidR="003A12BF" w:rsidRPr="003A12BF" w:rsidRDefault="003A12BF" w:rsidP="00F51716">
            <w:pPr>
              <w:pStyle w:val="Tabletext0"/>
            </w:pPr>
            <w:r w:rsidRPr="003A12BF">
              <w:t>$50,000.00</w:t>
            </w:r>
          </w:p>
        </w:tc>
      </w:tr>
      <w:tr w:rsidR="003A12BF" w:rsidRPr="003A12BF" w14:paraId="696111F6" w14:textId="77777777" w:rsidTr="002D4B7F">
        <w:trPr>
          <w:trHeight w:val="300"/>
        </w:trPr>
        <w:tc>
          <w:tcPr>
            <w:tcW w:w="2977" w:type="dxa"/>
            <w:noWrap/>
            <w:hideMark/>
          </w:tcPr>
          <w:p w14:paraId="18DDCCA1" w14:textId="77777777" w:rsidR="003A12BF" w:rsidRPr="003A12BF" w:rsidRDefault="003A12BF" w:rsidP="00F51716">
            <w:pPr>
              <w:pStyle w:val="Tabletext0"/>
            </w:pPr>
            <w:r w:rsidRPr="003A12BF">
              <w:t>Greater Shepparton City Council</w:t>
            </w:r>
          </w:p>
        </w:tc>
        <w:tc>
          <w:tcPr>
            <w:tcW w:w="4481" w:type="dxa"/>
            <w:noWrap/>
            <w:hideMark/>
          </w:tcPr>
          <w:p w14:paraId="0FFFF1EA" w14:textId="77777777" w:rsidR="003A12BF" w:rsidRPr="003A12BF" w:rsidRDefault="003A12BF" w:rsidP="00F51716">
            <w:pPr>
              <w:pStyle w:val="Tabletext0"/>
            </w:pPr>
            <w:r w:rsidRPr="003A12BF">
              <w:t>E-waste Infrastructure Upgrade - Shepparton Resource Recovery Centre</w:t>
            </w:r>
          </w:p>
        </w:tc>
        <w:tc>
          <w:tcPr>
            <w:tcW w:w="1440" w:type="dxa"/>
            <w:noWrap/>
            <w:hideMark/>
          </w:tcPr>
          <w:p w14:paraId="68F0650A" w14:textId="77777777" w:rsidR="003A12BF" w:rsidRPr="003A12BF" w:rsidRDefault="003A12BF" w:rsidP="00F51716">
            <w:pPr>
              <w:pStyle w:val="Tabletext0"/>
            </w:pPr>
            <w:r w:rsidRPr="003A12BF">
              <w:t>$27,500.00</w:t>
            </w:r>
          </w:p>
        </w:tc>
      </w:tr>
      <w:tr w:rsidR="003A12BF" w:rsidRPr="003A12BF" w14:paraId="2E38AB62" w14:textId="77777777" w:rsidTr="002D4B7F">
        <w:trPr>
          <w:trHeight w:val="300"/>
        </w:trPr>
        <w:tc>
          <w:tcPr>
            <w:tcW w:w="2977" w:type="dxa"/>
            <w:noWrap/>
            <w:hideMark/>
          </w:tcPr>
          <w:p w14:paraId="4BFB08B2" w14:textId="77777777" w:rsidR="003A12BF" w:rsidRPr="003A12BF" w:rsidRDefault="003A12BF" w:rsidP="00F51716">
            <w:pPr>
              <w:pStyle w:val="Tabletext0"/>
            </w:pPr>
            <w:r w:rsidRPr="003A12BF">
              <w:t>Greater Shepparton City Council</w:t>
            </w:r>
          </w:p>
        </w:tc>
        <w:tc>
          <w:tcPr>
            <w:tcW w:w="4481" w:type="dxa"/>
            <w:noWrap/>
            <w:hideMark/>
          </w:tcPr>
          <w:p w14:paraId="788977F1" w14:textId="77777777" w:rsidR="003A12BF" w:rsidRPr="003A12BF" w:rsidRDefault="003A12BF" w:rsidP="00F51716">
            <w:pPr>
              <w:pStyle w:val="Tabletext0"/>
            </w:pPr>
            <w:r w:rsidRPr="003A12BF">
              <w:t>E-waste Infrastructure Upgrade - Ardmona Resource Recovery Centre</w:t>
            </w:r>
          </w:p>
        </w:tc>
        <w:tc>
          <w:tcPr>
            <w:tcW w:w="1440" w:type="dxa"/>
            <w:noWrap/>
            <w:hideMark/>
          </w:tcPr>
          <w:p w14:paraId="4CCB4C3D" w14:textId="77777777" w:rsidR="003A12BF" w:rsidRPr="003A12BF" w:rsidRDefault="003A12BF" w:rsidP="00F51716">
            <w:pPr>
              <w:pStyle w:val="Tabletext0"/>
            </w:pPr>
            <w:r w:rsidRPr="003A12BF">
              <w:t>$21,000.00</w:t>
            </w:r>
          </w:p>
        </w:tc>
      </w:tr>
      <w:tr w:rsidR="003A12BF" w:rsidRPr="003A12BF" w14:paraId="6443364E" w14:textId="77777777" w:rsidTr="002D4B7F">
        <w:trPr>
          <w:trHeight w:val="300"/>
        </w:trPr>
        <w:tc>
          <w:tcPr>
            <w:tcW w:w="2977" w:type="dxa"/>
            <w:noWrap/>
            <w:hideMark/>
          </w:tcPr>
          <w:p w14:paraId="4F13A5AB" w14:textId="77777777" w:rsidR="003A12BF" w:rsidRPr="003A12BF" w:rsidRDefault="003A12BF" w:rsidP="00F51716">
            <w:pPr>
              <w:pStyle w:val="Tabletext0"/>
            </w:pPr>
            <w:r w:rsidRPr="003A12BF">
              <w:t>Greater Shepparton City Council</w:t>
            </w:r>
          </w:p>
        </w:tc>
        <w:tc>
          <w:tcPr>
            <w:tcW w:w="4481" w:type="dxa"/>
            <w:noWrap/>
            <w:hideMark/>
          </w:tcPr>
          <w:p w14:paraId="3FC76D82" w14:textId="77777777" w:rsidR="003A12BF" w:rsidRPr="003A12BF" w:rsidRDefault="003A12BF" w:rsidP="00F51716">
            <w:pPr>
              <w:pStyle w:val="Tabletext0"/>
            </w:pPr>
            <w:r w:rsidRPr="003A12BF">
              <w:t>E-waste Infrastructure Upgrade - Ardmona Resource Recovery Centre</w:t>
            </w:r>
          </w:p>
        </w:tc>
        <w:tc>
          <w:tcPr>
            <w:tcW w:w="1440" w:type="dxa"/>
            <w:noWrap/>
            <w:hideMark/>
          </w:tcPr>
          <w:p w14:paraId="60C0ECA4" w14:textId="77777777" w:rsidR="003A12BF" w:rsidRPr="003A12BF" w:rsidRDefault="003A12BF" w:rsidP="00F51716">
            <w:pPr>
              <w:pStyle w:val="Tabletext0"/>
            </w:pPr>
            <w:r w:rsidRPr="003A12BF">
              <w:t>$50,000.00</w:t>
            </w:r>
          </w:p>
        </w:tc>
      </w:tr>
      <w:tr w:rsidR="003A12BF" w:rsidRPr="003A12BF" w14:paraId="5FC3EAFC" w14:textId="77777777" w:rsidTr="002D4B7F">
        <w:trPr>
          <w:trHeight w:val="300"/>
        </w:trPr>
        <w:tc>
          <w:tcPr>
            <w:tcW w:w="2977" w:type="dxa"/>
            <w:noWrap/>
            <w:hideMark/>
          </w:tcPr>
          <w:p w14:paraId="0187294E" w14:textId="77777777" w:rsidR="003A12BF" w:rsidRPr="003A12BF" w:rsidRDefault="003A12BF" w:rsidP="00F51716">
            <w:pPr>
              <w:pStyle w:val="Tabletext0"/>
            </w:pPr>
            <w:r w:rsidRPr="003A12BF">
              <w:t>Greater Shepparton City Council</w:t>
            </w:r>
          </w:p>
        </w:tc>
        <w:tc>
          <w:tcPr>
            <w:tcW w:w="4481" w:type="dxa"/>
            <w:noWrap/>
            <w:hideMark/>
          </w:tcPr>
          <w:p w14:paraId="39483615" w14:textId="77777777" w:rsidR="003A12BF" w:rsidRPr="003A12BF" w:rsidRDefault="003A12BF" w:rsidP="00F51716">
            <w:pPr>
              <w:pStyle w:val="Tabletext0"/>
            </w:pPr>
            <w:r w:rsidRPr="003A12BF">
              <w:t>E-waste Infrastructure Upgrade - Ardmona Resource Recovery Centre</w:t>
            </w:r>
          </w:p>
        </w:tc>
        <w:tc>
          <w:tcPr>
            <w:tcW w:w="1440" w:type="dxa"/>
            <w:noWrap/>
            <w:hideMark/>
          </w:tcPr>
          <w:p w14:paraId="224F8592" w14:textId="77777777" w:rsidR="003A12BF" w:rsidRPr="003A12BF" w:rsidRDefault="003A12BF" w:rsidP="00F51716">
            <w:pPr>
              <w:pStyle w:val="Tabletext0"/>
            </w:pPr>
            <w:r w:rsidRPr="003A12BF">
              <w:t>$29,000.00</w:t>
            </w:r>
          </w:p>
        </w:tc>
      </w:tr>
      <w:tr w:rsidR="003A12BF" w:rsidRPr="003A12BF" w14:paraId="56FDF524" w14:textId="77777777" w:rsidTr="002D4B7F">
        <w:trPr>
          <w:trHeight w:val="300"/>
        </w:trPr>
        <w:tc>
          <w:tcPr>
            <w:tcW w:w="2977" w:type="dxa"/>
            <w:noWrap/>
            <w:hideMark/>
          </w:tcPr>
          <w:p w14:paraId="7A1AA12E" w14:textId="77777777" w:rsidR="003A12BF" w:rsidRPr="003A12BF" w:rsidRDefault="003A12BF" w:rsidP="00F51716">
            <w:pPr>
              <w:pStyle w:val="Tabletext0"/>
            </w:pPr>
            <w:r w:rsidRPr="003A12BF">
              <w:t>City of Greater Bendigo</w:t>
            </w:r>
          </w:p>
        </w:tc>
        <w:tc>
          <w:tcPr>
            <w:tcW w:w="4481" w:type="dxa"/>
            <w:noWrap/>
            <w:hideMark/>
          </w:tcPr>
          <w:p w14:paraId="6AA66788" w14:textId="77777777" w:rsidR="003A12BF" w:rsidRPr="003A12BF" w:rsidRDefault="003A12BF" w:rsidP="00F51716">
            <w:pPr>
              <w:pStyle w:val="Tabletext0"/>
            </w:pPr>
            <w:r w:rsidRPr="003A12BF">
              <w:t>E-waste Infrastructure Upgrade - Eaglehawk Recycle Shop</w:t>
            </w:r>
          </w:p>
        </w:tc>
        <w:tc>
          <w:tcPr>
            <w:tcW w:w="1440" w:type="dxa"/>
            <w:noWrap/>
            <w:hideMark/>
          </w:tcPr>
          <w:p w14:paraId="0CDEB622" w14:textId="77777777" w:rsidR="003A12BF" w:rsidRPr="003A12BF" w:rsidRDefault="003A12BF" w:rsidP="00F51716">
            <w:pPr>
              <w:pStyle w:val="Tabletext0"/>
            </w:pPr>
            <w:r w:rsidRPr="003A12BF">
              <w:t>$49,500.00</w:t>
            </w:r>
          </w:p>
        </w:tc>
      </w:tr>
      <w:tr w:rsidR="003A12BF" w:rsidRPr="003A12BF" w14:paraId="3C13897F" w14:textId="77777777" w:rsidTr="002D4B7F">
        <w:trPr>
          <w:trHeight w:val="300"/>
        </w:trPr>
        <w:tc>
          <w:tcPr>
            <w:tcW w:w="2977" w:type="dxa"/>
            <w:noWrap/>
            <w:hideMark/>
          </w:tcPr>
          <w:p w14:paraId="67B24828" w14:textId="77777777" w:rsidR="003A12BF" w:rsidRPr="003A12BF" w:rsidRDefault="003A12BF" w:rsidP="00F51716">
            <w:pPr>
              <w:pStyle w:val="Tabletext0"/>
            </w:pPr>
            <w:r w:rsidRPr="003A12BF">
              <w:t>City of Greater Bendigo</w:t>
            </w:r>
          </w:p>
        </w:tc>
        <w:tc>
          <w:tcPr>
            <w:tcW w:w="4481" w:type="dxa"/>
            <w:noWrap/>
            <w:hideMark/>
          </w:tcPr>
          <w:p w14:paraId="3D871DD1" w14:textId="77777777" w:rsidR="003A12BF" w:rsidRPr="003A12BF" w:rsidRDefault="003A12BF" w:rsidP="00F51716">
            <w:pPr>
              <w:pStyle w:val="Tabletext0"/>
            </w:pPr>
            <w:r w:rsidRPr="003A12BF">
              <w:t>E-waste Infrastructure Upgrade - Eaglehawk Recycle Shop</w:t>
            </w:r>
          </w:p>
        </w:tc>
        <w:tc>
          <w:tcPr>
            <w:tcW w:w="1440" w:type="dxa"/>
            <w:noWrap/>
            <w:hideMark/>
          </w:tcPr>
          <w:p w14:paraId="038FBB5D" w14:textId="77777777" w:rsidR="003A12BF" w:rsidRPr="003A12BF" w:rsidRDefault="003A12BF" w:rsidP="00F51716">
            <w:pPr>
              <w:pStyle w:val="Tabletext0"/>
            </w:pPr>
            <w:r w:rsidRPr="003A12BF">
              <w:t>$13,842.97</w:t>
            </w:r>
          </w:p>
        </w:tc>
      </w:tr>
      <w:tr w:rsidR="003A12BF" w:rsidRPr="003A12BF" w14:paraId="36853E4D" w14:textId="77777777" w:rsidTr="002D4B7F">
        <w:trPr>
          <w:trHeight w:val="300"/>
        </w:trPr>
        <w:tc>
          <w:tcPr>
            <w:tcW w:w="2977" w:type="dxa"/>
            <w:noWrap/>
            <w:hideMark/>
          </w:tcPr>
          <w:p w14:paraId="548E9524" w14:textId="77777777" w:rsidR="003A12BF" w:rsidRPr="003A12BF" w:rsidRDefault="003A12BF" w:rsidP="00F51716">
            <w:pPr>
              <w:pStyle w:val="Tabletext0"/>
            </w:pPr>
            <w:r w:rsidRPr="003A12BF">
              <w:t>Murrindindi Shire Council</w:t>
            </w:r>
          </w:p>
        </w:tc>
        <w:tc>
          <w:tcPr>
            <w:tcW w:w="4481" w:type="dxa"/>
            <w:noWrap/>
            <w:hideMark/>
          </w:tcPr>
          <w:p w14:paraId="7CFC7545" w14:textId="77777777" w:rsidR="003A12BF" w:rsidRPr="003A12BF" w:rsidRDefault="003A12BF" w:rsidP="00F51716">
            <w:pPr>
              <w:pStyle w:val="Tabletext0"/>
            </w:pPr>
            <w:r w:rsidRPr="003A12BF">
              <w:t>E-waste Infrastructure Upgrade - Kinglake Resource Recovery Centre</w:t>
            </w:r>
          </w:p>
        </w:tc>
        <w:tc>
          <w:tcPr>
            <w:tcW w:w="1440" w:type="dxa"/>
            <w:noWrap/>
            <w:hideMark/>
          </w:tcPr>
          <w:p w14:paraId="7C2BC72F" w14:textId="77777777" w:rsidR="003A12BF" w:rsidRPr="003A12BF" w:rsidRDefault="003A12BF" w:rsidP="00F51716">
            <w:pPr>
              <w:pStyle w:val="Tabletext0"/>
            </w:pPr>
            <w:r w:rsidRPr="003A12BF">
              <w:t>$49,750.00</w:t>
            </w:r>
          </w:p>
        </w:tc>
      </w:tr>
      <w:tr w:rsidR="003A12BF" w:rsidRPr="003A12BF" w14:paraId="178569DD" w14:textId="77777777" w:rsidTr="002D4B7F">
        <w:trPr>
          <w:trHeight w:val="300"/>
        </w:trPr>
        <w:tc>
          <w:tcPr>
            <w:tcW w:w="2977" w:type="dxa"/>
            <w:noWrap/>
            <w:hideMark/>
          </w:tcPr>
          <w:p w14:paraId="30B3DCED" w14:textId="77777777" w:rsidR="003A12BF" w:rsidRPr="003A12BF" w:rsidRDefault="003A12BF" w:rsidP="00F51716">
            <w:pPr>
              <w:pStyle w:val="Tabletext0"/>
            </w:pPr>
            <w:r w:rsidRPr="003A12BF">
              <w:t>Murrindindi Shire Council</w:t>
            </w:r>
          </w:p>
        </w:tc>
        <w:tc>
          <w:tcPr>
            <w:tcW w:w="4481" w:type="dxa"/>
            <w:noWrap/>
            <w:hideMark/>
          </w:tcPr>
          <w:p w14:paraId="7F2F387A" w14:textId="77777777" w:rsidR="003A12BF" w:rsidRPr="003A12BF" w:rsidRDefault="003A12BF" w:rsidP="00F51716">
            <w:pPr>
              <w:pStyle w:val="Tabletext0"/>
            </w:pPr>
            <w:r w:rsidRPr="003A12BF">
              <w:t>E-waste Infrastructure Upgrade - Kinglake Resource Recovery Centre</w:t>
            </w:r>
          </w:p>
        </w:tc>
        <w:tc>
          <w:tcPr>
            <w:tcW w:w="1440" w:type="dxa"/>
            <w:noWrap/>
            <w:hideMark/>
          </w:tcPr>
          <w:p w14:paraId="51968BFE" w14:textId="77777777" w:rsidR="003A12BF" w:rsidRPr="003A12BF" w:rsidRDefault="003A12BF" w:rsidP="00F51716">
            <w:pPr>
              <w:pStyle w:val="Tabletext0"/>
            </w:pPr>
            <w:r w:rsidRPr="003A12BF">
              <w:t>$19,900.00</w:t>
            </w:r>
          </w:p>
        </w:tc>
      </w:tr>
      <w:tr w:rsidR="003A12BF" w:rsidRPr="003A12BF" w14:paraId="2DF513F0" w14:textId="77777777" w:rsidTr="002D4B7F">
        <w:trPr>
          <w:trHeight w:val="300"/>
        </w:trPr>
        <w:tc>
          <w:tcPr>
            <w:tcW w:w="2977" w:type="dxa"/>
            <w:noWrap/>
            <w:hideMark/>
          </w:tcPr>
          <w:p w14:paraId="743B0DE9" w14:textId="77777777" w:rsidR="003A12BF" w:rsidRPr="003A12BF" w:rsidRDefault="003A12BF" w:rsidP="00F51716">
            <w:pPr>
              <w:pStyle w:val="Tabletext0"/>
            </w:pPr>
            <w:r w:rsidRPr="003A12BF">
              <w:t>City of Greater Bendigo</w:t>
            </w:r>
          </w:p>
        </w:tc>
        <w:tc>
          <w:tcPr>
            <w:tcW w:w="4481" w:type="dxa"/>
            <w:noWrap/>
            <w:hideMark/>
          </w:tcPr>
          <w:p w14:paraId="1891A08D" w14:textId="77777777" w:rsidR="003A12BF" w:rsidRPr="003A12BF" w:rsidRDefault="003A12BF" w:rsidP="00F51716">
            <w:pPr>
              <w:pStyle w:val="Tabletext0"/>
            </w:pPr>
            <w:r w:rsidRPr="003A12BF">
              <w:t>E-waste Infrastructure Upgrade - Heathcote Transfer Station</w:t>
            </w:r>
          </w:p>
        </w:tc>
        <w:tc>
          <w:tcPr>
            <w:tcW w:w="1440" w:type="dxa"/>
            <w:noWrap/>
            <w:hideMark/>
          </w:tcPr>
          <w:p w14:paraId="25C91345" w14:textId="77777777" w:rsidR="003A12BF" w:rsidRPr="003A12BF" w:rsidRDefault="003A12BF" w:rsidP="00F51716">
            <w:pPr>
              <w:pStyle w:val="Tabletext0"/>
            </w:pPr>
            <w:r w:rsidRPr="003A12BF">
              <w:t>$36,000.00</w:t>
            </w:r>
          </w:p>
        </w:tc>
      </w:tr>
      <w:tr w:rsidR="003A12BF" w:rsidRPr="003A12BF" w14:paraId="13BE948D" w14:textId="77777777" w:rsidTr="002D4B7F">
        <w:trPr>
          <w:trHeight w:val="300"/>
        </w:trPr>
        <w:tc>
          <w:tcPr>
            <w:tcW w:w="2977" w:type="dxa"/>
            <w:noWrap/>
            <w:hideMark/>
          </w:tcPr>
          <w:p w14:paraId="2E0A97CF" w14:textId="77777777" w:rsidR="003A12BF" w:rsidRPr="003A12BF" w:rsidRDefault="003A12BF" w:rsidP="00F51716">
            <w:pPr>
              <w:pStyle w:val="Tabletext0"/>
            </w:pPr>
            <w:r w:rsidRPr="003A12BF">
              <w:t>City of Greater Bendigo</w:t>
            </w:r>
          </w:p>
        </w:tc>
        <w:tc>
          <w:tcPr>
            <w:tcW w:w="4481" w:type="dxa"/>
            <w:noWrap/>
            <w:hideMark/>
          </w:tcPr>
          <w:p w14:paraId="676EADD3" w14:textId="77777777" w:rsidR="003A12BF" w:rsidRPr="003A12BF" w:rsidRDefault="003A12BF" w:rsidP="00F51716">
            <w:pPr>
              <w:pStyle w:val="Tabletext0"/>
            </w:pPr>
            <w:r w:rsidRPr="003A12BF">
              <w:t>E-waste Infrastructure Upgrade - Heathcote Transfer Station</w:t>
            </w:r>
          </w:p>
        </w:tc>
        <w:tc>
          <w:tcPr>
            <w:tcW w:w="1440" w:type="dxa"/>
            <w:noWrap/>
            <w:hideMark/>
          </w:tcPr>
          <w:p w14:paraId="1C0F5863" w14:textId="77777777" w:rsidR="003A12BF" w:rsidRPr="003A12BF" w:rsidRDefault="003A12BF" w:rsidP="00F51716">
            <w:pPr>
              <w:pStyle w:val="Tabletext0"/>
            </w:pPr>
            <w:r w:rsidRPr="003A12BF">
              <w:t>$7,517.16</w:t>
            </w:r>
          </w:p>
        </w:tc>
      </w:tr>
      <w:tr w:rsidR="003A12BF" w:rsidRPr="003A12BF" w14:paraId="7DC6FA0B" w14:textId="77777777" w:rsidTr="002D4B7F">
        <w:trPr>
          <w:trHeight w:val="300"/>
        </w:trPr>
        <w:tc>
          <w:tcPr>
            <w:tcW w:w="2977" w:type="dxa"/>
            <w:noWrap/>
            <w:hideMark/>
          </w:tcPr>
          <w:p w14:paraId="11559CBF" w14:textId="77777777" w:rsidR="003A12BF" w:rsidRPr="003A12BF" w:rsidRDefault="003A12BF" w:rsidP="00F51716">
            <w:pPr>
              <w:pStyle w:val="Tabletext0"/>
            </w:pPr>
            <w:r w:rsidRPr="003A12BF">
              <w:t>City of Greater Bendigo</w:t>
            </w:r>
          </w:p>
        </w:tc>
        <w:tc>
          <w:tcPr>
            <w:tcW w:w="4481" w:type="dxa"/>
            <w:noWrap/>
            <w:hideMark/>
          </w:tcPr>
          <w:p w14:paraId="1C6B15B8" w14:textId="77777777" w:rsidR="003A12BF" w:rsidRPr="003A12BF" w:rsidRDefault="003A12BF" w:rsidP="00F51716">
            <w:pPr>
              <w:pStyle w:val="Tabletext0"/>
            </w:pPr>
            <w:r w:rsidRPr="003A12BF">
              <w:t>E-waste Infrastructure Upgrade - Strathfieldsaye Transfer Station</w:t>
            </w:r>
          </w:p>
        </w:tc>
        <w:tc>
          <w:tcPr>
            <w:tcW w:w="1440" w:type="dxa"/>
            <w:noWrap/>
            <w:hideMark/>
          </w:tcPr>
          <w:p w14:paraId="532CEE83" w14:textId="77777777" w:rsidR="003A12BF" w:rsidRPr="003A12BF" w:rsidRDefault="003A12BF" w:rsidP="00F51716">
            <w:pPr>
              <w:pStyle w:val="Tabletext0"/>
            </w:pPr>
            <w:r w:rsidRPr="003A12BF">
              <w:t>$61,110.09</w:t>
            </w:r>
          </w:p>
        </w:tc>
      </w:tr>
      <w:tr w:rsidR="003A12BF" w:rsidRPr="003A12BF" w14:paraId="7829D4D3" w14:textId="77777777" w:rsidTr="002D4B7F">
        <w:trPr>
          <w:trHeight w:val="300"/>
        </w:trPr>
        <w:tc>
          <w:tcPr>
            <w:tcW w:w="2977" w:type="dxa"/>
            <w:noWrap/>
            <w:hideMark/>
          </w:tcPr>
          <w:p w14:paraId="55736BC2" w14:textId="77777777" w:rsidR="003A12BF" w:rsidRPr="003A12BF" w:rsidRDefault="003A12BF" w:rsidP="00F51716">
            <w:pPr>
              <w:pStyle w:val="Tabletext0"/>
            </w:pPr>
            <w:r w:rsidRPr="003A12BF">
              <w:t>Murrindindi Shire Council</w:t>
            </w:r>
          </w:p>
        </w:tc>
        <w:tc>
          <w:tcPr>
            <w:tcW w:w="4481" w:type="dxa"/>
            <w:noWrap/>
            <w:hideMark/>
          </w:tcPr>
          <w:p w14:paraId="47F9E3BE" w14:textId="77777777" w:rsidR="003A12BF" w:rsidRPr="003A12BF" w:rsidRDefault="003A12BF" w:rsidP="00F51716">
            <w:pPr>
              <w:pStyle w:val="Tabletext0"/>
            </w:pPr>
            <w:r w:rsidRPr="003A12BF">
              <w:t>E-waste Infrastructure Upgrade - Yea Resource Recovery Centre</w:t>
            </w:r>
          </w:p>
        </w:tc>
        <w:tc>
          <w:tcPr>
            <w:tcW w:w="1440" w:type="dxa"/>
            <w:noWrap/>
            <w:hideMark/>
          </w:tcPr>
          <w:p w14:paraId="58A2C9F0" w14:textId="77777777" w:rsidR="003A12BF" w:rsidRPr="003A12BF" w:rsidRDefault="003A12BF" w:rsidP="00F51716">
            <w:pPr>
              <w:pStyle w:val="Tabletext0"/>
            </w:pPr>
            <w:r w:rsidRPr="003A12BF">
              <w:t>$30,000.00</w:t>
            </w:r>
          </w:p>
        </w:tc>
      </w:tr>
      <w:tr w:rsidR="003A12BF" w:rsidRPr="003A12BF" w14:paraId="6E7B193C" w14:textId="77777777" w:rsidTr="002D4B7F">
        <w:trPr>
          <w:trHeight w:val="300"/>
        </w:trPr>
        <w:tc>
          <w:tcPr>
            <w:tcW w:w="2977" w:type="dxa"/>
            <w:noWrap/>
            <w:hideMark/>
          </w:tcPr>
          <w:p w14:paraId="77D69E48" w14:textId="77777777" w:rsidR="003A12BF" w:rsidRPr="003A12BF" w:rsidRDefault="003A12BF" w:rsidP="00F51716">
            <w:pPr>
              <w:pStyle w:val="Tabletext0"/>
            </w:pPr>
            <w:r w:rsidRPr="003A12BF">
              <w:t>Moorabool Shire Council</w:t>
            </w:r>
          </w:p>
        </w:tc>
        <w:tc>
          <w:tcPr>
            <w:tcW w:w="4481" w:type="dxa"/>
            <w:noWrap/>
            <w:hideMark/>
          </w:tcPr>
          <w:p w14:paraId="7F832544" w14:textId="77777777" w:rsidR="003A12BF" w:rsidRPr="003A12BF" w:rsidRDefault="003A12BF" w:rsidP="00F51716">
            <w:pPr>
              <w:pStyle w:val="Tabletext0"/>
            </w:pPr>
            <w:r w:rsidRPr="003A12BF">
              <w:t>E-waste Infrastructure Upgrade - Moorabool Shire Council - Bacchus Marsh TS</w:t>
            </w:r>
          </w:p>
        </w:tc>
        <w:tc>
          <w:tcPr>
            <w:tcW w:w="1440" w:type="dxa"/>
            <w:noWrap/>
            <w:hideMark/>
          </w:tcPr>
          <w:p w14:paraId="65399E4F" w14:textId="77777777" w:rsidR="003A12BF" w:rsidRPr="003A12BF" w:rsidRDefault="003A12BF" w:rsidP="00F51716">
            <w:pPr>
              <w:pStyle w:val="Tabletext0"/>
            </w:pPr>
            <w:r w:rsidRPr="003A12BF">
              <w:t>$49,993.10</w:t>
            </w:r>
          </w:p>
        </w:tc>
      </w:tr>
      <w:tr w:rsidR="003A12BF" w:rsidRPr="003A12BF" w14:paraId="2A4E5894" w14:textId="77777777" w:rsidTr="002D4B7F">
        <w:trPr>
          <w:trHeight w:val="300"/>
        </w:trPr>
        <w:tc>
          <w:tcPr>
            <w:tcW w:w="2977" w:type="dxa"/>
            <w:noWrap/>
            <w:hideMark/>
          </w:tcPr>
          <w:p w14:paraId="0383F927" w14:textId="77777777" w:rsidR="003A12BF" w:rsidRPr="003A12BF" w:rsidRDefault="003A12BF" w:rsidP="00F51716">
            <w:pPr>
              <w:pStyle w:val="Tabletext0"/>
            </w:pPr>
            <w:r w:rsidRPr="003A12BF">
              <w:t>Moorabool Shire Council</w:t>
            </w:r>
          </w:p>
        </w:tc>
        <w:tc>
          <w:tcPr>
            <w:tcW w:w="4481" w:type="dxa"/>
            <w:noWrap/>
            <w:hideMark/>
          </w:tcPr>
          <w:p w14:paraId="78FA0570" w14:textId="77777777" w:rsidR="003A12BF" w:rsidRPr="003A12BF" w:rsidRDefault="003A12BF" w:rsidP="00F51716">
            <w:pPr>
              <w:pStyle w:val="Tabletext0"/>
            </w:pPr>
            <w:r w:rsidRPr="003A12BF">
              <w:t>E-waste Infrastructure Upgrade - Moorabool Shire Council - Bacchus Marsh TS</w:t>
            </w:r>
          </w:p>
        </w:tc>
        <w:tc>
          <w:tcPr>
            <w:tcW w:w="1440" w:type="dxa"/>
            <w:noWrap/>
            <w:hideMark/>
          </w:tcPr>
          <w:p w14:paraId="2AAF8357" w14:textId="77777777" w:rsidR="003A12BF" w:rsidRPr="003A12BF" w:rsidRDefault="003A12BF" w:rsidP="00F51716">
            <w:pPr>
              <w:pStyle w:val="Tabletext0"/>
            </w:pPr>
            <w:r w:rsidRPr="003A12BF">
              <w:t>$19,997.20</w:t>
            </w:r>
          </w:p>
        </w:tc>
      </w:tr>
      <w:tr w:rsidR="003A12BF" w:rsidRPr="003A12BF" w14:paraId="40EDE0FB" w14:textId="77777777" w:rsidTr="002D4B7F">
        <w:trPr>
          <w:trHeight w:val="300"/>
        </w:trPr>
        <w:tc>
          <w:tcPr>
            <w:tcW w:w="2977" w:type="dxa"/>
            <w:noWrap/>
            <w:hideMark/>
          </w:tcPr>
          <w:p w14:paraId="1AA8F38B" w14:textId="77777777" w:rsidR="003A12BF" w:rsidRPr="003A12BF" w:rsidRDefault="003A12BF" w:rsidP="00F51716">
            <w:pPr>
              <w:pStyle w:val="Tabletext0"/>
            </w:pPr>
            <w:r w:rsidRPr="003A12BF">
              <w:t>Hindmarsh Shire Council</w:t>
            </w:r>
          </w:p>
        </w:tc>
        <w:tc>
          <w:tcPr>
            <w:tcW w:w="4481" w:type="dxa"/>
            <w:noWrap/>
            <w:hideMark/>
          </w:tcPr>
          <w:p w14:paraId="5E93E3CD" w14:textId="77777777" w:rsidR="003A12BF" w:rsidRPr="003A12BF" w:rsidRDefault="003A12BF" w:rsidP="00F51716">
            <w:pPr>
              <w:pStyle w:val="Tabletext0"/>
            </w:pPr>
            <w:r w:rsidRPr="003A12BF">
              <w:t>E-waste Infrastructure Upgrade - Dimboola Transfer Station</w:t>
            </w:r>
          </w:p>
        </w:tc>
        <w:tc>
          <w:tcPr>
            <w:tcW w:w="1440" w:type="dxa"/>
            <w:noWrap/>
            <w:hideMark/>
          </w:tcPr>
          <w:p w14:paraId="6A97142D" w14:textId="77777777" w:rsidR="003A12BF" w:rsidRPr="003A12BF" w:rsidRDefault="003A12BF" w:rsidP="00F51716">
            <w:pPr>
              <w:pStyle w:val="Tabletext0"/>
            </w:pPr>
            <w:r w:rsidRPr="003A12BF">
              <w:t>$50,000.00</w:t>
            </w:r>
          </w:p>
        </w:tc>
      </w:tr>
      <w:tr w:rsidR="003A12BF" w:rsidRPr="003A12BF" w14:paraId="1C5244F8" w14:textId="77777777" w:rsidTr="002D4B7F">
        <w:trPr>
          <w:trHeight w:val="300"/>
        </w:trPr>
        <w:tc>
          <w:tcPr>
            <w:tcW w:w="2977" w:type="dxa"/>
            <w:noWrap/>
            <w:hideMark/>
          </w:tcPr>
          <w:p w14:paraId="00DCE6D6" w14:textId="77777777" w:rsidR="003A12BF" w:rsidRPr="003A12BF" w:rsidRDefault="003A12BF" w:rsidP="00F51716">
            <w:pPr>
              <w:pStyle w:val="Tabletext0"/>
            </w:pPr>
            <w:r w:rsidRPr="003A12BF">
              <w:t>Hindmarsh Shire Council</w:t>
            </w:r>
          </w:p>
        </w:tc>
        <w:tc>
          <w:tcPr>
            <w:tcW w:w="4481" w:type="dxa"/>
            <w:noWrap/>
            <w:hideMark/>
          </w:tcPr>
          <w:p w14:paraId="35905791" w14:textId="77777777" w:rsidR="003A12BF" w:rsidRPr="003A12BF" w:rsidRDefault="003A12BF" w:rsidP="00F51716">
            <w:pPr>
              <w:pStyle w:val="Tabletext0"/>
            </w:pPr>
            <w:r w:rsidRPr="003A12BF">
              <w:t>E-waste Infrastructure Upgrade - Dimboola Transfer Station</w:t>
            </w:r>
          </w:p>
        </w:tc>
        <w:tc>
          <w:tcPr>
            <w:tcW w:w="1440" w:type="dxa"/>
            <w:noWrap/>
            <w:hideMark/>
          </w:tcPr>
          <w:p w14:paraId="7D7C1583" w14:textId="77777777" w:rsidR="003A12BF" w:rsidRPr="003A12BF" w:rsidRDefault="003A12BF" w:rsidP="00F51716">
            <w:pPr>
              <w:pStyle w:val="Tabletext0"/>
            </w:pPr>
            <w:r w:rsidRPr="003A12BF">
              <w:t>$20,000.00</w:t>
            </w:r>
          </w:p>
        </w:tc>
      </w:tr>
      <w:tr w:rsidR="003A12BF" w:rsidRPr="003A12BF" w14:paraId="5F74E921" w14:textId="77777777" w:rsidTr="002D4B7F">
        <w:trPr>
          <w:trHeight w:val="300"/>
        </w:trPr>
        <w:tc>
          <w:tcPr>
            <w:tcW w:w="2977" w:type="dxa"/>
            <w:noWrap/>
            <w:hideMark/>
          </w:tcPr>
          <w:p w14:paraId="1B2C93AC" w14:textId="77777777" w:rsidR="003A12BF" w:rsidRPr="003A12BF" w:rsidRDefault="003A12BF" w:rsidP="00F51716">
            <w:pPr>
              <w:pStyle w:val="Tabletext0"/>
            </w:pPr>
            <w:r w:rsidRPr="003A12BF">
              <w:t>Hindmarsh Shire Council</w:t>
            </w:r>
          </w:p>
        </w:tc>
        <w:tc>
          <w:tcPr>
            <w:tcW w:w="4481" w:type="dxa"/>
            <w:noWrap/>
            <w:hideMark/>
          </w:tcPr>
          <w:p w14:paraId="1829DC18" w14:textId="77777777" w:rsidR="003A12BF" w:rsidRPr="003A12BF" w:rsidRDefault="003A12BF" w:rsidP="00F51716">
            <w:pPr>
              <w:pStyle w:val="Tabletext0"/>
            </w:pPr>
            <w:r w:rsidRPr="003A12BF">
              <w:t>E-waste Infrastructure Upgrade - Nhill Transfer Station</w:t>
            </w:r>
          </w:p>
        </w:tc>
        <w:tc>
          <w:tcPr>
            <w:tcW w:w="1440" w:type="dxa"/>
            <w:noWrap/>
            <w:hideMark/>
          </w:tcPr>
          <w:p w14:paraId="18ED3773" w14:textId="77777777" w:rsidR="003A12BF" w:rsidRPr="003A12BF" w:rsidRDefault="003A12BF" w:rsidP="00F51716">
            <w:pPr>
              <w:pStyle w:val="Tabletext0"/>
            </w:pPr>
            <w:r w:rsidRPr="003A12BF">
              <w:t>$50,000.00</w:t>
            </w:r>
          </w:p>
        </w:tc>
      </w:tr>
      <w:tr w:rsidR="003A12BF" w:rsidRPr="003A12BF" w14:paraId="363B163B" w14:textId="77777777" w:rsidTr="002D4B7F">
        <w:trPr>
          <w:trHeight w:val="300"/>
        </w:trPr>
        <w:tc>
          <w:tcPr>
            <w:tcW w:w="2977" w:type="dxa"/>
            <w:noWrap/>
            <w:hideMark/>
          </w:tcPr>
          <w:p w14:paraId="2320733A" w14:textId="77777777" w:rsidR="003A12BF" w:rsidRPr="003A12BF" w:rsidRDefault="003A12BF" w:rsidP="00F51716">
            <w:pPr>
              <w:pStyle w:val="Tabletext0"/>
            </w:pPr>
            <w:r w:rsidRPr="003A12BF">
              <w:t>Hindmarsh Shire Council</w:t>
            </w:r>
          </w:p>
        </w:tc>
        <w:tc>
          <w:tcPr>
            <w:tcW w:w="4481" w:type="dxa"/>
            <w:noWrap/>
            <w:hideMark/>
          </w:tcPr>
          <w:p w14:paraId="2EF1428D" w14:textId="77777777" w:rsidR="003A12BF" w:rsidRPr="003A12BF" w:rsidRDefault="003A12BF" w:rsidP="00F51716">
            <w:pPr>
              <w:pStyle w:val="Tabletext0"/>
            </w:pPr>
            <w:r w:rsidRPr="003A12BF">
              <w:t>E-waste Infrastructure Upgrade - Nhill Transfer Station</w:t>
            </w:r>
          </w:p>
        </w:tc>
        <w:tc>
          <w:tcPr>
            <w:tcW w:w="1440" w:type="dxa"/>
            <w:noWrap/>
            <w:hideMark/>
          </w:tcPr>
          <w:p w14:paraId="7892E3D3" w14:textId="77777777" w:rsidR="003A12BF" w:rsidRPr="003A12BF" w:rsidRDefault="003A12BF" w:rsidP="00F51716">
            <w:pPr>
              <w:pStyle w:val="Tabletext0"/>
            </w:pPr>
            <w:r w:rsidRPr="003A12BF">
              <w:t>$20,000.00</w:t>
            </w:r>
          </w:p>
        </w:tc>
      </w:tr>
      <w:tr w:rsidR="003A12BF" w:rsidRPr="003A12BF" w14:paraId="7E607855" w14:textId="77777777" w:rsidTr="002D4B7F">
        <w:trPr>
          <w:trHeight w:val="300"/>
        </w:trPr>
        <w:tc>
          <w:tcPr>
            <w:tcW w:w="2977" w:type="dxa"/>
            <w:noWrap/>
            <w:hideMark/>
          </w:tcPr>
          <w:p w14:paraId="13D0A396" w14:textId="77777777" w:rsidR="003A12BF" w:rsidRPr="003A12BF" w:rsidRDefault="003A12BF" w:rsidP="00F51716">
            <w:pPr>
              <w:pStyle w:val="Tabletext0"/>
            </w:pPr>
            <w:r w:rsidRPr="003A12BF">
              <w:t>Moorabool Shire Council</w:t>
            </w:r>
          </w:p>
        </w:tc>
        <w:tc>
          <w:tcPr>
            <w:tcW w:w="4481" w:type="dxa"/>
            <w:noWrap/>
            <w:hideMark/>
          </w:tcPr>
          <w:p w14:paraId="46207647" w14:textId="77777777" w:rsidR="003A12BF" w:rsidRPr="003A12BF" w:rsidRDefault="003A12BF" w:rsidP="00F51716">
            <w:pPr>
              <w:pStyle w:val="Tabletext0"/>
            </w:pPr>
            <w:r w:rsidRPr="003A12BF">
              <w:t>E-waste Infrastructure Upgrade - Moorabool Shire Council - Ballan Transfer Station</w:t>
            </w:r>
          </w:p>
        </w:tc>
        <w:tc>
          <w:tcPr>
            <w:tcW w:w="1440" w:type="dxa"/>
            <w:noWrap/>
            <w:hideMark/>
          </w:tcPr>
          <w:p w14:paraId="666651E4" w14:textId="77777777" w:rsidR="003A12BF" w:rsidRPr="003A12BF" w:rsidRDefault="003A12BF" w:rsidP="00F51716">
            <w:pPr>
              <w:pStyle w:val="Tabletext0"/>
            </w:pPr>
            <w:r w:rsidRPr="003A12BF">
              <w:t>$30,645.00</w:t>
            </w:r>
          </w:p>
        </w:tc>
      </w:tr>
      <w:tr w:rsidR="003A12BF" w:rsidRPr="003A12BF" w14:paraId="69DE3208" w14:textId="77777777" w:rsidTr="002D4B7F">
        <w:trPr>
          <w:trHeight w:val="300"/>
        </w:trPr>
        <w:tc>
          <w:tcPr>
            <w:tcW w:w="2977" w:type="dxa"/>
            <w:noWrap/>
            <w:hideMark/>
          </w:tcPr>
          <w:p w14:paraId="55F55348" w14:textId="77777777" w:rsidR="003A12BF" w:rsidRPr="003A12BF" w:rsidRDefault="003A12BF" w:rsidP="00F51716">
            <w:pPr>
              <w:pStyle w:val="Tabletext0"/>
            </w:pPr>
            <w:r w:rsidRPr="003A12BF">
              <w:t>Moorabool Shire Council</w:t>
            </w:r>
          </w:p>
        </w:tc>
        <w:tc>
          <w:tcPr>
            <w:tcW w:w="4481" w:type="dxa"/>
            <w:noWrap/>
            <w:hideMark/>
          </w:tcPr>
          <w:p w14:paraId="3F88DB7B" w14:textId="77777777" w:rsidR="003A12BF" w:rsidRPr="003A12BF" w:rsidRDefault="003A12BF" w:rsidP="00F51716">
            <w:pPr>
              <w:pStyle w:val="Tabletext0"/>
            </w:pPr>
            <w:r w:rsidRPr="003A12BF">
              <w:t>E-waste Infrastructure Upgrade - Moorabool Shire Council - Ballan Transfer Station</w:t>
            </w:r>
          </w:p>
        </w:tc>
        <w:tc>
          <w:tcPr>
            <w:tcW w:w="1440" w:type="dxa"/>
            <w:noWrap/>
            <w:hideMark/>
          </w:tcPr>
          <w:p w14:paraId="0058CDDC" w14:textId="77777777" w:rsidR="003A12BF" w:rsidRPr="003A12BF" w:rsidRDefault="003A12BF" w:rsidP="00F51716">
            <w:pPr>
              <w:pStyle w:val="Tabletext0"/>
            </w:pPr>
            <w:r w:rsidRPr="003A12BF">
              <w:t>$8,024.93</w:t>
            </w:r>
          </w:p>
        </w:tc>
      </w:tr>
      <w:tr w:rsidR="003A12BF" w:rsidRPr="003A12BF" w14:paraId="2A3D9824" w14:textId="77777777" w:rsidTr="002D4B7F">
        <w:trPr>
          <w:trHeight w:val="300"/>
        </w:trPr>
        <w:tc>
          <w:tcPr>
            <w:tcW w:w="2977" w:type="dxa"/>
            <w:noWrap/>
            <w:hideMark/>
          </w:tcPr>
          <w:p w14:paraId="0C325732" w14:textId="77777777" w:rsidR="003A12BF" w:rsidRPr="003A12BF" w:rsidRDefault="003A12BF" w:rsidP="00F51716">
            <w:pPr>
              <w:pStyle w:val="Tabletext0"/>
            </w:pPr>
            <w:r w:rsidRPr="003A12BF">
              <w:t>Murrindindi Shire Council</w:t>
            </w:r>
          </w:p>
        </w:tc>
        <w:tc>
          <w:tcPr>
            <w:tcW w:w="4481" w:type="dxa"/>
            <w:noWrap/>
            <w:hideMark/>
          </w:tcPr>
          <w:p w14:paraId="0247C573" w14:textId="77777777" w:rsidR="003A12BF" w:rsidRPr="003A12BF" w:rsidRDefault="003A12BF" w:rsidP="00F51716">
            <w:pPr>
              <w:pStyle w:val="Tabletext0"/>
            </w:pPr>
            <w:r w:rsidRPr="003A12BF">
              <w:t>E-waste Infrastructure Upgrade - Alexandra Resource Recovery Centre</w:t>
            </w:r>
          </w:p>
        </w:tc>
        <w:tc>
          <w:tcPr>
            <w:tcW w:w="1440" w:type="dxa"/>
            <w:noWrap/>
            <w:hideMark/>
          </w:tcPr>
          <w:p w14:paraId="166E8DAB" w14:textId="77777777" w:rsidR="003A12BF" w:rsidRPr="003A12BF" w:rsidRDefault="003A12BF" w:rsidP="00F51716">
            <w:pPr>
              <w:pStyle w:val="Tabletext0"/>
            </w:pPr>
            <w:r w:rsidRPr="003A12BF">
              <w:t>$39,714.17</w:t>
            </w:r>
          </w:p>
        </w:tc>
      </w:tr>
      <w:tr w:rsidR="003A12BF" w:rsidRPr="003A12BF" w14:paraId="090B63B0" w14:textId="77777777" w:rsidTr="002D4B7F">
        <w:trPr>
          <w:trHeight w:val="300"/>
        </w:trPr>
        <w:tc>
          <w:tcPr>
            <w:tcW w:w="2977" w:type="dxa"/>
            <w:noWrap/>
            <w:hideMark/>
          </w:tcPr>
          <w:p w14:paraId="18025E58" w14:textId="77777777" w:rsidR="003A12BF" w:rsidRPr="003A12BF" w:rsidRDefault="003A12BF" w:rsidP="00F51716">
            <w:pPr>
              <w:pStyle w:val="Tabletext0"/>
            </w:pPr>
            <w:r w:rsidRPr="003A12BF">
              <w:t>Murrindindi Shire Council</w:t>
            </w:r>
          </w:p>
        </w:tc>
        <w:tc>
          <w:tcPr>
            <w:tcW w:w="4481" w:type="dxa"/>
            <w:noWrap/>
            <w:hideMark/>
          </w:tcPr>
          <w:p w14:paraId="2DEA1177" w14:textId="77777777" w:rsidR="003A12BF" w:rsidRPr="003A12BF" w:rsidRDefault="003A12BF" w:rsidP="00F51716">
            <w:pPr>
              <w:pStyle w:val="Tabletext0"/>
            </w:pPr>
            <w:r w:rsidRPr="003A12BF">
              <w:t>E-waste Infrastructure Upgrade - Alexandra Resource Recovery Centre</w:t>
            </w:r>
          </w:p>
        </w:tc>
        <w:tc>
          <w:tcPr>
            <w:tcW w:w="1440" w:type="dxa"/>
            <w:noWrap/>
            <w:hideMark/>
          </w:tcPr>
          <w:p w14:paraId="07ACBE40" w14:textId="77777777" w:rsidR="003A12BF" w:rsidRPr="003A12BF" w:rsidRDefault="003A12BF" w:rsidP="00F51716">
            <w:pPr>
              <w:pStyle w:val="Tabletext0"/>
            </w:pPr>
            <w:r w:rsidRPr="003A12BF">
              <w:t>$17,020.36</w:t>
            </w:r>
          </w:p>
        </w:tc>
      </w:tr>
      <w:tr w:rsidR="003A12BF" w:rsidRPr="003A12BF" w14:paraId="0140E4E9" w14:textId="77777777" w:rsidTr="002D4B7F">
        <w:trPr>
          <w:trHeight w:val="300"/>
        </w:trPr>
        <w:tc>
          <w:tcPr>
            <w:tcW w:w="2977" w:type="dxa"/>
            <w:noWrap/>
            <w:hideMark/>
          </w:tcPr>
          <w:p w14:paraId="14FC0087" w14:textId="77777777" w:rsidR="003A12BF" w:rsidRPr="003A12BF" w:rsidRDefault="003A12BF" w:rsidP="00F51716">
            <w:pPr>
              <w:pStyle w:val="Tabletext0"/>
            </w:pPr>
            <w:r w:rsidRPr="003A12BF">
              <w:t>Wellington Shire Council</w:t>
            </w:r>
          </w:p>
        </w:tc>
        <w:tc>
          <w:tcPr>
            <w:tcW w:w="4481" w:type="dxa"/>
            <w:noWrap/>
            <w:hideMark/>
          </w:tcPr>
          <w:p w14:paraId="22ACE741" w14:textId="77777777" w:rsidR="003A12BF" w:rsidRPr="003A12BF" w:rsidRDefault="003A12BF" w:rsidP="00F51716">
            <w:pPr>
              <w:pStyle w:val="Tabletext0"/>
            </w:pPr>
            <w:r w:rsidRPr="003A12BF">
              <w:t>E-waste Infrastructure Upgrade - Yarram Transfer Station</w:t>
            </w:r>
          </w:p>
        </w:tc>
        <w:tc>
          <w:tcPr>
            <w:tcW w:w="1440" w:type="dxa"/>
            <w:noWrap/>
            <w:hideMark/>
          </w:tcPr>
          <w:p w14:paraId="5E306288" w14:textId="77777777" w:rsidR="003A12BF" w:rsidRPr="003A12BF" w:rsidRDefault="003A12BF" w:rsidP="00F51716">
            <w:pPr>
              <w:pStyle w:val="Tabletext0"/>
            </w:pPr>
            <w:r w:rsidRPr="003A12BF">
              <w:t>$47,147.50</w:t>
            </w:r>
          </w:p>
        </w:tc>
      </w:tr>
      <w:tr w:rsidR="003A12BF" w:rsidRPr="003A12BF" w14:paraId="5677D066" w14:textId="77777777" w:rsidTr="002D4B7F">
        <w:trPr>
          <w:trHeight w:val="300"/>
        </w:trPr>
        <w:tc>
          <w:tcPr>
            <w:tcW w:w="2977" w:type="dxa"/>
            <w:noWrap/>
            <w:hideMark/>
          </w:tcPr>
          <w:p w14:paraId="319A6888" w14:textId="77777777" w:rsidR="003A12BF" w:rsidRPr="003A12BF" w:rsidRDefault="003A12BF" w:rsidP="00F51716">
            <w:pPr>
              <w:pStyle w:val="Tabletext0"/>
            </w:pPr>
            <w:r w:rsidRPr="003A12BF">
              <w:t>Wellington Shire Council</w:t>
            </w:r>
          </w:p>
        </w:tc>
        <w:tc>
          <w:tcPr>
            <w:tcW w:w="4481" w:type="dxa"/>
            <w:noWrap/>
            <w:hideMark/>
          </w:tcPr>
          <w:p w14:paraId="0BA8F17E" w14:textId="77777777" w:rsidR="003A12BF" w:rsidRPr="003A12BF" w:rsidRDefault="003A12BF" w:rsidP="00F51716">
            <w:pPr>
              <w:pStyle w:val="Tabletext0"/>
            </w:pPr>
            <w:r w:rsidRPr="003A12BF">
              <w:t>E-waste Infrastructure Upgrade - Heyfield Transfer Station</w:t>
            </w:r>
          </w:p>
        </w:tc>
        <w:tc>
          <w:tcPr>
            <w:tcW w:w="1440" w:type="dxa"/>
            <w:noWrap/>
            <w:hideMark/>
          </w:tcPr>
          <w:p w14:paraId="6B4523B5" w14:textId="77777777" w:rsidR="003A12BF" w:rsidRPr="003A12BF" w:rsidRDefault="003A12BF" w:rsidP="00F51716">
            <w:pPr>
              <w:pStyle w:val="Tabletext0"/>
            </w:pPr>
            <w:r w:rsidRPr="003A12BF">
              <w:t>$49,993.99</w:t>
            </w:r>
          </w:p>
        </w:tc>
      </w:tr>
      <w:tr w:rsidR="003A12BF" w:rsidRPr="003A12BF" w14:paraId="3E73EB08" w14:textId="77777777" w:rsidTr="002D4B7F">
        <w:trPr>
          <w:trHeight w:val="300"/>
        </w:trPr>
        <w:tc>
          <w:tcPr>
            <w:tcW w:w="2977" w:type="dxa"/>
            <w:noWrap/>
            <w:hideMark/>
          </w:tcPr>
          <w:p w14:paraId="4D82C207" w14:textId="77777777" w:rsidR="003A12BF" w:rsidRPr="003A12BF" w:rsidRDefault="003A12BF" w:rsidP="00F51716">
            <w:pPr>
              <w:pStyle w:val="Tabletext0"/>
            </w:pPr>
            <w:r w:rsidRPr="003A12BF">
              <w:t>Wellington Shire Council</w:t>
            </w:r>
          </w:p>
        </w:tc>
        <w:tc>
          <w:tcPr>
            <w:tcW w:w="4481" w:type="dxa"/>
            <w:noWrap/>
            <w:hideMark/>
          </w:tcPr>
          <w:p w14:paraId="2C5A72BE" w14:textId="77777777" w:rsidR="003A12BF" w:rsidRPr="003A12BF" w:rsidRDefault="003A12BF" w:rsidP="00F51716">
            <w:pPr>
              <w:pStyle w:val="Tabletext0"/>
            </w:pPr>
            <w:r w:rsidRPr="003A12BF">
              <w:t>E-waste Infrastructure Upgrade - Maffra Landfill</w:t>
            </w:r>
          </w:p>
        </w:tc>
        <w:tc>
          <w:tcPr>
            <w:tcW w:w="1440" w:type="dxa"/>
            <w:noWrap/>
            <w:hideMark/>
          </w:tcPr>
          <w:p w14:paraId="24F0A197" w14:textId="77777777" w:rsidR="003A12BF" w:rsidRPr="003A12BF" w:rsidRDefault="003A12BF" w:rsidP="00F51716">
            <w:pPr>
              <w:pStyle w:val="Tabletext0"/>
            </w:pPr>
            <w:r w:rsidRPr="003A12BF">
              <w:t>$50,000.00</w:t>
            </w:r>
          </w:p>
        </w:tc>
      </w:tr>
      <w:tr w:rsidR="003A12BF" w:rsidRPr="003A12BF" w14:paraId="64BC055E" w14:textId="77777777" w:rsidTr="002D4B7F">
        <w:trPr>
          <w:trHeight w:val="300"/>
        </w:trPr>
        <w:tc>
          <w:tcPr>
            <w:tcW w:w="2977" w:type="dxa"/>
            <w:noWrap/>
            <w:hideMark/>
          </w:tcPr>
          <w:p w14:paraId="000C6F32" w14:textId="77777777" w:rsidR="003A12BF" w:rsidRPr="003A12BF" w:rsidRDefault="003A12BF" w:rsidP="00F51716">
            <w:pPr>
              <w:pStyle w:val="Tabletext0"/>
            </w:pPr>
            <w:r w:rsidRPr="003A12BF">
              <w:t>Wellington Shire Council</w:t>
            </w:r>
          </w:p>
        </w:tc>
        <w:tc>
          <w:tcPr>
            <w:tcW w:w="4481" w:type="dxa"/>
            <w:noWrap/>
            <w:hideMark/>
          </w:tcPr>
          <w:p w14:paraId="78128A1B" w14:textId="77777777" w:rsidR="003A12BF" w:rsidRPr="003A12BF" w:rsidRDefault="003A12BF" w:rsidP="00F51716">
            <w:pPr>
              <w:pStyle w:val="Tabletext0"/>
            </w:pPr>
            <w:r w:rsidRPr="003A12BF">
              <w:t>E-waste Infrastructure Upgrade - Maffra Landfill</w:t>
            </w:r>
          </w:p>
        </w:tc>
        <w:tc>
          <w:tcPr>
            <w:tcW w:w="1440" w:type="dxa"/>
            <w:noWrap/>
            <w:hideMark/>
          </w:tcPr>
          <w:p w14:paraId="7A492FCF" w14:textId="77777777" w:rsidR="003A12BF" w:rsidRPr="003A12BF" w:rsidRDefault="003A12BF" w:rsidP="00F51716">
            <w:pPr>
              <w:pStyle w:val="Tabletext0"/>
            </w:pPr>
            <w:r w:rsidRPr="003A12BF">
              <w:t>$10,264.34</w:t>
            </w:r>
          </w:p>
        </w:tc>
      </w:tr>
      <w:tr w:rsidR="003A12BF" w:rsidRPr="003A12BF" w14:paraId="63CC4C43" w14:textId="77777777" w:rsidTr="002D4B7F">
        <w:trPr>
          <w:trHeight w:val="300"/>
        </w:trPr>
        <w:tc>
          <w:tcPr>
            <w:tcW w:w="2977" w:type="dxa"/>
            <w:noWrap/>
            <w:hideMark/>
          </w:tcPr>
          <w:p w14:paraId="1C26DA04" w14:textId="77777777" w:rsidR="003A12BF" w:rsidRPr="003A12BF" w:rsidRDefault="003A12BF" w:rsidP="00F51716">
            <w:pPr>
              <w:pStyle w:val="Tabletext0"/>
            </w:pPr>
            <w:r w:rsidRPr="003A12BF">
              <w:t>Wellington Shire Council</w:t>
            </w:r>
          </w:p>
        </w:tc>
        <w:tc>
          <w:tcPr>
            <w:tcW w:w="4481" w:type="dxa"/>
            <w:noWrap/>
            <w:hideMark/>
          </w:tcPr>
          <w:p w14:paraId="19869064" w14:textId="77777777" w:rsidR="003A12BF" w:rsidRPr="003A12BF" w:rsidRDefault="003A12BF" w:rsidP="00F51716">
            <w:pPr>
              <w:pStyle w:val="Tabletext0"/>
            </w:pPr>
            <w:r w:rsidRPr="003A12BF">
              <w:t>E-waste Infrastructure Upgrade - Stratford Transfer Station</w:t>
            </w:r>
          </w:p>
        </w:tc>
        <w:tc>
          <w:tcPr>
            <w:tcW w:w="1440" w:type="dxa"/>
            <w:noWrap/>
            <w:hideMark/>
          </w:tcPr>
          <w:p w14:paraId="5A5E0400" w14:textId="77777777" w:rsidR="003A12BF" w:rsidRPr="003A12BF" w:rsidRDefault="003A12BF" w:rsidP="00F51716">
            <w:pPr>
              <w:pStyle w:val="Tabletext0"/>
            </w:pPr>
            <w:r w:rsidRPr="003A12BF">
              <w:t>$50,000.00</w:t>
            </w:r>
          </w:p>
        </w:tc>
      </w:tr>
      <w:tr w:rsidR="003A12BF" w:rsidRPr="003A12BF" w14:paraId="109FB17B" w14:textId="77777777" w:rsidTr="002D4B7F">
        <w:trPr>
          <w:trHeight w:val="300"/>
        </w:trPr>
        <w:tc>
          <w:tcPr>
            <w:tcW w:w="2977" w:type="dxa"/>
            <w:noWrap/>
            <w:hideMark/>
          </w:tcPr>
          <w:p w14:paraId="2F96A57F" w14:textId="77777777" w:rsidR="003A12BF" w:rsidRPr="003A12BF" w:rsidRDefault="003A12BF" w:rsidP="00F51716">
            <w:pPr>
              <w:pStyle w:val="Tabletext0"/>
            </w:pPr>
            <w:r w:rsidRPr="003A12BF">
              <w:t>Wellington Shire Council</w:t>
            </w:r>
          </w:p>
        </w:tc>
        <w:tc>
          <w:tcPr>
            <w:tcW w:w="4481" w:type="dxa"/>
            <w:noWrap/>
            <w:hideMark/>
          </w:tcPr>
          <w:p w14:paraId="4157B5FB" w14:textId="77777777" w:rsidR="003A12BF" w:rsidRPr="003A12BF" w:rsidRDefault="003A12BF" w:rsidP="00F51716">
            <w:pPr>
              <w:pStyle w:val="Tabletext0"/>
            </w:pPr>
            <w:r w:rsidRPr="003A12BF">
              <w:t>E-waste Infrastructure Upgrade - Stratford Transfer Station</w:t>
            </w:r>
          </w:p>
        </w:tc>
        <w:tc>
          <w:tcPr>
            <w:tcW w:w="1440" w:type="dxa"/>
            <w:noWrap/>
            <w:hideMark/>
          </w:tcPr>
          <w:p w14:paraId="5CED248A" w14:textId="77777777" w:rsidR="003A12BF" w:rsidRPr="003A12BF" w:rsidRDefault="003A12BF" w:rsidP="00F51716">
            <w:pPr>
              <w:pStyle w:val="Tabletext0"/>
            </w:pPr>
            <w:r w:rsidRPr="003A12BF">
              <w:t>$12,723.62</w:t>
            </w:r>
          </w:p>
        </w:tc>
      </w:tr>
      <w:tr w:rsidR="003A12BF" w:rsidRPr="003A12BF" w14:paraId="2C5546E3" w14:textId="77777777" w:rsidTr="002D4B7F">
        <w:trPr>
          <w:trHeight w:val="300"/>
        </w:trPr>
        <w:tc>
          <w:tcPr>
            <w:tcW w:w="2977" w:type="dxa"/>
            <w:noWrap/>
            <w:hideMark/>
          </w:tcPr>
          <w:p w14:paraId="59686C03" w14:textId="77777777" w:rsidR="003A12BF" w:rsidRPr="003A12BF" w:rsidRDefault="003A12BF" w:rsidP="00F51716">
            <w:pPr>
              <w:pStyle w:val="Tabletext0"/>
            </w:pPr>
            <w:r w:rsidRPr="003A12BF">
              <w:t>Wellington Shire Council</w:t>
            </w:r>
          </w:p>
        </w:tc>
        <w:tc>
          <w:tcPr>
            <w:tcW w:w="4481" w:type="dxa"/>
            <w:noWrap/>
            <w:hideMark/>
          </w:tcPr>
          <w:p w14:paraId="16048F00" w14:textId="77777777" w:rsidR="003A12BF" w:rsidRPr="003A12BF" w:rsidRDefault="003A12BF" w:rsidP="00F51716">
            <w:pPr>
              <w:pStyle w:val="Tabletext0"/>
            </w:pPr>
            <w:r w:rsidRPr="003A12BF">
              <w:t>E-waste Infrastructure Upgrade - Kilmany Resource and Recovery Facility</w:t>
            </w:r>
          </w:p>
        </w:tc>
        <w:tc>
          <w:tcPr>
            <w:tcW w:w="1440" w:type="dxa"/>
            <w:noWrap/>
            <w:hideMark/>
          </w:tcPr>
          <w:p w14:paraId="47EEB9A8" w14:textId="77777777" w:rsidR="003A12BF" w:rsidRPr="003A12BF" w:rsidRDefault="003A12BF" w:rsidP="00F51716">
            <w:pPr>
              <w:pStyle w:val="Tabletext0"/>
            </w:pPr>
            <w:r w:rsidRPr="003A12BF">
              <w:t>$50,000.00</w:t>
            </w:r>
          </w:p>
        </w:tc>
      </w:tr>
      <w:tr w:rsidR="003A12BF" w:rsidRPr="003A12BF" w14:paraId="3EBC9400" w14:textId="77777777" w:rsidTr="002D4B7F">
        <w:trPr>
          <w:trHeight w:val="300"/>
        </w:trPr>
        <w:tc>
          <w:tcPr>
            <w:tcW w:w="2977" w:type="dxa"/>
            <w:noWrap/>
            <w:hideMark/>
          </w:tcPr>
          <w:p w14:paraId="5E8D38AC" w14:textId="77777777" w:rsidR="003A12BF" w:rsidRPr="003A12BF" w:rsidRDefault="003A12BF" w:rsidP="00F51716">
            <w:pPr>
              <w:pStyle w:val="Tabletext0"/>
            </w:pPr>
            <w:r w:rsidRPr="003A12BF">
              <w:t>Wellington Shire Council</w:t>
            </w:r>
          </w:p>
        </w:tc>
        <w:tc>
          <w:tcPr>
            <w:tcW w:w="4481" w:type="dxa"/>
            <w:noWrap/>
            <w:hideMark/>
          </w:tcPr>
          <w:p w14:paraId="6AC3FFE4" w14:textId="77777777" w:rsidR="003A12BF" w:rsidRPr="003A12BF" w:rsidRDefault="003A12BF" w:rsidP="00F51716">
            <w:pPr>
              <w:pStyle w:val="Tabletext0"/>
            </w:pPr>
            <w:r w:rsidRPr="003A12BF">
              <w:t>E-waste Infrastructure Upgrade - Kilmany Resource and Recovery Facility</w:t>
            </w:r>
          </w:p>
        </w:tc>
        <w:tc>
          <w:tcPr>
            <w:tcW w:w="1440" w:type="dxa"/>
            <w:noWrap/>
            <w:hideMark/>
          </w:tcPr>
          <w:p w14:paraId="7C3CACC2" w14:textId="77777777" w:rsidR="003A12BF" w:rsidRPr="003A12BF" w:rsidRDefault="003A12BF" w:rsidP="00F51716">
            <w:pPr>
              <w:pStyle w:val="Tabletext0"/>
            </w:pPr>
            <w:r w:rsidRPr="003A12BF">
              <w:t>$20,000.00</w:t>
            </w:r>
          </w:p>
        </w:tc>
      </w:tr>
      <w:tr w:rsidR="003A12BF" w:rsidRPr="003A12BF" w14:paraId="0FA1285C" w14:textId="77777777" w:rsidTr="002D4B7F">
        <w:trPr>
          <w:trHeight w:val="300"/>
        </w:trPr>
        <w:tc>
          <w:tcPr>
            <w:tcW w:w="2977" w:type="dxa"/>
            <w:noWrap/>
            <w:hideMark/>
          </w:tcPr>
          <w:p w14:paraId="638691D9" w14:textId="77777777" w:rsidR="003A12BF" w:rsidRPr="003A12BF" w:rsidRDefault="003A12BF" w:rsidP="00F51716">
            <w:pPr>
              <w:pStyle w:val="Tabletext0"/>
            </w:pPr>
            <w:r w:rsidRPr="003A12BF">
              <w:t>Pyrenees Shire Council</w:t>
            </w:r>
          </w:p>
        </w:tc>
        <w:tc>
          <w:tcPr>
            <w:tcW w:w="4481" w:type="dxa"/>
            <w:noWrap/>
            <w:hideMark/>
          </w:tcPr>
          <w:p w14:paraId="3C962778" w14:textId="77777777" w:rsidR="003A12BF" w:rsidRPr="003A12BF" w:rsidRDefault="003A12BF" w:rsidP="00F51716">
            <w:pPr>
              <w:pStyle w:val="Tabletext0"/>
            </w:pPr>
            <w:r w:rsidRPr="003A12BF">
              <w:t>E-waste Infrastructure Upgrade - Avoca Transfer Station</w:t>
            </w:r>
          </w:p>
        </w:tc>
        <w:tc>
          <w:tcPr>
            <w:tcW w:w="1440" w:type="dxa"/>
            <w:noWrap/>
            <w:hideMark/>
          </w:tcPr>
          <w:p w14:paraId="6775072D" w14:textId="77777777" w:rsidR="003A12BF" w:rsidRPr="003A12BF" w:rsidRDefault="003A12BF" w:rsidP="00F51716">
            <w:pPr>
              <w:pStyle w:val="Tabletext0"/>
            </w:pPr>
            <w:r w:rsidRPr="003A12BF">
              <w:t>$20,000.00</w:t>
            </w:r>
          </w:p>
        </w:tc>
      </w:tr>
      <w:tr w:rsidR="003A12BF" w:rsidRPr="003A12BF" w14:paraId="7F64656B" w14:textId="77777777" w:rsidTr="002D4B7F">
        <w:trPr>
          <w:trHeight w:val="300"/>
        </w:trPr>
        <w:tc>
          <w:tcPr>
            <w:tcW w:w="2977" w:type="dxa"/>
            <w:noWrap/>
            <w:hideMark/>
          </w:tcPr>
          <w:p w14:paraId="34961130" w14:textId="77777777" w:rsidR="003A12BF" w:rsidRPr="003A12BF" w:rsidRDefault="003A12BF" w:rsidP="00F51716">
            <w:pPr>
              <w:pStyle w:val="Tabletext0"/>
            </w:pPr>
            <w:r w:rsidRPr="003A12BF">
              <w:t>Pyrenees Shire Council</w:t>
            </w:r>
          </w:p>
        </w:tc>
        <w:tc>
          <w:tcPr>
            <w:tcW w:w="4481" w:type="dxa"/>
            <w:noWrap/>
            <w:hideMark/>
          </w:tcPr>
          <w:p w14:paraId="7C1E2804" w14:textId="77777777" w:rsidR="003A12BF" w:rsidRPr="003A12BF" w:rsidRDefault="003A12BF" w:rsidP="00F51716">
            <w:pPr>
              <w:pStyle w:val="Tabletext0"/>
            </w:pPr>
            <w:r w:rsidRPr="003A12BF">
              <w:t>E-waste Infrastructure Upgrade - Beaufort Transfer Station</w:t>
            </w:r>
          </w:p>
        </w:tc>
        <w:tc>
          <w:tcPr>
            <w:tcW w:w="1440" w:type="dxa"/>
            <w:noWrap/>
            <w:hideMark/>
          </w:tcPr>
          <w:p w14:paraId="2BF20988" w14:textId="77777777" w:rsidR="003A12BF" w:rsidRPr="003A12BF" w:rsidRDefault="003A12BF" w:rsidP="00F51716">
            <w:pPr>
              <w:pStyle w:val="Tabletext0"/>
            </w:pPr>
            <w:r w:rsidRPr="003A12BF">
              <w:t>$19,951.00</w:t>
            </w:r>
          </w:p>
        </w:tc>
      </w:tr>
      <w:tr w:rsidR="003A12BF" w:rsidRPr="003A12BF" w14:paraId="5B6D2D08" w14:textId="77777777" w:rsidTr="002D4B7F">
        <w:trPr>
          <w:trHeight w:val="300"/>
        </w:trPr>
        <w:tc>
          <w:tcPr>
            <w:tcW w:w="2977" w:type="dxa"/>
            <w:noWrap/>
            <w:hideMark/>
          </w:tcPr>
          <w:p w14:paraId="4993B0DB" w14:textId="77777777" w:rsidR="003A12BF" w:rsidRPr="003A12BF" w:rsidRDefault="003A12BF" w:rsidP="00F51716">
            <w:pPr>
              <w:pStyle w:val="Tabletext0"/>
            </w:pPr>
            <w:r w:rsidRPr="003A12BF">
              <w:t>Pyrenees Shire Council</w:t>
            </w:r>
          </w:p>
        </w:tc>
        <w:tc>
          <w:tcPr>
            <w:tcW w:w="4481" w:type="dxa"/>
            <w:noWrap/>
            <w:hideMark/>
          </w:tcPr>
          <w:p w14:paraId="41F4AC7B" w14:textId="77777777" w:rsidR="003A12BF" w:rsidRPr="003A12BF" w:rsidRDefault="003A12BF" w:rsidP="00F51716">
            <w:pPr>
              <w:pStyle w:val="Tabletext0"/>
            </w:pPr>
            <w:r w:rsidRPr="003A12BF">
              <w:t>E-waste Infrastructure Upgrade - Snake Valley Transfer Station</w:t>
            </w:r>
          </w:p>
        </w:tc>
        <w:tc>
          <w:tcPr>
            <w:tcW w:w="1440" w:type="dxa"/>
            <w:noWrap/>
            <w:hideMark/>
          </w:tcPr>
          <w:p w14:paraId="6289CC3D" w14:textId="77777777" w:rsidR="003A12BF" w:rsidRPr="003A12BF" w:rsidRDefault="003A12BF" w:rsidP="00F51716">
            <w:pPr>
              <w:pStyle w:val="Tabletext0"/>
            </w:pPr>
            <w:r w:rsidRPr="003A12BF">
              <w:t>$5,000.00</w:t>
            </w:r>
          </w:p>
        </w:tc>
      </w:tr>
      <w:tr w:rsidR="003A12BF" w:rsidRPr="003A12BF" w14:paraId="7D723892" w14:textId="77777777" w:rsidTr="002D4B7F">
        <w:trPr>
          <w:trHeight w:val="300"/>
        </w:trPr>
        <w:tc>
          <w:tcPr>
            <w:tcW w:w="2977" w:type="dxa"/>
            <w:noWrap/>
            <w:hideMark/>
          </w:tcPr>
          <w:p w14:paraId="066562D4" w14:textId="77777777" w:rsidR="003A12BF" w:rsidRPr="003A12BF" w:rsidRDefault="003A12BF" w:rsidP="00F51716">
            <w:pPr>
              <w:pStyle w:val="Tabletext0"/>
            </w:pPr>
            <w:r w:rsidRPr="003A12BF">
              <w:t>Bayside City Council</w:t>
            </w:r>
          </w:p>
        </w:tc>
        <w:tc>
          <w:tcPr>
            <w:tcW w:w="4481" w:type="dxa"/>
            <w:noWrap/>
            <w:hideMark/>
          </w:tcPr>
          <w:p w14:paraId="7A8D0719" w14:textId="77777777" w:rsidR="003A12BF" w:rsidRPr="003A12BF" w:rsidRDefault="003A12BF" w:rsidP="00F51716">
            <w:pPr>
              <w:pStyle w:val="Tabletext0"/>
            </w:pPr>
            <w:r w:rsidRPr="003A12BF">
              <w:t>E-waste Infrastructure Upgrade - Bayside City Council</w:t>
            </w:r>
          </w:p>
        </w:tc>
        <w:tc>
          <w:tcPr>
            <w:tcW w:w="1440" w:type="dxa"/>
            <w:noWrap/>
            <w:hideMark/>
          </w:tcPr>
          <w:p w14:paraId="0F56511B" w14:textId="77777777" w:rsidR="003A12BF" w:rsidRPr="003A12BF" w:rsidRDefault="003A12BF" w:rsidP="00F51716">
            <w:pPr>
              <w:pStyle w:val="Tabletext0"/>
            </w:pPr>
            <w:r w:rsidRPr="003A12BF">
              <w:t>$36,349.50</w:t>
            </w:r>
          </w:p>
        </w:tc>
      </w:tr>
      <w:tr w:rsidR="003A12BF" w:rsidRPr="003A12BF" w14:paraId="1B92A198" w14:textId="77777777" w:rsidTr="002D4B7F">
        <w:trPr>
          <w:trHeight w:val="300"/>
        </w:trPr>
        <w:tc>
          <w:tcPr>
            <w:tcW w:w="2977" w:type="dxa"/>
            <w:noWrap/>
            <w:hideMark/>
          </w:tcPr>
          <w:p w14:paraId="21F128FC" w14:textId="77777777" w:rsidR="003A12BF" w:rsidRPr="003A12BF" w:rsidRDefault="003A12BF" w:rsidP="00F51716">
            <w:pPr>
              <w:pStyle w:val="Tabletext0"/>
            </w:pPr>
            <w:r w:rsidRPr="003A12BF">
              <w:t>Bayside City Council</w:t>
            </w:r>
          </w:p>
        </w:tc>
        <w:tc>
          <w:tcPr>
            <w:tcW w:w="4481" w:type="dxa"/>
            <w:noWrap/>
            <w:hideMark/>
          </w:tcPr>
          <w:p w14:paraId="3BBE0D69" w14:textId="77777777" w:rsidR="003A12BF" w:rsidRPr="003A12BF" w:rsidRDefault="003A12BF" w:rsidP="00F51716">
            <w:pPr>
              <w:pStyle w:val="Tabletext0"/>
            </w:pPr>
            <w:r w:rsidRPr="003A12BF">
              <w:t>E-waste Infrastructure Upgrade - Bayside City Council</w:t>
            </w:r>
          </w:p>
        </w:tc>
        <w:tc>
          <w:tcPr>
            <w:tcW w:w="1440" w:type="dxa"/>
            <w:noWrap/>
            <w:hideMark/>
          </w:tcPr>
          <w:p w14:paraId="05154206" w14:textId="77777777" w:rsidR="003A12BF" w:rsidRPr="003A12BF" w:rsidRDefault="003A12BF" w:rsidP="00F51716">
            <w:pPr>
              <w:pStyle w:val="Tabletext0"/>
            </w:pPr>
            <w:r w:rsidRPr="003A12BF">
              <w:t>$20,000.00</w:t>
            </w:r>
          </w:p>
        </w:tc>
      </w:tr>
      <w:tr w:rsidR="003A12BF" w:rsidRPr="003A12BF" w14:paraId="7643ED7C" w14:textId="77777777" w:rsidTr="002D4B7F">
        <w:trPr>
          <w:trHeight w:val="300"/>
        </w:trPr>
        <w:tc>
          <w:tcPr>
            <w:tcW w:w="2977" w:type="dxa"/>
            <w:noWrap/>
            <w:hideMark/>
          </w:tcPr>
          <w:p w14:paraId="634E0DA6" w14:textId="77777777" w:rsidR="003A12BF" w:rsidRPr="003A12BF" w:rsidRDefault="003A12BF" w:rsidP="00F51716">
            <w:pPr>
              <w:pStyle w:val="Tabletext0"/>
            </w:pPr>
            <w:r w:rsidRPr="003A12BF">
              <w:t>Corangamite Shire Council</w:t>
            </w:r>
          </w:p>
        </w:tc>
        <w:tc>
          <w:tcPr>
            <w:tcW w:w="4481" w:type="dxa"/>
            <w:noWrap/>
            <w:hideMark/>
          </w:tcPr>
          <w:p w14:paraId="446E7372" w14:textId="77777777" w:rsidR="003A12BF" w:rsidRPr="003A12BF" w:rsidRDefault="003A12BF" w:rsidP="00F51716">
            <w:pPr>
              <w:pStyle w:val="Tabletext0"/>
            </w:pPr>
            <w:r w:rsidRPr="003A12BF">
              <w:t>E-waste Infrastructure Upgrade - Corangamite Shire Council: Naroghid Regional Landfill</w:t>
            </w:r>
          </w:p>
        </w:tc>
        <w:tc>
          <w:tcPr>
            <w:tcW w:w="1440" w:type="dxa"/>
            <w:noWrap/>
            <w:hideMark/>
          </w:tcPr>
          <w:p w14:paraId="5C4FA398" w14:textId="77777777" w:rsidR="003A12BF" w:rsidRPr="003A12BF" w:rsidRDefault="003A12BF" w:rsidP="00F51716">
            <w:pPr>
              <w:pStyle w:val="Tabletext0"/>
            </w:pPr>
            <w:r w:rsidRPr="003A12BF">
              <w:t>$50,000.00</w:t>
            </w:r>
          </w:p>
        </w:tc>
      </w:tr>
      <w:tr w:rsidR="003A12BF" w:rsidRPr="003A12BF" w14:paraId="52B657A0" w14:textId="77777777" w:rsidTr="002D4B7F">
        <w:trPr>
          <w:trHeight w:val="300"/>
        </w:trPr>
        <w:tc>
          <w:tcPr>
            <w:tcW w:w="2977" w:type="dxa"/>
            <w:noWrap/>
            <w:hideMark/>
          </w:tcPr>
          <w:p w14:paraId="26FAA423" w14:textId="77777777" w:rsidR="003A12BF" w:rsidRPr="003A12BF" w:rsidRDefault="003A12BF" w:rsidP="00F51716">
            <w:pPr>
              <w:pStyle w:val="Tabletext0"/>
            </w:pPr>
            <w:r w:rsidRPr="003A12BF">
              <w:t>Corangamite Shire Council</w:t>
            </w:r>
          </w:p>
        </w:tc>
        <w:tc>
          <w:tcPr>
            <w:tcW w:w="4481" w:type="dxa"/>
            <w:noWrap/>
            <w:hideMark/>
          </w:tcPr>
          <w:p w14:paraId="78779061" w14:textId="77777777" w:rsidR="003A12BF" w:rsidRPr="003A12BF" w:rsidRDefault="003A12BF" w:rsidP="00F51716">
            <w:pPr>
              <w:pStyle w:val="Tabletext0"/>
            </w:pPr>
            <w:r w:rsidRPr="003A12BF">
              <w:t>E-waste Infrastructure Upgrade - Corangamite Shire Council: Naroghid Regional Landfill</w:t>
            </w:r>
          </w:p>
        </w:tc>
        <w:tc>
          <w:tcPr>
            <w:tcW w:w="1440" w:type="dxa"/>
            <w:noWrap/>
            <w:hideMark/>
          </w:tcPr>
          <w:p w14:paraId="1DEAC5E3" w14:textId="77777777" w:rsidR="003A12BF" w:rsidRPr="003A12BF" w:rsidRDefault="003A12BF" w:rsidP="00F51716">
            <w:pPr>
              <w:pStyle w:val="Tabletext0"/>
            </w:pPr>
            <w:r w:rsidRPr="003A12BF">
              <w:t>$20,000.00</w:t>
            </w:r>
          </w:p>
        </w:tc>
      </w:tr>
      <w:tr w:rsidR="003A12BF" w:rsidRPr="003A12BF" w14:paraId="4043B6C6" w14:textId="77777777" w:rsidTr="002D4B7F">
        <w:trPr>
          <w:trHeight w:val="300"/>
        </w:trPr>
        <w:tc>
          <w:tcPr>
            <w:tcW w:w="2977" w:type="dxa"/>
            <w:noWrap/>
            <w:hideMark/>
          </w:tcPr>
          <w:p w14:paraId="384C7DE0" w14:textId="77777777" w:rsidR="003A12BF" w:rsidRPr="003A12BF" w:rsidRDefault="003A12BF" w:rsidP="00F51716">
            <w:pPr>
              <w:pStyle w:val="Tabletext0"/>
            </w:pPr>
            <w:r w:rsidRPr="003A12BF">
              <w:t>Corangamite Shire Council</w:t>
            </w:r>
          </w:p>
        </w:tc>
        <w:tc>
          <w:tcPr>
            <w:tcW w:w="4481" w:type="dxa"/>
            <w:noWrap/>
            <w:hideMark/>
          </w:tcPr>
          <w:p w14:paraId="6985D1AA" w14:textId="77777777" w:rsidR="003A12BF" w:rsidRPr="003A12BF" w:rsidRDefault="003A12BF" w:rsidP="00F51716">
            <w:pPr>
              <w:pStyle w:val="Tabletext0"/>
            </w:pPr>
            <w:r w:rsidRPr="003A12BF">
              <w:t>E-waste Infrastructure Upgrade - Timboon Transfer Station</w:t>
            </w:r>
          </w:p>
        </w:tc>
        <w:tc>
          <w:tcPr>
            <w:tcW w:w="1440" w:type="dxa"/>
            <w:noWrap/>
            <w:hideMark/>
          </w:tcPr>
          <w:p w14:paraId="4DC9580D" w14:textId="77777777" w:rsidR="003A12BF" w:rsidRPr="003A12BF" w:rsidRDefault="003A12BF" w:rsidP="00F51716">
            <w:pPr>
              <w:pStyle w:val="Tabletext0"/>
            </w:pPr>
            <w:r w:rsidRPr="003A12BF">
              <w:t>$50,000.00</w:t>
            </w:r>
          </w:p>
        </w:tc>
      </w:tr>
      <w:tr w:rsidR="003A12BF" w:rsidRPr="003A12BF" w14:paraId="7222F7DD" w14:textId="77777777" w:rsidTr="002D4B7F">
        <w:trPr>
          <w:trHeight w:val="300"/>
        </w:trPr>
        <w:tc>
          <w:tcPr>
            <w:tcW w:w="2977" w:type="dxa"/>
            <w:noWrap/>
            <w:hideMark/>
          </w:tcPr>
          <w:p w14:paraId="00C7B1C9" w14:textId="77777777" w:rsidR="003A12BF" w:rsidRPr="003A12BF" w:rsidRDefault="003A12BF" w:rsidP="00F51716">
            <w:pPr>
              <w:pStyle w:val="Tabletext0"/>
            </w:pPr>
            <w:r w:rsidRPr="003A12BF">
              <w:t>Corangamite Shire Council</w:t>
            </w:r>
          </w:p>
        </w:tc>
        <w:tc>
          <w:tcPr>
            <w:tcW w:w="4481" w:type="dxa"/>
            <w:noWrap/>
            <w:hideMark/>
          </w:tcPr>
          <w:p w14:paraId="07FC160F" w14:textId="77777777" w:rsidR="003A12BF" w:rsidRPr="003A12BF" w:rsidRDefault="003A12BF" w:rsidP="00F51716">
            <w:pPr>
              <w:pStyle w:val="Tabletext0"/>
            </w:pPr>
            <w:r w:rsidRPr="003A12BF">
              <w:t>E-waste Infrastructure Upgrade - Timboon Transfer Station</w:t>
            </w:r>
          </w:p>
        </w:tc>
        <w:tc>
          <w:tcPr>
            <w:tcW w:w="1440" w:type="dxa"/>
            <w:noWrap/>
            <w:hideMark/>
          </w:tcPr>
          <w:p w14:paraId="6CE6ED1A" w14:textId="77777777" w:rsidR="003A12BF" w:rsidRPr="003A12BF" w:rsidRDefault="003A12BF" w:rsidP="00F51716">
            <w:pPr>
              <w:pStyle w:val="Tabletext0"/>
            </w:pPr>
            <w:r w:rsidRPr="003A12BF">
              <w:t>$16,702.79</w:t>
            </w:r>
          </w:p>
        </w:tc>
      </w:tr>
      <w:tr w:rsidR="003A12BF" w:rsidRPr="003A12BF" w14:paraId="7677BD85" w14:textId="77777777" w:rsidTr="002D4B7F">
        <w:trPr>
          <w:trHeight w:val="300"/>
        </w:trPr>
        <w:tc>
          <w:tcPr>
            <w:tcW w:w="2977" w:type="dxa"/>
            <w:noWrap/>
            <w:hideMark/>
          </w:tcPr>
          <w:p w14:paraId="428BD3CB" w14:textId="77777777" w:rsidR="003A12BF" w:rsidRPr="003A12BF" w:rsidRDefault="003A12BF" w:rsidP="00F51716">
            <w:pPr>
              <w:pStyle w:val="Tabletext0"/>
            </w:pPr>
            <w:r w:rsidRPr="003A12BF">
              <w:t>Bass Coast Shire Council</w:t>
            </w:r>
          </w:p>
        </w:tc>
        <w:tc>
          <w:tcPr>
            <w:tcW w:w="4481" w:type="dxa"/>
            <w:noWrap/>
            <w:hideMark/>
          </w:tcPr>
          <w:p w14:paraId="0948EBFD" w14:textId="77777777" w:rsidR="003A12BF" w:rsidRPr="003A12BF" w:rsidRDefault="003A12BF" w:rsidP="00F51716">
            <w:pPr>
              <w:pStyle w:val="Tabletext0"/>
            </w:pPr>
            <w:r w:rsidRPr="003A12BF">
              <w:t>E-waste Infrastructure Upgrade - Cowes Recycling Facility</w:t>
            </w:r>
          </w:p>
        </w:tc>
        <w:tc>
          <w:tcPr>
            <w:tcW w:w="1440" w:type="dxa"/>
            <w:noWrap/>
            <w:hideMark/>
          </w:tcPr>
          <w:p w14:paraId="4D920933" w14:textId="77777777" w:rsidR="003A12BF" w:rsidRPr="003A12BF" w:rsidRDefault="003A12BF" w:rsidP="00F51716">
            <w:pPr>
              <w:pStyle w:val="Tabletext0"/>
            </w:pPr>
            <w:r w:rsidRPr="003A12BF">
              <w:t>$47,825.50</w:t>
            </w:r>
          </w:p>
        </w:tc>
      </w:tr>
      <w:tr w:rsidR="003A12BF" w:rsidRPr="003A12BF" w14:paraId="6D7401A8" w14:textId="77777777" w:rsidTr="002D4B7F">
        <w:trPr>
          <w:trHeight w:val="300"/>
        </w:trPr>
        <w:tc>
          <w:tcPr>
            <w:tcW w:w="2977" w:type="dxa"/>
            <w:noWrap/>
            <w:hideMark/>
          </w:tcPr>
          <w:p w14:paraId="6AAE88E8" w14:textId="77777777" w:rsidR="003A12BF" w:rsidRPr="003A12BF" w:rsidRDefault="003A12BF" w:rsidP="00F51716">
            <w:pPr>
              <w:pStyle w:val="Tabletext0"/>
            </w:pPr>
            <w:r w:rsidRPr="003A12BF">
              <w:t>Bass Coast Shire Council</w:t>
            </w:r>
          </w:p>
        </w:tc>
        <w:tc>
          <w:tcPr>
            <w:tcW w:w="4481" w:type="dxa"/>
            <w:noWrap/>
            <w:hideMark/>
          </w:tcPr>
          <w:p w14:paraId="44C71435" w14:textId="77777777" w:rsidR="003A12BF" w:rsidRPr="003A12BF" w:rsidRDefault="003A12BF" w:rsidP="00F51716">
            <w:pPr>
              <w:pStyle w:val="Tabletext0"/>
            </w:pPr>
            <w:r w:rsidRPr="003A12BF">
              <w:t>E-waste Infrastructure Upgrade - Cowes Recycling Facility</w:t>
            </w:r>
          </w:p>
        </w:tc>
        <w:tc>
          <w:tcPr>
            <w:tcW w:w="1440" w:type="dxa"/>
            <w:noWrap/>
            <w:hideMark/>
          </w:tcPr>
          <w:p w14:paraId="245F0C9F" w14:textId="77777777" w:rsidR="003A12BF" w:rsidRPr="003A12BF" w:rsidRDefault="003A12BF" w:rsidP="00F51716">
            <w:pPr>
              <w:pStyle w:val="Tabletext0"/>
            </w:pPr>
            <w:r w:rsidRPr="003A12BF">
              <w:t>$19,130.20</w:t>
            </w:r>
          </w:p>
        </w:tc>
      </w:tr>
      <w:tr w:rsidR="003A12BF" w:rsidRPr="003A12BF" w14:paraId="5D93EE76" w14:textId="77777777" w:rsidTr="002D4B7F">
        <w:trPr>
          <w:trHeight w:val="300"/>
        </w:trPr>
        <w:tc>
          <w:tcPr>
            <w:tcW w:w="2977" w:type="dxa"/>
            <w:noWrap/>
            <w:hideMark/>
          </w:tcPr>
          <w:p w14:paraId="16707854" w14:textId="77777777" w:rsidR="003A12BF" w:rsidRPr="003A12BF" w:rsidRDefault="003A12BF" w:rsidP="00F51716">
            <w:pPr>
              <w:pStyle w:val="Tabletext0"/>
            </w:pPr>
            <w:r w:rsidRPr="003A12BF">
              <w:t>Alpine Shire Council</w:t>
            </w:r>
          </w:p>
        </w:tc>
        <w:tc>
          <w:tcPr>
            <w:tcW w:w="4481" w:type="dxa"/>
            <w:noWrap/>
            <w:hideMark/>
          </w:tcPr>
          <w:p w14:paraId="73C4F060" w14:textId="77777777" w:rsidR="003A12BF" w:rsidRPr="003A12BF" w:rsidRDefault="003A12BF" w:rsidP="00F51716">
            <w:pPr>
              <w:pStyle w:val="Tabletext0"/>
            </w:pPr>
            <w:r w:rsidRPr="003A12BF">
              <w:t>E-waste Infrastructure Upgrade - Alpine Shire Council Mt Beauty Transfer Station</w:t>
            </w:r>
          </w:p>
        </w:tc>
        <w:tc>
          <w:tcPr>
            <w:tcW w:w="1440" w:type="dxa"/>
            <w:noWrap/>
            <w:hideMark/>
          </w:tcPr>
          <w:p w14:paraId="6546861D" w14:textId="77777777" w:rsidR="003A12BF" w:rsidRPr="003A12BF" w:rsidRDefault="003A12BF" w:rsidP="00F51716">
            <w:pPr>
              <w:pStyle w:val="Tabletext0"/>
            </w:pPr>
            <w:r w:rsidRPr="003A12BF">
              <w:t>$30,000.00</w:t>
            </w:r>
          </w:p>
        </w:tc>
      </w:tr>
      <w:tr w:rsidR="003A12BF" w:rsidRPr="003A12BF" w14:paraId="1F734672" w14:textId="77777777" w:rsidTr="002D4B7F">
        <w:trPr>
          <w:trHeight w:val="300"/>
        </w:trPr>
        <w:tc>
          <w:tcPr>
            <w:tcW w:w="2977" w:type="dxa"/>
            <w:noWrap/>
            <w:hideMark/>
          </w:tcPr>
          <w:p w14:paraId="0F2FFC3D" w14:textId="77777777" w:rsidR="003A12BF" w:rsidRPr="003A12BF" w:rsidRDefault="003A12BF" w:rsidP="00F51716">
            <w:pPr>
              <w:pStyle w:val="Tabletext0"/>
            </w:pPr>
            <w:r w:rsidRPr="003A12BF">
              <w:t>Alpine Shire Council</w:t>
            </w:r>
          </w:p>
        </w:tc>
        <w:tc>
          <w:tcPr>
            <w:tcW w:w="4481" w:type="dxa"/>
            <w:noWrap/>
            <w:hideMark/>
          </w:tcPr>
          <w:p w14:paraId="3EEC5BB2" w14:textId="77777777" w:rsidR="003A12BF" w:rsidRPr="003A12BF" w:rsidRDefault="003A12BF" w:rsidP="00F51716">
            <w:pPr>
              <w:pStyle w:val="Tabletext0"/>
            </w:pPr>
            <w:r w:rsidRPr="003A12BF">
              <w:t>E-waste Infrastructure Upgrade - Alpine Shire Council Mt Beauty Transfer Station</w:t>
            </w:r>
          </w:p>
        </w:tc>
        <w:tc>
          <w:tcPr>
            <w:tcW w:w="1440" w:type="dxa"/>
            <w:noWrap/>
            <w:hideMark/>
          </w:tcPr>
          <w:p w14:paraId="0C868399" w14:textId="77777777" w:rsidR="003A12BF" w:rsidRPr="003A12BF" w:rsidRDefault="003A12BF" w:rsidP="00F51716">
            <w:pPr>
              <w:pStyle w:val="Tabletext0"/>
            </w:pPr>
            <w:r w:rsidRPr="003A12BF">
              <w:t>$50,000.00</w:t>
            </w:r>
          </w:p>
        </w:tc>
      </w:tr>
      <w:tr w:rsidR="003A12BF" w:rsidRPr="003A12BF" w14:paraId="12F4A2CB" w14:textId="77777777" w:rsidTr="002D4B7F">
        <w:trPr>
          <w:trHeight w:val="300"/>
        </w:trPr>
        <w:tc>
          <w:tcPr>
            <w:tcW w:w="2977" w:type="dxa"/>
            <w:noWrap/>
            <w:hideMark/>
          </w:tcPr>
          <w:p w14:paraId="2462504B" w14:textId="77777777" w:rsidR="003A12BF" w:rsidRPr="003A12BF" w:rsidRDefault="003A12BF" w:rsidP="00F51716">
            <w:pPr>
              <w:pStyle w:val="Tabletext0"/>
            </w:pPr>
            <w:r w:rsidRPr="003A12BF">
              <w:t>Alpine Shire Council</w:t>
            </w:r>
          </w:p>
        </w:tc>
        <w:tc>
          <w:tcPr>
            <w:tcW w:w="4481" w:type="dxa"/>
            <w:noWrap/>
            <w:hideMark/>
          </w:tcPr>
          <w:p w14:paraId="6AAF0EA8" w14:textId="77777777" w:rsidR="003A12BF" w:rsidRPr="003A12BF" w:rsidRDefault="003A12BF" w:rsidP="00F51716">
            <w:pPr>
              <w:pStyle w:val="Tabletext0"/>
            </w:pPr>
            <w:r w:rsidRPr="003A12BF">
              <w:t>E-waste Infrastructure Upgrade - Alpine Shire Council Mt Beauty Transfer Station</w:t>
            </w:r>
          </w:p>
        </w:tc>
        <w:tc>
          <w:tcPr>
            <w:tcW w:w="1440" w:type="dxa"/>
            <w:noWrap/>
            <w:hideMark/>
          </w:tcPr>
          <w:p w14:paraId="58D232D3" w14:textId="77777777" w:rsidR="003A12BF" w:rsidRPr="003A12BF" w:rsidRDefault="003A12BF" w:rsidP="00F51716">
            <w:pPr>
              <w:pStyle w:val="Tabletext0"/>
            </w:pPr>
            <w:r w:rsidRPr="003A12BF">
              <w:t>$19,393.50</w:t>
            </w:r>
          </w:p>
        </w:tc>
      </w:tr>
      <w:tr w:rsidR="003A12BF" w:rsidRPr="003A12BF" w14:paraId="00B1070C" w14:textId="77777777" w:rsidTr="002D4B7F">
        <w:trPr>
          <w:trHeight w:val="300"/>
        </w:trPr>
        <w:tc>
          <w:tcPr>
            <w:tcW w:w="2977" w:type="dxa"/>
            <w:noWrap/>
            <w:hideMark/>
          </w:tcPr>
          <w:p w14:paraId="4E160CED" w14:textId="77777777" w:rsidR="003A12BF" w:rsidRPr="003A12BF" w:rsidRDefault="003A12BF" w:rsidP="00F51716">
            <w:pPr>
              <w:pStyle w:val="Tabletext0"/>
            </w:pPr>
            <w:r w:rsidRPr="003A12BF">
              <w:t>Alpine Shire Council</w:t>
            </w:r>
          </w:p>
        </w:tc>
        <w:tc>
          <w:tcPr>
            <w:tcW w:w="4481" w:type="dxa"/>
            <w:noWrap/>
            <w:hideMark/>
          </w:tcPr>
          <w:p w14:paraId="3EFACF5E" w14:textId="77777777" w:rsidR="003A12BF" w:rsidRPr="003A12BF" w:rsidRDefault="003A12BF" w:rsidP="00F51716">
            <w:pPr>
              <w:pStyle w:val="Tabletext0"/>
            </w:pPr>
            <w:r w:rsidRPr="003A12BF">
              <w:t>E-waste Infrastructure Upgrade - Alpine Shire Council Myrtleford Transfer Station</w:t>
            </w:r>
          </w:p>
        </w:tc>
        <w:tc>
          <w:tcPr>
            <w:tcW w:w="1440" w:type="dxa"/>
            <w:noWrap/>
            <w:hideMark/>
          </w:tcPr>
          <w:p w14:paraId="36F218DF" w14:textId="77777777" w:rsidR="003A12BF" w:rsidRPr="003A12BF" w:rsidRDefault="003A12BF" w:rsidP="00F51716">
            <w:pPr>
              <w:pStyle w:val="Tabletext0"/>
            </w:pPr>
            <w:r w:rsidRPr="003A12BF">
              <w:t>$30,000.00</w:t>
            </w:r>
          </w:p>
        </w:tc>
      </w:tr>
      <w:tr w:rsidR="003A12BF" w:rsidRPr="003A12BF" w14:paraId="65FA1901" w14:textId="77777777" w:rsidTr="002D4B7F">
        <w:trPr>
          <w:trHeight w:val="300"/>
        </w:trPr>
        <w:tc>
          <w:tcPr>
            <w:tcW w:w="2977" w:type="dxa"/>
            <w:noWrap/>
            <w:hideMark/>
          </w:tcPr>
          <w:p w14:paraId="2267F748" w14:textId="77777777" w:rsidR="003A12BF" w:rsidRPr="003A12BF" w:rsidRDefault="003A12BF" w:rsidP="00F51716">
            <w:pPr>
              <w:pStyle w:val="Tabletext0"/>
            </w:pPr>
            <w:r w:rsidRPr="003A12BF">
              <w:t>Alpine Shire Council</w:t>
            </w:r>
          </w:p>
        </w:tc>
        <w:tc>
          <w:tcPr>
            <w:tcW w:w="4481" w:type="dxa"/>
            <w:noWrap/>
            <w:hideMark/>
          </w:tcPr>
          <w:p w14:paraId="0986472C" w14:textId="77777777" w:rsidR="003A12BF" w:rsidRPr="003A12BF" w:rsidRDefault="003A12BF" w:rsidP="00F51716">
            <w:pPr>
              <w:pStyle w:val="Tabletext0"/>
            </w:pPr>
            <w:r w:rsidRPr="003A12BF">
              <w:t>E-waste Infrastructure Upgrade - Alpine Shire Council Myrtleford Transfer Station</w:t>
            </w:r>
          </w:p>
        </w:tc>
        <w:tc>
          <w:tcPr>
            <w:tcW w:w="1440" w:type="dxa"/>
            <w:noWrap/>
            <w:hideMark/>
          </w:tcPr>
          <w:p w14:paraId="7F6522EF" w14:textId="77777777" w:rsidR="003A12BF" w:rsidRPr="003A12BF" w:rsidRDefault="003A12BF" w:rsidP="00F51716">
            <w:pPr>
              <w:pStyle w:val="Tabletext0"/>
            </w:pPr>
            <w:r w:rsidRPr="003A12BF">
              <w:t>$20,000.00</w:t>
            </w:r>
          </w:p>
        </w:tc>
      </w:tr>
      <w:tr w:rsidR="003A12BF" w:rsidRPr="003A12BF" w14:paraId="2019647A" w14:textId="77777777" w:rsidTr="002D4B7F">
        <w:trPr>
          <w:trHeight w:val="300"/>
        </w:trPr>
        <w:tc>
          <w:tcPr>
            <w:tcW w:w="2977" w:type="dxa"/>
            <w:noWrap/>
            <w:hideMark/>
          </w:tcPr>
          <w:p w14:paraId="469E2C6E" w14:textId="77777777" w:rsidR="003A12BF" w:rsidRPr="003A12BF" w:rsidRDefault="003A12BF" w:rsidP="00F51716">
            <w:pPr>
              <w:pStyle w:val="Tabletext0"/>
            </w:pPr>
            <w:r w:rsidRPr="003A12BF">
              <w:t>East Gippsland Shire Council</w:t>
            </w:r>
          </w:p>
        </w:tc>
        <w:tc>
          <w:tcPr>
            <w:tcW w:w="4481" w:type="dxa"/>
            <w:noWrap/>
            <w:hideMark/>
          </w:tcPr>
          <w:p w14:paraId="3D1B5579" w14:textId="77777777" w:rsidR="003A12BF" w:rsidRPr="003A12BF" w:rsidRDefault="003A12BF" w:rsidP="00F51716">
            <w:pPr>
              <w:pStyle w:val="Tabletext0"/>
            </w:pPr>
            <w:r w:rsidRPr="003A12BF">
              <w:t>E-waste Infrastructure Upgrade - East Gippsland Shire Council Bairnsdale RRC</w:t>
            </w:r>
          </w:p>
        </w:tc>
        <w:tc>
          <w:tcPr>
            <w:tcW w:w="1440" w:type="dxa"/>
            <w:noWrap/>
            <w:hideMark/>
          </w:tcPr>
          <w:p w14:paraId="5CAAD0CE" w14:textId="77777777" w:rsidR="003A12BF" w:rsidRPr="003A12BF" w:rsidRDefault="003A12BF" w:rsidP="00F51716">
            <w:pPr>
              <w:pStyle w:val="Tabletext0"/>
            </w:pPr>
            <w:r w:rsidRPr="003A12BF">
              <w:t>$50,000.00</w:t>
            </w:r>
          </w:p>
        </w:tc>
      </w:tr>
      <w:tr w:rsidR="003A12BF" w:rsidRPr="003A12BF" w14:paraId="406E5CD5" w14:textId="77777777" w:rsidTr="002D4B7F">
        <w:trPr>
          <w:trHeight w:val="300"/>
        </w:trPr>
        <w:tc>
          <w:tcPr>
            <w:tcW w:w="2977" w:type="dxa"/>
            <w:noWrap/>
            <w:hideMark/>
          </w:tcPr>
          <w:p w14:paraId="0930568B" w14:textId="77777777" w:rsidR="003A12BF" w:rsidRPr="003A12BF" w:rsidRDefault="003A12BF" w:rsidP="00F51716">
            <w:pPr>
              <w:pStyle w:val="Tabletext0"/>
            </w:pPr>
            <w:r w:rsidRPr="003A12BF">
              <w:t>East Gippsland Shire Council</w:t>
            </w:r>
          </w:p>
        </w:tc>
        <w:tc>
          <w:tcPr>
            <w:tcW w:w="4481" w:type="dxa"/>
            <w:noWrap/>
            <w:hideMark/>
          </w:tcPr>
          <w:p w14:paraId="1E74CB25" w14:textId="77777777" w:rsidR="003A12BF" w:rsidRPr="003A12BF" w:rsidRDefault="003A12BF" w:rsidP="00F51716">
            <w:pPr>
              <w:pStyle w:val="Tabletext0"/>
            </w:pPr>
            <w:r w:rsidRPr="003A12BF">
              <w:t>E-waste Infrastructure Upgrade - East Gippsland Shire Council Bairnsdale RRC</w:t>
            </w:r>
          </w:p>
        </w:tc>
        <w:tc>
          <w:tcPr>
            <w:tcW w:w="1440" w:type="dxa"/>
            <w:noWrap/>
            <w:hideMark/>
          </w:tcPr>
          <w:p w14:paraId="01A20A36" w14:textId="77777777" w:rsidR="003A12BF" w:rsidRPr="003A12BF" w:rsidRDefault="003A12BF" w:rsidP="00F51716">
            <w:pPr>
              <w:pStyle w:val="Tabletext0"/>
            </w:pPr>
            <w:r w:rsidRPr="003A12BF">
              <w:t>$20,000.00</w:t>
            </w:r>
          </w:p>
        </w:tc>
      </w:tr>
      <w:tr w:rsidR="003A12BF" w:rsidRPr="003A12BF" w14:paraId="611EC17D" w14:textId="77777777" w:rsidTr="002D4B7F">
        <w:trPr>
          <w:trHeight w:val="300"/>
        </w:trPr>
        <w:tc>
          <w:tcPr>
            <w:tcW w:w="2977" w:type="dxa"/>
            <w:noWrap/>
            <w:hideMark/>
          </w:tcPr>
          <w:p w14:paraId="64EC3F74" w14:textId="77777777" w:rsidR="003A12BF" w:rsidRPr="003A12BF" w:rsidRDefault="003A12BF" w:rsidP="00F51716">
            <w:pPr>
              <w:pStyle w:val="Tabletext0"/>
            </w:pPr>
            <w:r w:rsidRPr="003A12BF">
              <w:t>Brimbank City Council</w:t>
            </w:r>
          </w:p>
        </w:tc>
        <w:tc>
          <w:tcPr>
            <w:tcW w:w="4481" w:type="dxa"/>
            <w:noWrap/>
            <w:hideMark/>
          </w:tcPr>
          <w:p w14:paraId="564B35E8" w14:textId="77777777" w:rsidR="003A12BF" w:rsidRPr="003A12BF" w:rsidRDefault="003A12BF" w:rsidP="00F51716">
            <w:pPr>
              <w:pStyle w:val="Tabletext0"/>
            </w:pPr>
            <w:r w:rsidRPr="003A12BF">
              <w:t>E-waste Infrastructure Upgrade - Brimbank City Council Detox Centre</w:t>
            </w:r>
          </w:p>
        </w:tc>
        <w:tc>
          <w:tcPr>
            <w:tcW w:w="1440" w:type="dxa"/>
            <w:noWrap/>
            <w:hideMark/>
          </w:tcPr>
          <w:p w14:paraId="1E5FED49" w14:textId="77777777" w:rsidR="003A12BF" w:rsidRPr="003A12BF" w:rsidRDefault="003A12BF" w:rsidP="00F51716">
            <w:pPr>
              <w:pStyle w:val="Tabletext0"/>
            </w:pPr>
            <w:r w:rsidRPr="003A12BF">
              <w:t>$50,000.00</w:t>
            </w:r>
          </w:p>
        </w:tc>
      </w:tr>
      <w:tr w:rsidR="003A12BF" w:rsidRPr="003A12BF" w14:paraId="5D8C8DE4" w14:textId="77777777" w:rsidTr="002D4B7F">
        <w:trPr>
          <w:trHeight w:val="300"/>
        </w:trPr>
        <w:tc>
          <w:tcPr>
            <w:tcW w:w="2977" w:type="dxa"/>
            <w:noWrap/>
            <w:hideMark/>
          </w:tcPr>
          <w:p w14:paraId="73F1CC8C" w14:textId="77777777" w:rsidR="003A12BF" w:rsidRPr="003A12BF" w:rsidRDefault="003A12BF" w:rsidP="00F51716">
            <w:pPr>
              <w:pStyle w:val="Tabletext0"/>
            </w:pPr>
            <w:r w:rsidRPr="003A12BF">
              <w:t>Brimbank City Council</w:t>
            </w:r>
          </w:p>
        </w:tc>
        <w:tc>
          <w:tcPr>
            <w:tcW w:w="4481" w:type="dxa"/>
            <w:noWrap/>
            <w:hideMark/>
          </w:tcPr>
          <w:p w14:paraId="1E410588" w14:textId="77777777" w:rsidR="003A12BF" w:rsidRPr="003A12BF" w:rsidRDefault="003A12BF" w:rsidP="00F51716">
            <w:pPr>
              <w:pStyle w:val="Tabletext0"/>
            </w:pPr>
            <w:r w:rsidRPr="003A12BF">
              <w:t>E-waste Infrastructure Upgrade - Brimbank City Council Detox Centre</w:t>
            </w:r>
          </w:p>
        </w:tc>
        <w:tc>
          <w:tcPr>
            <w:tcW w:w="1440" w:type="dxa"/>
            <w:noWrap/>
            <w:hideMark/>
          </w:tcPr>
          <w:p w14:paraId="3F7DF0D2" w14:textId="77777777" w:rsidR="003A12BF" w:rsidRPr="003A12BF" w:rsidRDefault="003A12BF" w:rsidP="00F51716">
            <w:pPr>
              <w:pStyle w:val="Tabletext0"/>
            </w:pPr>
            <w:r w:rsidRPr="003A12BF">
              <w:t>$29,492.30</w:t>
            </w:r>
          </w:p>
        </w:tc>
      </w:tr>
      <w:tr w:rsidR="003A12BF" w:rsidRPr="003A12BF" w14:paraId="05AFA751" w14:textId="77777777" w:rsidTr="002D4B7F">
        <w:trPr>
          <w:trHeight w:val="300"/>
        </w:trPr>
        <w:tc>
          <w:tcPr>
            <w:tcW w:w="2977" w:type="dxa"/>
            <w:noWrap/>
            <w:hideMark/>
          </w:tcPr>
          <w:p w14:paraId="742C495A" w14:textId="77777777" w:rsidR="003A12BF" w:rsidRPr="003A12BF" w:rsidRDefault="003A12BF" w:rsidP="00F51716">
            <w:pPr>
              <w:pStyle w:val="Tabletext0"/>
            </w:pPr>
            <w:r w:rsidRPr="003A12BF">
              <w:t>Buloke Shire Council</w:t>
            </w:r>
          </w:p>
        </w:tc>
        <w:tc>
          <w:tcPr>
            <w:tcW w:w="4481" w:type="dxa"/>
            <w:noWrap/>
            <w:hideMark/>
          </w:tcPr>
          <w:p w14:paraId="6207069E" w14:textId="77777777" w:rsidR="003A12BF" w:rsidRPr="003A12BF" w:rsidRDefault="003A12BF" w:rsidP="00F51716">
            <w:pPr>
              <w:pStyle w:val="Tabletext0"/>
            </w:pPr>
            <w:r w:rsidRPr="003A12BF">
              <w:t>E-waste Infrastructure Upgrade - Birchip Landfill - Buloke Shire Council</w:t>
            </w:r>
          </w:p>
        </w:tc>
        <w:tc>
          <w:tcPr>
            <w:tcW w:w="1440" w:type="dxa"/>
            <w:noWrap/>
            <w:hideMark/>
          </w:tcPr>
          <w:p w14:paraId="4295BE3B" w14:textId="77777777" w:rsidR="003A12BF" w:rsidRPr="003A12BF" w:rsidRDefault="003A12BF" w:rsidP="00F51716">
            <w:pPr>
              <w:pStyle w:val="Tabletext0"/>
            </w:pPr>
            <w:r w:rsidRPr="003A12BF">
              <w:t>$50,598.67</w:t>
            </w:r>
          </w:p>
        </w:tc>
      </w:tr>
      <w:tr w:rsidR="003A12BF" w:rsidRPr="003A12BF" w14:paraId="0F72E741" w14:textId="77777777" w:rsidTr="002D4B7F">
        <w:trPr>
          <w:trHeight w:val="300"/>
        </w:trPr>
        <w:tc>
          <w:tcPr>
            <w:tcW w:w="2977" w:type="dxa"/>
            <w:noWrap/>
            <w:hideMark/>
          </w:tcPr>
          <w:p w14:paraId="3EB285A6" w14:textId="77777777" w:rsidR="003A12BF" w:rsidRPr="003A12BF" w:rsidRDefault="003A12BF" w:rsidP="00F51716">
            <w:pPr>
              <w:pStyle w:val="Tabletext0"/>
            </w:pPr>
            <w:r w:rsidRPr="003A12BF">
              <w:t>Buloke Shire Council</w:t>
            </w:r>
          </w:p>
        </w:tc>
        <w:tc>
          <w:tcPr>
            <w:tcW w:w="4481" w:type="dxa"/>
            <w:noWrap/>
            <w:hideMark/>
          </w:tcPr>
          <w:p w14:paraId="61BE061F" w14:textId="77777777" w:rsidR="003A12BF" w:rsidRPr="003A12BF" w:rsidRDefault="003A12BF" w:rsidP="00F51716">
            <w:pPr>
              <w:pStyle w:val="Tabletext0"/>
            </w:pPr>
            <w:r w:rsidRPr="003A12BF">
              <w:t>E-waste Infrastructure Upgrade - Birchip Landfill - Buloke Shire Council</w:t>
            </w:r>
          </w:p>
        </w:tc>
        <w:tc>
          <w:tcPr>
            <w:tcW w:w="1440" w:type="dxa"/>
            <w:noWrap/>
            <w:hideMark/>
          </w:tcPr>
          <w:p w14:paraId="51FDC4C7" w14:textId="77777777" w:rsidR="003A12BF" w:rsidRPr="003A12BF" w:rsidRDefault="003A12BF" w:rsidP="00F51716">
            <w:pPr>
              <w:pStyle w:val="Tabletext0"/>
            </w:pPr>
            <w:r w:rsidRPr="003A12BF">
              <w:t>$21,685.15</w:t>
            </w:r>
          </w:p>
        </w:tc>
      </w:tr>
      <w:tr w:rsidR="003A12BF" w:rsidRPr="003A12BF" w14:paraId="303AE483" w14:textId="77777777" w:rsidTr="002D4B7F">
        <w:trPr>
          <w:trHeight w:val="300"/>
        </w:trPr>
        <w:tc>
          <w:tcPr>
            <w:tcW w:w="2977" w:type="dxa"/>
            <w:noWrap/>
            <w:hideMark/>
          </w:tcPr>
          <w:p w14:paraId="461E5DBD" w14:textId="77777777" w:rsidR="003A12BF" w:rsidRPr="003A12BF" w:rsidRDefault="003A12BF" w:rsidP="00F51716">
            <w:pPr>
              <w:pStyle w:val="Tabletext0"/>
            </w:pPr>
            <w:r w:rsidRPr="003A12BF">
              <w:t>Buloke Shire Council</w:t>
            </w:r>
          </w:p>
        </w:tc>
        <w:tc>
          <w:tcPr>
            <w:tcW w:w="4481" w:type="dxa"/>
            <w:noWrap/>
            <w:hideMark/>
          </w:tcPr>
          <w:p w14:paraId="15FEED2F" w14:textId="77777777" w:rsidR="003A12BF" w:rsidRPr="003A12BF" w:rsidRDefault="003A12BF" w:rsidP="00F51716">
            <w:pPr>
              <w:pStyle w:val="Tabletext0"/>
            </w:pPr>
            <w:r w:rsidRPr="003A12BF">
              <w:t>E-waste Infrastructure Upgrade - Sea Lake Transfer Station - Buloke Shire Council</w:t>
            </w:r>
          </w:p>
        </w:tc>
        <w:tc>
          <w:tcPr>
            <w:tcW w:w="1440" w:type="dxa"/>
            <w:noWrap/>
            <w:hideMark/>
          </w:tcPr>
          <w:p w14:paraId="6FDDEF86" w14:textId="77777777" w:rsidR="003A12BF" w:rsidRPr="003A12BF" w:rsidRDefault="003A12BF" w:rsidP="00F51716">
            <w:pPr>
              <w:pStyle w:val="Tabletext0"/>
            </w:pPr>
            <w:r w:rsidRPr="003A12BF">
              <w:t>$39,751.05</w:t>
            </w:r>
          </w:p>
        </w:tc>
      </w:tr>
      <w:tr w:rsidR="003A12BF" w:rsidRPr="003A12BF" w14:paraId="2D4A5102" w14:textId="77777777" w:rsidTr="002D4B7F">
        <w:trPr>
          <w:trHeight w:val="300"/>
        </w:trPr>
        <w:tc>
          <w:tcPr>
            <w:tcW w:w="2977" w:type="dxa"/>
            <w:noWrap/>
            <w:hideMark/>
          </w:tcPr>
          <w:p w14:paraId="5E5D40BE" w14:textId="77777777" w:rsidR="003A12BF" w:rsidRPr="003A12BF" w:rsidRDefault="003A12BF" w:rsidP="00F51716">
            <w:pPr>
              <w:pStyle w:val="Tabletext0"/>
            </w:pPr>
            <w:r w:rsidRPr="003A12BF">
              <w:t>Buloke Shire Council</w:t>
            </w:r>
          </w:p>
        </w:tc>
        <w:tc>
          <w:tcPr>
            <w:tcW w:w="4481" w:type="dxa"/>
            <w:noWrap/>
            <w:hideMark/>
          </w:tcPr>
          <w:p w14:paraId="3A8999FB" w14:textId="77777777" w:rsidR="003A12BF" w:rsidRPr="003A12BF" w:rsidRDefault="003A12BF" w:rsidP="00F51716">
            <w:pPr>
              <w:pStyle w:val="Tabletext0"/>
            </w:pPr>
            <w:r w:rsidRPr="003A12BF">
              <w:t>E-waste Infrastructure Upgrade - Sea Lake Transfer Station - Buloke Shire Council</w:t>
            </w:r>
          </w:p>
        </w:tc>
        <w:tc>
          <w:tcPr>
            <w:tcW w:w="1440" w:type="dxa"/>
            <w:noWrap/>
            <w:hideMark/>
          </w:tcPr>
          <w:p w14:paraId="4BE50DAC" w14:textId="77777777" w:rsidR="003A12BF" w:rsidRPr="003A12BF" w:rsidRDefault="003A12BF" w:rsidP="00F51716">
            <w:pPr>
              <w:pStyle w:val="Tabletext0"/>
            </w:pPr>
            <w:r w:rsidRPr="003A12BF">
              <w:t>$16,550.91</w:t>
            </w:r>
          </w:p>
        </w:tc>
      </w:tr>
      <w:tr w:rsidR="003A12BF" w:rsidRPr="003A12BF" w14:paraId="401A3E80" w14:textId="77777777" w:rsidTr="002D4B7F">
        <w:trPr>
          <w:trHeight w:val="300"/>
        </w:trPr>
        <w:tc>
          <w:tcPr>
            <w:tcW w:w="2977" w:type="dxa"/>
            <w:noWrap/>
            <w:hideMark/>
          </w:tcPr>
          <w:p w14:paraId="1712852F" w14:textId="77777777" w:rsidR="003A12BF" w:rsidRPr="003A12BF" w:rsidRDefault="003A12BF" w:rsidP="00F51716">
            <w:pPr>
              <w:pStyle w:val="Tabletext0"/>
            </w:pPr>
            <w:r w:rsidRPr="003A12BF">
              <w:t>Falls Creek Alpine Resort Management Board</w:t>
            </w:r>
          </w:p>
        </w:tc>
        <w:tc>
          <w:tcPr>
            <w:tcW w:w="4481" w:type="dxa"/>
            <w:noWrap/>
            <w:hideMark/>
          </w:tcPr>
          <w:p w14:paraId="3C8C0C2E" w14:textId="77777777" w:rsidR="003A12BF" w:rsidRPr="003A12BF" w:rsidRDefault="003A12BF" w:rsidP="00F51716">
            <w:pPr>
              <w:pStyle w:val="Tabletext0"/>
            </w:pPr>
            <w:r w:rsidRPr="003A12BF">
              <w:t>E-waste Infrastructure Upgrade - Falls Creek E-Waste Recovery Centre</w:t>
            </w:r>
          </w:p>
        </w:tc>
        <w:tc>
          <w:tcPr>
            <w:tcW w:w="1440" w:type="dxa"/>
            <w:noWrap/>
            <w:hideMark/>
          </w:tcPr>
          <w:p w14:paraId="63BC0BB6" w14:textId="77777777" w:rsidR="003A12BF" w:rsidRPr="003A12BF" w:rsidRDefault="003A12BF" w:rsidP="00F51716">
            <w:pPr>
              <w:pStyle w:val="Tabletext0"/>
            </w:pPr>
            <w:r w:rsidRPr="003A12BF">
              <w:t>$22,747.20</w:t>
            </w:r>
          </w:p>
        </w:tc>
      </w:tr>
      <w:tr w:rsidR="003A12BF" w:rsidRPr="003A12BF" w14:paraId="2FBE5611" w14:textId="77777777" w:rsidTr="002D4B7F">
        <w:trPr>
          <w:trHeight w:val="300"/>
        </w:trPr>
        <w:tc>
          <w:tcPr>
            <w:tcW w:w="2977" w:type="dxa"/>
            <w:noWrap/>
            <w:hideMark/>
          </w:tcPr>
          <w:p w14:paraId="49DC983B" w14:textId="77777777" w:rsidR="003A12BF" w:rsidRPr="003A12BF" w:rsidRDefault="003A12BF" w:rsidP="00F51716">
            <w:pPr>
              <w:pStyle w:val="Tabletext0"/>
            </w:pPr>
            <w:r w:rsidRPr="003A12BF">
              <w:t>Falls Creek Alpine Resort Management Board</w:t>
            </w:r>
          </w:p>
        </w:tc>
        <w:tc>
          <w:tcPr>
            <w:tcW w:w="4481" w:type="dxa"/>
            <w:noWrap/>
            <w:hideMark/>
          </w:tcPr>
          <w:p w14:paraId="2EC8E035" w14:textId="77777777" w:rsidR="003A12BF" w:rsidRPr="003A12BF" w:rsidRDefault="003A12BF" w:rsidP="00F51716">
            <w:pPr>
              <w:pStyle w:val="Tabletext0"/>
            </w:pPr>
            <w:r w:rsidRPr="003A12BF">
              <w:t>E-waste Infrastructure Upgrade - Falls Creek E-Waste Recovery Centre</w:t>
            </w:r>
          </w:p>
        </w:tc>
        <w:tc>
          <w:tcPr>
            <w:tcW w:w="1440" w:type="dxa"/>
            <w:noWrap/>
            <w:hideMark/>
          </w:tcPr>
          <w:p w14:paraId="6B4E23BF" w14:textId="77777777" w:rsidR="003A12BF" w:rsidRPr="003A12BF" w:rsidRDefault="003A12BF" w:rsidP="00F51716">
            <w:pPr>
              <w:pStyle w:val="Tabletext0"/>
            </w:pPr>
            <w:r w:rsidRPr="003A12BF">
              <w:t>$37,912.00</w:t>
            </w:r>
          </w:p>
        </w:tc>
      </w:tr>
      <w:tr w:rsidR="003A12BF" w:rsidRPr="003A12BF" w14:paraId="4789DD64" w14:textId="77777777" w:rsidTr="002D4B7F">
        <w:trPr>
          <w:trHeight w:val="300"/>
        </w:trPr>
        <w:tc>
          <w:tcPr>
            <w:tcW w:w="2977" w:type="dxa"/>
            <w:noWrap/>
            <w:hideMark/>
          </w:tcPr>
          <w:p w14:paraId="33F8916F" w14:textId="77777777" w:rsidR="003A12BF" w:rsidRPr="003A12BF" w:rsidRDefault="003A12BF" w:rsidP="00F51716">
            <w:pPr>
              <w:pStyle w:val="Tabletext0"/>
            </w:pPr>
            <w:r w:rsidRPr="003A12BF">
              <w:t>Falls Creek Alpine Resort Management Board</w:t>
            </w:r>
          </w:p>
        </w:tc>
        <w:tc>
          <w:tcPr>
            <w:tcW w:w="4481" w:type="dxa"/>
            <w:noWrap/>
            <w:hideMark/>
          </w:tcPr>
          <w:p w14:paraId="61F01F32" w14:textId="77777777" w:rsidR="003A12BF" w:rsidRPr="003A12BF" w:rsidRDefault="003A12BF" w:rsidP="00F51716">
            <w:pPr>
              <w:pStyle w:val="Tabletext0"/>
            </w:pPr>
            <w:r w:rsidRPr="003A12BF">
              <w:t>E-waste Infrastructure Upgrade - Falls Creek E-Waste Recovery Centre</w:t>
            </w:r>
          </w:p>
        </w:tc>
        <w:tc>
          <w:tcPr>
            <w:tcW w:w="1440" w:type="dxa"/>
            <w:noWrap/>
            <w:hideMark/>
          </w:tcPr>
          <w:p w14:paraId="53E9B321" w14:textId="77777777" w:rsidR="003A12BF" w:rsidRPr="003A12BF" w:rsidRDefault="003A12BF" w:rsidP="00F51716">
            <w:pPr>
              <w:pStyle w:val="Tabletext0"/>
            </w:pPr>
            <w:r w:rsidRPr="003A12BF">
              <w:t>$15,164.80</w:t>
            </w:r>
          </w:p>
        </w:tc>
      </w:tr>
      <w:tr w:rsidR="003A12BF" w:rsidRPr="003A12BF" w14:paraId="46C358E1" w14:textId="77777777" w:rsidTr="002D4B7F">
        <w:trPr>
          <w:trHeight w:val="300"/>
        </w:trPr>
        <w:tc>
          <w:tcPr>
            <w:tcW w:w="2977" w:type="dxa"/>
            <w:noWrap/>
            <w:hideMark/>
          </w:tcPr>
          <w:p w14:paraId="0EFF2E75" w14:textId="77777777" w:rsidR="003A12BF" w:rsidRPr="003A12BF" w:rsidRDefault="003A12BF" w:rsidP="00F51716">
            <w:pPr>
              <w:pStyle w:val="Tabletext0"/>
            </w:pPr>
            <w:r w:rsidRPr="003A12BF">
              <w:t>Central Goldfields Shire Council</w:t>
            </w:r>
          </w:p>
        </w:tc>
        <w:tc>
          <w:tcPr>
            <w:tcW w:w="4481" w:type="dxa"/>
            <w:noWrap/>
            <w:hideMark/>
          </w:tcPr>
          <w:p w14:paraId="6EA5EBE8" w14:textId="77777777" w:rsidR="003A12BF" w:rsidRPr="003A12BF" w:rsidRDefault="003A12BF" w:rsidP="00F51716">
            <w:pPr>
              <w:pStyle w:val="Tabletext0"/>
            </w:pPr>
            <w:r w:rsidRPr="003A12BF">
              <w:t>E-waste Infrastructure Upgrade - Central Goldfields Shire Council</w:t>
            </w:r>
          </w:p>
        </w:tc>
        <w:tc>
          <w:tcPr>
            <w:tcW w:w="1440" w:type="dxa"/>
            <w:noWrap/>
            <w:hideMark/>
          </w:tcPr>
          <w:p w14:paraId="6E582654" w14:textId="77777777" w:rsidR="003A12BF" w:rsidRPr="003A12BF" w:rsidRDefault="003A12BF" w:rsidP="00F51716">
            <w:pPr>
              <w:pStyle w:val="Tabletext0"/>
            </w:pPr>
            <w:r w:rsidRPr="003A12BF">
              <w:t>$50,000.00</w:t>
            </w:r>
          </w:p>
        </w:tc>
      </w:tr>
      <w:tr w:rsidR="003A12BF" w:rsidRPr="003A12BF" w14:paraId="2266F4D2" w14:textId="77777777" w:rsidTr="002D4B7F">
        <w:trPr>
          <w:trHeight w:val="300"/>
        </w:trPr>
        <w:tc>
          <w:tcPr>
            <w:tcW w:w="2977" w:type="dxa"/>
            <w:noWrap/>
            <w:hideMark/>
          </w:tcPr>
          <w:p w14:paraId="4F358D06" w14:textId="77777777" w:rsidR="003A12BF" w:rsidRPr="003A12BF" w:rsidRDefault="003A12BF" w:rsidP="00F51716">
            <w:pPr>
              <w:pStyle w:val="Tabletext0"/>
            </w:pPr>
            <w:r w:rsidRPr="003A12BF">
              <w:t>Central Goldfields Shire Council</w:t>
            </w:r>
          </w:p>
        </w:tc>
        <w:tc>
          <w:tcPr>
            <w:tcW w:w="4481" w:type="dxa"/>
            <w:noWrap/>
            <w:hideMark/>
          </w:tcPr>
          <w:p w14:paraId="546FFE7D" w14:textId="77777777" w:rsidR="003A12BF" w:rsidRPr="003A12BF" w:rsidRDefault="003A12BF" w:rsidP="00F51716">
            <w:pPr>
              <w:pStyle w:val="Tabletext0"/>
            </w:pPr>
            <w:r w:rsidRPr="003A12BF">
              <w:t>E-waste Infrastructure Upgrade - Central Goldfields Shire Council</w:t>
            </w:r>
          </w:p>
        </w:tc>
        <w:tc>
          <w:tcPr>
            <w:tcW w:w="1440" w:type="dxa"/>
            <w:noWrap/>
            <w:hideMark/>
          </w:tcPr>
          <w:p w14:paraId="6782DD0C" w14:textId="77777777" w:rsidR="003A12BF" w:rsidRPr="003A12BF" w:rsidRDefault="003A12BF" w:rsidP="00F51716">
            <w:pPr>
              <w:pStyle w:val="Tabletext0"/>
            </w:pPr>
            <w:r w:rsidRPr="003A12BF">
              <w:t>$20,000.00</w:t>
            </w:r>
          </w:p>
        </w:tc>
      </w:tr>
      <w:tr w:rsidR="003A12BF" w:rsidRPr="003A12BF" w14:paraId="599A3502" w14:textId="77777777" w:rsidTr="002D4B7F">
        <w:trPr>
          <w:trHeight w:val="300"/>
        </w:trPr>
        <w:tc>
          <w:tcPr>
            <w:tcW w:w="2977" w:type="dxa"/>
            <w:noWrap/>
            <w:hideMark/>
          </w:tcPr>
          <w:p w14:paraId="62CADF7F" w14:textId="77777777" w:rsidR="003A12BF" w:rsidRPr="003A12BF" w:rsidRDefault="003A12BF" w:rsidP="00F51716">
            <w:pPr>
              <w:pStyle w:val="Tabletext0"/>
            </w:pPr>
            <w:r w:rsidRPr="003A12BF">
              <w:t>Bass Coast Shire Council</w:t>
            </w:r>
          </w:p>
        </w:tc>
        <w:tc>
          <w:tcPr>
            <w:tcW w:w="4481" w:type="dxa"/>
            <w:noWrap/>
            <w:hideMark/>
          </w:tcPr>
          <w:p w14:paraId="1BED08B8" w14:textId="77777777" w:rsidR="003A12BF" w:rsidRPr="003A12BF" w:rsidRDefault="003A12BF" w:rsidP="00F51716">
            <w:pPr>
              <w:pStyle w:val="Tabletext0"/>
            </w:pPr>
            <w:r w:rsidRPr="003A12BF">
              <w:t>E-waste Infrastructure Upgrade - Wonthaggi Transfer Station</w:t>
            </w:r>
          </w:p>
        </w:tc>
        <w:tc>
          <w:tcPr>
            <w:tcW w:w="1440" w:type="dxa"/>
            <w:noWrap/>
            <w:hideMark/>
          </w:tcPr>
          <w:p w14:paraId="6F743ECD" w14:textId="77777777" w:rsidR="003A12BF" w:rsidRPr="003A12BF" w:rsidRDefault="003A12BF" w:rsidP="00F51716">
            <w:pPr>
              <w:pStyle w:val="Tabletext0"/>
            </w:pPr>
            <w:r w:rsidRPr="003A12BF">
              <w:t>$40,000.00</w:t>
            </w:r>
          </w:p>
        </w:tc>
      </w:tr>
      <w:tr w:rsidR="003A12BF" w:rsidRPr="003A12BF" w14:paraId="6A252EBD" w14:textId="77777777" w:rsidTr="002D4B7F">
        <w:trPr>
          <w:trHeight w:val="300"/>
        </w:trPr>
        <w:tc>
          <w:tcPr>
            <w:tcW w:w="2977" w:type="dxa"/>
            <w:noWrap/>
            <w:hideMark/>
          </w:tcPr>
          <w:p w14:paraId="0BF0755B" w14:textId="77777777" w:rsidR="003A12BF" w:rsidRPr="003A12BF" w:rsidRDefault="003A12BF" w:rsidP="00F51716">
            <w:pPr>
              <w:pStyle w:val="Tabletext0"/>
            </w:pPr>
            <w:r w:rsidRPr="003A12BF">
              <w:t>Bass Coast Shire Council</w:t>
            </w:r>
          </w:p>
        </w:tc>
        <w:tc>
          <w:tcPr>
            <w:tcW w:w="4481" w:type="dxa"/>
            <w:noWrap/>
            <w:hideMark/>
          </w:tcPr>
          <w:p w14:paraId="22D2DF8E" w14:textId="77777777" w:rsidR="003A12BF" w:rsidRPr="003A12BF" w:rsidRDefault="003A12BF" w:rsidP="00F51716">
            <w:pPr>
              <w:pStyle w:val="Tabletext0"/>
            </w:pPr>
            <w:r w:rsidRPr="003A12BF">
              <w:t>E-waste Infrastructure Upgrade - Wonthaggi Transfer Station</w:t>
            </w:r>
          </w:p>
        </w:tc>
        <w:tc>
          <w:tcPr>
            <w:tcW w:w="1440" w:type="dxa"/>
            <w:noWrap/>
            <w:hideMark/>
          </w:tcPr>
          <w:p w14:paraId="0ED7069B" w14:textId="77777777" w:rsidR="003A12BF" w:rsidRPr="003A12BF" w:rsidRDefault="003A12BF" w:rsidP="00F51716">
            <w:pPr>
              <w:pStyle w:val="Tabletext0"/>
            </w:pPr>
            <w:r w:rsidRPr="003A12BF">
              <w:t>$25,806.39</w:t>
            </w:r>
          </w:p>
        </w:tc>
      </w:tr>
      <w:tr w:rsidR="003A12BF" w:rsidRPr="003A12BF" w14:paraId="7962B526" w14:textId="77777777" w:rsidTr="002D4B7F">
        <w:trPr>
          <w:trHeight w:val="300"/>
        </w:trPr>
        <w:tc>
          <w:tcPr>
            <w:tcW w:w="2977" w:type="dxa"/>
            <w:noWrap/>
            <w:hideMark/>
          </w:tcPr>
          <w:p w14:paraId="2F7EFEF9" w14:textId="77777777" w:rsidR="003A12BF" w:rsidRPr="003A12BF" w:rsidRDefault="003A12BF" w:rsidP="00F51716">
            <w:pPr>
              <w:pStyle w:val="Tabletext0"/>
            </w:pPr>
            <w:r w:rsidRPr="003A12BF">
              <w:t>Bass Coast Shire Council</w:t>
            </w:r>
          </w:p>
        </w:tc>
        <w:tc>
          <w:tcPr>
            <w:tcW w:w="4481" w:type="dxa"/>
            <w:noWrap/>
            <w:hideMark/>
          </w:tcPr>
          <w:p w14:paraId="36086907" w14:textId="77777777" w:rsidR="003A12BF" w:rsidRPr="003A12BF" w:rsidRDefault="003A12BF" w:rsidP="00F51716">
            <w:pPr>
              <w:pStyle w:val="Tabletext0"/>
            </w:pPr>
            <w:r w:rsidRPr="003A12BF">
              <w:t>E-waste Infrastructure Upgrade - Grantville Resource Recovery Centre</w:t>
            </w:r>
          </w:p>
        </w:tc>
        <w:tc>
          <w:tcPr>
            <w:tcW w:w="1440" w:type="dxa"/>
            <w:noWrap/>
            <w:hideMark/>
          </w:tcPr>
          <w:p w14:paraId="7BB211D3" w14:textId="77777777" w:rsidR="003A12BF" w:rsidRPr="003A12BF" w:rsidRDefault="003A12BF" w:rsidP="00F51716">
            <w:pPr>
              <w:pStyle w:val="Tabletext0"/>
            </w:pPr>
            <w:r w:rsidRPr="003A12BF">
              <w:t>$47,825.50</w:t>
            </w:r>
          </w:p>
        </w:tc>
      </w:tr>
      <w:tr w:rsidR="003A12BF" w:rsidRPr="003A12BF" w14:paraId="00C95ABB" w14:textId="77777777" w:rsidTr="002D4B7F">
        <w:trPr>
          <w:trHeight w:val="300"/>
        </w:trPr>
        <w:tc>
          <w:tcPr>
            <w:tcW w:w="2977" w:type="dxa"/>
            <w:noWrap/>
            <w:hideMark/>
          </w:tcPr>
          <w:p w14:paraId="5ACC696A" w14:textId="77777777" w:rsidR="003A12BF" w:rsidRPr="003A12BF" w:rsidRDefault="003A12BF" w:rsidP="00F51716">
            <w:pPr>
              <w:pStyle w:val="Tabletext0"/>
            </w:pPr>
            <w:r w:rsidRPr="003A12BF">
              <w:t>Bass Coast Shire Council</w:t>
            </w:r>
          </w:p>
        </w:tc>
        <w:tc>
          <w:tcPr>
            <w:tcW w:w="4481" w:type="dxa"/>
            <w:noWrap/>
            <w:hideMark/>
          </w:tcPr>
          <w:p w14:paraId="6EF4F606" w14:textId="77777777" w:rsidR="003A12BF" w:rsidRPr="003A12BF" w:rsidRDefault="003A12BF" w:rsidP="00F51716">
            <w:pPr>
              <w:pStyle w:val="Tabletext0"/>
            </w:pPr>
            <w:r w:rsidRPr="003A12BF">
              <w:t>E-waste Infrastructure Upgrade - Grantville Resource Recovery Centre</w:t>
            </w:r>
          </w:p>
        </w:tc>
        <w:tc>
          <w:tcPr>
            <w:tcW w:w="1440" w:type="dxa"/>
            <w:noWrap/>
            <w:hideMark/>
          </w:tcPr>
          <w:p w14:paraId="468F414F" w14:textId="77777777" w:rsidR="003A12BF" w:rsidRPr="003A12BF" w:rsidRDefault="003A12BF" w:rsidP="00F51716">
            <w:pPr>
              <w:pStyle w:val="Tabletext0"/>
            </w:pPr>
            <w:r w:rsidRPr="003A12BF">
              <w:t>$19,130.20</w:t>
            </w:r>
          </w:p>
        </w:tc>
      </w:tr>
      <w:tr w:rsidR="003A12BF" w:rsidRPr="003A12BF" w14:paraId="396AFF98" w14:textId="77777777" w:rsidTr="002D4B7F">
        <w:trPr>
          <w:trHeight w:val="300"/>
        </w:trPr>
        <w:tc>
          <w:tcPr>
            <w:tcW w:w="2977" w:type="dxa"/>
            <w:noWrap/>
            <w:hideMark/>
          </w:tcPr>
          <w:p w14:paraId="47AA620B" w14:textId="77777777" w:rsidR="003A12BF" w:rsidRPr="003A12BF" w:rsidRDefault="003A12BF" w:rsidP="00F51716">
            <w:pPr>
              <w:pStyle w:val="Tabletext0"/>
            </w:pPr>
            <w:r w:rsidRPr="003A12BF">
              <w:t>Mildura Rural City Council</w:t>
            </w:r>
          </w:p>
        </w:tc>
        <w:tc>
          <w:tcPr>
            <w:tcW w:w="4481" w:type="dxa"/>
            <w:noWrap/>
            <w:hideMark/>
          </w:tcPr>
          <w:p w14:paraId="6E801CFB" w14:textId="77777777" w:rsidR="003A12BF" w:rsidRPr="003A12BF" w:rsidRDefault="003A12BF" w:rsidP="00F51716">
            <w:pPr>
              <w:pStyle w:val="Tabletext0"/>
            </w:pPr>
            <w:r w:rsidRPr="003A12BF">
              <w:t>E-waste Infrastructure Upgrade - Mildura Landfill Transfer Station and Recovery Facility - Mildura Rural City Council</w:t>
            </w:r>
          </w:p>
        </w:tc>
        <w:tc>
          <w:tcPr>
            <w:tcW w:w="1440" w:type="dxa"/>
            <w:noWrap/>
            <w:hideMark/>
          </w:tcPr>
          <w:p w14:paraId="43E4BE72" w14:textId="77777777" w:rsidR="003A12BF" w:rsidRPr="003A12BF" w:rsidRDefault="003A12BF" w:rsidP="00F51716">
            <w:pPr>
              <w:pStyle w:val="Tabletext0"/>
            </w:pPr>
            <w:r w:rsidRPr="003A12BF">
              <w:t>$30,000.00</w:t>
            </w:r>
          </w:p>
        </w:tc>
      </w:tr>
      <w:tr w:rsidR="003A12BF" w:rsidRPr="003A12BF" w14:paraId="7CA7C8AF" w14:textId="77777777" w:rsidTr="002D4B7F">
        <w:trPr>
          <w:trHeight w:val="300"/>
        </w:trPr>
        <w:tc>
          <w:tcPr>
            <w:tcW w:w="2977" w:type="dxa"/>
            <w:noWrap/>
            <w:hideMark/>
          </w:tcPr>
          <w:p w14:paraId="58DC3E70" w14:textId="77777777" w:rsidR="003A12BF" w:rsidRPr="003A12BF" w:rsidRDefault="003A12BF" w:rsidP="00F51716">
            <w:pPr>
              <w:pStyle w:val="Tabletext0"/>
            </w:pPr>
            <w:r w:rsidRPr="003A12BF">
              <w:t>Mildura Rural City Council</w:t>
            </w:r>
          </w:p>
        </w:tc>
        <w:tc>
          <w:tcPr>
            <w:tcW w:w="4481" w:type="dxa"/>
            <w:noWrap/>
            <w:hideMark/>
          </w:tcPr>
          <w:p w14:paraId="14542ED3" w14:textId="77777777" w:rsidR="003A12BF" w:rsidRPr="003A12BF" w:rsidRDefault="003A12BF" w:rsidP="00F51716">
            <w:pPr>
              <w:pStyle w:val="Tabletext0"/>
            </w:pPr>
            <w:r w:rsidRPr="003A12BF">
              <w:t>E-waste Infrastructure Upgrade - Mildura Landfill Transfer Station and Recovery Facility - Mildura Rural City Council</w:t>
            </w:r>
          </w:p>
        </w:tc>
        <w:tc>
          <w:tcPr>
            <w:tcW w:w="1440" w:type="dxa"/>
            <w:noWrap/>
            <w:hideMark/>
          </w:tcPr>
          <w:p w14:paraId="7C9509D9" w14:textId="77777777" w:rsidR="003A12BF" w:rsidRPr="003A12BF" w:rsidRDefault="003A12BF" w:rsidP="00F51716">
            <w:pPr>
              <w:pStyle w:val="Tabletext0"/>
            </w:pPr>
            <w:r w:rsidRPr="003A12BF">
              <w:t>$50,000.00</w:t>
            </w:r>
          </w:p>
        </w:tc>
      </w:tr>
      <w:tr w:rsidR="003A12BF" w:rsidRPr="003A12BF" w14:paraId="7F7D747E" w14:textId="77777777" w:rsidTr="002D4B7F">
        <w:trPr>
          <w:trHeight w:val="300"/>
        </w:trPr>
        <w:tc>
          <w:tcPr>
            <w:tcW w:w="2977" w:type="dxa"/>
            <w:noWrap/>
            <w:hideMark/>
          </w:tcPr>
          <w:p w14:paraId="4BCACF58" w14:textId="77777777" w:rsidR="003A12BF" w:rsidRPr="003A12BF" w:rsidRDefault="003A12BF" w:rsidP="00F51716">
            <w:pPr>
              <w:pStyle w:val="Tabletext0"/>
            </w:pPr>
            <w:r w:rsidRPr="003A12BF">
              <w:t>Mildura Rural City Council</w:t>
            </w:r>
          </w:p>
        </w:tc>
        <w:tc>
          <w:tcPr>
            <w:tcW w:w="4481" w:type="dxa"/>
            <w:noWrap/>
            <w:hideMark/>
          </w:tcPr>
          <w:p w14:paraId="3E8140DB" w14:textId="77777777" w:rsidR="003A12BF" w:rsidRPr="003A12BF" w:rsidRDefault="003A12BF" w:rsidP="00F51716">
            <w:pPr>
              <w:pStyle w:val="Tabletext0"/>
            </w:pPr>
            <w:r w:rsidRPr="003A12BF">
              <w:t>E-waste Infrastructure Upgrade - Mildura Landfill Transfer Station and Recovery Facility - Mildura Rural City Council</w:t>
            </w:r>
          </w:p>
        </w:tc>
        <w:tc>
          <w:tcPr>
            <w:tcW w:w="1440" w:type="dxa"/>
            <w:noWrap/>
            <w:hideMark/>
          </w:tcPr>
          <w:p w14:paraId="7FA1DBE2" w14:textId="77777777" w:rsidR="003A12BF" w:rsidRPr="003A12BF" w:rsidRDefault="003A12BF" w:rsidP="00F51716">
            <w:pPr>
              <w:pStyle w:val="Tabletext0"/>
            </w:pPr>
            <w:r w:rsidRPr="003A12BF">
              <w:t>$20,000.00</w:t>
            </w:r>
          </w:p>
        </w:tc>
      </w:tr>
      <w:tr w:rsidR="003A12BF" w:rsidRPr="003A12BF" w14:paraId="3B586B0C" w14:textId="77777777" w:rsidTr="002D4B7F">
        <w:trPr>
          <w:trHeight w:val="300"/>
        </w:trPr>
        <w:tc>
          <w:tcPr>
            <w:tcW w:w="2977" w:type="dxa"/>
            <w:noWrap/>
            <w:hideMark/>
          </w:tcPr>
          <w:p w14:paraId="0AEB0EAC" w14:textId="77777777" w:rsidR="003A12BF" w:rsidRPr="003A12BF" w:rsidRDefault="003A12BF" w:rsidP="00F51716">
            <w:pPr>
              <w:pStyle w:val="Tabletext0"/>
            </w:pPr>
            <w:r w:rsidRPr="003A12BF">
              <w:t>Mildura Rural City Council</w:t>
            </w:r>
          </w:p>
        </w:tc>
        <w:tc>
          <w:tcPr>
            <w:tcW w:w="4481" w:type="dxa"/>
            <w:noWrap/>
            <w:hideMark/>
          </w:tcPr>
          <w:p w14:paraId="769E8A90" w14:textId="77777777" w:rsidR="003A12BF" w:rsidRPr="003A12BF" w:rsidRDefault="003A12BF" w:rsidP="00F51716">
            <w:pPr>
              <w:pStyle w:val="Tabletext0"/>
            </w:pPr>
            <w:r w:rsidRPr="003A12BF">
              <w:t>E-waste Infrastructure Upgrade - Ouyen Landfill - Mildura Rural City Council</w:t>
            </w:r>
          </w:p>
        </w:tc>
        <w:tc>
          <w:tcPr>
            <w:tcW w:w="1440" w:type="dxa"/>
            <w:noWrap/>
            <w:hideMark/>
          </w:tcPr>
          <w:p w14:paraId="3B36AB5A" w14:textId="77777777" w:rsidR="003A12BF" w:rsidRPr="003A12BF" w:rsidRDefault="003A12BF" w:rsidP="00F51716">
            <w:pPr>
              <w:pStyle w:val="Tabletext0"/>
            </w:pPr>
            <w:r w:rsidRPr="003A12BF">
              <w:t>$15,266.16</w:t>
            </w:r>
          </w:p>
        </w:tc>
      </w:tr>
      <w:tr w:rsidR="003A12BF" w:rsidRPr="003A12BF" w14:paraId="58809AE3" w14:textId="77777777" w:rsidTr="002D4B7F">
        <w:trPr>
          <w:trHeight w:val="300"/>
        </w:trPr>
        <w:tc>
          <w:tcPr>
            <w:tcW w:w="2977" w:type="dxa"/>
            <w:noWrap/>
            <w:hideMark/>
          </w:tcPr>
          <w:p w14:paraId="4A0F6C8C" w14:textId="77777777" w:rsidR="003A12BF" w:rsidRPr="003A12BF" w:rsidRDefault="003A12BF" w:rsidP="00F51716">
            <w:pPr>
              <w:pStyle w:val="Tabletext0"/>
            </w:pPr>
            <w:r w:rsidRPr="003A12BF">
              <w:t>Mildura Rural City Council</w:t>
            </w:r>
          </w:p>
        </w:tc>
        <w:tc>
          <w:tcPr>
            <w:tcW w:w="4481" w:type="dxa"/>
            <w:noWrap/>
            <w:hideMark/>
          </w:tcPr>
          <w:p w14:paraId="4CC411BF" w14:textId="77777777" w:rsidR="003A12BF" w:rsidRPr="003A12BF" w:rsidRDefault="003A12BF" w:rsidP="00F51716">
            <w:pPr>
              <w:pStyle w:val="Tabletext0"/>
            </w:pPr>
            <w:r w:rsidRPr="003A12BF">
              <w:t>E-waste Infrastructure Upgrade - Ouyen Landfill - Mildura Rural City Council</w:t>
            </w:r>
          </w:p>
        </w:tc>
        <w:tc>
          <w:tcPr>
            <w:tcW w:w="1440" w:type="dxa"/>
            <w:noWrap/>
            <w:hideMark/>
          </w:tcPr>
          <w:p w14:paraId="18E9B2E4" w14:textId="77777777" w:rsidR="003A12BF" w:rsidRPr="003A12BF" w:rsidRDefault="003A12BF" w:rsidP="00F51716">
            <w:pPr>
              <w:pStyle w:val="Tabletext0"/>
            </w:pPr>
            <w:r w:rsidRPr="003A12BF">
              <w:t>$50,000.00</w:t>
            </w:r>
          </w:p>
        </w:tc>
      </w:tr>
      <w:tr w:rsidR="003A12BF" w:rsidRPr="003A12BF" w14:paraId="04AB9BE4" w14:textId="77777777" w:rsidTr="002D4B7F">
        <w:trPr>
          <w:trHeight w:val="300"/>
        </w:trPr>
        <w:tc>
          <w:tcPr>
            <w:tcW w:w="2977" w:type="dxa"/>
            <w:noWrap/>
            <w:hideMark/>
          </w:tcPr>
          <w:p w14:paraId="58C2C9EF" w14:textId="77777777" w:rsidR="003A12BF" w:rsidRPr="003A12BF" w:rsidRDefault="003A12BF" w:rsidP="00F51716">
            <w:pPr>
              <w:pStyle w:val="Tabletext0"/>
            </w:pPr>
            <w:r w:rsidRPr="003A12BF">
              <w:t>Mildura Rural City Council</w:t>
            </w:r>
          </w:p>
        </w:tc>
        <w:tc>
          <w:tcPr>
            <w:tcW w:w="4481" w:type="dxa"/>
            <w:noWrap/>
            <w:hideMark/>
          </w:tcPr>
          <w:p w14:paraId="43C9BD00" w14:textId="77777777" w:rsidR="003A12BF" w:rsidRPr="003A12BF" w:rsidRDefault="003A12BF" w:rsidP="00F51716">
            <w:pPr>
              <w:pStyle w:val="Tabletext0"/>
            </w:pPr>
            <w:r w:rsidRPr="003A12BF">
              <w:t>E-waste Infrastructure Upgrade - Ouyen Landfill - Mildura Rural City Council</w:t>
            </w:r>
          </w:p>
        </w:tc>
        <w:tc>
          <w:tcPr>
            <w:tcW w:w="1440" w:type="dxa"/>
            <w:noWrap/>
            <w:hideMark/>
          </w:tcPr>
          <w:p w14:paraId="2D648769" w14:textId="77777777" w:rsidR="003A12BF" w:rsidRPr="003A12BF" w:rsidRDefault="003A12BF" w:rsidP="00F51716">
            <w:pPr>
              <w:pStyle w:val="Tabletext0"/>
            </w:pPr>
            <w:r w:rsidRPr="003A12BF">
              <w:t>$24,340.27</w:t>
            </w:r>
          </w:p>
        </w:tc>
      </w:tr>
      <w:tr w:rsidR="003A12BF" w:rsidRPr="003A12BF" w14:paraId="78FEEB56" w14:textId="77777777" w:rsidTr="002D4B7F">
        <w:trPr>
          <w:trHeight w:val="300"/>
        </w:trPr>
        <w:tc>
          <w:tcPr>
            <w:tcW w:w="2977" w:type="dxa"/>
            <w:noWrap/>
            <w:hideMark/>
          </w:tcPr>
          <w:p w14:paraId="46883E03" w14:textId="77777777" w:rsidR="003A12BF" w:rsidRPr="003A12BF" w:rsidRDefault="003A12BF" w:rsidP="00F51716">
            <w:pPr>
              <w:pStyle w:val="Tabletext0"/>
            </w:pPr>
            <w:r w:rsidRPr="003A12BF">
              <w:t>Hepburn Shire Council</w:t>
            </w:r>
          </w:p>
        </w:tc>
        <w:tc>
          <w:tcPr>
            <w:tcW w:w="4481" w:type="dxa"/>
            <w:noWrap/>
            <w:hideMark/>
          </w:tcPr>
          <w:p w14:paraId="73BFDE2A" w14:textId="77777777" w:rsidR="003A12BF" w:rsidRPr="003A12BF" w:rsidRDefault="003A12BF" w:rsidP="00F51716">
            <w:pPr>
              <w:pStyle w:val="Tabletext0"/>
            </w:pPr>
            <w:r w:rsidRPr="003A12BF">
              <w:t>E-waste Infrastructure Upgrade - Hepburn Shire Council: Creswick Transfer Station</w:t>
            </w:r>
          </w:p>
        </w:tc>
        <w:tc>
          <w:tcPr>
            <w:tcW w:w="1440" w:type="dxa"/>
            <w:noWrap/>
            <w:hideMark/>
          </w:tcPr>
          <w:p w14:paraId="22BAF2BC" w14:textId="77777777" w:rsidR="003A12BF" w:rsidRPr="003A12BF" w:rsidRDefault="003A12BF" w:rsidP="00F51716">
            <w:pPr>
              <w:pStyle w:val="Tabletext0"/>
            </w:pPr>
            <w:r w:rsidRPr="003A12BF">
              <w:t>$44,375.00</w:t>
            </w:r>
          </w:p>
        </w:tc>
      </w:tr>
      <w:tr w:rsidR="003A12BF" w:rsidRPr="003A12BF" w14:paraId="0D4B6C71" w14:textId="77777777" w:rsidTr="002D4B7F">
        <w:trPr>
          <w:trHeight w:val="300"/>
        </w:trPr>
        <w:tc>
          <w:tcPr>
            <w:tcW w:w="2977" w:type="dxa"/>
            <w:noWrap/>
            <w:hideMark/>
          </w:tcPr>
          <w:p w14:paraId="669748A9" w14:textId="77777777" w:rsidR="003A12BF" w:rsidRPr="003A12BF" w:rsidRDefault="003A12BF" w:rsidP="00F51716">
            <w:pPr>
              <w:pStyle w:val="Tabletext0"/>
            </w:pPr>
            <w:r w:rsidRPr="003A12BF">
              <w:t>Hepburn Shire Council</w:t>
            </w:r>
          </w:p>
        </w:tc>
        <w:tc>
          <w:tcPr>
            <w:tcW w:w="4481" w:type="dxa"/>
            <w:noWrap/>
            <w:hideMark/>
          </w:tcPr>
          <w:p w14:paraId="54CB7680" w14:textId="77777777" w:rsidR="003A12BF" w:rsidRPr="003A12BF" w:rsidRDefault="003A12BF" w:rsidP="00F51716">
            <w:pPr>
              <w:pStyle w:val="Tabletext0"/>
            </w:pPr>
            <w:r w:rsidRPr="003A12BF">
              <w:t>E-waste Infrastructure Upgrade - Hepburn Shire Council: Creswick Transfer Station</w:t>
            </w:r>
          </w:p>
        </w:tc>
        <w:tc>
          <w:tcPr>
            <w:tcW w:w="1440" w:type="dxa"/>
            <w:noWrap/>
            <w:hideMark/>
          </w:tcPr>
          <w:p w14:paraId="1C8DF70D" w14:textId="77777777" w:rsidR="003A12BF" w:rsidRPr="003A12BF" w:rsidRDefault="003A12BF" w:rsidP="00F51716">
            <w:pPr>
              <w:pStyle w:val="Tabletext0"/>
            </w:pPr>
            <w:r w:rsidRPr="003A12BF">
              <w:t>$11,595.52</w:t>
            </w:r>
          </w:p>
        </w:tc>
      </w:tr>
      <w:tr w:rsidR="003A12BF" w:rsidRPr="003A12BF" w14:paraId="39185FAF" w14:textId="77777777" w:rsidTr="002D4B7F">
        <w:trPr>
          <w:trHeight w:val="300"/>
        </w:trPr>
        <w:tc>
          <w:tcPr>
            <w:tcW w:w="2977" w:type="dxa"/>
            <w:noWrap/>
            <w:hideMark/>
          </w:tcPr>
          <w:p w14:paraId="218BDFCD" w14:textId="77777777" w:rsidR="003A12BF" w:rsidRPr="003A12BF" w:rsidRDefault="003A12BF" w:rsidP="00F51716">
            <w:pPr>
              <w:pStyle w:val="Tabletext0"/>
            </w:pPr>
            <w:r w:rsidRPr="003A12BF">
              <w:t>Moyne Shire Council</w:t>
            </w:r>
          </w:p>
        </w:tc>
        <w:tc>
          <w:tcPr>
            <w:tcW w:w="4481" w:type="dxa"/>
            <w:noWrap/>
            <w:hideMark/>
          </w:tcPr>
          <w:p w14:paraId="0E159085" w14:textId="77777777" w:rsidR="003A12BF" w:rsidRPr="003A12BF" w:rsidRDefault="003A12BF" w:rsidP="00F51716">
            <w:pPr>
              <w:pStyle w:val="Tabletext0"/>
            </w:pPr>
            <w:r w:rsidRPr="003A12BF">
              <w:t>E-waste Infrastructure Upgrade - Killarney Transfer Station - Moira Shire Council</w:t>
            </w:r>
          </w:p>
        </w:tc>
        <w:tc>
          <w:tcPr>
            <w:tcW w:w="1440" w:type="dxa"/>
            <w:noWrap/>
            <w:hideMark/>
          </w:tcPr>
          <w:p w14:paraId="6C55F802" w14:textId="77777777" w:rsidR="003A12BF" w:rsidRPr="003A12BF" w:rsidRDefault="003A12BF" w:rsidP="00F51716">
            <w:pPr>
              <w:pStyle w:val="Tabletext0"/>
            </w:pPr>
            <w:r w:rsidRPr="003A12BF">
              <w:t>$39,125.53</w:t>
            </w:r>
          </w:p>
        </w:tc>
      </w:tr>
      <w:tr w:rsidR="003A12BF" w:rsidRPr="003A12BF" w14:paraId="25EBE374" w14:textId="77777777" w:rsidTr="002D4B7F">
        <w:trPr>
          <w:trHeight w:val="300"/>
        </w:trPr>
        <w:tc>
          <w:tcPr>
            <w:tcW w:w="2977" w:type="dxa"/>
            <w:noWrap/>
            <w:hideMark/>
          </w:tcPr>
          <w:p w14:paraId="771B9942" w14:textId="77777777" w:rsidR="003A12BF" w:rsidRPr="003A12BF" w:rsidRDefault="003A12BF" w:rsidP="00F51716">
            <w:pPr>
              <w:pStyle w:val="Tabletext0"/>
            </w:pPr>
            <w:r w:rsidRPr="003A12BF">
              <w:t>Moyne Shire Council</w:t>
            </w:r>
          </w:p>
        </w:tc>
        <w:tc>
          <w:tcPr>
            <w:tcW w:w="4481" w:type="dxa"/>
            <w:noWrap/>
            <w:hideMark/>
          </w:tcPr>
          <w:p w14:paraId="78D36D43" w14:textId="06BAC7E1" w:rsidR="003A12BF" w:rsidRPr="003A12BF" w:rsidRDefault="003A12BF" w:rsidP="00F51716">
            <w:pPr>
              <w:pStyle w:val="Tabletext0"/>
            </w:pPr>
            <w:r w:rsidRPr="003A12BF">
              <w:t xml:space="preserve">E-waste Infrastructure Upgrade - Killarney Transfer Station </w:t>
            </w:r>
            <w:r w:rsidR="00737453">
              <w:t>–</w:t>
            </w:r>
            <w:r w:rsidRPr="003A12BF">
              <w:t xml:space="preserve"> Moira Shire Council</w:t>
            </w:r>
          </w:p>
        </w:tc>
        <w:tc>
          <w:tcPr>
            <w:tcW w:w="1440" w:type="dxa"/>
            <w:noWrap/>
            <w:hideMark/>
          </w:tcPr>
          <w:p w14:paraId="62139FF2" w14:textId="77777777" w:rsidR="003A12BF" w:rsidRPr="003A12BF" w:rsidRDefault="003A12BF" w:rsidP="00F51716">
            <w:pPr>
              <w:pStyle w:val="Tabletext0"/>
            </w:pPr>
            <w:r w:rsidRPr="003A12BF">
              <w:t>$16,768.09</w:t>
            </w:r>
          </w:p>
        </w:tc>
      </w:tr>
      <w:tr w:rsidR="003A12BF" w:rsidRPr="003A12BF" w14:paraId="7C92BC8B" w14:textId="77777777" w:rsidTr="002D4B7F">
        <w:trPr>
          <w:trHeight w:val="300"/>
        </w:trPr>
        <w:tc>
          <w:tcPr>
            <w:tcW w:w="2977" w:type="dxa"/>
            <w:noWrap/>
            <w:hideMark/>
          </w:tcPr>
          <w:p w14:paraId="65819921" w14:textId="77777777" w:rsidR="003A12BF" w:rsidRPr="003A12BF" w:rsidRDefault="003A12BF" w:rsidP="00F51716">
            <w:pPr>
              <w:pStyle w:val="Tabletext0"/>
            </w:pPr>
            <w:r w:rsidRPr="003A12BF">
              <w:t>Moyne Shire Council</w:t>
            </w:r>
          </w:p>
        </w:tc>
        <w:tc>
          <w:tcPr>
            <w:tcW w:w="4481" w:type="dxa"/>
            <w:noWrap/>
            <w:hideMark/>
          </w:tcPr>
          <w:p w14:paraId="37DC6579" w14:textId="0428FBE2" w:rsidR="003A12BF" w:rsidRPr="003A12BF" w:rsidRDefault="003A12BF" w:rsidP="00F51716">
            <w:pPr>
              <w:pStyle w:val="Tabletext0"/>
            </w:pPr>
            <w:r w:rsidRPr="003A12BF">
              <w:t xml:space="preserve">E-waste Infrastructure Upgrade </w:t>
            </w:r>
            <w:r w:rsidR="00737453">
              <w:t>–</w:t>
            </w:r>
            <w:r w:rsidRPr="003A12BF">
              <w:t xml:space="preserve"> Mortlake Transfer Station </w:t>
            </w:r>
            <w:r w:rsidR="00737453">
              <w:t>–</w:t>
            </w:r>
            <w:r w:rsidRPr="003A12BF">
              <w:t xml:space="preserve"> Moyne Shire Council</w:t>
            </w:r>
          </w:p>
        </w:tc>
        <w:tc>
          <w:tcPr>
            <w:tcW w:w="1440" w:type="dxa"/>
            <w:noWrap/>
            <w:hideMark/>
          </w:tcPr>
          <w:p w14:paraId="1D2DAEAC" w14:textId="77777777" w:rsidR="003A12BF" w:rsidRPr="003A12BF" w:rsidRDefault="003A12BF" w:rsidP="00F51716">
            <w:pPr>
              <w:pStyle w:val="Tabletext0"/>
            </w:pPr>
            <w:r w:rsidRPr="003A12BF">
              <w:t>$39,895.53</w:t>
            </w:r>
          </w:p>
        </w:tc>
      </w:tr>
      <w:tr w:rsidR="003A12BF" w:rsidRPr="003A12BF" w14:paraId="18BC1A4F" w14:textId="77777777" w:rsidTr="002D4B7F">
        <w:trPr>
          <w:trHeight w:val="300"/>
        </w:trPr>
        <w:tc>
          <w:tcPr>
            <w:tcW w:w="2977" w:type="dxa"/>
            <w:noWrap/>
            <w:hideMark/>
          </w:tcPr>
          <w:p w14:paraId="24582C50" w14:textId="77777777" w:rsidR="003A12BF" w:rsidRPr="003A12BF" w:rsidRDefault="003A12BF" w:rsidP="00F51716">
            <w:pPr>
              <w:pStyle w:val="Tabletext0"/>
            </w:pPr>
            <w:r w:rsidRPr="003A12BF">
              <w:t>Moyne Shire Council</w:t>
            </w:r>
          </w:p>
        </w:tc>
        <w:tc>
          <w:tcPr>
            <w:tcW w:w="4481" w:type="dxa"/>
            <w:noWrap/>
            <w:hideMark/>
          </w:tcPr>
          <w:p w14:paraId="65A8D0CD" w14:textId="2DF04C5F" w:rsidR="003A12BF" w:rsidRPr="003A12BF" w:rsidRDefault="003A12BF" w:rsidP="00F51716">
            <w:pPr>
              <w:pStyle w:val="Tabletext0"/>
            </w:pPr>
            <w:r w:rsidRPr="003A12BF">
              <w:t xml:space="preserve">E-waste Infrastructure Upgrade </w:t>
            </w:r>
            <w:r w:rsidR="00737453">
              <w:t>–</w:t>
            </w:r>
            <w:r w:rsidRPr="003A12BF">
              <w:t xml:space="preserve"> Mortlake Transfer Station </w:t>
            </w:r>
            <w:r w:rsidR="00737453">
              <w:t>–</w:t>
            </w:r>
            <w:r w:rsidRPr="003A12BF">
              <w:t xml:space="preserve"> Moyne Shire Council</w:t>
            </w:r>
          </w:p>
        </w:tc>
        <w:tc>
          <w:tcPr>
            <w:tcW w:w="1440" w:type="dxa"/>
            <w:noWrap/>
            <w:hideMark/>
          </w:tcPr>
          <w:p w14:paraId="185F3D37" w14:textId="77777777" w:rsidR="003A12BF" w:rsidRPr="003A12BF" w:rsidRDefault="003A12BF" w:rsidP="00F51716">
            <w:pPr>
              <w:pStyle w:val="Tabletext0"/>
            </w:pPr>
            <w:r w:rsidRPr="003A12BF">
              <w:t>$17,098.09</w:t>
            </w:r>
          </w:p>
        </w:tc>
      </w:tr>
      <w:tr w:rsidR="003A12BF" w:rsidRPr="003A12BF" w14:paraId="7469637B" w14:textId="77777777" w:rsidTr="002D4B7F">
        <w:trPr>
          <w:trHeight w:val="300"/>
        </w:trPr>
        <w:tc>
          <w:tcPr>
            <w:tcW w:w="2977" w:type="dxa"/>
            <w:noWrap/>
            <w:hideMark/>
          </w:tcPr>
          <w:p w14:paraId="034A0C70" w14:textId="77777777" w:rsidR="003A12BF" w:rsidRPr="003A12BF" w:rsidRDefault="003A12BF" w:rsidP="00F51716">
            <w:pPr>
              <w:pStyle w:val="Tabletext0"/>
            </w:pPr>
            <w:r w:rsidRPr="003A12BF">
              <w:t>Mansfield Shire Council</w:t>
            </w:r>
          </w:p>
        </w:tc>
        <w:tc>
          <w:tcPr>
            <w:tcW w:w="4481" w:type="dxa"/>
            <w:noWrap/>
            <w:hideMark/>
          </w:tcPr>
          <w:p w14:paraId="4ACBDFF5" w14:textId="5FDBF2A0" w:rsidR="003A12BF" w:rsidRPr="003A12BF" w:rsidRDefault="003A12BF" w:rsidP="00F51716">
            <w:pPr>
              <w:pStyle w:val="Tabletext0"/>
            </w:pPr>
            <w:r w:rsidRPr="003A12BF">
              <w:t xml:space="preserve">E-waste Infrastructure Upgrade </w:t>
            </w:r>
            <w:r w:rsidR="00737453">
              <w:t>–</w:t>
            </w:r>
            <w:r w:rsidRPr="003A12BF">
              <w:t xml:space="preserve"> Mansfield Resource Recovery Cent</w:t>
            </w:r>
            <w:r w:rsidR="00737453">
              <w:t>re</w:t>
            </w:r>
            <w:r w:rsidRPr="003A12BF">
              <w:t xml:space="preserve"> </w:t>
            </w:r>
            <w:r w:rsidR="00737453">
              <w:t>–</w:t>
            </w:r>
            <w:r w:rsidRPr="003A12BF">
              <w:t xml:space="preserve"> Mansfield Shire Council</w:t>
            </w:r>
          </w:p>
        </w:tc>
        <w:tc>
          <w:tcPr>
            <w:tcW w:w="1440" w:type="dxa"/>
            <w:noWrap/>
            <w:hideMark/>
          </w:tcPr>
          <w:p w14:paraId="0A5B877C" w14:textId="77777777" w:rsidR="003A12BF" w:rsidRPr="003A12BF" w:rsidRDefault="003A12BF" w:rsidP="00F51716">
            <w:pPr>
              <w:pStyle w:val="Tabletext0"/>
            </w:pPr>
            <w:r w:rsidRPr="003A12BF">
              <w:t>$48,832.80</w:t>
            </w:r>
          </w:p>
        </w:tc>
      </w:tr>
      <w:tr w:rsidR="003A12BF" w:rsidRPr="003A12BF" w14:paraId="40C60495" w14:textId="77777777" w:rsidTr="002D4B7F">
        <w:trPr>
          <w:trHeight w:val="300"/>
        </w:trPr>
        <w:tc>
          <w:tcPr>
            <w:tcW w:w="2977" w:type="dxa"/>
            <w:noWrap/>
            <w:hideMark/>
          </w:tcPr>
          <w:p w14:paraId="0A1A51CF" w14:textId="77777777" w:rsidR="003A12BF" w:rsidRPr="003A12BF" w:rsidRDefault="003A12BF" w:rsidP="00F51716">
            <w:pPr>
              <w:pStyle w:val="Tabletext0"/>
            </w:pPr>
            <w:r w:rsidRPr="003A12BF">
              <w:t>Mansfield Shire Council</w:t>
            </w:r>
          </w:p>
        </w:tc>
        <w:tc>
          <w:tcPr>
            <w:tcW w:w="4481" w:type="dxa"/>
            <w:noWrap/>
            <w:hideMark/>
          </w:tcPr>
          <w:p w14:paraId="2EC129DF" w14:textId="141D193D" w:rsidR="003A12BF" w:rsidRPr="003A12BF" w:rsidRDefault="003A12BF" w:rsidP="00F51716">
            <w:pPr>
              <w:pStyle w:val="Tabletext0"/>
            </w:pPr>
            <w:r w:rsidRPr="003A12BF">
              <w:t xml:space="preserve">E-waste Infrastructure Upgrade </w:t>
            </w:r>
            <w:r w:rsidR="00737453">
              <w:t>–</w:t>
            </w:r>
            <w:r w:rsidRPr="003A12BF">
              <w:t xml:space="preserve"> Mansfield Resource Recovery Cent</w:t>
            </w:r>
            <w:r w:rsidR="00737453">
              <w:t>re</w:t>
            </w:r>
            <w:r w:rsidRPr="003A12BF">
              <w:t xml:space="preserve"> </w:t>
            </w:r>
            <w:r w:rsidR="00737453">
              <w:t>–</w:t>
            </w:r>
            <w:r w:rsidRPr="003A12BF">
              <w:t xml:space="preserve"> Mansfield Shire Council</w:t>
            </w:r>
          </w:p>
        </w:tc>
        <w:tc>
          <w:tcPr>
            <w:tcW w:w="1440" w:type="dxa"/>
            <w:noWrap/>
            <w:hideMark/>
          </w:tcPr>
          <w:p w14:paraId="43702847" w14:textId="77777777" w:rsidR="003A12BF" w:rsidRPr="003A12BF" w:rsidRDefault="003A12BF" w:rsidP="00F51716">
            <w:pPr>
              <w:pStyle w:val="Tabletext0"/>
            </w:pPr>
            <w:r w:rsidRPr="003A12BF">
              <w:t>$19,462.70</w:t>
            </w:r>
          </w:p>
        </w:tc>
      </w:tr>
      <w:tr w:rsidR="003A12BF" w:rsidRPr="003A12BF" w14:paraId="06B74ECB" w14:textId="77777777" w:rsidTr="002D4B7F">
        <w:trPr>
          <w:trHeight w:val="300"/>
        </w:trPr>
        <w:tc>
          <w:tcPr>
            <w:tcW w:w="2977" w:type="dxa"/>
            <w:noWrap/>
            <w:hideMark/>
          </w:tcPr>
          <w:p w14:paraId="07AAAB56" w14:textId="77777777" w:rsidR="003A12BF" w:rsidRPr="003A12BF" w:rsidRDefault="003A12BF" w:rsidP="00F51716">
            <w:pPr>
              <w:pStyle w:val="Tabletext0"/>
            </w:pPr>
            <w:r w:rsidRPr="003A12BF">
              <w:t>Horsham Rural City Council</w:t>
            </w:r>
          </w:p>
        </w:tc>
        <w:tc>
          <w:tcPr>
            <w:tcW w:w="4481" w:type="dxa"/>
            <w:noWrap/>
            <w:hideMark/>
          </w:tcPr>
          <w:p w14:paraId="397BC89A" w14:textId="3B5DFDB8" w:rsidR="003A12BF" w:rsidRPr="003A12BF" w:rsidRDefault="003A12BF" w:rsidP="00F51716">
            <w:pPr>
              <w:pStyle w:val="Tabletext0"/>
            </w:pPr>
            <w:r w:rsidRPr="003A12BF">
              <w:t xml:space="preserve">E-waste Infrastructure Upgrade </w:t>
            </w:r>
            <w:r w:rsidR="00737453">
              <w:t>–</w:t>
            </w:r>
            <w:r w:rsidRPr="003A12BF">
              <w:t xml:space="preserve"> Horsham Rural City Council: Horsham Resource Recovery Centre</w:t>
            </w:r>
          </w:p>
        </w:tc>
        <w:tc>
          <w:tcPr>
            <w:tcW w:w="1440" w:type="dxa"/>
            <w:noWrap/>
            <w:hideMark/>
          </w:tcPr>
          <w:p w14:paraId="5CCB84ED" w14:textId="77777777" w:rsidR="003A12BF" w:rsidRPr="003A12BF" w:rsidRDefault="003A12BF" w:rsidP="00F51716">
            <w:pPr>
              <w:pStyle w:val="Tabletext0"/>
            </w:pPr>
            <w:r w:rsidRPr="003A12BF">
              <w:t>$30,000.00</w:t>
            </w:r>
          </w:p>
        </w:tc>
      </w:tr>
      <w:tr w:rsidR="003A12BF" w:rsidRPr="003A12BF" w14:paraId="7D926E22" w14:textId="77777777" w:rsidTr="002D4B7F">
        <w:trPr>
          <w:trHeight w:val="300"/>
        </w:trPr>
        <w:tc>
          <w:tcPr>
            <w:tcW w:w="2977" w:type="dxa"/>
            <w:noWrap/>
            <w:hideMark/>
          </w:tcPr>
          <w:p w14:paraId="41567B4B" w14:textId="77777777" w:rsidR="003A12BF" w:rsidRPr="003A12BF" w:rsidRDefault="003A12BF" w:rsidP="00F51716">
            <w:pPr>
              <w:pStyle w:val="Tabletext0"/>
            </w:pPr>
            <w:r w:rsidRPr="003A12BF">
              <w:t>Horsham Rural City Council</w:t>
            </w:r>
          </w:p>
        </w:tc>
        <w:tc>
          <w:tcPr>
            <w:tcW w:w="4481" w:type="dxa"/>
            <w:noWrap/>
            <w:hideMark/>
          </w:tcPr>
          <w:p w14:paraId="2DC4B2E8" w14:textId="1FDB5D67" w:rsidR="003A12BF" w:rsidRPr="003A12BF" w:rsidRDefault="003A12BF" w:rsidP="00F51716">
            <w:pPr>
              <w:pStyle w:val="Tabletext0"/>
            </w:pPr>
            <w:r w:rsidRPr="003A12BF">
              <w:t xml:space="preserve">E-waste Infrastructure Upgrade </w:t>
            </w:r>
            <w:r w:rsidR="00737453">
              <w:t>–</w:t>
            </w:r>
            <w:r w:rsidRPr="003A12BF">
              <w:t xml:space="preserve"> Horsham Rural City Council: Horsham Resource Recovery Centre</w:t>
            </w:r>
          </w:p>
        </w:tc>
        <w:tc>
          <w:tcPr>
            <w:tcW w:w="1440" w:type="dxa"/>
            <w:noWrap/>
            <w:hideMark/>
          </w:tcPr>
          <w:p w14:paraId="6E102CC5" w14:textId="77777777" w:rsidR="003A12BF" w:rsidRPr="003A12BF" w:rsidRDefault="003A12BF" w:rsidP="00F51716">
            <w:pPr>
              <w:pStyle w:val="Tabletext0"/>
            </w:pPr>
            <w:r w:rsidRPr="003A12BF">
              <w:t>$50,000.00</w:t>
            </w:r>
          </w:p>
        </w:tc>
      </w:tr>
      <w:tr w:rsidR="003A12BF" w:rsidRPr="003A12BF" w14:paraId="533FB2D1" w14:textId="77777777" w:rsidTr="002D4B7F">
        <w:trPr>
          <w:trHeight w:val="300"/>
        </w:trPr>
        <w:tc>
          <w:tcPr>
            <w:tcW w:w="2977" w:type="dxa"/>
            <w:noWrap/>
            <w:hideMark/>
          </w:tcPr>
          <w:p w14:paraId="75981632" w14:textId="77777777" w:rsidR="003A12BF" w:rsidRPr="003A12BF" w:rsidRDefault="003A12BF" w:rsidP="00F51716">
            <w:pPr>
              <w:pStyle w:val="Tabletext0"/>
            </w:pPr>
            <w:r w:rsidRPr="003A12BF">
              <w:t>Horsham Rural City Council</w:t>
            </w:r>
          </w:p>
        </w:tc>
        <w:tc>
          <w:tcPr>
            <w:tcW w:w="4481" w:type="dxa"/>
            <w:noWrap/>
            <w:hideMark/>
          </w:tcPr>
          <w:p w14:paraId="66986224" w14:textId="3D9AFEED" w:rsidR="003A12BF" w:rsidRPr="003A12BF" w:rsidRDefault="003A12BF" w:rsidP="00F51716">
            <w:pPr>
              <w:pStyle w:val="Tabletext0"/>
            </w:pPr>
            <w:r w:rsidRPr="003A12BF">
              <w:t xml:space="preserve">E-waste Infrastructure Upgrade </w:t>
            </w:r>
            <w:r w:rsidR="00737453">
              <w:t>–</w:t>
            </w:r>
            <w:r w:rsidRPr="003A12BF">
              <w:t xml:space="preserve"> Horsham Rural City Council: Horsham Resource Recovery Centre</w:t>
            </w:r>
          </w:p>
        </w:tc>
        <w:tc>
          <w:tcPr>
            <w:tcW w:w="1440" w:type="dxa"/>
            <w:noWrap/>
            <w:hideMark/>
          </w:tcPr>
          <w:p w14:paraId="7EF9E128" w14:textId="77777777" w:rsidR="003A12BF" w:rsidRPr="003A12BF" w:rsidRDefault="003A12BF" w:rsidP="00F51716">
            <w:pPr>
              <w:pStyle w:val="Tabletext0"/>
            </w:pPr>
            <w:r w:rsidRPr="003A12BF">
              <w:t>$20,000.00</w:t>
            </w:r>
          </w:p>
        </w:tc>
      </w:tr>
      <w:tr w:rsidR="003A12BF" w:rsidRPr="003A12BF" w14:paraId="1CA11A46" w14:textId="77777777" w:rsidTr="002D4B7F">
        <w:trPr>
          <w:trHeight w:val="300"/>
        </w:trPr>
        <w:tc>
          <w:tcPr>
            <w:tcW w:w="2977" w:type="dxa"/>
            <w:noWrap/>
            <w:hideMark/>
          </w:tcPr>
          <w:p w14:paraId="4DBBDC5C" w14:textId="77777777" w:rsidR="003A12BF" w:rsidRPr="003A12BF" w:rsidRDefault="003A12BF" w:rsidP="00F51716">
            <w:pPr>
              <w:pStyle w:val="Tabletext0"/>
            </w:pPr>
            <w:r w:rsidRPr="003A12BF">
              <w:t>Mt Buller Mt Stirling Resort Management</w:t>
            </w:r>
          </w:p>
        </w:tc>
        <w:tc>
          <w:tcPr>
            <w:tcW w:w="4481" w:type="dxa"/>
            <w:noWrap/>
            <w:hideMark/>
          </w:tcPr>
          <w:p w14:paraId="3B01867F" w14:textId="7E32A103" w:rsidR="003A12BF" w:rsidRPr="003A12BF" w:rsidRDefault="003A12BF" w:rsidP="00F51716">
            <w:pPr>
              <w:pStyle w:val="Tabletext0"/>
            </w:pPr>
            <w:r w:rsidRPr="003A12BF">
              <w:t xml:space="preserve">E-waste Infrastructure Upgrade </w:t>
            </w:r>
            <w:r w:rsidR="00737453">
              <w:t>–</w:t>
            </w:r>
            <w:r w:rsidRPr="003A12BF">
              <w:t xml:space="preserve"> Mt Buller Mt Stirling Resort Management</w:t>
            </w:r>
          </w:p>
        </w:tc>
        <w:tc>
          <w:tcPr>
            <w:tcW w:w="1440" w:type="dxa"/>
            <w:noWrap/>
            <w:hideMark/>
          </w:tcPr>
          <w:p w14:paraId="44917E25" w14:textId="77777777" w:rsidR="003A12BF" w:rsidRPr="003A12BF" w:rsidRDefault="003A12BF" w:rsidP="00F51716">
            <w:pPr>
              <w:pStyle w:val="Tabletext0"/>
            </w:pPr>
            <w:r w:rsidRPr="003A12BF">
              <w:t>$48,750.00</w:t>
            </w:r>
          </w:p>
        </w:tc>
      </w:tr>
      <w:tr w:rsidR="003A12BF" w:rsidRPr="003A12BF" w14:paraId="44B96375" w14:textId="77777777" w:rsidTr="002D4B7F">
        <w:trPr>
          <w:trHeight w:val="300"/>
        </w:trPr>
        <w:tc>
          <w:tcPr>
            <w:tcW w:w="2977" w:type="dxa"/>
            <w:noWrap/>
            <w:hideMark/>
          </w:tcPr>
          <w:p w14:paraId="6B79B82F" w14:textId="77777777" w:rsidR="003A12BF" w:rsidRPr="003A12BF" w:rsidRDefault="003A12BF" w:rsidP="00F51716">
            <w:pPr>
              <w:pStyle w:val="Tabletext0"/>
            </w:pPr>
            <w:r w:rsidRPr="003A12BF">
              <w:t>Mt Buller Mt Stirling Resort Management</w:t>
            </w:r>
          </w:p>
        </w:tc>
        <w:tc>
          <w:tcPr>
            <w:tcW w:w="4481" w:type="dxa"/>
            <w:noWrap/>
            <w:hideMark/>
          </w:tcPr>
          <w:p w14:paraId="379BCB3A" w14:textId="7757E4E6" w:rsidR="003A12BF" w:rsidRPr="003A12BF" w:rsidRDefault="003A12BF" w:rsidP="00F51716">
            <w:pPr>
              <w:pStyle w:val="Tabletext0"/>
            </w:pPr>
            <w:r w:rsidRPr="003A12BF">
              <w:t xml:space="preserve">E-waste Infrastructure Upgrade </w:t>
            </w:r>
            <w:r w:rsidR="00737453">
              <w:t>–</w:t>
            </w:r>
            <w:r w:rsidRPr="003A12BF">
              <w:t xml:space="preserve"> Mt Buller Mt Stirling Resort Management</w:t>
            </w:r>
          </w:p>
        </w:tc>
        <w:tc>
          <w:tcPr>
            <w:tcW w:w="1440" w:type="dxa"/>
            <w:noWrap/>
            <w:hideMark/>
          </w:tcPr>
          <w:p w14:paraId="6ED03620" w14:textId="77777777" w:rsidR="003A12BF" w:rsidRPr="003A12BF" w:rsidRDefault="003A12BF" w:rsidP="00F51716">
            <w:pPr>
              <w:pStyle w:val="Tabletext0"/>
            </w:pPr>
            <w:r w:rsidRPr="003A12BF">
              <w:t>$19,500.00</w:t>
            </w:r>
          </w:p>
        </w:tc>
      </w:tr>
      <w:tr w:rsidR="003A12BF" w:rsidRPr="003A12BF" w14:paraId="2CF91ED1" w14:textId="77777777" w:rsidTr="002D4B7F">
        <w:trPr>
          <w:trHeight w:val="300"/>
        </w:trPr>
        <w:tc>
          <w:tcPr>
            <w:tcW w:w="2977" w:type="dxa"/>
            <w:noWrap/>
            <w:hideMark/>
          </w:tcPr>
          <w:p w14:paraId="172966D5" w14:textId="77777777" w:rsidR="003A12BF" w:rsidRPr="003A12BF" w:rsidRDefault="003A12BF" w:rsidP="00F51716">
            <w:pPr>
              <w:pStyle w:val="Tabletext0"/>
            </w:pPr>
            <w:r w:rsidRPr="003A12BF">
              <w:t>Whitehorse City Council</w:t>
            </w:r>
          </w:p>
        </w:tc>
        <w:tc>
          <w:tcPr>
            <w:tcW w:w="4481" w:type="dxa"/>
            <w:noWrap/>
            <w:hideMark/>
          </w:tcPr>
          <w:p w14:paraId="2A5ABF5D" w14:textId="01F552A8" w:rsidR="003A12BF" w:rsidRPr="003A12BF" w:rsidRDefault="003A12BF" w:rsidP="00F51716">
            <w:pPr>
              <w:pStyle w:val="Tabletext0"/>
            </w:pPr>
            <w:r w:rsidRPr="003A12BF">
              <w:t xml:space="preserve">E-waste Infrastructure Upgrade </w:t>
            </w:r>
            <w:r w:rsidR="00737453">
              <w:t>–</w:t>
            </w:r>
            <w:r w:rsidRPr="003A12BF">
              <w:t xml:space="preserve"> Whitehorse City Council</w:t>
            </w:r>
          </w:p>
        </w:tc>
        <w:tc>
          <w:tcPr>
            <w:tcW w:w="1440" w:type="dxa"/>
            <w:noWrap/>
            <w:hideMark/>
          </w:tcPr>
          <w:p w14:paraId="766C1F49" w14:textId="77777777" w:rsidR="003A12BF" w:rsidRPr="003A12BF" w:rsidRDefault="003A12BF" w:rsidP="00F51716">
            <w:pPr>
              <w:pStyle w:val="Tabletext0"/>
            </w:pPr>
            <w:r w:rsidRPr="003A12BF">
              <w:t>$30,000.00</w:t>
            </w:r>
          </w:p>
        </w:tc>
      </w:tr>
      <w:tr w:rsidR="003A12BF" w:rsidRPr="003A12BF" w14:paraId="0DF1FF87" w14:textId="77777777" w:rsidTr="002D4B7F">
        <w:trPr>
          <w:trHeight w:val="300"/>
        </w:trPr>
        <w:tc>
          <w:tcPr>
            <w:tcW w:w="2977" w:type="dxa"/>
            <w:noWrap/>
            <w:hideMark/>
          </w:tcPr>
          <w:p w14:paraId="6C2015F5" w14:textId="77777777" w:rsidR="003A12BF" w:rsidRPr="003A12BF" w:rsidRDefault="003A12BF" w:rsidP="00F51716">
            <w:pPr>
              <w:pStyle w:val="Tabletext0"/>
            </w:pPr>
            <w:r w:rsidRPr="003A12BF">
              <w:t>Whitehorse City Council</w:t>
            </w:r>
          </w:p>
        </w:tc>
        <w:tc>
          <w:tcPr>
            <w:tcW w:w="4481" w:type="dxa"/>
            <w:noWrap/>
            <w:hideMark/>
          </w:tcPr>
          <w:p w14:paraId="25F756A2" w14:textId="3B709753" w:rsidR="003A12BF" w:rsidRPr="003A12BF" w:rsidRDefault="003A12BF" w:rsidP="00F51716">
            <w:pPr>
              <w:pStyle w:val="Tabletext0"/>
            </w:pPr>
            <w:r w:rsidRPr="003A12BF">
              <w:t xml:space="preserve">E-waste Infrastructure Upgrade </w:t>
            </w:r>
            <w:r w:rsidR="00737453">
              <w:t>–</w:t>
            </w:r>
            <w:r w:rsidRPr="003A12BF">
              <w:t xml:space="preserve"> Whitehorse City Council</w:t>
            </w:r>
          </w:p>
        </w:tc>
        <w:tc>
          <w:tcPr>
            <w:tcW w:w="1440" w:type="dxa"/>
            <w:noWrap/>
            <w:hideMark/>
          </w:tcPr>
          <w:p w14:paraId="1CC35DCB" w14:textId="77777777" w:rsidR="003A12BF" w:rsidRPr="003A12BF" w:rsidRDefault="003A12BF" w:rsidP="00F51716">
            <w:pPr>
              <w:pStyle w:val="Tabletext0"/>
            </w:pPr>
            <w:r w:rsidRPr="003A12BF">
              <w:t>$50,000.00</w:t>
            </w:r>
          </w:p>
        </w:tc>
      </w:tr>
      <w:tr w:rsidR="003A12BF" w:rsidRPr="003A12BF" w14:paraId="604777FD" w14:textId="77777777" w:rsidTr="002D4B7F">
        <w:trPr>
          <w:trHeight w:val="300"/>
        </w:trPr>
        <w:tc>
          <w:tcPr>
            <w:tcW w:w="2977" w:type="dxa"/>
            <w:noWrap/>
            <w:hideMark/>
          </w:tcPr>
          <w:p w14:paraId="17E49C29" w14:textId="77777777" w:rsidR="003A12BF" w:rsidRPr="003A12BF" w:rsidRDefault="003A12BF" w:rsidP="00F51716">
            <w:pPr>
              <w:pStyle w:val="Tabletext0"/>
            </w:pPr>
            <w:r w:rsidRPr="003A12BF">
              <w:t>Whitehorse City Council</w:t>
            </w:r>
          </w:p>
        </w:tc>
        <w:tc>
          <w:tcPr>
            <w:tcW w:w="4481" w:type="dxa"/>
            <w:noWrap/>
            <w:hideMark/>
          </w:tcPr>
          <w:p w14:paraId="38479AA0" w14:textId="696A3002" w:rsidR="003A12BF" w:rsidRPr="003A12BF" w:rsidRDefault="003A12BF" w:rsidP="00F51716">
            <w:pPr>
              <w:pStyle w:val="Tabletext0"/>
            </w:pPr>
            <w:r w:rsidRPr="003A12BF">
              <w:t xml:space="preserve">E-waste Infrastructure Upgrade </w:t>
            </w:r>
            <w:r w:rsidR="00737453">
              <w:t>–</w:t>
            </w:r>
            <w:r w:rsidRPr="003A12BF">
              <w:t xml:space="preserve"> Whitehorse City Council</w:t>
            </w:r>
          </w:p>
        </w:tc>
        <w:tc>
          <w:tcPr>
            <w:tcW w:w="1440" w:type="dxa"/>
            <w:noWrap/>
            <w:hideMark/>
          </w:tcPr>
          <w:p w14:paraId="2E03BBC6" w14:textId="77777777" w:rsidR="003A12BF" w:rsidRPr="003A12BF" w:rsidRDefault="003A12BF" w:rsidP="00F51716">
            <w:pPr>
              <w:pStyle w:val="Tabletext0"/>
            </w:pPr>
            <w:r w:rsidRPr="003A12BF">
              <w:t>$20,000.00</w:t>
            </w:r>
          </w:p>
        </w:tc>
      </w:tr>
      <w:tr w:rsidR="003A12BF" w:rsidRPr="003A12BF" w14:paraId="0ACA1366" w14:textId="77777777" w:rsidTr="002D4B7F">
        <w:trPr>
          <w:trHeight w:val="300"/>
        </w:trPr>
        <w:tc>
          <w:tcPr>
            <w:tcW w:w="2977" w:type="dxa"/>
            <w:noWrap/>
            <w:hideMark/>
          </w:tcPr>
          <w:p w14:paraId="30D315AE" w14:textId="77777777" w:rsidR="003A12BF" w:rsidRPr="003A12BF" w:rsidRDefault="003A12BF" w:rsidP="00F51716">
            <w:pPr>
              <w:pStyle w:val="Tabletext0"/>
            </w:pPr>
            <w:r w:rsidRPr="003A12BF">
              <w:t>Indigo Shire Council</w:t>
            </w:r>
          </w:p>
        </w:tc>
        <w:tc>
          <w:tcPr>
            <w:tcW w:w="4481" w:type="dxa"/>
            <w:noWrap/>
            <w:hideMark/>
          </w:tcPr>
          <w:p w14:paraId="2CF375DA" w14:textId="77777777" w:rsidR="003A12BF" w:rsidRPr="003A12BF" w:rsidRDefault="003A12BF" w:rsidP="00F51716">
            <w:pPr>
              <w:pStyle w:val="Tabletext0"/>
            </w:pPr>
            <w:r w:rsidRPr="003A12BF">
              <w:t>E-waste Infrastructure Upgrade - Indigo Shire Council: Beechworth Transfer Station</w:t>
            </w:r>
          </w:p>
        </w:tc>
        <w:tc>
          <w:tcPr>
            <w:tcW w:w="1440" w:type="dxa"/>
            <w:noWrap/>
            <w:hideMark/>
          </w:tcPr>
          <w:p w14:paraId="12FCE42B" w14:textId="77777777" w:rsidR="003A12BF" w:rsidRPr="003A12BF" w:rsidRDefault="003A12BF" w:rsidP="00F51716">
            <w:pPr>
              <w:pStyle w:val="Tabletext0"/>
            </w:pPr>
            <w:r w:rsidRPr="003A12BF">
              <w:t>$48,179.50</w:t>
            </w:r>
          </w:p>
        </w:tc>
      </w:tr>
      <w:tr w:rsidR="003A12BF" w:rsidRPr="003A12BF" w14:paraId="509905B3" w14:textId="77777777" w:rsidTr="002D4B7F">
        <w:trPr>
          <w:trHeight w:val="300"/>
        </w:trPr>
        <w:tc>
          <w:tcPr>
            <w:tcW w:w="2977" w:type="dxa"/>
            <w:noWrap/>
            <w:hideMark/>
          </w:tcPr>
          <w:p w14:paraId="0556F85D" w14:textId="77777777" w:rsidR="003A12BF" w:rsidRPr="003A12BF" w:rsidRDefault="003A12BF" w:rsidP="00F51716">
            <w:pPr>
              <w:pStyle w:val="Tabletext0"/>
            </w:pPr>
            <w:r w:rsidRPr="003A12BF">
              <w:t>Indigo Shire Council</w:t>
            </w:r>
          </w:p>
        </w:tc>
        <w:tc>
          <w:tcPr>
            <w:tcW w:w="4481" w:type="dxa"/>
            <w:noWrap/>
            <w:hideMark/>
          </w:tcPr>
          <w:p w14:paraId="7482C61F" w14:textId="77777777" w:rsidR="003A12BF" w:rsidRPr="003A12BF" w:rsidRDefault="003A12BF" w:rsidP="00F51716">
            <w:pPr>
              <w:pStyle w:val="Tabletext0"/>
            </w:pPr>
            <w:r w:rsidRPr="003A12BF">
              <w:t>E-waste Infrastructure Upgrade - Indigo Shire Council: Beechworth Transfer Station</w:t>
            </w:r>
          </w:p>
        </w:tc>
        <w:tc>
          <w:tcPr>
            <w:tcW w:w="1440" w:type="dxa"/>
            <w:noWrap/>
            <w:hideMark/>
          </w:tcPr>
          <w:p w14:paraId="57F79842" w14:textId="77777777" w:rsidR="003A12BF" w:rsidRPr="003A12BF" w:rsidRDefault="003A12BF" w:rsidP="00F51716">
            <w:pPr>
              <w:pStyle w:val="Tabletext0"/>
            </w:pPr>
            <w:r w:rsidRPr="003A12BF">
              <w:t>$19,271.80</w:t>
            </w:r>
          </w:p>
        </w:tc>
      </w:tr>
      <w:tr w:rsidR="003A12BF" w:rsidRPr="003A12BF" w14:paraId="2FEE6F8E" w14:textId="77777777" w:rsidTr="002D4B7F">
        <w:trPr>
          <w:trHeight w:val="300"/>
        </w:trPr>
        <w:tc>
          <w:tcPr>
            <w:tcW w:w="2977" w:type="dxa"/>
            <w:noWrap/>
            <w:hideMark/>
          </w:tcPr>
          <w:p w14:paraId="197C892F" w14:textId="77777777" w:rsidR="003A12BF" w:rsidRPr="003A12BF" w:rsidRDefault="003A12BF" w:rsidP="00F51716">
            <w:pPr>
              <w:pStyle w:val="Tabletext0"/>
            </w:pPr>
            <w:r w:rsidRPr="003A12BF">
              <w:t>Indigo Shire Council</w:t>
            </w:r>
          </w:p>
        </w:tc>
        <w:tc>
          <w:tcPr>
            <w:tcW w:w="4481" w:type="dxa"/>
            <w:noWrap/>
            <w:hideMark/>
          </w:tcPr>
          <w:p w14:paraId="59A78BCA" w14:textId="77777777" w:rsidR="003A12BF" w:rsidRPr="003A12BF" w:rsidRDefault="003A12BF" w:rsidP="00F51716">
            <w:pPr>
              <w:pStyle w:val="Tabletext0"/>
            </w:pPr>
            <w:r w:rsidRPr="003A12BF">
              <w:t>E-waste Infrastructure Upgrade - Indigo Shire Council: Rutherglen Transfer Station</w:t>
            </w:r>
          </w:p>
        </w:tc>
        <w:tc>
          <w:tcPr>
            <w:tcW w:w="1440" w:type="dxa"/>
            <w:noWrap/>
            <w:hideMark/>
          </w:tcPr>
          <w:p w14:paraId="0BAABBAC" w14:textId="77777777" w:rsidR="003A12BF" w:rsidRPr="003A12BF" w:rsidRDefault="003A12BF" w:rsidP="00F51716">
            <w:pPr>
              <w:pStyle w:val="Tabletext0"/>
            </w:pPr>
            <w:r w:rsidRPr="003A12BF">
              <w:t>$44,033.00</w:t>
            </w:r>
          </w:p>
        </w:tc>
      </w:tr>
      <w:tr w:rsidR="003A12BF" w:rsidRPr="003A12BF" w14:paraId="1F3D0202" w14:textId="77777777" w:rsidTr="002D4B7F">
        <w:trPr>
          <w:trHeight w:val="300"/>
        </w:trPr>
        <w:tc>
          <w:tcPr>
            <w:tcW w:w="2977" w:type="dxa"/>
            <w:noWrap/>
            <w:hideMark/>
          </w:tcPr>
          <w:p w14:paraId="693A6BA8" w14:textId="77777777" w:rsidR="003A12BF" w:rsidRPr="003A12BF" w:rsidRDefault="003A12BF" w:rsidP="00F51716">
            <w:pPr>
              <w:pStyle w:val="Tabletext0"/>
            </w:pPr>
            <w:r w:rsidRPr="003A12BF">
              <w:t>Indigo Shire Council</w:t>
            </w:r>
          </w:p>
        </w:tc>
        <w:tc>
          <w:tcPr>
            <w:tcW w:w="4481" w:type="dxa"/>
            <w:noWrap/>
            <w:hideMark/>
          </w:tcPr>
          <w:p w14:paraId="0140FA68" w14:textId="77777777" w:rsidR="003A12BF" w:rsidRPr="003A12BF" w:rsidRDefault="003A12BF" w:rsidP="00F51716">
            <w:pPr>
              <w:pStyle w:val="Tabletext0"/>
            </w:pPr>
            <w:r w:rsidRPr="003A12BF">
              <w:t>E-waste Infrastructure Upgrade - Indigo Shire Council: Rutherglen Transfer Station</w:t>
            </w:r>
          </w:p>
        </w:tc>
        <w:tc>
          <w:tcPr>
            <w:tcW w:w="1440" w:type="dxa"/>
            <w:noWrap/>
            <w:hideMark/>
          </w:tcPr>
          <w:p w14:paraId="34D30A40" w14:textId="77777777" w:rsidR="003A12BF" w:rsidRPr="003A12BF" w:rsidRDefault="003A12BF" w:rsidP="00F51716">
            <w:pPr>
              <w:pStyle w:val="Tabletext0"/>
            </w:pPr>
            <w:r w:rsidRPr="003A12BF">
              <w:t>$7,066.62</w:t>
            </w:r>
          </w:p>
        </w:tc>
      </w:tr>
      <w:tr w:rsidR="003A12BF" w:rsidRPr="003A12BF" w14:paraId="1D418396" w14:textId="77777777" w:rsidTr="002D4B7F">
        <w:trPr>
          <w:trHeight w:val="300"/>
        </w:trPr>
        <w:tc>
          <w:tcPr>
            <w:tcW w:w="2977" w:type="dxa"/>
            <w:noWrap/>
            <w:hideMark/>
          </w:tcPr>
          <w:p w14:paraId="0282D405" w14:textId="77777777" w:rsidR="003A12BF" w:rsidRPr="003A12BF" w:rsidRDefault="003A12BF" w:rsidP="00F51716">
            <w:pPr>
              <w:pStyle w:val="Tabletext0"/>
            </w:pPr>
            <w:r w:rsidRPr="003A12BF">
              <w:t>Wodonga City Council</w:t>
            </w:r>
          </w:p>
        </w:tc>
        <w:tc>
          <w:tcPr>
            <w:tcW w:w="4481" w:type="dxa"/>
            <w:noWrap/>
            <w:hideMark/>
          </w:tcPr>
          <w:p w14:paraId="700C7202" w14:textId="29C099F0" w:rsidR="003A12BF" w:rsidRPr="003A12BF" w:rsidRDefault="003A12BF" w:rsidP="00F51716">
            <w:pPr>
              <w:pStyle w:val="Tabletext0"/>
            </w:pPr>
            <w:r w:rsidRPr="003A12BF">
              <w:t xml:space="preserve">E-waste Infrastructure Upgrade </w:t>
            </w:r>
            <w:r w:rsidR="00737453">
              <w:t>–</w:t>
            </w:r>
            <w:r w:rsidRPr="003A12BF">
              <w:t xml:space="preserve"> Wodonga City Council</w:t>
            </w:r>
          </w:p>
        </w:tc>
        <w:tc>
          <w:tcPr>
            <w:tcW w:w="1440" w:type="dxa"/>
            <w:noWrap/>
            <w:hideMark/>
          </w:tcPr>
          <w:p w14:paraId="287EA30A" w14:textId="77777777" w:rsidR="003A12BF" w:rsidRPr="003A12BF" w:rsidRDefault="003A12BF" w:rsidP="00F51716">
            <w:pPr>
              <w:pStyle w:val="Tabletext0"/>
            </w:pPr>
            <w:r w:rsidRPr="003A12BF">
              <w:t>$33,910.00</w:t>
            </w:r>
          </w:p>
        </w:tc>
      </w:tr>
      <w:tr w:rsidR="003A12BF" w:rsidRPr="003A12BF" w14:paraId="138E1CE4" w14:textId="77777777" w:rsidTr="002D4B7F">
        <w:trPr>
          <w:trHeight w:val="300"/>
        </w:trPr>
        <w:tc>
          <w:tcPr>
            <w:tcW w:w="2977" w:type="dxa"/>
            <w:noWrap/>
            <w:hideMark/>
          </w:tcPr>
          <w:p w14:paraId="7561D9DF" w14:textId="77777777" w:rsidR="003A12BF" w:rsidRPr="003A12BF" w:rsidRDefault="003A12BF" w:rsidP="00F51716">
            <w:pPr>
              <w:pStyle w:val="Tabletext0"/>
            </w:pPr>
            <w:r w:rsidRPr="003A12BF">
              <w:t>Wodonga City Council</w:t>
            </w:r>
          </w:p>
        </w:tc>
        <w:tc>
          <w:tcPr>
            <w:tcW w:w="4481" w:type="dxa"/>
            <w:noWrap/>
            <w:hideMark/>
          </w:tcPr>
          <w:p w14:paraId="45F02BAF" w14:textId="5CDE6487" w:rsidR="003A12BF" w:rsidRPr="003A12BF" w:rsidRDefault="003A12BF" w:rsidP="00F51716">
            <w:pPr>
              <w:pStyle w:val="Tabletext0"/>
            </w:pPr>
            <w:r w:rsidRPr="003A12BF">
              <w:t xml:space="preserve">E-waste Infrastructure Upgrade </w:t>
            </w:r>
            <w:r w:rsidR="00737453">
              <w:t>–</w:t>
            </w:r>
            <w:r w:rsidRPr="003A12BF">
              <w:t xml:space="preserve"> Wodonga City Council</w:t>
            </w:r>
          </w:p>
        </w:tc>
        <w:tc>
          <w:tcPr>
            <w:tcW w:w="1440" w:type="dxa"/>
            <w:noWrap/>
            <w:hideMark/>
          </w:tcPr>
          <w:p w14:paraId="29C8B32A" w14:textId="77777777" w:rsidR="003A12BF" w:rsidRPr="003A12BF" w:rsidRDefault="003A12BF" w:rsidP="00F51716">
            <w:pPr>
              <w:pStyle w:val="Tabletext0"/>
            </w:pPr>
            <w:r w:rsidRPr="003A12BF">
              <w:t>$19,809.09</w:t>
            </w:r>
          </w:p>
        </w:tc>
      </w:tr>
      <w:tr w:rsidR="003A12BF" w:rsidRPr="003A12BF" w14:paraId="71399633" w14:textId="77777777" w:rsidTr="002D4B7F">
        <w:trPr>
          <w:trHeight w:val="300"/>
        </w:trPr>
        <w:tc>
          <w:tcPr>
            <w:tcW w:w="2977" w:type="dxa"/>
            <w:noWrap/>
            <w:hideMark/>
          </w:tcPr>
          <w:p w14:paraId="4DF70702" w14:textId="77777777" w:rsidR="003A12BF" w:rsidRPr="003A12BF" w:rsidRDefault="003A12BF" w:rsidP="00F51716">
            <w:pPr>
              <w:pStyle w:val="Tabletext0"/>
            </w:pPr>
            <w:r w:rsidRPr="003A12BF">
              <w:t>Boroondara City Council</w:t>
            </w:r>
          </w:p>
        </w:tc>
        <w:tc>
          <w:tcPr>
            <w:tcW w:w="4481" w:type="dxa"/>
            <w:noWrap/>
            <w:hideMark/>
          </w:tcPr>
          <w:p w14:paraId="18D4A9B3" w14:textId="5AC36ECD" w:rsidR="003A12BF" w:rsidRPr="003A12BF" w:rsidRDefault="003A12BF" w:rsidP="00F51716">
            <w:pPr>
              <w:pStyle w:val="Tabletext0"/>
            </w:pPr>
            <w:r w:rsidRPr="003A12BF">
              <w:t xml:space="preserve">E-waste Infrastructure Upgrade </w:t>
            </w:r>
            <w:r w:rsidR="00737453">
              <w:t>–</w:t>
            </w:r>
            <w:r w:rsidRPr="003A12BF">
              <w:t xml:space="preserve"> City of Boroondara Transfer Station</w:t>
            </w:r>
          </w:p>
        </w:tc>
        <w:tc>
          <w:tcPr>
            <w:tcW w:w="1440" w:type="dxa"/>
            <w:noWrap/>
            <w:hideMark/>
          </w:tcPr>
          <w:p w14:paraId="317F06EE" w14:textId="77777777" w:rsidR="003A12BF" w:rsidRPr="003A12BF" w:rsidRDefault="003A12BF" w:rsidP="00F51716">
            <w:pPr>
              <w:pStyle w:val="Tabletext0"/>
            </w:pPr>
            <w:r w:rsidRPr="003A12BF">
              <w:t>$30,000.00</w:t>
            </w:r>
          </w:p>
        </w:tc>
      </w:tr>
      <w:tr w:rsidR="003A12BF" w:rsidRPr="003A12BF" w14:paraId="27F6C915" w14:textId="77777777" w:rsidTr="002D4B7F">
        <w:trPr>
          <w:trHeight w:val="300"/>
        </w:trPr>
        <w:tc>
          <w:tcPr>
            <w:tcW w:w="2977" w:type="dxa"/>
            <w:noWrap/>
            <w:hideMark/>
          </w:tcPr>
          <w:p w14:paraId="49441624" w14:textId="77777777" w:rsidR="003A12BF" w:rsidRPr="003A12BF" w:rsidRDefault="003A12BF" w:rsidP="00F51716">
            <w:pPr>
              <w:pStyle w:val="Tabletext0"/>
            </w:pPr>
            <w:r w:rsidRPr="003A12BF">
              <w:t>Boroondara City Council</w:t>
            </w:r>
          </w:p>
        </w:tc>
        <w:tc>
          <w:tcPr>
            <w:tcW w:w="4481" w:type="dxa"/>
            <w:noWrap/>
            <w:hideMark/>
          </w:tcPr>
          <w:p w14:paraId="54124768" w14:textId="167E8D8F" w:rsidR="003A12BF" w:rsidRPr="003A12BF" w:rsidRDefault="003A12BF" w:rsidP="00F51716">
            <w:pPr>
              <w:pStyle w:val="Tabletext0"/>
            </w:pPr>
            <w:r w:rsidRPr="003A12BF">
              <w:t xml:space="preserve">E-waste Infrastructure Upgrade </w:t>
            </w:r>
            <w:r w:rsidR="00737453">
              <w:t>–</w:t>
            </w:r>
            <w:r w:rsidRPr="003A12BF">
              <w:t xml:space="preserve"> City of Boroondara Transfer Station</w:t>
            </w:r>
          </w:p>
        </w:tc>
        <w:tc>
          <w:tcPr>
            <w:tcW w:w="1440" w:type="dxa"/>
            <w:noWrap/>
            <w:hideMark/>
          </w:tcPr>
          <w:p w14:paraId="5C4A42F0" w14:textId="77777777" w:rsidR="003A12BF" w:rsidRPr="003A12BF" w:rsidRDefault="003A12BF" w:rsidP="00F51716">
            <w:pPr>
              <w:pStyle w:val="Tabletext0"/>
            </w:pPr>
            <w:r w:rsidRPr="003A12BF">
              <w:t>$50,000.00</w:t>
            </w:r>
          </w:p>
        </w:tc>
      </w:tr>
      <w:tr w:rsidR="003A12BF" w:rsidRPr="003A12BF" w14:paraId="6C8A00D1" w14:textId="77777777" w:rsidTr="002D4B7F">
        <w:trPr>
          <w:trHeight w:val="300"/>
        </w:trPr>
        <w:tc>
          <w:tcPr>
            <w:tcW w:w="2977" w:type="dxa"/>
            <w:noWrap/>
            <w:hideMark/>
          </w:tcPr>
          <w:p w14:paraId="418CE094" w14:textId="77777777" w:rsidR="003A12BF" w:rsidRPr="003A12BF" w:rsidRDefault="003A12BF" w:rsidP="00F51716">
            <w:pPr>
              <w:pStyle w:val="Tabletext0"/>
            </w:pPr>
            <w:r w:rsidRPr="003A12BF">
              <w:t>Boroondara City Council</w:t>
            </w:r>
          </w:p>
        </w:tc>
        <w:tc>
          <w:tcPr>
            <w:tcW w:w="4481" w:type="dxa"/>
            <w:noWrap/>
            <w:hideMark/>
          </w:tcPr>
          <w:p w14:paraId="54905F36" w14:textId="10096DAF" w:rsidR="003A12BF" w:rsidRPr="003A12BF" w:rsidRDefault="003A12BF" w:rsidP="00F51716">
            <w:pPr>
              <w:pStyle w:val="Tabletext0"/>
            </w:pPr>
            <w:r w:rsidRPr="003A12BF">
              <w:t xml:space="preserve">E-waste Infrastructure Upgrade </w:t>
            </w:r>
            <w:r w:rsidR="00737453">
              <w:t>–</w:t>
            </w:r>
            <w:r w:rsidRPr="003A12BF">
              <w:t xml:space="preserve"> City of Boroondara Transfer Station</w:t>
            </w:r>
          </w:p>
        </w:tc>
        <w:tc>
          <w:tcPr>
            <w:tcW w:w="1440" w:type="dxa"/>
            <w:noWrap/>
            <w:hideMark/>
          </w:tcPr>
          <w:p w14:paraId="41A18577" w14:textId="77777777" w:rsidR="003A12BF" w:rsidRPr="003A12BF" w:rsidRDefault="003A12BF" w:rsidP="00F51716">
            <w:pPr>
              <w:pStyle w:val="Tabletext0"/>
            </w:pPr>
            <w:r w:rsidRPr="003A12BF">
              <w:t>$20,000.00</w:t>
            </w:r>
          </w:p>
        </w:tc>
      </w:tr>
      <w:tr w:rsidR="003A12BF" w:rsidRPr="003A12BF" w14:paraId="408E0515" w14:textId="77777777" w:rsidTr="002D4B7F">
        <w:trPr>
          <w:trHeight w:val="300"/>
        </w:trPr>
        <w:tc>
          <w:tcPr>
            <w:tcW w:w="2977" w:type="dxa"/>
            <w:noWrap/>
            <w:hideMark/>
          </w:tcPr>
          <w:p w14:paraId="054E42EC" w14:textId="77777777" w:rsidR="003A12BF" w:rsidRPr="003A12BF" w:rsidRDefault="003A12BF" w:rsidP="00F51716">
            <w:pPr>
              <w:pStyle w:val="Tabletext0"/>
            </w:pPr>
            <w:r w:rsidRPr="003A12BF">
              <w:t>Yarriambiack Shire Council</w:t>
            </w:r>
          </w:p>
        </w:tc>
        <w:tc>
          <w:tcPr>
            <w:tcW w:w="4481" w:type="dxa"/>
            <w:noWrap/>
            <w:hideMark/>
          </w:tcPr>
          <w:p w14:paraId="266A07EA" w14:textId="21F2535C" w:rsidR="003A12BF" w:rsidRPr="003A12BF" w:rsidRDefault="003A12BF" w:rsidP="00F51716">
            <w:pPr>
              <w:pStyle w:val="Tabletext0"/>
            </w:pPr>
            <w:r w:rsidRPr="003A12BF">
              <w:t xml:space="preserve">E-waste Infrastructure Upgrade </w:t>
            </w:r>
            <w:r w:rsidR="00737453">
              <w:t>–</w:t>
            </w:r>
            <w:r w:rsidRPr="003A12BF">
              <w:t xml:space="preserve"> Yarriambiack Shire Council </w:t>
            </w:r>
            <w:r w:rsidR="00737453">
              <w:t>–</w:t>
            </w:r>
            <w:r w:rsidRPr="003A12BF">
              <w:t xml:space="preserve"> Murtoa</w:t>
            </w:r>
          </w:p>
        </w:tc>
        <w:tc>
          <w:tcPr>
            <w:tcW w:w="1440" w:type="dxa"/>
            <w:noWrap/>
            <w:hideMark/>
          </w:tcPr>
          <w:p w14:paraId="4CBE6DFB" w14:textId="77777777" w:rsidR="003A12BF" w:rsidRPr="003A12BF" w:rsidRDefault="003A12BF" w:rsidP="00F51716">
            <w:pPr>
              <w:pStyle w:val="Tabletext0"/>
            </w:pPr>
            <w:r w:rsidRPr="003A12BF">
              <w:t>$26,996.41</w:t>
            </w:r>
          </w:p>
        </w:tc>
      </w:tr>
      <w:tr w:rsidR="003A12BF" w:rsidRPr="003A12BF" w14:paraId="48C6F9B9" w14:textId="77777777" w:rsidTr="002D4B7F">
        <w:trPr>
          <w:trHeight w:val="300"/>
        </w:trPr>
        <w:tc>
          <w:tcPr>
            <w:tcW w:w="2977" w:type="dxa"/>
            <w:noWrap/>
            <w:hideMark/>
          </w:tcPr>
          <w:p w14:paraId="2365DABC" w14:textId="77777777" w:rsidR="003A12BF" w:rsidRPr="003A12BF" w:rsidRDefault="003A12BF" w:rsidP="00F51716">
            <w:pPr>
              <w:pStyle w:val="Tabletext0"/>
            </w:pPr>
            <w:r w:rsidRPr="003A12BF">
              <w:t>Yarriambiack Shire Council</w:t>
            </w:r>
          </w:p>
        </w:tc>
        <w:tc>
          <w:tcPr>
            <w:tcW w:w="4481" w:type="dxa"/>
            <w:noWrap/>
            <w:hideMark/>
          </w:tcPr>
          <w:p w14:paraId="15852B8D" w14:textId="5EF13284" w:rsidR="003A12BF" w:rsidRPr="003A12BF" w:rsidRDefault="003A12BF" w:rsidP="00F51716">
            <w:pPr>
              <w:pStyle w:val="Tabletext0"/>
            </w:pPr>
            <w:r w:rsidRPr="003A12BF">
              <w:t xml:space="preserve">E-waste Infrastructure Upgrade </w:t>
            </w:r>
            <w:r w:rsidR="00737453">
              <w:t>–</w:t>
            </w:r>
            <w:r w:rsidRPr="003A12BF">
              <w:t xml:space="preserve"> Yarriambiack Shire Council </w:t>
            </w:r>
            <w:r w:rsidR="00737453">
              <w:t>–</w:t>
            </w:r>
            <w:r w:rsidRPr="003A12BF">
              <w:t xml:space="preserve"> Murtoa</w:t>
            </w:r>
          </w:p>
        </w:tc>
        <w:tc>
          <w:tcPr>
            <w:tcW w:w="1440" w:type="dxa"/>
            <w:noWrap/>
            <w:hideMark/>
          </w:tcPr>
          <w:p w14:paraId="30E47E1D" w14:textId="77777777" w:rsidR="003A12BF" w:rsidRPr="003A12BF" w:rsidRDefault="003A12BF" w:rsidP="00F51716">
            <w:pPr>
              <w:pStyle w:val="Tabletext0"/>
            </w:pPr>
            <w:r w:rsidRPr="003A12BF">
              <w:t>$11,500.00</w:t>
            </w:r>
          </w:p>
        </w:tc>
      </w:tr>
      <w:tr w:rsidR="003A12BF" w:rsidRPr="003A12BF" w14:paraId="4C02D9B7" w14:textId="77777777" w:rsidTr="002D4B7F">
        <w:trPr>
          <w:trHeight w:val="300"/>
        </w:trPr>
        <w:tc>
          <w:tcPr>
            <w:tcW w:w="2977" w:type="dxa"/>
            <w:noWrap/>
            <w:hideMark/>
          </w:tcPr>
          <w:p w14:paraId="14670A39" w14:textId="77777777" w:rsidR="003A12BF" w:rsidRPr="003A12BF" w:rsidRDefault="003A12BF" w:rsidP="00F51716">
            <w:pPr>
              <w:pStyle w:val="Tabletext0"/>
            </w:pPr>
            <w:r w:rsidRPr="003A12BF">
              <w:t>Yarriambiack Shire Council</w:t>
            </w:r>
          </w:p>
        </w:tc>
        <w:tc>
          <w:tcPr>
            <w:tcW w:w="4481" w:type="dxa"/>
            <w:noWrap/>
            <w:hideMark/>
          </w:tcPr>
          <w:p w14:paraId="4FFFE248" w14:textId="3CAB5496" w:rsidR="003A12BF" w:rsidRPr="003A12BF" w:rsidRDefault="003A12BF" w:rsidP="00F51716">
            <w:pPr>
              <w:pStyle w:val="Tabletext0"/>
            </w:pPr>
            <w:r w:rsidRPr="003A12BF">
              <w:t xml:space="preserve">E-waste Infrastructure Upgrade </w:t>
            </w:r>
            <w:r w:rsidR="00737453">
              <w:t>–</w:t>
            </w:r>
            <w:r w:rsidRPr="003A12BF">
              <w:t xml:space="preserve"> Yarriambiack </w:t>
            </w:r>
            <w:r w:rsidR="00737453">
              <w:t>–</w:t>
            </w:r>
            <w:r w:rsidRPr="003A12BF">
              <w:t xml:space="preserve"> Hopetoun</w:t>
            </w:r>
          </w:p>
        </w:tc>
        <w:tc>
          <w:tcPr>
            <w:tcW w:w="1440" w:type="dxa"/>
            <w:noWrap/>
            <w:hideMark/>
          </w:tcPr>
          <w:p w14:paraId="2698B920" w14:textId="77777777" w:rsidR="003A12BF" w:rsidRPr="003A12BF" w:rsidRDefault="003A12BF" w:rsidP="00F51716">
            <w:pPr>
              <w:pStyle w:val="Tabletext0"/>
            </w:pPr>
            <w:r w:rsidRPr="003A12BF">
              <w:t>$26,052.01</w:t>
            </w:r>
          </w:p>
        </w:tc>
      </w:tr>
      <w:tr w:rsidR="003A12BF" w:rsidRPr="003A12BF" w14:paraId="44A62129" w14:textId="77777777" w:rsidTr="002D4B7F">
        <w:trPr>
          <w:trHeight w:val="300"/>
        </w:trPr>
        <w:tc>
          <w:tcPr>
            <w:tcW w:w="2977" w:type="dxa"/>
            <w:noWrap/>
            <w:hideMark/>
          </w:tcPr>
          <w:p w14:paraId="24671A33" w14:textId="77777777" w:rsidR="003A12BF" w:rsidRPr="003A12BF" w:rsidRDefault="003A12BF" w:rsidP="00F51716">
            <w:pPr>
              <w:pStyle w:val="Tabletext0"/>
            </w:pPr>
            <w:r w:rsidRPr="003A12BF">
              <w:t>Yarriambiack Shire Council</w:t>
            </w:r>
          </w:p>
        </w:tc>
        <w:tc>
          <w:tcPr>
            <w:tcW w:w="4481" w:type="dxa"/>
            <w:noWrap/>
            <w:hideMark/>
          </w:tcPr>
          <w:p w14:paraId="2264CC67" w14:textId="00604D05" w:rsidR="003A12BF" w:rsidRPr="003A12BF" w:rsidRDefault="003A12BF" w:rsidP="00F51716">
            <w:pPr>
              <w:pStyle w:val="Tabletext0"/>
            </w:pPr>
            <w:r w:rsidRPr="003A12BF">
              <w:t xml:space="preserve">E-waste Infrastructure Upgrade </w:t>
            </w:r>
            <w:r w:rsidR="00737453">
              <w:t>–</w:t>
            </w:r>
            <w:r w:rsidRPr="003A12BF">
              <w:t xml:space="preserve"> Yarriambiack </w:t>
            </w:r>
            <w:r w:rsidR="00737453">
              <w:t>–</w:t>
            </w:r>
            <w:r w:rsidRPr="003A12BF">
              <w:t xml:space="preserve"> Hopetoun</w:t>
            </w:r>
          </w:p>
        </w:tc>
        <w:tc>
          <w:tcPr>
            <w:tcW w:w="1440" w:type="dxa"/>
            <w:noWrap/>
            <w:hideMark/>
          </w:tcPr>
          <w:p w14:paraId="100255E6" w14:textId="77777777" w:rsidR="003A12BF" w:rsidRPr="003A12BF" w:rsidRDefault="003A12BF" w:rsidP="00F51716">
            <w:pPr>
              <w:pStyle w:val="Tabletext0"/>
            </w:pPr>
            <w:r w:rsidRPr="003A12BF">
              <w:t>$11,500.00</w:t>
            </w:r>
          </w:p>
        </w:tc>
      </w:tr>
      <w:tr w:rsidR="003A12BF" w:rsidRPr="003A12BF" w14:paraId="0CE89770" w14:textId="77777777" w:rsidTr="002D4B7F">
        <w:trPr>
          <w:trHeight w:val="300"/>
        </w:trPr>
        <w:tc>
          <w:tcPr>
            <w:tcW w:w="2977" w:type="dxa"/>
            <w:noWrap/>
            <w:hideMark/>
          </w:tcPr>
          <w:p w14:paraId="3452FC1C" w14:textId="77777777" w:rsidR="003A12BF" w:rsidRPr="003A12BF" w:rsidRDefault="003A12BF" w:rsidP="00F51716">
            <w:pPr>
              <w:pStyle w:val="Tabletext0"/>
            </w:pPr>
            <w:r w:rsidRPr="003A12BF">
              <w:t>Yarriambiack Shire Council</w:t>
            </w:r>
          </w:p>
        </w:tc>
        <w:tc>
          <w:tcPr>
            <w:tcW w:w="4481" w:type="dxa"/>
            <w:noWrap/>
            <w:hideMark/>
          </w:tcPr>
          <w:p w14:paraId="6E9E8C52" w14:textId="47933320" w:rsidR="003A12BF" w:rsidRPr="003A12BF" w:rsidRDefault="003A12BF" w:rsidP="00F51716">
            <w:pPr>
              <w:pStyle w:val="Tabletext0"/>
            </w:pPr>
            <w:r w:rsidRPr="003A12BF">
              <w:t xml:space="preserve">E-waste Infrastructure Upgrade </w:t>
            </w:r>
            <w:r w:rsidR="00737453">
              <w:t>–</w:t>
            </w:r>
            <w:r w:rsidRPr="003A12BF">
              <w:t xml:space="preserve"> Yarriambiack Shire Council </w:t>
            </w:r>
            <w:r w:rsidR="00737453">
              <w:t>–</w:t>
            </w:r>
            <w:r w:rsidRPr="003A12BF">
              <w:t xml:space="preserve"> Warracknabeal</w:t>
            </w:r>
          </w:p>
        </w:tc>
        <w:tc>
          <w:tcPr>
            <w:tcW w:w="1440" w:type="dxa"/>
            <w:noWrap/>
            <w:hideMark/>
          </w:tcPr>
          <w:p w14:paraId="537A10F0" w14:textId="77777777" w:rsidR="003A12BF" w:rsidRPr="003A12BF" w:rsidRDefault="003A12BF" w:rsidP="00F51716">
            <w:pPr>
              <w:pStyle w:val="Tabletext0"/>
            </w:pPr>
            <w:r w:rsidRPr="003A12BF">
              <w:t>$25,929.29</w:t>
            </w:r>
          </w:p>
        </w:tc>
      </w:tr>
      <w:tr w:rsidR="003A12BF" w:rsidRPr="003A12BF" w14:paraId="3EFDE72E" w14:textId="77777777" w:rsidTr="002D4B7F">
        <w:trPr>
          <w:trHeight w:val="300"/>
        </w:trPr>
        <w:tc>
          <w:tcPr>
            <w:tcW w:w="2977" w:type="dxa"/>
            <w:noWrap/>
            <w:hideMark/>
          </w:tcPr>
          <w:p w14:paraId="52066BC5" w14:textId="77777777" w:rsidR="003A12BF" w:rsidRPr="003A12BF" w:rsidRDefault="003A12BF" w:rsidP="00F51716">
            <w:pPr>
              <w:pStyle w:val="Tabletext0"/>
            </w:pPr>
            <w:r w:rsidRPr="003A12BF">
              <w:t>Yarriambiack Shire Council</w:t>
            </w:r>
          </w:p>
        </w:tc>
        <w:tc>
          <w:tcPr>
            <w:tcW w:w="4481" w:type="dxa"/>
            <w:noWrap/>
            <w:hideMark/>
          </w:tcPr>
          <w:p w14:paraId="5B61345D" w14:textId="78EF2187" w:rsidR="003A12BF" w:rsidRPr="003A12BF" w:rsidRDefault="003A12BF" w:rsidP="00F51716">
            <w:pPr>
              <w:pStyle w:val="Tabletext0"/>
            </w:pPr>
            <w:r w:rsidRPr="003A12BF">
              <w:t xml:space="preserve">E-waste Infrastructure Upgrade </w:t>
            </w:r>
            <w:r w:rsidR="00737453">
              <w:t>–</w:t>
            </w:r>
            <w:r w:rsidRPr="003A12BF">
              <w:t xml:space="preserve"> Yarriambiack Shire Council </w:t>
            </w:r>
            <w:r w:rsidR="00737453">
              <w:t>–</w:t>
            </w:r>
            <w:r w:rsidRPr="003A12BF">
              <w:t xml:space="preserve"> Warracknabeal</w:t>
            </w:r>
          </w:p>
        </w:tc>
        <w:tc>
          <w:tcPr>
            <w:tcW w:w="1440" w:type="dxa"/>
            <w:noWrap/>
            <w:hideMark/>
          </w:tcPr>
          <w:p w14:paraId="3B22BEC9" w14:textId="77777777" w:rsidR="003A12BF" w:rsidRPr="003A12BF" w:rsidRDefault="003A12BF" w:rsidP="00F51716">
            <w:pPr>
              <w:pStyle w:val="Tabletext0"/>
            </w:pPr>
            <w:r w:rsidRPr="003A12BF">
              <w:t>$11,500.00</w:t>
            </w:r>
          </w:p>
        </w:tc>
      </w:tr>
      <w:tr w:rsidR="003A12BF" w:rsidRPr="003A12BF" w14:paraId="7A320BB4" w14:textId="77777777" w:rsidTr="002D4B7F">
        <w:trPr>
          <w:trHeight w:val="300"/>
        </w:trPr>
        <w:tc>
          <w:tcPr>
            <w:tcW w:w="2977" w:type="dxa"/>
            <w:noWrap/>
            <w:hideMark/>
          </w:tcPr>
          <w:p w14:paraId="2D9AB876" w14:textId="77777777" w:rsidR="003A12BF" w:rsidRPr="003A12BF" w:rsidRDefault="003A12BF" w:rsidP="00F51716">
            <w:pPr>
              <w:pStyle w:val="Tabletext0"/>
            </w:pPr>
            <w:r w:rsidRPr="003A12BF">
              <w:t>Surf Coast Shire Council</w:t>
            </w:r>
          </w:p>
        </w:tc>
        <w:tc>
          <w:tcPr>
            <w:tcW w:w="4481" w:type="dxa"/>
            <w:noWrap/>
            <w:hideMark/>
          </w:tcPr>
          <w:p w14:paraId="23A35E29" w14:textId="03649680" w:rsidR="003A12BF" w:rsidRPr="003A12BF" w:rsidRDefault="003A12BF" w:rsidP="00F51716">
            <w:pPr>
              <w:pStyle w:val="Tabletext0"/>
            </w:pPr>
            <w:r w:rsidRPr="003A12BF">
              <w:t xml:space="preserve">E-waste Infrastructure Upgrade </w:t>
            </w:r>
            <w:r w:rsidR="00737453">
              <w:t>–</w:t>
            </w:r>
            <w:r w:rsidRPr="003A12BF">
              <w:t xml:space="preserve"> Surf Coast Shire Council </w:t>
            </w:r>
            <w:r w:rsidR="00737453">
              <w:t>–</w:t>
            </w:r>
            <w:r w:rsidRPr="003A12BF">
              <w:t xml:space="preserve"> Lorne Transfer Station</w:t>
            </w:r>
          </w:p>
        </w:tc>
        <w:tc>
          <w:tcPr>
            <w:tcW w:w="1440" w:type="dxa"/>
            <w:noWrap/>
            <w:hideMark/>
          </w:tcPr>
          <w:p w14:paraId="4D6015D3" w14:textId="77777777" w:rsidR="003A12BF" w:rsidRPr="003A12BF" w:rsidRDefault="003A12BF" w:rsidP="00F51716">
            <w:pPr>
              <w:pStyle w:val="Tabletext0"/>
            </w:pPr>
            <w:r w:rsidRPr="003A12BF">
              <w:t>$17,333.27</w:t>
            </w:r>
          </w:p>
        </w:tc>
      </w:tr>
      <w:tr w:rsidR="003A12BF" w:rsidRPr="003A12BF" w14:paraId="6331B865" w14:textId="77777777" w:rsidTr="002D4B7F">
        <w:trPr>
          <w:trHeight w:val="300"/>
        </w:trPr>
        <w:tc>
          <w:tcPr>
            <w:tcW w:w="2977" w:type="dxa"/>
            <w:noWrap/>
            <w:hideMark/>
          </w:tcPr>
          <w:p w14:paraId="6CF7E03D" w14:textId="77777777" w:rsidR="003A12BF" w:rsidRPr="003A12BF" w:rsidRDefault="003A12BF" w:rsidP="00F51716">
            <w:pPr>
              <w:pStyle w:val="Tabletext0"/>
            </w:pPr>
            <w:r w:rsidRPr="003A12BF">
              <w:t>Surf Coast Shire Council</w:t>
            </w:r>
          </w:p>
        </w:tc>
        <w:tc>
          <w:tcPr>
            <w:tcW w:w="4481" w:type="dxa"/>
            <w:noWrap/>
            <w:hideMark/>
          </w:tcPr>
          <w:p w14:paraId="7C627B11" w14:textId="065AFD37" w:rsidR="003A12BF" w:rsidRPr="003A12BF" w:rsidRDefault="003A12BF" w:rsidP="00F51716">
            <w:pPr>
              <w:pStyle w:val="Tabletext0"/>
            </w:pPr>
            <w:r w:rsidRPr="003A12BF">
              <w:t xml:space="preserve">E-waste Infrastructure Upgrade </w:t>
            </w:r>
            <w:r w:rsidR="00737453">
              <w:t>–</w:t>
            </w:r>
            <w:r w:rsidRPr="003A12BF">
              <w:t xml:space="preserve"> Surf Coast Shire Council </w:t>
            </w:r>
            <w:r w:rsidR="00737453">
              <w:t>–</w:t>
            </w:r>
            <w:r w:rsidRPr="003A12BF">
              <w:t xml:space="preserve"> Lorne Transfer Station</w:t>
            </w:r>
          </w:p>
        </w:tc>
        <w:tc>
          <w:tcPr>
            <w:tcW w:w="1440" w:type="dxa"/>
            <w:noWrap/>
            <w:hideMark/>
          </w:tcPr>
          <w:p w14:paraId="69184591" w14:textId="77777777" w:rsidR="003A12BF" w:rsidRPr="003A12BF" w:rsidRDefault="003A12BF" w:rsidP="00F51716">
            <w:pPr>
              <w:pStyle w:val="Tabletext0"/>
            </w:pPr>
            <w:r w:rsidRPr="003A12BF">
              <w:t>$7,428.55</w:t>
            </w:r>
          </w:p>
        </w:tc>
      </w:tr>
      <w:tr w:rsidR="003A12BF" w:rsidRPr="003A12BF" w14:paraId="6E488C73" w14:textId="77777777" w:rsidTr="002D4B7F">
        <w:trPr>
          <w:trHeight w:val="300"/>
        </w:trPr>
        <w:tc>
          <w:tcPr>
            <w:tcW w:w="2977" w:type="dxa"/>
            <w:noWrap/>
            <w:hideMark/>
          </w:tcPr>
          <w:p w14:paraId="057BEA0A" w14:textId="77777777" w:rsidR="003A12BF" w:rsidRPr="003A12BF" w:rsidRDefault="003A12BF" w:rsidP="00F51716">
            <w:pPr>
              <w:pStyle w:val="Tabletext0"/>
            </w:pPr>
            <w:r w:rsidRPr="003A12BF">
              <w:t>Surf Coast Shire Council</w:t>
            </w:r>
          </w:p>
        </w:tc>
        <w:tc>
          <w:tcPr>
            <w:tcW w:w="4481" w:type="dxa"/>
            <w:noWrap/>
            <w:hideMark/>
          </w:tcPr>
          <w:p w14:paraId="7DCE31F5" w14:textId="79077FB3" w:rsidR="003A12BF" w:rsidRPr="003A12BF" w:rsidRDefault="003A12BF" w:rsidP="00F51716">
            <w:pPr>
              <w:pStyle w:val="Tabletext0"/>
            </w:pPr>
            <w:r w:rsidRPr="003A12BF">
              <w:t xml:space="preserve">E-waste Infrastructure Upgrade </w:t>
            </w:r>
            <w:r w:rsidR="00737453">
              <w:t>–</w:t>
            </w:r>
            <w:r w:rsidRPr="003A12BF">
              <w:t xml:space="preserve"> Surf Coast Shire Council </w:t>
            </w:r>
            <w:r w:rsidR="00737453">
              <w:t>–</w:t>
            </w:r>
            <w:r w:rsidRPr="003A12BF">
              <w:t xml:space="preserve"> Winchelsea Transfer Station</w:t>
            </w:r>
          </w:p>
        </w:tc>
        <w:tc>
          <w:tcPr>
            <w:tcW w:w="1440" w:type="dxa"/>
            <w:noWrap/>
            <w:hideMark/>
          </w:tcPr>
          <w:p w14:paraId="6A5F8A46" w14:textId="77777777" w:rsidR="003A12BF" w:rsidRPr="003A12BF" w:rsidRDefault="003A12BF" w:rsidP="00F51716">
            <w:pPr>
              <w:pStyle w:val="Tabletext0"/>
            </w:pPr>
            <w:r w:rsidRPr="003A12BF">
              <w:t>$33,293.26</w:t>
            </w:r>
          </w:p>
        </w:tc>
      </w:tr>
      <w:tr w:rsidR="003A12BF" w:rsidRPr="003A12BF" w14:paraId="12D12526" w14:textId="77777777" w:rsidTr="002D4B7F">
        <w:trPr>
          <w:trHeight w:val="300"/>
        </w:trPr>
        <w:tc>
          <w:tcPr>
            <w:tcW w:w="2977" w:type="dxa"/>
            <w:noWrap/>
            <w:hideMark/>
          </w:tcPr>
          <w:p w14:paraId="7040FCA1" w14:textId="77777777" w:rsidR="003A12BF" w:rsidRPr="003A12BF" w:rsidRDefault="003A12BF" w:rsidP="00F51716">
            <w:pPr>
              <w:pStyle w:val="Tabletext0"/>
            </w:pPr>
            <w:r w:rsidRPr="003A12BF">
              <w:t>Surf Coast Shire Council</w:t>
            </w:r>
          </w:p>
        </w:tc>
        <w:tc>
          <w:tcPr>
            <w:tcW w:w="4481" w:type="dxa"/>
            <w:noWrap/>
            <w:hideMark/>
          </w:tcPr>
          <w:p w14:paraId="08289937" w14:textId="33BB7937" w:rsidR="003A12BF" w:rsidRPr="003A12BF" w:rsidRDefault="003A12BF" w:rsidP="00F51716">
            <w:pPr>
              <w:pStyle w:val="Tabletext0"/>
            </w:pPr>
            <w:r w:rsidRPr="003A12BF">
              <w:t xml:space="preserve">E-waste Infrastructure Upgrade </w:t>
            </w:r>
            <w:r w:rsidR="00737453">
              <w:t>–</w:t>
            </w:r>
            <w:r w:rsidRPr="003A12BF">
              <w:t xml:space="preserve"> Surf Coast Shire Council </w:t>
            </w:r>
            <w:r w:rsidR="00737453">
              <w:t>–</w:t>
            </w:r>
            <w:r w:rsidRPr="003A12BF">
              <w:t xml:space="preserve"> Winchelsea Transfer Station</w:t>
            </w:r>
          </w:p>
        </w:tc>
        <w:tc>
          <w:tcPr>
            <w:tcW w:w="1440" w:type="dxa"/>
            <w:noWrap/>
            <w:hideMark/>
          </w:tcPr>
          <w:p w14:paraId="188A75AD" w14:textId="77777777" w:rsidR="003A12BF" w:rsidRPr="003A12BF" w:rsidRDefault="003A12BF" w:rsidP="00F51716">
            <w:pPr>
              <w:pStyle w:val="Tabletext0"/>
            </w:pPr>
            <w:r w:rsidRPr="003A12BF">
              <w:t>$14,268.55</w:t>
            </w:r>
          </w:p>
        </w:tc>
      </w:tr>
      <w:tr w:rsidR="003A12BF" w:rsidRPr="003A12BF" w14:paraId="0F63D05B" w14:textId="77777777" w:rsidTr="002D4B7F">
        <w:trPr>
          <w:trHeight w:val="300"/>
        </w:trPr>
        <w:tc>
          <w:tcPr>
            <w:tcW w:w="2977" w:type="dxa"/>
            <w:noWrap/>
            <w:hideMark/>
          </w:tcPr>
          <w:p w14:paraId="7C8AD83A" w14:textId="77777777" w:rsidR="003A12BF" w:rsidRPr="003A12BF" w:rsidRDefault="003A12BF" w:rsidP="00F51716">
            <w:pPr>
              <w:pStyle w:val="Tabletext0"/>
            </w:pPr>
            <w:r w:rsidRPr="003A12BF">
              <w:t>Surf Coast Shire Council</w:t>
            </w:r>
          </w:p>
        </w:tc>
        <w:tc>
          <w:tcPr>
            <w:tcW w:w="4481" w:type="dxa"/>
            <w:noWrap/>
            <w:hideMark/>
          </w:tcPr>
          <w:p w14:paraId="75961676" w14:textId="5E4B628A" w:rsidR="003A12BF" w:rsidRPr="003A12BF" w:rsidRDefault="003A12BF" w:rsidP="00F51716">
            <w:pPr>
              <w:pStyle w:val="Tabletext0"/>
            </w:pPr>
            <w:r w:rsidRPr="003A12BF">
              <w:t xml:space="preserve">E-waste Infrastructure Upgrade </w:t>
            </w:r>
            <w:r w:rsidR="00737453">
              <w:t>–</w:t>
            </w:r>
            <w:r w:rsidRPr="003A12BF">
              <w:t xml:space="preserve"> Surf Coast Shire Council </w:t>
            </w:r>
            <w:r w:rsidR="00737453">
              <w:t xml:space="preserve">– </w:t>
            </w:r>
            <w:r w:rsidRPr="003A12BF">
              <w:t>Anglesea Landfill and Transfer Station</w:t>
            </w:r>
          </w:p>
        </w:tc>
        <w:tc>
          <w:tcPr>
            <w:tcW w:w="1440" w:type="dxa"/>
            <w:noWrap/>
            <w:hideMark/>
          </w:tcPr>
          <w:p w14:paraId="19E8B491" w14:textId="77777777" w:rsidR="003A12BF" w:rsidRPr="003A12BF" w:rsidRDefault="003A12BF" w:rsidP="00F51716">
            <w:pPr>
              <w:pStyle w:val="Tabletext0"/>
            </w:pPr>
            <w:r w:rsidRPr="003A12BF">
              <w:t>$30,000.00</w:t>
            </w:r>
          </w:p>
        </w:tc>
      </w:tr>
      <w:tr w:rsidR="003A12BF" w:rsidRPr="003A12BF" w14:paraId="3BAC77AF" w14:textId="77777777" w:rsidTr="002D4B7F">
        <w:trPr>
          <w:trHeight w:val="300"/>
        </w:trPr>
        <w:tc>
          <w:tcPr>
            <w:tcW w:w="2977" w:type="dxa"/>
            <w:noWrap/>
            <w:hideMark/>
          </w:tcPr>
          <w:p w14:paraId="033CF6F3" w14:textId="77777777" w:rsidR="003A12BF" w:rsidRPr="003A12BF" w:rsidRDefault="003A12BF" w:rsidP="00F51716">
            <w:pPr>
              <w:pStyle w:val="Tabletext0"/>
            </w:pPr>
            <w:r w:rsidRPr="003A12BF">
              <w:t>Surf Coast Shire Council</w:t>
            </w:r>
          </w:p>
        </w:tc>
        <w:tc>
          <w:tcPr>
            <w:tcW w:w="4481" w:type="dxa"/>
            <w:noWrap/>
            <w:hideMark/>
          </w:tcPr>
          <w:p w14:paraId="54DA6B1E" w14:textId="62F35798" w:rsidR="003A12BF" w:rsidRPr="003A12BF" w:rsidRDefault="003A12BF" w:rsidP="00F51716">
            <w:pPr>
              <w:pStyle w:val="Tabletext0"/>
            </w:pPr>
            <w:r w:rsidRPr="003A12BF">
              <w:t>E</w:t>
            </w:r>
            <w:r w:rsidR="00737453">
              <w:t>-</w:t>
            </w:r>
            <w:r w:rsidRPr="003A12BF">
              <w:t xml:space="preserve">waste Infrastructure Upgrade </w:t>
            </w:r>
            <w:r w:rsidR="00737453">
              <w:t>–</w:t>
            </w:r>
            <w:r w:rsidRPr="003A12BF">
              <w:t xml:space="preserve"> Surf Coast Shire Council </w:t>
            </w:r>
            <w:r w:rsidR="00737453">
              <w:t xml:space="preserve">– </w:t>
            </w:r>
            <w:r w:rsidRPr="003A12BF">
              <w:t>Anglesea Landfill and Transfer Station</w:t>
            </w:r>
          </w:p>
        </w:tc>
        <w:tc>
          <w:tcPr>
            <w:tcW w:w="1440" w:type="dxa"/>
            <w:noWrap/>
            <w:hideMark/>
          </w:tcPr>
          <w:p w14:paraId="5A4C497F" w14:textId="77777777" w:rsidR="003A12BF" w:rsidRPr="003A12BF" w:rsidRDefault="003A12BF" w:rsidP="00F51716">
            <w:pPr>
              <w:pStyle w:val="Tabletext0"/>
            </w:pPr>
            <w:r w:rsidRPr="003A12BF">
              <w:t>$24,340.65</w:t>
            </w:r>
          </w:p>
        </w:tc>
      </w:tr>
      <w:tr w:rsidR="003A12BF" w:rsidRPr="003A12BF" w14:paraId="47DE9216" w14:textId="77777777" w:rsidTr="002D4B7F">
        <w:trPr>
          <w:trHeight w:val="300"/>
        </w:trPr>
        <w:tc>
          <w:tcPr>
            <w:tcW w:w="2977" w:type="dxa"/>
            <w:noWrap/>
            <w:hideMark/>
          </w:tcPr>
          <w:p w14:paraId="627859A7" w14:textId="77777777" w:rsidR="003A12BF" w:rsidRPr="003A12BF" w:rsidRDefault="003A12BF" w:rsidP="00F51716">
            <w:pPr>
              <w:pStyle w:val="Tabletext0"/>
            </w:pPr>
            <w:r w:rsidRPr="003A12BF">
              <w:t>Surf Coast Shire Council</w:t>
            </w:r>
          </w:p>
        </w:tc>
        <w:tc>
          <w:tcPr>
            <w:tcW w:w="4481" w:type="dxa"/>
            <w:noWrap/>
            <w:hideMark/>
          </w:tcPr>
          <w:p w14:paraId="3E1436C8" w14:textId="0425069F" w:rsidR="003A12BF" w:rsidRPr="003A12BF" w:rsidRDefault="003A12BF" w:rsidP="00F51716">
            <w:pPr>
              <w:pStyle w:val="Tabletext0"/>
            </w:pPr>
            <w:r w:rsidRPr="003A12BF">
              <w:t xml:space="preserve">E-waste Infrastructure Upgrade </w:t>
            </w:r>
            <w:r w:rsidR="00737453">
              <w:t>–</w:t>
            </w:r>
            <w:r w:rsidRPr="003A12BF">
              <w:t xml:space="preserve"> Surf Coast Shire Council </w:t>
            </w:r>
            <w:r w:rsidR="00737453">
              <w:t xml:space="preserve">– </w:t>
            </w:r>
            <w:r w:rsidRPr="003A12BF">
              <w:t>Anglesea Landfill and Transfer Station</w:t>
            </w:r>
          </w:p>
        </w:tc>
        <w:tc>
          <w:tcPr>
            <w:tcW w:w="1440" w:type="dxa"/>
            <w:noWrap/>
            <w:hideMark/>
          </w:tcPr>
          <w:p w14:paraId="28866BB4" w14:textId="77777777" w:rsidR="003A12BF" w:rsidRPr="003A12BF" w:rsidRDefault="003A12BF" w:rsidP="00F51716">
            <w:pPr>
              <w:pStyle w:val="Tabletext0"/>
            </w:pPr>
            <w:r w:rsidRPr="003A12BF">
              <w:t>$10,431.71</w:t>
            </w:r>
          </w:p>
        </w:tc>
      </w:tr>
      <w:tr w:rsidR="003A12BF" w:rsidRPr="003A12BF" w14:paraId="3830A492" w14:textId="77777777" w:rsidTr="002D4B7F">
        <w:trPr>
          <w:trHeight w:val="300"/>
        </w:trPr>
        <w:tc>
          <w:tcPr>
            <w:tcW w:w="2977" w:type="dxa"/>
            <w:noWrap/>
            <w:hideMark/>
          </w:tcPr>
          <w:p w14:paraId="40972A96" w14:textId="77777777" w:rsidR="003A12BF" w:rsidRPr="003A12BF" w:rsidRDefault="003A12BF" w:rsidP="00F51716">
            <w:pPr>
              <w:pStyle w:val="Tabletext0"/>
            </w:pPr>
            <w:r w:rsidRPr="003A12BF">
              <w:t>Alpine Shire Council</w:t>
            </w:r>
          </w:p>
        </w:tc>
        <w:tc>
          <w:tcPr>
            <w:tcW w:w="4481" w:type="dxa"/>
            <w:noWrap/>
            <w:hideMark/>
          </w:tcPr>
          <w:p w14:paraId="0249991C" w14:textId="1B7BC0A1" w:rsidR="003A12BF" w:rsidRPr="003A12BF" w:rsidRDefault="003A12BF" w:rsidP="00F51716">
            <w:pPr>
              <w:pStyle w:val="Tabletext0"/>
            </w:pPr>
            <w:r w:rsidRPr="003A12BF">
              <w:t xml:space="preserve">E-waste Infrastructure Upgrade </w:t>
            </w:r>
            <w:r w:rsidR="00737453">
              <w:t>–</w:t>
            </w:r>
            <w:r w:rsidRPr="003A12BF">
              <w:t xml:space="preserve"> Alpine Shire Council Porepunkah Transfer Station and Recycling Centre</w:t>
            </w:r>
          </w:p>
        </w:tc>
        <w:tc>
          <w:tcPr>
            <w:tcW w:w="1440" w:type="dxa"/>
            <w:noWrap/>
            <w:hideMark/>
          </w:tcPr>
          <w:p w14:paraId="5C8367C4" w14:textId="77777777" w:rsidR="003A12BF" w:rsidRPr="003A12BF" w:rsidRDefault="003A12BF" w:rsidP="00F51716">
            <w:pPr>
              <w:pStyle w:val="Tabletext0"/>
            </w:pPr>
            <w:r w:rsidRPr="003A12BF">
              <w:t>$30,000.00</w:t>
            </w:r>
          </w:p>
        </w:tc>
      </w:tr>
      <w:tr w:rsidR="003A12BF" w:rsidRPr="003A12BF" w14:paraId="43D4BAA9" w14:textId="77777777" w:rsidTr="002D4B7F">
        <w:trPr>
          <w:trHeight w:val="300"/>
        </w:trPr>
        <w:tc>
          <w:tcPr>
            <w:tcW w:w="2977" w:type="dxa"/>
            <w:noWrap/>
            <w:hideMark/>
          </w:tcPr>
          <w:p w14:paraId="3D2641C4" w14:textId="77777777" w:rsidR="003A12BF" w:rsidRPr="003A12BF" w:rsidRDefault="003A12BF" w:rsidP="00F51716">
            <w:pPr>
              <w:pStyle w:val="Tabletext0"/>
            </w:pPr>
            <w:r w:rsidRPr="003A12BF">
              <w:t>Alpine Shire Council</w:t>
            </w:r>
          </w:p>
        </w:tc>
        <w:tc>
          <w:tcPr>
            <w:tcW w:w="4481" w:type="dxa"/>
            <w:noWrap/>
            <w:hideMark/>
          </w:tcPr>
          <w:p w14:paraId="7FB5D60A" w14:textId="7599A32C" w:rsidR="003A12BF" w:rsidRPr="003A12BF" w:rsidRDefault="003A12BF" w:rsidP="00F51716">
            <w:pPr>
              <w:pStyle w:val="Tabletext0"/>
            </w:pPr>
            <w:r w:rsidRPr="003A12BF">
              <w:t xml:space="preserve">E-waste Infrastructure Upgrade </w:t>
            </w:r>
            <w:r w:rsidR="00737453">
              <w:t>–</w:t>
            </w:r>
            <w:r w:rsidRPr="003A12BF">
              <w:t xml:space="preserve"> Alpine Shire Council Porepunkah Transfer Station and Recycling Centre</w:t>
            </w:r>
          </w:p>
        </w:tc>
        <w:tc>
          <w:tcPr>
            <w:tcW w:w="1440" w:type="dxa"/>
            <w:noWrap/>
            <w:hideMark/>
          </w:tcPr>
          <w:p w14:paraId="7DE135AA" w14:textId="77777777" w:rsidR="003A12BF" w:rsidRPr="003A12BF" w:rsidRDefault="003A12BF" w:rsidP="00F51716">
            <w:pPr>
              <w:pStyle w:val="Tabletext0"/>
            </w:pPr>
            <w:r w:rsidRPr="003A12BF">
              <w:t>$50,000.00</w:t>
            </w:r>
          </w:p>
        </w:tc>
      </w:tr>
      <w:tr w:rsidR="003A12BF" w:rsidRPr="003A12BF" w14:paraId="6AC2DE42" w14:textId="77777777" w:rsidTr="002D4B7F">
        <w:trPr>
          <w:trHeight w:val="300"/>
        </w:trPr>
        <w:tc>
          <w:tcPr>
            <w:tcW w:w="2977" w:type="dxa"/>
            <w:noWrap/>
            <w:hideMark/>
          </w:tcPr>
          <w:p w14:paraId="5309C1A1" w14:textId="77777777" w:rsidR="003A12BF" w:rsidRPr="003A12BF" w:rsidRDefault="003A12BF" w:rsidP="00F51716">
            <w:pPr>
              <w:pStyle w:val="Tabletext0"/>
            </w:pPr>
            <w:r w:rsidRPr="003A12BF">
              <w:t>Alpine Shire Council</w:t>
            </w:r>
          </w:p>
        </w:tc>
        <w:tc>
          <w:tcPr>
            <w:tcW w:w="4481" w:type="dxa"/>
            <w:noWrap/>
            <w:hideMark/>
          </w:tcPr>
          <w:p w14:paraId="38562E55" w14:textId="2215C227" w:rsidR="003A12BF" w:rsidRPr="003A12BF" w:rsidRDefault="003A12BF" w:rsidP="00F51716">
            <w:pPr>
              <w:pStyle w:val="Tabletext0"/>
            </w:pPr>
            <w:r w:rsidRPr="003A12BF">
              <w:t xml:space="preserve">E-waste Infrastructure Upgrade </w:t>
            </w:r>
            <w:r w:rsidR="00737453">
              <w:t>–</w:t>
            </w:r>
            <w:r w:rsidRPr="003A12BF">
              <w:t xml:space="preserve"> Alpine Shire Council Porepunkah Transfer Station and Recycling Centre</w:t>
            </w:r>
          </w:p>
        </w:tc>
        <w:tc>
          <w:tcPr>
            <w:tcW w:w="1440" w:type="dxa"/>
            <w:noWrap/>
            <w:hideMark/>
          </w:tcPr>
          <w:p w14:paraId="5D3C3B7C" w14:textId="77777777" w:rsidR="003A12BF" w:rsidRPr="003A12BF" w:rsidRDefault="003A12BF" w:rsidP="00F51716">
            <w:pPr>
              <w:pStyle w:val="Tabletext0"/>
            </w:pPr>
            <w:r w:rsidRPr="003A12BF">
              <w:t>$15,600.10</w:t>
            </w:r>
          </w:p>
        </w:tc>
      </w:tr>
      <w:tr w:rsidR="003A12BF" w:rsidRPr="003A12BF" w14:paraId="47B5FEDE" w14:textId="77777777" w:rsidTr="002D4B7F">
        <w:trPr>
          <w:trHeight w:val="300"/>
        </w:trPr>
        <w:tc>
          <w:tcPr>
            <w:tcW w:w="2977" w:type="dxa"/>
            <w:noWrap/>
            <w:hideMark/>
          </w:tcPr>
          <w:p w14:paraId="50D57E7D" w14:textId="77777777" w:rsidR="003A12BF" w:rsidRPr="003A12BF" w:rsidRDefault="003A12BF" w:rsidP="00F51716">
            <w:pPr>
              <w:pStyle w:val="Tabletext0"/>
            </w:pPr>
            <w:r w:rsidRPr="003A12BF">
              <w:t>Stonnington City Council</w:t>
            </w:r>
          </w:p>
        </w:tc>
        <w:tc>
          <w:tcPr>
            <w:tcW w:w="4481" w:type="dxa"/>
            <w:noWrap/>
            <w:hideMark/>
          </w:tcPr>
          <w:p w14:paraId="29626C8F" w14:textId="37C60CB0" w:rsidR="003A12BF" w:rsidRPr="003A12BF" w:rsidRDefault="003A12BF" w:rsidP="00F51716">
            <w:pPr>
              <w:pStyle w:val="Tabletext0"/>
            </w:pPr>
            <w:r w:rsidRPr="003A12BF">
              <w:t xml:space="preserve">E-waste Infrastructure Upgrade </w:t>
            </w:r>
            <w:r w:rsidR="00737453">
              <w:t>–</w:t>
            </w:r>
            <w:r w:rsidRPr="003A12BF">
              <w:t xml:space="preserve"> Stonnington Waste Transfer Station</w:t>
            </w:r>
          </w:p>
        </w:tc>
        <w:tc>
          <w:tcPr>
            <w:tcW w:w="1440" w:type="dxa"/>
            <w:noWrap/>
            <w:hideMark/>
          </w:tcPr>
          <w:p w14:paraId="3FEB7A0C" w14:textId="77777777" w:rsidR="003A12BF" w:rsidRPr="003A12BF" w:rsidRDefault="003A12BF" w:rsidP="00F51716">
            <w:pPr>
              <w:pStyle w:val="Tabletext0"/>
            </w:pPr>
            <w:r w:rsidRPr="003A12BF">
              <w:t>$9,386.69</w:t>
            </w:r>
          </w:p>
        </w:tc>
      </w:tr>
      <w:tr w:rsidR="003A12BF" w:rsidRPr="003A12BF" w14:paraId="188B5541" w14:textId="77777777" w:rsidTr="002D4B7F">
        <w:trPr>
          <w:trHeight w:val="300"/>
        </w:trPr>
        <w:tc>
          <w:tcPr>
            <w:tcW w:w="2977" w:type="dxa"/>
            <w:noWrap/>
            <w:hideMark/>
          </w:tcPr>
          <w:p w14:paraId="2BFF62B1" w14:textId="77777777" w:rsidR="003A12BF" w:rsidRPr="003A12BF" w:rsidRDefault="003A12BF" w:rsidP="00F51716">
            <w:pPr>
              <w:pStyle w:val="Tabletext0"/>
            </w:pPr>
            <w:r w:rsidRPr="003A12BF">
              <w:t>Stonnington City Council</w:t>
            </w:r>
          </w:p>
        </w:tc>
        <w:tc>
          <w:tcPr>
            <w:tcW w:w="4481" w:type="dxa"/>
            <w:noWrap/>
            <w:hideMark/>
          </w:tcPr>
          <w:p w14:paraId="7F79E42F" w14:textId="43E19075" w:rsidR="003A12BF" w:rsidRPr="003A12BF" w:rsidRDefault="003A12BF" w:rsidP="00F51716">
            <w:pPr>
              <w:pStyle w:val="Tabletext0"/>
            </w:pPr>
            <w:r w:rsidRPr="003A12BF">
              <w:t xml:space="preserve">E-waste Infrastructure Upgrade </w:t>
            </w:r>
            <w:r w:rsidR="00737453">
              <w:t>–</w:t>
            </w:r>
            <w:r w:rsidRPr="003A12BF">
              <w:t xml:space="preserve"> Stonnington Waste Transfer Station</w:t>
            </w:r>
          </w:p>
        </w:tc>
        <w:tc>
          <w:tcPr>
            <w:tcW w:w="1440" w:type="dxa"/>
            <w:noWrap/>
            <w:hideMark/>
          </w:tcPr>
          <w:p w14:paraId="0233CEA6" w14:textId="77777777" w:rsidR="003A12BF" w:rsidRPr="003A12BF" w:rsidRDefault="003A12BF" w:rsidP="00F51716">
            <w:pPr>
              <w:pStyle w:val="Tabletext0"/>
            </w:pPr>
            <w:r w:rsidRPr="003A12BF">
              <w:t>$4,022.86</w:t>
            </w:r>
          </w:p>
        </w:tc>
      </w:tr>
      <w:tr w:rsidR="003A12BF" w:rsidRPr="003A12BF" w14:paraId="44FF9C4F" w14:textId="77777777" w:rsidTr="002D4B7F">
        <w:trPr>
          <w:trHeight w:val="300"/>
        </w:trPr>
        <w:tc>
          <w:tcPr>
            <w:tcW w:w="2977" w:type="dxa"/>
            <w:noWrap/>
            <w:hideMark/>
          </w:tcPr>
          <w:p w14:paraId="345252C4" w14:textId="77777777" w:rsidR="003A12BF" w:rsidRPr="003A12BF" w:rsidRDefault="003A12BF" w:rsidP="00F51716">
            <w:pPr>
              <w:pStyle w:val="Tabletext0"/>
            </w:pPr>
            <w:r w:rsidRPr="003A12BF">
              <w:t>Randell Environmental Consulting Pty Ltd (REC)</w:t>
            </w:r>
          </w:p>
        </w:tc>
        <w:tc>
          <w:tcPr>
            <w:tcW w:w="4481" w:type="dxa"/>
            <w:noWrap/>
            <w:hideMark/>
          </w:tcPr>
          <w:p w14:paraId="553E03DE" w14:textId="77777777" w:rsidR="003A12BF" w:rsidRPr="003A12BF" w:rsidRDefault="003A12BF" w:rsidP="00F51716">
            <w:pPr>
              <w:pStyle w:val="Tabletext0"/>
            </w:pPr>
            <w:r w:rsidRPr="003A12BF">
              <w:t>Victorian E-waste Collection Network Review</w:t>
            </w:r>
          </w:p>
        </w:tc>
        <w:tc>
          <w:tcPr>
            <w:tcW w:w="1440" w:type="dxa"/>
            <w:noWrap/>
            <w:hideMark/>
          </w:tcPr>
          <w:p w14:paraId="47272D3F" w14:textId="77777777" w:rsidR="003A12BF" w:rsidRPr="003A12BF" w:rsidRDefault="003A12BF" w:rsidP="00F51716">
            <w:pPr>
              <w:pStyle w:val="Tabletext0"/>
            </w:pPr>
            <w:r w:rsidRPr="003A12BF">
              <w:t>$18,458.00</w:t>
            </w:r>
          </w:p>
        </w:tc>
      </w:tr>
      <w:tr w:rsidR="003A12BF" w:rsidRPr="003A12BF" w14:paraId="03F58606" w14:textId="77777777" w:rsidTr="002D4B7F">
        <w:trPr>
          <w:trHeight w:val="300"/>
        </w:trPr>
        <w:tc>
          <w:tcPr>
            <w:tcW w:w="2977" w:type="dxa"/>
            <w:noWrap/>
            <w:hideMark/>
          </w:tcPr>
          <w:p w14:paraId="1D1C550C" w14:textId="77777777" w:rsidR="003A12BF" w:rsidRPr="003A12BF" w:rsidRDefault="003A12BF" w:rsidP="00F51716">
            <w:pPr>
              <w:pStyle w:val="Tabletext0"/>
            </w:pPr>
            <w:r w:rsidRPr="003A12BF">
              <w:t>Randell Environmental Consulting Pty Ltd (REC)</w:t>
            </w:r>
          </w:p>
        </w:tc>
        <w:tc>
          <w:tcPr>
            <w:tcW w:w="4481" w:type="dxa"/>
            <w:noWrap/>
            <w:hideMark/>
          </w:tcPr>
          <w:p w14:paraId="62F778BC" w14:textId="77777777" w:rsidR="003A12BF" w:rsidRPr="003A12BF" w:rsidRDefault="003A12BF" w:rsidP="00F51716">
            <w:pPr>
              <w:pStyle w:val="Tabletext0"/>
            </w:pPr>
            <w:r w:rsidRPr="003A12BF">
              <w:t>Victorian E-waste Collection Network Review</w:t>
            </w:r>
          </w:p>
        </w:tc>
        <w:tc>
          <w:tcPr>
            <w:tcW w:w="1440" w:type="dxa"/>
            <w:noWrap/>
            <w:hideMark/>
          </w:tcPr>
          <w:p w14:paraId="4ADFBA29" w14:textId="77777777" w:rsidR="003A12BF" w:rsidRPr="003A12BF" w:rsidRDefault="003A12BF" w:rsidP="00F51716">
            <w:pPr>
              <w:pStyle w:val="Tabletext0"/>
            </w:pPr>
            <w:r w:rsidRPr="003A12BF">
              <w:t>$3,402.00</w:t>
            </w:r>
          </w:p>
        </w:tc>
      </w:tr>
      <w:tr w:rsidR="003A12BF" w:rsidRPr="003A12BF" w14:paraId="0AB88E29" w14:textId="77777777" w:rsidTr="002D4B7F">
        <w:trPr>
          <w:trHeight w:val="300"/>
        </w:trPr>
        <w:tc>
          <w:tcPr>
            <w:tcW w:w="2977" w:type="dxa"/>
            <w:noWrap/>
            <w:hideMark/>
          </w:tcPr>
          <w:p w14:paraId="7D234075" w14:textId="77777777" w:rsidR="003A12BF" w:rsidRPr="003A12BF" w:rsidRDefault="003A12BF" w:rsidP="00F51716">
            <w:pPr>
              <w:pStyle w:val="Tabletext0"/>
            </w:pPr>
            <w:r w:rsidRPr="003A12BF">
              <w:t>Innovative Plastic Solutions</w:t>
            </w:r>
          </w:p>
        </w:tc>
        <w:tc>
          <w:tcPr>
            <w:tcW w:w="4481" w:type="dxa"/>
            <w:noWrap/>
            <w:hideMark/>
          </w:tcPr>
          <w:p w14:paraId="4C6CD61E" w14:textId="77777777" w:rsidR="003A12BF" w:rsidRPr="003A12BF" w:rsidRDefault="003A12BF" w:rsidP="00F51716">
            <w:pPr>
              <w:pStyle w:val="Tabletext0"/>
            </w:pPr>
            <w:r w:rsidRPr="003A12BF">
              <w:t>ISGP IPS Shopping handbasket made from recycled milk bottles</w:t>
            </w:r>
          </w:p>
        </w:tc>
        <w:tc>
          <w:tcPr>
            <w:tcW w:w="1440" w:type="dxa"/>
            <w:noWrap/>
            <w:hideMark/>
          </w:tcPr>
          <w:p w14:paraId="065F226E" w14:textId="77777777" w:rsidR="003A12BF" w:rsidRPr="003A12BF" w:rsidRDefault="003A12BF" w:rsidP="00F51716">
            <w:pPr>
              <w:pStyle w:val="Tabletext0"/>
            </w:pPr>
            <w:r w:rsidRPr="003A12BF">
              <w:t>$37,500.00</w:t>
            </w:r>
          </w:p>
        </w:tc>
      </w:tr>
      <w:tr w:rsidR="003A12BF" w:rsidRPr="003A12BF" w14:paraId="27DD9362" w14:textId="77777777" w:rsidTr="002D4B7F">
        <w:trPr>
          <w:trHeight w:val="300"/>
        </w:trPr>
        <w:tc>
          <w:tcPr>
            <w:tcW w:w="2977" w:type="dxa"/>
            <w:noWrap/>
            <w:hideMark/>
          </w:tcPr>
          <w:p w14:paraId="65327736" w14:textId="77777777" w:rsidR="003A12BF" w:rsidRPr="003A12BF" w:rsidRDefault="003A12BF" w:rsidP="00F51716">
            <w:pPr>
              <w:pStyle w:val="Tabletext0"/>
            </w:pPr>
            <w:r w:rsidRPr="003A12BF">
              <w:t>National Paper Industries</w:t>
            </w:r>
          </w:p>
        </w:tc>
        <w:tc>
          <w:tcPr>
            <w:tcW w:w="4481" w:type="dxa"/>
            <w:noWrap/>
            <w:hideMark/>
          </w:tcPr>
          <w:p w14:paraId="5C1434EC" w14:textId="77777777" w:rsidR="003A12BF" w:rsidRPr="003A12BF" w:rsidRDefault="003A12BF" w:rsidP="00F51716">
            <w:pPr>
              <w:pStyle w:val="Tabletext0"/>
            </w:pPr>
            <w:r w:rsidRPr="003A12BF">
              <w:t>ISGP NPI Paper Reel Cutting Machine</w:t>
            </w:r>
          </w:p>
        </w:tc>
        <w:tc>
          <w:tcPr>
            <w:tcW w:w="1440" w:type="dxa"/>
            <w:noWrap/>
            <w:hideMark/>
          </w:tcPr>
          <w:p w14:paraId="0E3F2791" w14:textId="77777777" w:rsidR="003A12BF" w:rsidRPr="003A12BF" w:rsidRDefault="003A12BF" w:rsidP="00F51716">
            <w:pPr>
              <w:pStyle w:val="Tabletext0"/>
            </w:pPr>
            <w:r w:rsidRPr="003A12BF">
              <w:t>$34,000.00</w:t>
            </w:r>
          </w:p>
        </w:tc>
      </w:tr>
      <w:tr w:rsidR="003A12BF" w:rsidRPr="003A12BF" w14:paraId="36DC4120" w14:textId="77777777" w:rsidTr="002D4B7F">
        <w:trPr>
          <w:trHeight w:val="300"/>
        </w:trPr>
        <w:tc>
          <w:tcPr>
            <w:tcW w:w="2977" w:type="dxa"/>
            <w:noWrap/>
            <w:hideMark/>
          </w:tcPr>
          <w:p w14:paraId="7A6BE8CB" w14:textId="77777777" w:rsidR="003A12BF" w:rsidRPr="003A12BF" w:rsidRDefault="003A12BF" w:rsidP="00F51716">
            <w:pPr>
              <w:pStyle w:val="Tabletext0"/>
            </w:pPr>
            <w:r w:rsidRPr="003A12BF">
              <w:t>Northern Grampians Shire Council</w:t>
            </w:r>
          </w:p>
        </w:tc>
        <w:tc>
          <w:tcPr>
            <w:tcW w:w="4481" w:type="dxa"/>
            <w:noWrap/>
            <w:hideMark/>
          </w:tcPr>
          <w:p w14:paraId="18CEBDEB" w14:textId="3F6FAE26" w:rsidR="003A12BF" w:rsidRPr="003A12BF" w:rsidRDefault="003A12BF" w:rsidP="00F51716">
            <w:pPr>
              <w:pStyle w:val="Tabletext0"/>
            </w:pPr>
            <w:r w:rsidRPr="003A12BF">
              <w:t xml:space="preserve">Northern Grampians </w:t>
            </w:r>
            <w:r w:rsidR="00737453">
              <w:t>–</w:t>
            </w:r>
            <w:r w:rsidRPr="003A12BF">
              <w:t xml:space="preserve"> LGES Stream 3 Facility Upgrades, Stage 1</w:t>
            </w:r>
          </w:p>
        </w:tc>
        <w:tc>
          <w:tcPr>
            <w:tcW w:w="1440" w:type="dxa"/>
            <w:noWrap/>
            <w:hideMark/>
          </w:tcPr>
          <w:p w14:paraId="4E5891C0" w14:textId="77777777" w:rsidR="003A12BF" w:rsidRPr="003A12BF" w:rsidRDefault="003A12BF" w:rsidP="00F51716">
            <w:pPr>
              <w:pStyle w:val="Tabletext0"/>
            </w:pPr>
            <w:r w:rsidRPr="003A12BF">
              <w:t>$30,000.00</w:t>
            </w:r>
          </w:p>
        </w:tc>
      </w:tr>
      <w:tr w:rsidR="003A12BF" w:rsidRPr="003A12BF" w14:paraId="1D3EDF85" w14:textId="77777777" w:rsidTr="002D4B7F">
        <w:trPr>
          <w:trHeight w:val="300"/>
        </w:trPr>
        <w:tc>
          <w:tcPr>
            <w:tcW w:w="2977" w:type="dxa"/>
            <w:noWrap/>
            <w:hideMark/>
          </w:tcPr>
          <w:p w14:paraId="3ABB4251" w14:textId="77777777" w:rsidR="003A12BF" w:rsidRPr="003A12BF" w:rsidRDefault="003A12BF" w:rsidP="00F51716">
            <w:pPr>
              <w:pStyle w:val="Tabletext0"/>
            </w:pPr>
            <w:r w:rsidRPr="003A12BF">
              <w:t>Strathbogie Shire Council</w:t>
            </w:r>
          </w:p>
        </w:tc>
        <w:tc>
          <w:tcPr>
            <w:tcW w:w="4481" w:type="dxa"/>
            <w:noWrap/>
            <w:hideMark/>
          </w:tcPr>
          <w:p w14:paraId="3CEBE129" w14:textId="77777777" w:rsidR="003A12BF" w:rsidRPr="003A12BF" w:rsidRDefault="003A12BF" w:rsidP="00F51716">
            <w:pPr>
              <w:pStyle w:val="Tabletext0"/>
            </w:pPr>
            <w:r w:rsidRPr="003A12BF">
              <w:t>Strathbogie Corporate Greenhouse Implementation Program</w:t>
            </w:r>
          </w:p>
        </w:tc>
        <w:tc>
          <w:tcPr>
            <w:tcW w:w="1440" w:type="dxa"/>
            <w:noWrap/>
            <w:hideMark/>
          </w:tcPr>
          <w:p w14:paraId="4029C387" w14:textId="77777777" w:rsidR="003A12BF" w:rsidRPr="003A12BF" w:rsidRDefault="003A12BF" w:rsidP="00F51716">
            <w:pPr>
              <w:pStyle w:val="Tabletext0"/>
            </w:pPr>
            <w:r w:rsidRPr="003A12BF">
              <w:t>$25,000.00</w:t>
            </w:r>
          </w:p>
        </w:tc>
      </w:tr>
      <w:tr w:rsidR="003A12BF" w:rsidRPr="003A12BF" w14:paraId="29300053" w14:textId="77777777" w:rsidTr="002D4B7F">
        <w:trPr>
          <w:trHeight w:val="300"/>
        </w:trPr>
        <w:tc>
          <w:tcPr>
            <w:tcW w:w="2977" w:type="dxa"/>
            <w:noWrap/>
            <w:hideMark/>
          </w:tcPr>
          <w:p w14:paraId="1011C41E" w14:textId="77777777" w:rsidR="003A12BF" w:rsidRPr="003A12BF" w:rsidRDefault="003A12BF" w:rsidP="00F51716">
            <w:pPr>
              <w:pStyle w:val="Tabletext0"/>
            </w:pPr>
            <w:r w:rsidRPr="003A12BF">
              <w:t>Gannawarra Shire Council</w:t>
            </w:r>
          </w:p>
        </w:tc>
        <w:tc>
          <w:tcPr>
            <w:tcW w:w="4481" w:type="dxa"/>
            <w:noWrap/>
            <w:hideMark/>
          </w:tcPr>
          <w:p w14:paraId="149D5B5D" w14:textId="3A78B2E2" w:rsidR="003A12BF" w:rsidRPr="003A12BF" w:rsidRDefault="003A12BF" w:rsidP="00F51716">
            <w:pPr>
              <w:pStyle w:val="Tabletext0"/>
            </w:pPr>
            <w:r w:rsidRPr="003A12BF">
              <w:t xml:space="preserve">Gannawarra Shire </w:t>
            </w:r>
            <w:r w:rsidR="00737453">
              <w:t>–</w:t>
            </w:r>
            <w:r w:rsidRPr="003A12BF">
              <w:t xml:space="preserve"> Local Government Energy Saver, Stream 3 Facility Upgrades,</w:t>
            </w:r>
          </w:p>
        </w:tc>
        <w:tc>
          <w:tcPr>
            <w:tcW w:w="1440" w:type="dxa"/>
            <w:noWrap/>
            <w:hideMark/>
          </w:tcPr>
          <w:p w14:paraId="73C6B58E" w14:textId="77777777" w:rsidR="003A12BF" w:rsidRPr="003A12BF" w:rsidRDefault="003A12BF" w:rsidP="00F51716">
            <w:pPr>
              <w:pStyle w:val="Tabletext0"/>
            </w:pPr>
            <w:r w:rsidRPr="003A12BF">
              <w:t>$10,000.00</w:t>
            </w:r>
          </w:p>
        </w:tc>
      </w:tr>
      <w:tr w:rsidR="003A12BF" w:rsidRPr="003A12BF" w14:paraId="1BEE5166" w14:textId="77777777" w:rsidTr="002D4B7F">
        <w:trPr>
          <w:trHeight w:val="300"/>
        </w:trPr>
        <w:tc>
          <w:tcPr>
            <w:tcW w:w="2977" w:type="dxa"/>
            <w:noWrap/>
            <w:hideMark/>
          </w:tcPr>
          <w:p w14:paraId="31892DD2" w14:textId="77777777" w:rsidR="003A12BF" w:rsidRPr="003A12BF" w:rsidRDefault="003A12BF" w:rsidP="00F51716">
            <w:pPr>
              <w:pStyle w:val="Tabletext0"/>
            </w:pPr>
            <w:r w:rsidRPr="003A12BF">
              <w:t>Benalla Rural City Council</w:t>
            </w:r>
          </w:p>
        </w:tc>
        <w:tc>
          <w:tcPr>
            <w:tcW w:w="4481" w:type="dxa"/>
            <w:noWrap/>
            <w:hideMark/>
          </w:tcPr>
          <w:p w14:paraId="76AF9792" w14:textId="77777777" w:rsidR="003A12BF" w:rsidRPr="003A12BF" w:rsidRDefault="003A12BF" w:rsidP="00F51716">
            <w:pPr>
              <w:pStyle w:val="Tabletext0"/>
            </w:pPr>
            <w:r w:rsidRPr="003A12BF">
              <w:t>Benalla Rural City Building Energy Upgrades</w:t>
            </w:r>
          </w:p>
        </w:tc>
        <w:tc>
          <w:tcPr>
            <w:tcW w:w="1440" w:type="dxa"/>
            <w:noWrap/>
            <w:hideMark/>
          </w:tcPr>
          <w:p w14:paraId="4956A46A" w14:textId="77777777" w:rsidR="003A12BF" w:rsidRPr="003A12BF" w:rsidRDefault="003A12BF" w:rsidP="00F51716">
            <w:pPr>
              <w:pStyle w:val="Tabletext0"/>
            </w:pPr>
            <w:r w:rsidRPr="003A12BF">
              <w:t>$25,470.00</w:t>
            </w:r>
          </w:p>
        </w:tc>
      </w:tr>
      <w:tr w:rsidR="003A12BF" w:rsidRPr="003A12BF" w14:paraId="3CA37DAD" w14:textId="77777777" w:rsidTr="002D4B7F">
        <w:trPr>
          <w:trHeight w:val="300"/>
        </w:trPr>
        <w:tc>
          <w:tcPr>
            <w:tcW w:w="2977" w:type="dxa"/>
            <w:noWrap/>
            <w:hideMark/>
          </w:tcPr>
          <w:p w14:paraId="20B57632" w14:textId="77777777" w:rsidR="003A12BF" w:rsidRPr="003A12BF" w:rsidRDefault="003A12BF" w:rsidP="00F51716">
            <w:pPr>
              <w:pStyle w:val="Tabletext0"/>
            </w:pPr>
            <w:r w:rsidRPr="003A12BF">
              <w:t>Northern Grampians Shire Council</w:t>
            </w:r>
          </w:p>
        </w:tc>
        <w:tc>
          <w:tcPr>
            <w:tcW w:w="4481" w:type="dxa"/>
            <w:noWrap/>
            <w:hideMark/>
          </w:tcPr>
          <w:p w14:paraId="6C842238" w14:textId="43736217" w:rsidR="003A12BF" w:rsidRPr="003A12BF" w:rsidRDefault="003A12BF" w:rsidP="00F51716">
            <w:pPr>
              <w:pStyle w:val="Tabletext0"/>
            </w:pPr>
            <w:r w:rsidRPr="003A12BF">
              <w:t xml:space="preserve">Northern Grampians </w:t>
            </w:r>
            <w:r w:rsidR="00737453">
              <w:t>–</w:t>
            </w:r>
            <w:r w:rsidRPr="003A12BF">
              <w:t xml:space="preserve"> LGES Stream 3 Facility Upgrades, Stage 2</w:t>
            </w:r>
          </w:p>
        </w:tc>
        <w:tc>
          <w:tcPr>
            <w:tcW w:w="1440" w:type="dxa"/>
            <w:noWrap/>
            <w:hideMark/>
          </w:tcPr>
          <w:p w14:paraId="2421B82E" w14:textId="77777777" w:rsidR="003A12BF" w:rsidRPr="003A12BF" w:rsidRDefault="003A12BF" w:rsidP="00F51716">
            <w:pPr>
              <w:pStyle w:val="Tabletext0"/>
            </w:pPr>
            <w:r w:rsidRPr="003A12BF">
              <w:t>$6,818.18</w:t>
            </w:r>
          </w:p>
        </w:tc>
      </w:tr>
      <w:tr w:rsidR="003A12BF" w:rsidRPr="003A12BF" w14:paraId="2AFDA44E" w14:textId="77777777" w:rsidTr="002D4B7F">
        <w:trPr>
          <w:trHeight w:val="300"/>
        </w:trPr>
        <w:tc>
          <w:tcPr>
            <w:tcW w:w="2977" w:type="dxa"/>
            <w:noWrap/>
            <w:hideMark/>
          </w:tcPr>
          <w:p w14:paraId="67191BD4" w14:textId="77777777" w:rsidR="003A12BF" w:rsidRPr="003A12BF" w:rsidRDefault="003A12BF" w:rsidP="00F51716">
            <w:pPr>
              <w:pStyle w:val="Tabletext0"/>
            </w:pPr>
            <w:r w:rsidRPr="003A12BF">
              <w:t>Yarriambiack Shire Council</w:t>
            </w:r>
          </w:p>
        </w:tc>
        <w:tc>
          <w:tcPr>
            <w:tcW w:w="4481" w:type="dxa"/>
            <w:noWrap/>
            <w:hideMark/>
          </w:tcPr>
          <w:p w14:paraId="494D86E1" w14:textId="3C86EBF7" w:rsidR="003A12BF" w:rsidRPr="003A12BF" w:rsidRDefault="003A12BF" w:rsidP="00F51716">
            <w:pPr>
              <w:pStyle w:val="Tabletext0"/>
            </w:pPr>
            <w:r w:rsidRPr="003A12BF">
              <w:t xml:space="preserve">Yarriambiack </w:t>
            </w:r>
            <w:r w:rsidR="00737453">
              <w:t>–</w:t>
            </w:r>
            <w:r w:rsidRPr="003A12BF">
              <w:t xml:space="preserve"> LG Energy Saver, Warracknabeal HVAC Upgrade</w:t>
            </w:r>
          </w:p>
        </w:tc>
        <w:tc>
          <w:tcPr>
            <w:tcW w:w="1440" w:type="dxa"/>
            <w:noWrap/>
            <w:hideMark/>
          </w:tcPr>
          <w:p w14:paraId="3E3C5109" w14:textId="77777777" w:rsidR="003A12BF" w:rsidRPr="003A12BF" w:rsidRDefault="003A12BF" w:rsidP="00F51716">
            <w:pPr>
              <w:pStyle w:val="Tabletext0"/>
            </w:pPr>
            <w:r w:rsidRPr="003A12BF">
              <w:t>$24,362.00</w:t>
            </w:r>
          </w:p>
        </w:tc>
      </w:tr>
      <w:tr w:rsidR="003A12BF" w:rsidRPr="003A12BF" w14:paraId="697E6638" w14:textId="77777777" w:rsidTr="002D4B7F">
        <w:trPr>
          <w:trHeight w:val="300"/>
        </w:trPr>
        <w:tc>
          <w:tcPr>
            <w:tcW w:w="2977" w:type="dxa"/>
            <w:noWrap/>
            <w:hideMark/>
          </w:tcPr>
          <w:p w14:paraId="5F951C9A" w14:textId="77777777" w:rsidR="003A12BF" w:rsidRPr="003A12BF" w:rsidRDefault="003A12BF" w:rsidP="00F51716">
            <w:pPr>
              <w:pStyle w:val="Tabletext0"/>
            </w:pPr>
            <w:r w:rsidRPr="003A12BF">
              <w:t>Buloke Shire Council</w:t>
            </w:r>
          </w:p>
        </w:tc>
        <w:tc>
          <w:tcPr>
            <w:tcW w:w="4481" w:type="dxa"/>
            <w:noWrap/>
            <w:hideMark/>
          </w:tcPr>
          <w:p w14:paraId="767718BB" w14:textId="77777777" w:rsidR="003A12BF" w:rsidRPr="003A12BF" w:rsidRDefault="003A12BF" w:rsidP="00F51716">
            <w:pPr>
              <w:pStyle w:val="Tabletext0"/>
            </w:pPr>
            <w:r w:rsidRPr="003A12BF">
              <w:t>Buloke Shire – Local Government Energy Saver, Stream 3 Facility Upgrades</w:t>
            </w:r>
          </w:p>
        </w:tc>
        <w:tc>
          <w:tcPr>
            <w:tcW w:w="1440" w:type="dxa"/>
            <w:noWrap/>
            <w:hideMark/>
          </w:tcPr>
          <w:p w14:paraId="51FCC780" w14:textId="77777777" w:rsidR="003A12BF" w:rsidRPr="003A12BF" w:rsidRDefault="003A12BF" w:rsidP="00F51716">
            <w:pPr>
              <w:pStyle w:val="Tabletext0"/>
            </w:pPr>
            <w:r w:rsidRPr="003A12BF">
              <w:t>$37,185.12</w:t>
            </w:r>
          </w:p>
        </w:tc>
      </w:tr>
      <w:tr w:rsidR="003A12BF" w:rsidRPr="003A12BF" w14:paraId="58B25AB6" w14:textId="77777777" w:rsidTr="002D4B7F">
        <w:trPr>
          <w:trHeight w:val="300"/>
        </w:trPr>
        <w:tc>
          <w:tcPr>
            <w:tcW w:w="2977" w:type="dxa"/>
            <w:noWrap/>
            <w:hideMark/>
          </w:tcPr>
          <w:p w14:paraId="312461B0" w14:textId="77777777" w:rsidR="003A12BF" w:rsidRPr="003A12BF" w:rsidRDefault="003A12BF" w:rsidP="00F51716">
            <w:pPr>
              <w:pStyle w:val="Tabletext0"/>
            </w:pPr>
            <w:r w:rsidRPr="003A12BF">
              <w:t>Buloke Shire Council</w:t>
            </w:r>
          </w:p>
        </w:tc>
        <w:tc>
          <w:tcPr>
            <w:tcW w:w="4481" w:type="dxa"/>
            <w:noWrap/>
            <w:hideMark/>
          </w:tcPr>
          <w:p w14:paraId="5BC473A1" w14:textId="77777777" w:rsidR="003A12BF" w:rsidRPr="003A12BF" w:rsidRDefault="003A12BF" w:rsidP="00F51716">
            <w:pPr>
              <w:pStyle w:val="Tabletext0"/>
            </w:pPr>
            <w:r w:rsidRPr="003A12BF">
              <w:t>Buloke Shire – Local Government Energy Saver, Stream 3 Facility Upgrades</w:t>
            </w:r>
          </w:p>
        </w:tc>
        <w:tc>
          <w:tcPr>
            <w:tcW w:w="1440" w:type="dxa"/>
            <w:noWrap/>
            <w:hideMark/>
          </w:tcPr>
          <w:p w14:paraId="1A94C766" w14:textId="77777777" w:rsidR="003A12BF" w:rsidRPr="003A12BF" w:rsidRDefault="003A12BF" w:rsidP="00F51716">
            <w:pPr>
              <w:pStyle w:val="Tabletext0"/>
            </w:pPr>
            <w:r w:rsidRPr="003A12BF">
              <w:t>$9,704.00</w:t>
            </w:r>
          </w:p>
        </w:tc>
      </w:tr>
      <w:tr w:rsidR="003A12BF" w:rsidRPr="003A12BF" w14:paraId="5A7FCB31" w14:textId="77777777" w:rsidTr="002D4B7F">
        <w:trPr>
          <w:trHeight w:val="300"/>
        </w:trPr>
        <w:tc>
          <w:tcPr>
            <w:tcW w:w="2977" w:type="dxa"/>
            <w:noWrap/>
            <w:hideMark/>
          </w:tcPr>
          <w:p w14:paraId="4D4EDCF8" w14:textId="77777777" w:rsidR="003A12BF" w:rsidRPr="003A12BF" w:rsidRDefault="003A12BF" w:rsidP="00F51716">
            <w:pPr>
              <w:pStyle w:val="Tabletext0"/>
            </w:pPr>
            <w:r w:rsidRPr="003A12BF">
              <w:t>Southern Grampians Shire Council</w:t>
            </w:r>
          </w:p>
        </w:tc>
        <w:tc>
          <w:tcPr>
            <w:tcW w:w="4481" w:type="dxa"/>
            <w:noWrap/>
            <w:hideMark/>
          </w:tcPr>
          <w:p w14:paraId="658002AA" w14:textId="77777777" w:rsidR="003A12BF" w:rsidRPr="003A12BF" w:rsidRDefault="003A12BF" w:rsidP="00F51716">
            <w:pPr>
              <w:pStyle w:val="Tabletext0"/>
            </w:pPr>
            <w:r w:rsidRPr="003A12BF">
              <w:t>Southern Grampians Shire LGES upgrades</w:t>
            </w:r>
          </w:p>
        </w:tc>
        <w:tc>
          <w:tcPr>
            <w:tcW w:w="1440" w:type="dxa"/>
            <w:noWrap/>
            <w:hideMark/>
          </w:tcPr>
          <w:p w14:paraId="7AF31529" w14:textId="77777777" w:rsidR="003A12BF" w:rsidRPr="003A12BF" w:rsidRDefault="003A12BF" w:rsidP="00F51716">
            <w:pPr>
              <w:pStyle w:val="Tabletext0"/>
            </w:pPr>
            <w:r w:rsidRPr="003A12BF">
              <w:t>$10,000.00</w:t>
            </w:r>
          </w:p>
        </w:tc>
      </w:tr>
      <w:tr w:rsidR="003A12BF" w:rsidRPr="003A12BF" w14:paraId="59045D25" w14:textId="77777777" w:rsidTr="002D4B7F">
        <w:trPr>
          <w:trHeight w:val="300"/>
        </w:trPr>
        <w:tc>
          <w:tcPr>
            <w:tcW w:w="2977" w:type="dxa"/>
            <w:noWrap/>
            <w:hideMark/>
          </w:tcPr>
          <w:p w14:paraId="73A2F608" w14:textId="77777777" w:rsidR="003A12BF" w:rsidRPr="003A12BF" w:rsidRDefault="003A12BF" w:rsidP="00F51716">
            <w:pPr>
              <w:pStyle w:val="Tabletext0"/>
            </w:pPr>
            <w:r w:rsidRPr="003A12BF">
              <w:t>Southern Grampians Shire Council</w:t>
            </w:r>
          </w:p>
        </w:tc>
        <w:tc>
          <w:tcPr>
            <w:tcW w:w="4481" w:type="dxa"/>
            <w:noWrap/>
            <w:hideMark/>
          </w:tcPr>
          <w:p w14:paraId="4DC58BF0" w14:textId="77777777" w:rsidR="003A12BF" w:rsidRPr="003A12BF" w:rsidRDefault="003A12BF" w:rsidP="00F51716">
            <w:pPr>
              <w:pStyle w:val="Tabletext0"/>
            </w:pPr>
            <w:r w:rsidRPr="003A12BF">
              <w:t>Southern Grampians Shire LGES upgrades</w:t>
            </w:r>
          </w:p>
        </w:tc>
        <w:tc>
          <w:tcPr>
            <w:tcW w:w="1440" w:type="dxa"/>
            <w:noWrap/>
            <w:hideMark/>
          </w:tcPr>
          <w:p w14:paraId="2E9659EB" w14:textId="77777777" w:rsidR="003A12BF" w:rsidRPr="003A12BF" w:rsidRDefault="003A12BF" w:rsidP="00F51716">
            <w:pPr>
              <w:pStyle w:val="Tabletext0"/>
            </w:pPr>
            <w:r w:rsidRPr="003A12BF">
              <w:t>$43,026.00</w:t>
            </w:r>
          </w:p>
        </w:tc>
      </w:tr>
      <w:tr w:rsidR="003A12BF" w:rsidRPr="003A12BF" w14:paraId="61C5AF22" w14:textId="77777777" w:rsidTr="002D4B7F">
        <w:trPr>
          <w:trHeight w:val="300"/>
        </w:trPr>
        <w:tc>
          <w:tcPr>
            <w:tcW w:w="2977" w:type="dxa"/>
            <w:noWrap/>
            <w:hideMark/>
          </w:tcPr>
          <w:p w14:paraId="177626F1" w14:textId="77777777" w:rsidR="003A12BF" w:rsidRPr="003A12BF" w:rsidRDefault="003A12BF" w:rsidP="00F51716">
            <w:pPr>
              <w:pStyle w:val="Tabletext0"/>
            </w:pPr>
            <w:r w:rsidRPr="003A12BF">
              <w:t>East Gippsland Shire Council</w:t>
            </w:r>
          </w:p>
        </w:tc>
        <w:tc>
          <w:tcPr>
            <w:tcW w:w="4481" w:type="dxa"/>
            <w:noWrap/>
            <w:hideMark/>
          </w:tcPr>
          <w:p w14:paraId="2AC09E81" w14:textId="77777777" w:rsidR="003A12BF" w:rsidRPr="003A12BF" w:rsidRDefault="003A12BF" w:rsidP="00F51716">
            <w:pPr>
              <w:pStyle w:val="Tabletext0"/>
            </w:pPr>
            <w:r w:rsidRPr="003A12BF">
              <w:t>EGSC Facility Energy Efficiency Upgrades 2019</w:t>
            </w:r>
          </w:p>
        </w:tc>
        <w:tc>
          <w:tcPr>
            <w:tcW w:w="1440" w:type="dxa"/>
            <w:noWrap/>
            <w:hideMark/>
          </w:tcPr>
          <w:p w14:paraId="3A8D821F" w14:textId="77777777" w:rsidR="003A12BF" w:rsidRPr="003A12BF" w:rsidRDefault="003A12BF" w:rsidP="00F51716">
            <w:pPr>
              <w:pStyle w:val="Tabletext0"/>
            </w:pPr>
            <w:r w:rsidRPr="003A12BF">
              <w:t>$10,000.00</w:t>
            </w:r>
          </w:p>
        </w:tc>
      </w:tr>
      <w:tr w:rsidR="003A12BF" w:rsidRPr="003A12BF" w14:paraId="2EE9FED9" w14:textId="77777777" w:rsidTr="002D4B7F">
        <w:trPr>
          <w:trHeight w:val="300"/>
        </w:trPr>
        <w:tc>
          <w:tcPr>
            <w:tcW w:w="2977" w:type="dxa"/>
            <w:noWrap/>
            <w:hideMark/>
          </w:tcPr>
          <w:p w14:paraId="77DC9D50" w14:textId="77777777" w:rsidR="003A12BF" w:rsidRPr="003A12BF" w:rsidRDefault="003A12BF" w:rsidP="00F51716">
            <w:pPr>
              <w:pStyle w:val="Tabletext0"/>
            </w:pPr>
            <w:r w:rsidRPr="003A12BF">
              <w:t>East Gippsland Shire Council</w:t>
            </w:r>
          </w:p>
        </w:tc>
        <w:tc>
          <w:tcPr>
            <w:tcW w:w="4481" w:type="dxa"/>
            <w:noWrap/>
            <w:hideMark/>
          </w:tcPr>
          <w:p w14:paraId="658C10D4" w14:textId="77777777" w:rsidR="003A12BF" w:rsidRPr="003A12BF" w:rsidRDefault="003A12BF" w:rsidP="00F51716">
            <w:pPr>
              <w:pStyle w:val="Tabletext0"/>
            </w:pPr>
            <w:r w:rsidRPr="003A12BF">
              <w:t>EGSC Facility Energy Efficiency Upgrades 2019</w:t>
            </w:r>
          </w:p>
        </w:tc>
        <w:tc>
          <w:tcPr>
            <w:tcW w:w="1440" w:type="dxa"/>
            <w:noWrap/>
            <w:hideMark/>
          </w:tcPr>
          <w:p w14:paraId="496E7E24" w14:textId="77777777" w:rsidR="003A12BF" w:rsidRPr="003A12BF" w:rsidRDefault="003A12BF" w:rsidP="00F51716">
            <w:pPr>
              <w:pStyle w:val="Tabletext0"/>
            </w:pPr>
            <w:r w:rsidRPr="003A12BF">
              <w:t>$40,000.00</w:t>
            </w:r>
          </w:p>
        </w:tc>
      </w:tr>
      <w:tr w:rsidR="003A12BF" w:rsidRPr="003A12BF" w14:paraId="1758BAAB" w14:textId="77777777" w:rsidTr="002D4B7F">
        <w:trPr>
          <w:trHeight w:val="300"/>
        </w:trPr>
        <w:tc>
          <w:tcPr>
            <w:tcW w:w="2977" w:type="dxa"/>
            <w:noWrap/>
            <w:hideMark/>
          </w:tcPr>
          <w:p w14:paraId="61E2A784" w14:textId="77777777" w:rsidR="003A12BF" w:rsidRPr="003A12BF" w:rsidRDefault="003A12BF" w:rsidP="00F51716">
            <w:pPr>
              <w:pStyle w:val="Tabletext0"/>
            </w:pPr>
            <w:r w:rsidRPr="003A12BF">
              <w:t>Corangamite Shire Council</w:t>
            </w:r>
          </w:p>
        </w:tc>
        <w:tc>
          <w:tcPr>
            <w:tcW w:w="4481" w:type="dxa"/>
            <w:noWrap/>
            <w:hideMark/>
          </w:tcPr>
          <w:p w14:paraId="4F41673E" w14:textId="77777777" w:rsidR="003A12BF" w:rsidRPr="003A12BF" w:rsidRDefault="003A12BF" w:rsidP="00F51716">
            <w:pPr>
              <w:pStyle w:val="Tabletext0"/>
            </w:pPr>
            <w:r w:rsidRPr="003A12BF">
              <w:t>Corangamite Shire LGES Stream 3 upgrades</w:t>
            </w:r>
          </w:p>
        </w:tc>
        <w:tc>
          <w:tcPr>
            <w:tcW w:w="1440" w:type="dxa"/>
            <w:noWrap/>
            <w:hideMark/>
          </w:tcPr>
          <w:p w14:paraId="1B228BC5" w14:textId="77777777" w:rsidR="003A12BF" w:rsidRPr="003A12BF" w:rsidRDefault="003A12BF" w:rsidP="00F51716">
            <w:pPr>
              <w:pStyle w:val="Tabletext0"/>
            </w:pPr>
            <w:r w:rsidRPr="003A12BF">
              <w:t>$10,000.00</w:t>
            </w:r>
          </w:p>
        </w:tc>
      </w:tr>
      <w:tr w:rsidR="003A12BF" w:rsidRPr="003A12BF" w14:paraId="58AC6E98" w14:textId="77777777" w:rsidTr="002D4B7F">
        <w:trPr>
          <w:trHeight w:val="300"/>
        </w:trPr>
        <w:tc>
          <w:tcPr>
            <w:tcW w:w="2977" w:type="dxa"/>
            <w:noWrap/>
            <w:hideMark/>
          </w:tcPr>
          <w:p w14:paraId="41FDEB24" w14:textId="77777777" w:rsidR="003A12BF" w:rsidRPr="003A12BF" w:rsidRDefault="003A12BF" w:rsidP="00F51716">
            <w:pPr>
              <w:pStyle w:val="Tabletext0"/>
            </w:pPr>
            <w:r w:rsidRPr="003A12BF">
              <w:t>Corangamite Shire Council</w:t>
            </w:r>
          </w:p>
        </w:tc>
        <w:tc>
          <w:tcPr>
            <w:tcW w:w="4481" w:type="dxa"/>
            <w:noWrap/>
            <w:hideMark/>
          </w:tcPr>
          <w:p w14:paraId="4532A6AF" w14:textId="77777777" w:rsidR="003A12BF" w:rsidRPr="003A12BF" w:rsidRDefault="003A12BF" w:rsidP="00F51716">
            <w:pPr>
              <w:pStyle w:val="Tabletext0"/>
            </w:pPr>
            <w:r w:rsidRPr="003A12BF">
              <w:t>Corangamite Shire LGES Stream 3 upgrades</w:t>
            </w:r>
          </w:p>
        </w:tc>
        <w:tc>
          <w:tcPr>
            <w:tcW w:w="1440" w:type="dxa"/>
            <w:noWrap/>
            <w:hideMark/>
          </w:tcPr>
          <w:p w14:paraId="433162E9" w14:textId="77777777" w:rsidR="003A12BF" w:rsidRPr="003A12BF" w:rsidRDefault="003A12BF" w:rsidP="00F51716">
            <w:pPr>
              <w:pStyle w:val="Tabletext0"/>
            </w:pPr>
            <w:r w:rsidRPr="003A12BF">
              <w:t>$25,134.00</w:t>
            </w:r>
          </w:p>
        </w:tc>
      </w:tr>
      <w:tr w:rsidR="003A12BF" w:rsidRPr="003A12BF" w14:paraId="1DA63645" w14:textId="77777777" w:rsidTr="002D4B7F">
        <w:trPr>
          <w:trHeight w:val="300"/>
        </w:trPr>
        <w:tc>
          <w:tcPr>
            <w:tcW w:w="2977" w:type="dxa"/>
            <w:noWrap/>
            <w:hideMark/>
          </w:tcPr>
          <w:p w14:paraId="6A1B90E9" w14:textId="77777777" w:rsidR="003A12BF" w:rsidRPr="003A12BF" w:rsidRDefault="003A12BF" w:rsidP="00F51716">
            <w:pPr>
              <w:pStyle w:val="Tabletext0"/>
            </w:pPr>
            <w:r w:rsidRPr="003A12BF">
              <w:t>West Wimmera Shire Council</w:t>
            </w:r>
          </w:p>
        </w:tc>
        <w:tc>
          <w:tcPr>
            <w:tcW w:w="4481" w:type="dxa"/>
            <w:noWrap/>
            <w:hideMark/>
          </w:tcPr>
          <w:p w14:paraId="3E9336BA" w14:textId="1F1733E1" w:rsidR="003A12BF" w:rsidRPr="003A12BF" w:rsidRDefault="003A12BF" w:rsidP="00F51716">
            <w:pPr>
              <w:pStyle w:val="Tabletext0"/>
            </w:pPr>
            <w:r w:rsidRPr="003A12BF">
              <w:t xml:space="preserve">West Wimmera </w:t>
            </w:r>
            <w:r w:rsidR="00737453">
              <w:t>–</w:t>
            </w:r>
            <w:r w:rsidRPr="003A12BF">
              <w:t xml:space="preserve"> LG Energy Saver Stream 3 Facility Upgrades</w:t>
            </w:r>
          </w:p>
        </w:tc>
        <w:tc>
          <w:tcPr>
            <w:tcW w:w="1440" w:type="dxa"/>
            <w:noWrap/>
            <w:hideMark/>
          </w:tcPr>
          <w:p w14:paraId="30A74F9E" w14:textId="77777777" w:rsidR="003A12BF" w:rsidRPr="003A12BF" w:rsidRDefault="003A12BF" w:rsidP="00F51716">
            <w:pPr>
              <w:pStyle w:val="Tabletext0"/>
            </w:pPr>
            <w:r w:rsidRPr="003A12BF">
              <w:t>$24,004.19</w:t>
            </w:r>
          </w:p>
        </w:tc>
      </w:tr>
      <w:tr w:rsidR="003A12BF" w:rsidRPr="003A12BF" w14:paraId="754BCEF0" w14:textId="77777777" w:rsidTr="002D4B7F">
        <w:trPr>
          <w:trHeight w:val="300"/>
        </w:trPr>
        <w:tc>
          <w:tcPr>
            <w:tcW w:w="2977" w:type="dxa"/>
            <w:noWrap/>
            <w:hideMark/>
          </w:tcPr>
          <w:p w14:paraId="0C7CAEB1" w14:textId="77777777" w:rsidR="003A12BF" w:rsidRPr="003A12BF" w:rsidRDefault="003A12BF" w:rsidP="00F51716">
            <w:pPr>
              <w:pStyle w:val="Tabletext0"/>
            </w:pPr>
            <w:r w:rsidRPr="003A12BF">
              <w:t>West Wimmera Shire Council</w:t>
            </w:r>
          </w:p>
        </w:tc>
        <w:tc>
          <w:tcPr>
            <w:tcW w:w="4481" w:type="dxa"/>
            <w:noWrap/>
            <w:hideMark/>
          </w:tcPr>
          <w:p w14:paraId="26466391" w14:textId="582E0DB6" w:rsidR="003A12BF" w:rsidRPr="003A12BF" w:rsidRDefault="003A12BF" w:rsidP="00F51716">
            <w:pPr>
              <w:pStyle w:val="Tabletext0"/>
            </w:pPr>
            <w:r w:rsidRPr="003A12BF">
              <w:t xml:space="preserve">West Wimmera </w:t>
            </w:r>
            <w:r w:rsidR="00737453">
              <w:t>–</w:t>
            </w:r>
            <w:r w:rsidRPr="003A12BF">
              <w:t xml:space="preserve"> LG Energy Saver Stream 3 Facility Upgrades</w:t>
            </w:r>
          </w:p>
        </w:tc>
        <w:tc>
          <w:tcPr>
            <w:tcW w:w="1440" w:type="dxa"/>
            <w:noWrap/>
            <w:hideMark/>
          </w:tcPr>
          <w:p w14:paraId="75666C0B" w14:textId="77777777" w:rsidR="003A12BF" w:rsidRPr="003A12BF" w:rsidRDefault="003A12BF" w:rsidP="00F51716">
            <w:pPr>
              <w:pStyle w:val="Tabletext0"/>
            </w:pPr>
            <w:r w:rsidRPr="003A12BF">
              <w:t>$23,000.00</w:t>
            </w:r>
          </w:p>
        </w:tc>
      </w:tr>
      <w:tr w:rsidR="003A12BF" w:rsidRPr="003A12BF" w14:paraId="609433AC" w14:textId="77777777" w:rsidTr="002D4B7F">
        <w:trPr>
          <w:trHeight w:val="300"/>
        </w:trPr>
        <w:tc>
          <w:tcPr>
            <w:tcW w:w="2977" w:type="dxa"/>
            <w:noWrap/>
            <w:hideMark/>
          </w:tcPr>
          <w:p w14:paraId="784ED195" w14:textId="77777777" w:rsidR="003A12BF" w:rsidRPr="003A12BF" w:rsidRDefault="003A12BF" w:rsidP="00F51716">
            <w:pPr>
              <w:pStyle w:val="Tabletext0"/>
            </w:pPr>
            <w:r w:rsidRPr="003A12BF">
              <w:t>West Wimmera Shire Council</w:t>
            </w:r>
          </w:p>
        </w:tc>
        <w:tc>
          <w:tcPr>
            <w:tcW w:w="4481" w:type="dxa"/>
            <w:noWrap/>
            <w:hideMark/>
          </w:tcPr>
          <w:p w14:paraId="02CB3FD6" w14:textId="79D0EA30" w:rsidR="003A12BF" w:rsidRPr="003A12BF" w:rsidRDefault="003A12BF" w:rsidP="00F51716">
            <w:pPr>
              <w:pStyle w:val="Tabletext0"/>
            </w:pPr>
            <w:r w:rsidRPr="003A12BF">
              <w:t xml:space="preserve">West Wimmera </w:t>
            </w:r>
            <w:r w:rsidR="00737453">
              <w:t>–</w:t>
            </w:r>
            <w:r w:rsidRPr="003A12BF">
              <w:t xml:space="preserve"> LG Energy Saver Stream 3 Facility Upgrades</w:t>
            </w:r>
          </w:p>
        </w:tc>
        <w:tc>
          <w:tcPr>
            <w:tcW w:w="1440" w:type="dxa"/>
            <w:noWrap/>
            <w:hideMark/>
          </w:tcPr>
          <w:p w14:paraId="4A5CAE36" w14:textId="77777777" w:rsidR="003A12BF" w:rsidRPr="003A12BF" w:rsidRDefault="003A12BF" w:rsidP="00F51716">
            <w:pPr>
              <w:pStyle w:val="Tabletext0"/>
            </w:pPr>
            <w:r w:rsidRPr="003A12BF">
              <w:t>$10,000.00</w:t>
            </w:r>
          </w:p>
        </w:tc>
      </w:tr>
      <w:tr w:rsidR="003A12BF" w:rsidRPr="003A12BF" w14:paraId="6335E7C3" w14:textId="77777777" w:rsidTr="002D4B7F">
        <w:trPr>
          <w:trHeight w:val="300"/>
        </w:trPr>
        <w:tc>
          <w:tcPr>
            <w:tcW w:w="2977" w:type="dxa"/>
            <w:noWrap/>
            <w:hideMark/>
          </w:tcPr>
          <w:p w14:paraId="308F271A" w14:textId="77777777" w:rsidR="003A12BF" w:rsidRPr="003A12BF" w:rsidRDefault="003A12BF" w:rsidP="00F51716">
            <w:pPr>
              <w:pStyle w:val="Tabletext0"/>
            </w:pPr>
            <w:r w:rsidRPr="003A12BF">
              <w:t>Colac Otway Shire Council</w:t>
            </w:r>
          </w:p>
        </w:tc>
        <w:tc>
          <w:tcPr>
            <w:tcW w:w="4481" w:type="dxa"/>
            <w:noWrap/>
            <w:hideMark/>
          </w:tcPr>
          <w:p w14:paraId="7EDBCD35" w14:textId="77777777" w:rsidR="003A12BF" w:rsidRPr="003A12BF" w:rsidRDefault="003A12BF" w:rsidP="00F51716">
            <w:pPr>
              <w:pStyle w:val="Tabletext0"/>
            </w:pPr>
            <w:r w:rsidRPr="003A12BF">
              <w:t>Colac Otway Shire LGES Stream 3 upgrades</w:t>
            </w:r>
          </w:p>
        </w:tc>
        <w:tc>
          <w:tcPr>
            <w:tcW w:w="1440" w:type="dxa"/>
            <w:noWrap/>
            <w:hideMark/>
          </w:tcPr>
          <w:p w14:paraId="515C765E" w14:textId="77777777" w:rsidR="003A12BF" w:rsidRPr="003A12BF" w:rsidRDefault="003A12BF" w:rsidP="00F51716">
            <w:pPr>
              <w:pStyle w:val="Tabletext0"/>
            </w:pPr>
            <w:r w:rsidRPr="003A12BF">
              <w:t>$10,000.00</w:t>
            </w:r>
          </w:p>
        </w:tc>
      </w:tr>
      <w:tr w:rsidR="003A12BF" w:rsidRPr="003A12BF" w14:paraId="2363AC2F" w14:textId="77777777" w:rsidTr="002D4B7F">
        <w:trPr>
          <w:trHeight w:val="300"/>
        </w:trPr>
        <w:tc>
          <w:tcPr>
            <w:tcW w:w="2977" w:type="dxa"/>
            <w:noWrap/>
            <w:hideMark/>
          </w:tcPr>
          <w:p w14:paraId="26090819" w14:textId="77777777" w:rsidR="003A12BF" w:rsidRPr="003A12BF" w:rsidRDefault="003A12BF" w:rsidP="00F51716">
            <w:pPr>
              <w:pStyle w:val="Tabletext0"/>
            </w:pPr>
            <w:r w:rsidRPr="003A12BF">
              <w:t>Colac Otway Shire Council</w:t>
            </w:r>
          </w:p>
        </w:tc>
        <w:tc>
          <w:tcPr>
            <w:tcW w:w="4481" w:type="dxa"/>
            <w:noWrap/>
            <w:hideMark/>
          </w:tcPr>
          <w:p w14:paraId="43885BE8" w14:textId="77777777" w:rsidR="003A12BF" w:rsidRPr="003A12BF" w:rsidRDefault="003A12BF" w:rsidP="00F51716">
            <w:pPr>
              <w:pStyle w:val="Tabletext0"/>
            </w:pPr>
            <w:r w:rsidRPr="003A12BF">
              <w:t>Colac Otway Shire LGES Stream 3 upgrades</w:t>
            </w:r>
          </w:p>
        </w:tc>
        <w:tc>
          <w:tcPr>
            <w:tcW w:w="1440" w:type="dxa"/>
            <w:noWrap/>
            <w:hideMark/>
          </w:tcPr>
          <w:p w14:paraId="613AAF4B" w14:textId="77777777" w:rsidR="003A12BF" w:rsidRPr="003A12BF" w:rsidRDefault="003A12BF" w:rsidP="00F51716">
            <w:pPr>
              <w:pStyle w:val="Tabletext0"/>
            </w:pPr>
            <w:r w:rsidRPr="003A12BF">
              <w:t>$40,441.80</w:t>
            </w:r>
          </w:p>
        </w:tc>
      </w:tr>
      <w:tr w:rsidR="003A12BF" w:rsidRPr="003A12BF" w14:paraId="357892FE" w14:textId="77777777" w:rsidTr="002D4B7F">
        <w:trPr>
          <w:trHeight w:val="300"/>
        </w:trPr>
        <w:tc>
          <w:tcPr>
            <w:tcW w:w="2977" w:type="dxa"/>
            <w:noWrap/>
            <w:hideMark/>
          </w:tcPr>
          <w:p w14:paraId="41D15C0B" w14:textId="77777777" w:rsidR="003A12BF" w:rsidRPr="003A12BF" w:rsidRDefault="003A12BF" w:rsidP="00F51716">
            <w:pPr>
              <w:pStyle w:val="Tabletext0"/>
            </w:pPr>
            <w:r w:rsidRPr="003A12BF">
              <w:t>Central Goldfields Shire Council</w:t>
            </w:r>
          </w:p>
        </w:tc>
        <w:tc>
          <w:tcPr>
            <w:tcW w:w="4481" w:type="dxa"/>
            <w:noWrap/>
            <w:hideMark/>
          </w:tcPr>
          <w:p w14:paraId="17C4EB17" w14:textId="77777777" w:rsidR="003A12BF" w:rsidRPr="003A12BF" w:rsidRDefault="003A12BF" w:rsidP="00F51716">
            <w:pPr>
              <w:pStyle w:val="Tabletext0"/>
            </w:pPr>
            <w:r w:rsidRPr="003A12BF">
              <w:t>Central Goldfields LG Stream 3 Facility Upgrades</w:t>
            </w:r>
          </w:p>
        </w:tc>
        <w:tc>
          <w:tcPr>
            <w:tcW w:w="1440" w:type="dxa"/>
            <w:noWrap/>
            <w:hideMark/>
          </w:tcPr>
          <w:p w14:paraId="787B83B4" w14:textId="77777777" w:rsidR="003A12BF" w:rsidRPr="003A12BF" w:rsidRDefault="003A12BF" w:rsidP="00F51716">
            <w:pPr>
              <w:pStyle w:val="Tabletext0"/>
            </w:pPr>
            <w:r w:rsidRPr="003A12BF">
              <w:t>$50,000.00</w:t>
            </w:r>
          </w:p>
        </w:tc>
      </w:tr>
      <w:tr w:rsidR="003A12BF" w:rsidRPr="003A12BF" w14:paraId="405C7E9E" w14:textId="77777777" w:rsidTr="002D4B7F">
        <w:trPr>
          <w:trHeight w:val="300"/>
        </w:trPr>
        <w:tc>
          <w:tcPr>
            <w:tcW w:w="2977" w:type="dxa"/>
            <w:noWrap/>
            <w:hideMark/>
          </w:tcPr>
          <w:p w14:paraId="6DABE4D3" w14:textId="77777777" w:rsidR="003A12BF" w:rsidRPr="003A12BF" w:rsidRDefault="003A12BF" w:rsidP="00F51716">
            <w:pPr>
              <w:pStyle w:val="Tabletext0"/>
            </w:pPr>
            <w:r w:rsidRPr="003A12BF">
              <w:t>Central Goldfields Shire Council</w:t>
            </w:r>
          </w:p>
        </w:tc>
        <w:tc>
          <w:tcPr>
            <w:tcW w:w="4481" w:type="dxa"/>
            <w:noWrap/>
            <w:hideMark/>
          </w:tcPr>
          <w:p w14:paraId="76766896" w14:textId="77777777" w:rsidR="003A12BF" w:rsidRPr="003A12BF" w:rsidRDefault="003A12BF" w:rsidP="00F51716">
            <w:pPr>
              <w:pStyle w:val="Tabletext0"/>
            </w:pPr>
            <w:r w:rsidRPr="003A12BF">
              <w:t>Central Goldfields LG Stream 3 Facility Upgrades</w:t>
            </w:r>
          </w:p>
        </w:tc>
        <w:tc>
          <w:tcPr>
            <w:tcW w:w="1440" w:type="dxa"/>
            <w:noWrap/>
            <w:hideMark/>
          </w:tcPr>
          <w:p w14:paraId="37973F19" w14:textId="77777777" w:rsidR="003A12BF" w:rsidRPr="003A12BF" w:rsidRDefault="003A12BF" w:rsidP="00F51716">
            <w:pPr>
              <w:pStyle w:val="Tabletext0"/>
            </w:pPr>
            <w:r w:rsidRPr="003A12BF">
              <w:t>$56,830.00</w:t>
            </w:r>
          </w:p>
        </w:tc>
      </w:tr>
      <w:tr w:rsidR="003A12BF" w:rsidRPr="003A12BF" w14:paraId="63CFB7A7" w14:textId="77777777" w:rsidTr="002D4B7F">
        <w:trPr>
          <w:trHeight w:val="300"/>
        </w:trPr>
        <w:tc>
          <w:tcPr>
            <w:tcW w:w="2977" w:type="dxa"/>
            <w:noWrap/>
            <w:hideMark/>
          </w:tcPr>
          <w:p w14:paraId="377259C0" w14:textId="77777777" w:rsidR="003A12BF" w:rsidRPr="003A12BF" w:rsidRDefault="003A12BF" w:rsidP="00F51716">
            <w:pPr>
              <w:pStyle w:val="Tabletext0"/>
            </w:pPr>
            <w:r w:rsidRPr="003A12BF">
              <w:t>Central Goldfields Shire Council</w:t>
            </w:r>
          </w:p>
        </w:tc>
        <w:tc>
          <w:tcPr>
            <w:tcW w:w="4481" w:type="dxa"/>
            <w:noWrap/>
            <w:hideMark/>
          </w:tcPr>
          <w:p w14:paraId="38E9F93C" w14:textId="77777777" w:rsidR="003A12BF" w:rsidRPr="003A12BF" w:rsidRDefault="003A12BF" w:rsidP="00F51716">
            <w:pPr>
              <w:pStyle w:val="Tabletext0"/>
            </w:pPr>
            <w:r w:rsidRPr="003A12BF">
              <w:t>Central Goldfields LG Stream 3 Facility Upgrades</w:t>
            </w:r>
          </w:p>
        </w:tc>
        <w:tc>
          <w:tcPr>
            <w:tcW w:w="1440" w:type="dxa"/>
            <w:noWrap/>
            <w:hideMark/>
          </w:tcPr>
          <w:p w14:paraId="030B4E83" w14:textId="77777777" w:rsidR="003A12BF" w:rsidRPr="003A12BF" w:rsidRDefault="003A12BF" w:rsidP="00F51716">
            <w:pPr>
              <w:pStyle w:val="Tabletext0"/>
            </w:pPr>
            <w:r w:rsidRPr="003A12BF">
              <w:t>$10,000.00</w:t>
            </w:r>
          </w:p>
        </w:tc>
      </w:tr>
      <w:tr w:rsidR="003A12BF" w:rsidRPr="003A12BF" w14:paraId="45512100" w14:textId="77777777" w:rsidTr="002D4B7F">
        <w:trPr>
          <w:trHeight w:val="300"/>
        </w:trPr>
        <w:tc>
          <w:tcPr>
            <w:tcW w:w="2977" w:type="dxa"/>
            <w:noWrap/>
            <w:hideMark/>
          </w:tcPr>
          <w:p w14:paraId="32C56720" w14:textId="77777777" w:rsidR="003A12BF" w:rsidRPr="003A12BF" w:rsidRDefault="003A12BF" w:rsidP="00F51716">
            <w:pPr>
              <w:pStyle w:val="Tabletext0"/>
            </w:pPr>
            <w:r w:rsidRPr="003A12BF">
              <w:t>Benalla Rural City Council</w:t>
            </w:r>
          </w:p>
        </w:tc>
        <w:tc>
          <w:tcPr>
            <w:tcW w:w="4481" w:type="dxa"/>
            <w:noWrap/>
            <w:hideMark/>
          </w:tcPr>
          <w:p w14:paraId="5A11FEDB" w14:textId="5EB522EE" w:rsidR="003A12BF" w:rsidRPr="003A12BF" w:rsidRDefault="003A12BF" w:rsidP="00F51716">
            <w:pPr>
              <w:pStyle w:val="Tabletext0"/>
            </w:pPr>
            <w:r w:rsidRPr="003A12BF">
              <w:t xml:space="preserve">Benalla Rural City Building Energy Upgrades </w:t>
            </w:r>
            <w:r w:rsidR="00737453">
              <w:t>–</w:t>
            </w:r>
            <w:r w:rsidRPr="003A12BF">
              <w:t xml:space="preserve"> Stage 2</w:t>
            </w:r>
          </w:p>
        </w:tc>
        <w:tc>
          <w:tcPr>
            <w:tcW w:w="1440" w:type="dxa"/>
            <w:noWrap/>
            <w:hideMark/>
          </w:tcPr>
          <w:p w14:paraId="7F6AF54A" w14:textId="77777777" w:rsidR="003A12BF" w:rsidRPr="003A12BF" w:rsidRDefault="003A12BF" w:rsidP="00F51716">
            <w:pPr>
              <w:pStyle w:val="Tabletext0"/>
            </w:pPr>
            <w:r w:rsidRPr="003A12BF">
              <w:t>$24,441.53</w:t>
            </w:r>
          </w:p>
        </w:tc>
      </w:tr>
      <w:tr w:rsidR="003A12BF" w:rsidRPr="003A12BF" w14:paraId="11568FFA" w14:textId="77777777" w:rsidTr="002D4B7F">
        <w:trPr>
          <w:trHeight w:val="300"/>
        </w:trPr>
        <w:tc>
          <w:tcPr>
            <w:tcW w:w="2977" w:type="dxa"/>
            <w:noWrap/>
            <w:hideMark/>
          </w:tcPr>
          <w:p w14:paraId="546BE66C" w14:textId="77777777" w:rsidR="003A12BF" w:rsidRPr="003A12BF" w:rsidRDefault="003A12BF" w:rsidP="00F51716">
            <w:pPr>
              <w:pStyle w:val="Tabletext0"/>
            </w:pPr>
            <w:r w:rsidRPr="003A12BF">
              <w:t>Benalla Rural City Council</w:t>
            </w:r>
          </w:p>
        </w:tc>
        <w:tc>
          <w:tcPr>
            <w:tcW w:w="4481" w:type="dxa"/>
            <w:noWrap/>
            <w:hideMark/>
          </w:tcPr>
          <w:p w14:paraId="4A73ACE1" w14:textId="6609E916" w:rsidR="003A12BF" w:rsidRPr="003A12BF" w:rsidRDefault="003A12BF" w:rsidP="00F51716">
            <w:pPr>
              <w:pStyle w:val="Tabletext0"/>
            </w:pPr>
            <w:r w:rsidRPr="003A12BF">
              <w:t xml:space="preserve">Benalla Rural City Building Energy Upgrades </w:t>
            </w:r>
            <w:r w:rsidR="00737453">
              <w:t>–</w:t>
            </w:r>
            <w:r w:rsidRPr="003A12BF">
              <w:t xml:space="preserve"> Stage 2</w:t>
            </w:r>
          </w:p>
        </w:tc>
        <w:tc>
          <w:tcPr>
            <w:tcW w:w="1440" w:type="dxa"/>
            <w:noWrap/>
            <w:hideMark/>
          </w:tcPr>
          <w:p w14:paraId="52BBFFF1" w14:textId="77777777" w:rsidR="003A12BF" w:rsidRPr="003A12BF" w:rsidRDefault="003A12BF" w:rsidP="00F51716">
            <w:pPr>
              <w:pStyle w:val="Tabletext0"/>
            </w:pPr>
            <w:r w:rsidRPr="003A12BF">
              <w:t>$7,800.00</w:t>
            </w:r>
          </w:p>
        </w:tc>
      </w:tr>
      <w:tr w:rsidR="003A12BF" w:rsidRPr="003A12BF" w14:paraId="6551A60C" w14:textId="77777777" w:rsidTr="002D4B7F">
        <w:trPr>
          <w:trHeight w:val="300"/>
        </w:trPr>
        <w:tc>
          <w:tcPr>
            <w:tcW w:w="2977" w:type="dxa"/>
            <w:noWrap/>
            <w:hideMark/>
          </w:tcPr>
          <w:p w14:paraId="40DE31FA" w14:textId="77777777" w:rsidR="003A12BF" w:rsidRPr="003A12BF" w:rsidRDefault="003A12BF" w:rsidP="00F51716">
            <w:pPr>
              <w:pStyle w:val="Tabletext0"/>
            </w:pPr>
            <w:r w:rsidRPr="003A12BF">
              <w:t>Benalla Rural City Council</w:t>
            </w:r>
          </w:p>
        </w:tc>
        <w:tc>
          <w:tcPr>
            <w:tcW w:w="4481" w:type="dxa"/>
            <w:noWrap/>
            <w:hideMark/>
          </w:tcPr>
          <w:p w14:paraId="27301A97" w14:textId="253FEF06" w:rsidR="003A12BF" w:rsidRPr="003A12BF" w:rsidRDefault="003A12BF" w:rsidP="00F51716">
            <w:pPr>
              <w:pStyle w:val="Tabletext0"/>
            </w:pPr>
            <w:r w:rsidRPr="003A12BF">
              <w:t xml:space="preserve">Benalla Rural City Building Energy Upgrades </w:t>
            </w:r>
            <w:r w:rsidR="00737453">
              <w:t>–</w:t>
            </w:r>
            <w:r w:rsidRPr="003A12BF">
              <w:t xml:space="preserve"> Stage 2</w:t>
            </w:r>
          </w:p>
        </w:tc>
        <w:tc>
          <w:tcPr>
            <w:tcW w:w="1440" w:type="dxa"/>
            <w:noWrap/>
            <w:hideMark/>
          </w:tcPr>
          <w:p w14:paraId="7B78D35E" w14:textId="77777777" w:rsidR="003A12BF" w:rsidRPr="003A12BF" w:rsidRDefault="003A12BF" w:rsidP="00F51716">
            <w:pPr>
              <w:pStyle w:val="Tabletext0"/>
            </w:pPr>
            <w:r w:rsidRPr="003A12BF">
              <w:t>$23,580.50</w:t>
            </w:r>
          </w:p>
        </w:tc>
      </w:tr>
      <w:tr w:rsidR="003A12BF" w:rsidRPr="003A12BF" w14:paraId="7619776A" w14:textId="77777777" w:rsidTr="002D4B7F">
        <w:trPr>
          <w:trHeight w:val="300"/>
        </w:trPr>
        <w:tc>
          <w:tcPr>
            <w:tcW w:w="2977" w:type="dxa"/>
            <w:noWrap/>
            <w:hideMark/>
          </w:tcPr>
          <w:p w14:paraId="085BFF97" w14:textId="77777777" w:rsidR="003A12BF" w:rsidRPr="003A12BF" w:rsidRDefault="003A12BF" w:rsidP="00F51716">
            <w:pPr>
              <w:pStyle w:val="Tabletext0"/>
            </w:pPr>
            <w:r w:rsidRPr="003A12BF">
              <w:t>Murrindindi Shire Council</w:t>
            </w:r>
          </w:p>
        </w:tc>
        <w:tc>
          <w:tcPr>
            <w:tcW w:w="4481" w:type="dxa"/>
            <w:noWrap/>
            <w:hideMark/>
          </w:tcPr>
          <w:p w14:paraId="4C69068B" w14:textId="77777777" w:rsidR="003A12BF" w:rsidRPr="003A12BF" w:rsidRDefault="003A12BF" w:rsidP="00F51716">
            <w:pPr>
              <w:pStyle w:val="Tabletext0"/>
            </w:pPr>
            <w:r w:rsidRPr="003A12BF">
              <w:t>Building Energy Efficiency Retrofits and Solar PV Installation</w:t>
            </w:r>
          </w:p>
        </w:tc>
        <w:tc>
          <w:tcPr>
            <w:tcW w:w="1440" w:type="dxa"/>
            <w:noWrap/>
            <w:hideMark/>
          </w:tcPr>
          <w:p w14:paraId="742CCF4B" w14:textId="77777777" w:rsidR="003A12BF" w:rsidRPr="003A12BF" w:rsidRDefault="003A12BF" w:rsidP="00F51716">
            <w:pPr>
              <w:pStyle w:val="Tabletext0"/>
            </w:pPr>
            <w:r w:rsidRPr="003A12BF">
              <w:t>$46,707.25</w:t>
            </w:r>
          </w:p>
        </w:tc>
      </w:tr>
      <w:tr w:rsidR="003A12BF" w:rsidRPr="003A12BF" w14:paraId="2DEC08CB" w14:textId="77777777" w:rsidTr="002D4B7F">
        <w:trPr>
          <w:trHeight w:val="300"/>
        </w:trPr>
        <w:tc>
          <w:tcPr>
            <w:tcW w:w="2977" w:type="dxa"/>
            <w:noWrap/>
            <w:hideMark/>
          </w:tcPr>
          <w:p w14:paraId="4A07116C" w14:textId="77777777" w:rsidR="003A12BF" w:rsidRPr="003A12BF" w:rsidRDefault="003A12BF" w:rsidP="00F51716">
            <w:pPr>
              <w:pStyle w:val="Tabletext0"/>
            </w:pPr>
            <w:r w:rsidRPr="003A12BF">
              <w:t>Murrindindi Shire Council</w:t>
            </w:r>
          </w:p>
        </w:tc>
        <w:tc>
          <w:tcPr>
            <w:tcW w:w="4481" w:type="dxa"/>
            <w:noWrap/>
            <w:hideMark/>
          </w:tcPr>
          <w:p w14:paraId="0C343614" w14:textId="77777777" w:rsidR="003A12BF" w:rsidRPr="003A12BF" w:rsidRDefault="003A12BF" w:rsidP="00F51716">
            <w:pPr>
              <w:pStyle w:val="Tabletext0"/>
            </w:pPr>
            <w:r w:rsidRPr="003A12BF">
              <w:t>Building Energy Efficiency Retrofits and Solar PV Installation</w:t>
            </w:r>
          </w:p>
        </w:tc>
        <w:tc>
          <w:tcPr>
            <w:tcW w:w="1440" w:type="dxa"/>
            <w:noWrap/>
            <w:hideMark/>
          </w:tcPr>
          <w:p w14:paraId="4A0B4893" w14:textId="77777777" w:rsidR="003A12BF" w:rsidRPr="003A12BF" w:rsidRDefault="003A12BF" w:rsidP="00F51716">
            <w:pPr>
              <w:pStyle w:val="Tabletext0"/>
            </w:pPr>
            <w:r w:rsidRPr="003A12BF">
              <w:t>$46,707.25</w:t>
            </w:r>
          </w:p>
        </w:tc>
      </w:tr>
      <w:tr w:rsidR="003A12BF" w:rsidRPr="003A12BF" w14:paraId="04BAC01B" w14:textId="77777777" w:rsidTr="002D4B7F">
        <w:trPr>
          <w:trHeight w:val="300"/>
        </w:trPr>
        <w:tc>
          <w:tcPr>
            <w:tcW w:w="2977" w:type="dxa"/>
            <w:noWrap/>
            <w:hideMark/>
          </w:tcPr>
          <w:p w14:paraId="531A21F8" w14:textId="77777777" w:rsidR="003A12BF" w:rsidRPr="003A12BF" w:rsidRDefault="003A12BF" w:rsidP="00F51716">
            <w:pPr>
              <w:pStyle w:val="Tabletext0"/>
            </w:pPr>
            <w:r w:rsidRPr="003A12BF">
              <w:t>Murrindindi Shire Council</w:t>
            </w:r>
          </w:p>
        </w:tc>
        <w:tc>
          <w:tcPr>
            <w:tcW w:w="4481" w:type="dxa"/>
            <w:noWrap/>
            <w:hideMark/>
          </w:tcPr>
          <w:p w14:paraId="2C961936" w14:textId="77777777" w:rsidR="003A12BF" w:rsidRPr="003A12BF" w:rsidRDefault="003A12BF" w:rsidP="00F51716">
            <w:pPr>
              <w:pStyle w:val="Tabletext0"/>
            </w:pPr>
            <w:r w:rsidRPr="003A12BF">
              <w:t>Building Energy Efficiency Retrofits and Solar PV Installation</w:t>
            </w:r>
          </w:p>
        </w:tc>
        <w:tc>
          <w:tcPr>
            <w:tcW w:w="1440" w:type="dxa"/>
            <w:noWrap/>
            <w:hideMark/>
          </w:tcPr>
          <w:p w14:paraId="1551F899" w14:textId="77777777" w:rsidR="003A12BF" w:rsidRPr="003A12BF" w:rsidRDefault="003A12BF" w:rsidP="00F51716">
            <w:pPr>
              <w:pStyle w:val="Tabletext0"/>
            </w:pPr>
            <w:r w:rsidRPr="003A12BF">
              <w:t>$10,000.00</w:t>
            </w:r>
          </w:p>
        </w:tc>
      </w:tr>
      <w:tr w:rsidR="003A12BF" w:rsidRPr="003A12BF" w14:paraId="1DA981A2" w14:textId="77777777" w:rsidTr="002D4B7F">
        <w:trPr>
          <w:trHeight w:val="300"/>
        </w:trPr>
        <w:tc>
          <w:tcPr>
            <w:tcW w:w="2977" w:type="dxa"/>
            <w:noWrap/>
            <w:hideMark/>
          </w:tcPr>
          <w:p w14:paraId="0B6879F8" w14:textId="77777777" w:rsidR="003A12BF" w:rsidRPr="003A12BF" w:rsidRDefault="003A12BF" w:rsidP="00F51716">
            <w:pPr>
              <w:pStyle w:val="Tabletext0"/>
            </w:pPr>
            <w:r w:rsidRPr="003A12BF">
              <w:t>Yarriambiack Shire Council</w:t>
            </w:r>
          </w:p>
        </w:tc>
        <w:tc>
          <w:tcPr>
            <w:tcW w:w="4481" w:type="dxa"/>
            <w:noWrap/>
            <w:hideMark/>
          </w:tcPr>
          <w:p w14:paraId="421BCE60" w14:textId="77777777" w:rsidR="003A12BF" w:rsidRPr="003A12BF" w:rsidRDefault="003A12BF" w:rsidP="00F51716">
            <w:pPr>
              <w:pStyle w:val="Tabletext0"/>
            </w:pPr>
            <w:r w:rsidRPr="003A12BF">
              <w:t>Yarriambiack LG Energy Saver Stream 3 Upgrades Stage 3</w:t>
            </w:r>
          </w:p>
        </w:tc>
        <w:tc>
          <w:tcPr>
            <w:tcW w:w="1440" w:type="dxa"/>
            <w:noWrap/>
            <w:hideMark/>
          </w:tcPr>
          <w:p w14:paraId="3FC903F4" w14:textId="77777777" w:rsidR="003A12BF" w:rsidRPr="003A12BF" w:rsidRDefault="003A12BF" w:rsidP="00F51716">
            <w:pPr>
              <w:pStyle w:val="Tabletext0"/>
            </w:pPr>
            <w:r w:rsidRPr="003A12BF">
              <w:t>$15,274.00</w:t>
            </w:r>
          </w:p>
        </w:tc>
      </w:tr>
      <w:tr w:rsidR="003A12BF" w:rsidRPr="003A12BF" w14:paraId="0CF12FDB" w14:textId="77777777" w:rsidTr="002D4B7F">
        <w:trPr>
          <w:trHeight w:val="300"/>
        </w:trPr>
        <w:tc>
          <w:tcPr>
            <w:tcW w:w="2977" w:type="dxa"/>
            <w:noWrap/>
            <w:hideMark/>
          </w:tcPr>
          <w:p w14:paraId="0ADEDD1A" w14:textId="77777777" w:rsidR="003A12BF" w:rsidRPr="003A12BF" w:rsidRDefault="003A12BF" w:rsidP="00F51716">
            <w:pPr>
              <w:pStyle w:val="Tabletext0"/>
            </w:pPr>
            <w:r w:rsidRPr="003A12BF">
              <w:t>Yarriambiack Shire Council</w:t>
            </w:r>
          </w:p>
        </w:tc>
        <w:tc>
          <w:tcPr>
            <w:tcW w:w="4481" w:type="dxa"/>
            <w:noWrap/>
            <w:hideMark/>
          </w:tcPr>
          <w:p w14:paraId="22D4D93B" w14:textId="77777777" w:rsidR="003A12BF" w:rsidRPr="003A12BF" w:rsidRDefault="003A12BF" w:rsidP="00F51716">
            <w:pPr>
              <w:pStyle w:val="Tabletext0"/>
            </w:pPr>
            <w:r w:rsidRPr="003A12BF">
              <w:t>Yarriambiack LG Energy Saver Stream 3 Upgrades Stage 3</w:t>
            </w:r>
          </w:p>
        </w:tc>
        <w:tc>
          <w:tcPr>
            <w:tcW w:w="1440" w:type="dxa"/>
            <w:noWrap/>
            <w:hideMark/>
          </w:tcPr>
          <w:p w14:paraId="5A9E7B68" w14:textId="77777777" w:rsidR="003A12BF" w:rsidRPr="003A12BF" w:rsidRDefault="003A12BF" w:rsidP="00F51716">
            <w:pPr>
              <w:pStyle w:val="Tabletext0"/>
            </w:pPr>
            <w:r w:rsidRPr="003A12BF">
              <w:t>$16,000.00</w:t>
            </w:r>
          </w:p>
        </w:tc>
      </w:tr>
      <w:tr w:rsidR="003A12BF" w:rsidRPr="003A12BF" w14:paraId="3461C660" w14:textId="77777777" w:rsidTr="002D4B7F">
        <w:trPr>
          <w:trHeight w:val="300"/>
        </w:trPr>
        <w:tc>
          <w:tcPr>
            <w:tcW w:w="2977" w:type="dxa"/>
            <w:noWrap/>
            <w:hideMark/>
          </w:tcPr>
          <w:p w14:paraId="1BC5ADB1" w14:textId="77777777" w:rsidR="003A12BF" w:rsidRPr="003A12BF" w:rsidRDefault="003A12BF" w:rsidP="00F51716">
            <w:pPr>
              <w:pStyle w:val="Tabletext0"/>
            </w:pPr>
            <w:r w:rsidRPr="003A12BF">
              <w:t>Strathbogie Shire Council</w:t>
            </w:r>
          </w:p>
        </w:tc>
        <w:tc>
          <w:tcPr>
            <w:tcW w:w="4481" w:type="dxa"/>
            <w:noWrap/>
            <w:hideMark/>
          </w:tcPr>
          <w:p w14:paraId="09A51D92" w14:textId="20C18097" w:rsidR="003A12BF" w:rsidRPr="003A12BF" w:rsidRDefault="003A12BF" w:rsidP="00F51716">
            <w:pPr>
              <w:pStyle w:val="Tabletext0"/>
            </w:pPr>
            <w:r w:rsidRPr="003A12BF">
              <w:t xml:space="preserve">LGES Stage 2 </w:t>
            </w:r>
            <w:r w:rsidR="00737453">
              <w:t>–</w:t>
            </w:r>
            <w:r w:rsidRPr="003A12BF">
              <w:t xml:space="preserve"> Strathbogie Corporate Greenhouse Implementation Program</w:t>
            </w:r>
          </w:p>
        </w:tc>
        <w:tc>
          <w:tcPr>
            <w:tcW w:w="1440" w:type="dxa"/>
            <w:noWrap/>
            <w:hideMark/>
          </w:tcPr>
          <w:p w14:paraId="1E6C1B58" w14:textId="77777777" w:rsidR="003A12BF" w:rsidRPr="003A12BF" w:rsidRDefault="003A12BF" w:rsidP="00F51716">
            <w:pPr>
              <w:pStyle w:val="Tabletext0"/>
            </w:pPr>
            <w:r w:rsidRPr="003A12BF">
              <w:t>$23,507.87</w:t>
            </w:r>
          </w:p>
        </w:tc>
      </w:tr>
      <w:tr w:rsidR="003A12BF" w:rsidRPr="003A12BF" w14:paraId="4D42A3EC" w14:textId="77777777" w:rsidTr="002D4B7F">
        <w:trPr>
          <w:trHeight w:val="300"/>
        </w:trPr>
        <w:tc>
          <w:tcPr>
            <w:tcW w:w="2977" w:type="dxa"/>
            <w:noWrap/>
            <w:hideMark/>
          </w:tcPr>
          <w:p w14:paraId="26042EB0" w14:textId="77777777" w:rsidR="003A12BF" w:rsidRPr="003A12BF" w:rsidRDefault="003A12BF" w:rsidP="00F51716">
            <w:pPr>
              <w:pStyle w:val="Tabletext0"/>
            </w:pPr>
            <w:r w:rsidRPr="003A12BF">
              <w:t>Strathbogie Shire Council</w:t>
            </w:r>
          </w:p>
        </w:tc>
        <w:tc>
          <w:tcPr>
            <w:tcW w:w="4481" w:type="dxa"/>
            <w:noWrap/>
            <w:hideMark/>
          </w:tcPr>
          <w:p w14:paraId="097FD94D" w14:textId="3A6ED84E" w:rsidR="003A12BF" w:rsidRPr="003A12BF" w:rsidRDefault="003A12BF" w:rsidP="00F51716">
            <w:pPr>
              <w:pStyle w:val="Tabletext0"/>
            </w:pPr>
            <w:r w:rsidRPr="003A12BF">
              <w:t xml:space="preserve">LGES Stage 2 </w:t>
            </w:r>
            <w:r w:rsidR="00737453">
              <w:t>–</w:t>
            </w:r>
            <w:r w:rsidRPr="003A12BF">
              <w:t xml:space="preserve"> Strathbogie Corporate Greenhouse Implementation Program</w:t>
            </w:r>
          </w:p>
        </w:tc>
        <w:tc>
          <w:tcPr>
            <w:tcW w:w="1440" w:type="dxa"/>
            <w:noWrap/>
            <w:hideMark/>
          </w:tcPr>
          <w:p w14:paraId="08C01DC4" w14:textId="77777777" w:rsidR="003A12BF" w:rsidRPr="003A12BF" w:rsidRDefault="003A12BF" w:rsidP="00F51716">
            <w:pPr>
              <w:pStyle w:val="Tabletext0"/>
            </w:pPr>
            <w:r w:rsidRPr="003A12BF">
              <w:t>$23,507.87</w:t>
            </w:r>
          </w:p>
        </w:tc>
      </w:tr>
      <w:tr w:rsidR="003A12BF" w:rsidRPr="003A12BF" w14:paraId="7634F457" w14:textId="77777777" w:rsidTr="002D4B7F">
        <w:trPr>
          <w:trHeight w:val="300"/>
        </w:trPr>
        <w:tc>
          <w:tcPr>
            <w:tcW w:w="2977" w:type="dxa"/>
            <w:noWrap/>
            <w:hideMark/>
          </w:tcPr>
          <w:p w14:paraId="109765A9" w14:textId="77777777" w:rsidR="003A12BF" w:rsidRPr="003A12BF" w:rsidRDefault="003A12BF" w:rsidP="00F51716">
            <w:pPr>
              <w:pStyle w:val="Tabletext0"/>
            </w:pPr>
            <w:r w:rsidRPr="003A12BF">
              <w:t>Strathbogie Shire Council</w:t>
            </w:r>
          </w:p>
        </w:tc>
        <w:tc>
          <w:tcPr>
            <w:tcW w:w="4481" w:type="dxa"/>
            <w:noWrap/>
            <w:hideMark/>
          </w:tcPr>
          <w:p w14:paraId="1B23BE77" w14:textId="496CEBB2" w:rsidR="003A12BF" w:rsidRPr="003A12BF" w:rsidRDefault="003A12BF" w:rsidP="00F51716">
            <w:pPr>
              <w:pStyle w:val="Tabletext0"/>
            </w:pPr>
            <w:r w:rsidRPr="003A12BF">
              <w:t xml:space="preserve">LGES Stage 2 </w:t>
            </w:r>
            <w:r w:rsidR="00737453">
              <w:t>–</w:t>
            </w:r>
            <w:r w:rsidRPr="003A12BF">
              <w:t xml:space="preserve"> Strathbogie Corporate Greenhouse Implementation Program</w:t>
            </w:r>
          </w:p>
        </w:tc>
        <w:tc>
          <w:tcPr>
            <w:tcW w:w="1440" w:type="dxa"/>
            <w:noWrap/>
            <w:hideMark/>
          </w:tcPr>
          <w:p w14:paraId="454EAC4E" w14:textId="77777777" w:rsidR="003A12BF" w:rsidRPr="003A12BF" w:rsidRDefault="003A12BF" w:rsidP="00F51716">
            <w:pPr>
              <w:pStyle w:val="Tabletext0"/>
            </w:pPr>
            <w:r w:rsidRPr="003A12BF">
              <w:t>$10,000.00</w:t>
            </w:r>
          </w:p>
        </w:tc>
      </w:tr>
      <w:tr w:rsidR="003A12BF" w:rsidRPr="003A12BF" w14:paraId="61B23A9D" w14:textId="77777777" w:rsidTr="002D4B7F">
        <w:trPr>
          <w:trHeight w:val="300"/>
        </w:trPr>
        <w:tc>
          <w:tcPr>
            <w:tcW w:w="2977" w:type="dxa"/>
            <w:noWrap/>
            <w:hideMark/>
          </w:tcPr>
          <w:p w14:paraId="688E9CCC" w14:textId="77777777" w:rsidR="003A12BF" w:rsidRPr="003A12BF" w:rsidRDefault="003A12BF" w:rsidP="00F51716">
            <w:pPr>
              <w:pStyle w:val="Tabletext0"/>
            </w:pPr>
            <w:r w:rsidRPr="003A12BF">
              <w:t>Swan Hill Rural City Council</w:t>
            </w:r>
          </w:p>
        </w:tc>
        <w:tc>
          <w:tcPr>
            <w:tcW w:w="4481" w:type="dxa"/>
            <w:noWrap/>
            <w:hideMark/>
          </w:tcPr>
          <w:p w14:paraId="42222D3A" w14:textId="77777777" w:rsidR="003A12BF" w:rsidRPr="003A12BF" w:rsidRDefault="003A12BF" w:rsidP="00F51716">
            <w:pPr>
              <w:pStyle w:val="Tabletext0"/>
            </w:pPr>
            <w:r w:rsidRPr="003A12BF">
              <w:t>Swan Hill Local Government Energy Saver Facilities Upgrade</w:t>
            </w:r>
          </w:p>
        </w:tc>
        <w:tc>
          <w:tcPr>
            <w:tcW w:w="1440" w:type="dxa"/>
            <w:noWrap/>
            <w:hideMark/>
          </w:tcPr>
          <w:p w14:paraId="342DF239" w14:textId="77777777" w:rsidR="003A12BF" w:rsidRPr="003A12BF" w:rsidRDefault="003A12BF" w:rsidP="00F51716">
            <w:pPr>
              <w:pStyle w:val="Tabletext0"/>
            </w:pPr>
            <w:r w:rsidRPr="003A12BF">
              <w:t>$39,125.00</w:t>
            </w:r>
          </w:p>
        </w:tc>
      </w:tr>
      <w:tr w:rsidR="003A12BF" w:rsidRPr="003A12BF" w14:paraId="74E0FAFD" w14:textId="77777777" w:rsidTr="002D4B7F">
        <w:trPr>
          <w:trHeight w:val="300"/>
        </w:trPr>
        <w:tc>
          <w:tcPr>
            <w:tcW w:w="2977" w:type="dxa"/>
            <w:noWrap/>
            <w:hideMark/>
          </w:tcPr>
          <w:p w14:paraId="0D7F84EF" w14:textId="77777777" w:rsidR="003A12BF" w:rsidRPr="003A12BF" w:rsidRDefault="003A12BF" w:rsidP="00F51716">
            <w:pPr>
              <w:pStyle w:val="Tabletext0"/>
            </w:pPr>
            <w:r w:rsidRPr="003A12BF">
              <w:t>Swan Hill Rural City Council</w:t>
            </w:r>
          </w:p>
        </w:tc>
        <w:tc>
          <w:tcPr>
            <w:tcW w:w="4481" w:type="dxa"/>
            <w:noWrap/>
            <w:hideMark/>
          </w:tcPr>
          <w:p w14:paraId="701B8DE0" w14:textId="77777777" w:rsidR="003A12BF" w:rsidRPr="003A12BF" w:rsidRDefault="003A12BF" w:rsidP="00F51716">
            <w:pPr>
              <w:pStyle w:val="Tabletext0"/>
            </w:pPr>
            <w:r w:rsidRPr="003A12BF">
              <w:t>Swan Hill Local Government Energy Saver Facilities Upgrade</w:t>
            </w:r>
          </w:p>
        </w:tc>
        <w:tc>
          <w:tcPr>
            <w:tcW w:w="1440" w:type="dxa"/>
            <w:noWrap/>
            <w:hideMark/>
          </w:tcPr>
          <w:p w14:paraId="6C1ECE65" w14:textId="77777777" w:rsidR="003A12BF" w:rsidRPr="003A12BF" w:rsidRDefault="003A12BF" w:rsidP="00F51716">
            <w:pPr>
              <w:pStyle w:val="Tabletext0"/>
            </w:pPr>
            <w:r w:rsidRPr="003A12BF">
              <w:t>$10,000.00</w:t>
            </w:r>
          </w:p>
        </w:tc>
      </w:tr>
      <w:tr w:rsidR="003A12BF" w:rsidRPr="003A12BF" w14:paraId="4270CD07" w14:textId="77777777" w:rsidTr="002D4B7F">
        <w:trPr>
          <w:trHeight w:val="300"/>
        </w:trPr>
        <w:tc>
          <w:tcPr>
            <w:tcW w:w="2977" w:type="dxa"/>
            <w:noWrap/>
            <w:hideMark/>
          </w:tcPr>
          <w:p w14:paraId="7609B750" w14:textId="77777777" w:rsidR="003A12BF" w:rsidRPr="003A12BF" w:rsidRDefault="003A12BF" w:rsidP="00F51716">
            <w:pPr>
              <w:pStyle w:val="Tabletext0"/>
            </w:pPr>
            <w:r w:rsidRPr="003A12BF">
              <w:t>Swan Hill Rural City Council</w:t>
            </w:r>
          </w:p>
        </w:tc>
        <w:tc>
          <w:tcPr>
            <w:tcW w:w="4481" w:type="dxa"/>
            <w:noWrap/>
            <w:hideMark/>
          </w:tcPr>
          <w:p w14:paraId="6DCA7E8E" w14:textId="77777777" w:rsidR="003A12BF" w:rsidRPr="003A12BF" w:rsidRDefault="003A12BF" w:rsidP="00F51716">
            <w:pPr>
              <w:pStyle w:val="Tabletext0"/>
            </w:pPr>
            <w:r w:rsidRPr="003A12BF">
              <w:t>Swan Hill Local Government Energy Saver Facilities Upgrade</w:t>
            </w:r>
          </w:p>
        </w:tc>
        <w:tc>
          <w:tcPr>
            <w:tcW w:w="1440" w:type="dxa"/>
            <w:noWrap/>
            <w:hideMark/>
          </w:tcPr>
          <w:p w14:paraId="0C660F97" w14:textId="77777777" w:rsidR="003A12BF" w:rsidRPr="003A12BF" w:rsidRDefault="003A12BF" w:rsidP="00F51716">
            <w:pPr>
              <w:pStyle w:val="Tabletext0"/>
            </w:pPr>
            <w:r w:rsidRPr="003A12BF">
              <w:t>$39,125.00</w:t>
            </w:r>
          </w:p>
        </w:tc>
      </w:tr>
      <w:tr w:rsidR="003A12BF" w:rsidRPr="003A12BF" w14:paraId="437D0E02" w14:textId="77777777" w:rsidTr="002D4B7F">
        <w:trPr>
          <w:trHeight w:val="300"/>
        </w:trPr>
        <w:tc>
          <w:tcPr>
            <w:tcW w:w="2977" w:type="dxa"/>
            <w:noWrap/>
            <w:hideMark/>
          </w:tcPr>
          <w:p w14:paraId="7C764FB8" w14:textId="77777777" w:rsidR="003A12BF" w:rsidRPr="003A12BF" w:rsidRDefault="003A12BF" w:rsidP="00F51716">
            <w:pPr>
              <w:pStyle w:val="Tabletext0"/>
            </w:pPr>
            <w:r w:rsidRPr="003A12BF">
              <w:t>Towong Shire Council</w:t>
            </w:r>
          </w:p>
        </w:tc>
        <w:tc>
          <w:tcPr>
            <w:tcW w:w="4481" w:type="dxa"/>
            <w:noWrap/>
            <w:hideMark/>
          </w:tcPr>
          <w:p w14:paraId="61DD3F4D" w14:textId="66C9C3EC" w:rsidR="003A12BF" w:rsidRPr="003A12BF" w:rsidRDefault="003A12BF" w:rsidP="00F51716">
            <w:pPr>
              <w:pStyle w:val="Tabletext0"/>
            </w:pPr>
            <w:r w:rsidRPr="003A12BF">
              <w:t xml:space="preserve">Towong Energy Saver </w:t>
            </w:r>
            <w:r w:rsidR="005D5DBE">
              <w:t>2019–20</w:t>
            </w:r>
          </w:p>
        </w:tc>
        <w:tc>
          <w:tcPr>
            <w:tcW w:w="1440" w:type="dxa"/>
            <w:noWrap/>
            <w:hideMark/>
          </w:tcPr>
          <w:p w14:paraId="7FD257BE" w14:textId="77777777" w:rsidR="003A12BF" w:rsidRPr="003A12BF" w:rsidRDefault="003A12BF" w:rsidP="00F51716">
            <w:pPr>
              <w:pStyle w:val="Tabletext0"/>
            </w:pPr>
            <w:r w:rsidRPr="003A12BF">
              <w:t>$33,482.62</w:t>
            </w:r>
          </w:p>
        </w:tc>
      </w:tr>
      <w:tr w:rsidR="003A12BF" w:rsidRPr="003A12BF" w14:paraId="7AAF546B" w14:textId="77777777" w:rsidTr="002D4B7F">
        <w:trPr>
          <w:trHeight w:val="300"/>
        </w:trPr>
        <w:tc>
          <w:tcPr>
            <w:tcW w:w="2977" w:type="dxa"/>
            <w:noWrap/>
            <w:hideMark/>
          </w:tcPr>
          <w:p w14:paraId="2F8F317A" w14:textId="77777777" w:rsidR="003A12BF" w:rsidRPr="003A12BF" w:rsidRDefault="003A12BF" w:rsidP="00F51716">
            <w:pPr>
              <w:pStyle w:val="Tabletext0"/>
            </w:pPr>
            <w:r w:rsidRPr="003A12BF">
              <w:t>Towong Shire Council</w:t>
            </w:r>
          </w:p>
        </w:tc>
        <w:tc>
          <w:tcPr>
            <w:tcW w:w="4481" w:type="dxa"/>
            <w:noWrap/>
            <w:hideMark/>
          </w:tcPr>
          <w:p w14:paraId="2369EB7D" w14:textId="4FE34D81" w:rsidR="003A12BF" w:rsidRPr="003A12BF" w:rsidRDefault="003A12BF" w:rsidP="00F51716">
            <w:pPr>
              <w:pStyle w:val="Tabletext0"/>
            </w:pPr>
            <w:r w:rsidRPr="003A12BF">
              <w:t xml:space="preserve">Towong Energy Saver </w:t>
            </w:r>
            <w:r w:rsidR="005D5DBE">
              <w:t>2019–20</w:t>
            </w:r>
          </w:p>
        </w:tc>
        <w:tc>
          <w:tcPr>
            <w:tcW w:w="1440" w:type="dxa"/>
            <w:noWrap/>
            <w:hideMark/>
          </w:tcPr>
          <w:p w14:paraId="317BEFE8" w14:textId="77777777" w:rsidR="003A12BF" w:rsidRPr="003A12BF" w:rsidRDefault="003A12BF" w:rsidP="00F51716">
            <w:pPr>
              <w:pStyle w:val="Tabletext0"/>
            </w:pPr>
            <w:r w:rsidRPr="003A12BF">
              <w:t>$10,000.00</w:t>
            </w:r>
          </w:p>
        </w:tc>
      </w:tr>
      <w:tr w:rsidR="003A12BF" w:rsidRPr="003A12BF" w14:paraId="7F175591" w14:textId="77777777" w:rsidTr="002D4B7F">
        <w:trPr>
          <w:trHeight w:val="300"/>
        </w:trPr>
        <w:tc>
          <w:tcPr>
            <w:tcW w:w="2977" w:type="dxa"/>
            <w:noWrap/>
            <w:hideMark/>
          </w:tcPr>
          <w:p w14:paraId="33469577" w14:textId="77777777" w:rsidR="003A12BF" w:rsidRPr="003A12BF" w:rsidRDefault="003A12BF" w:rsidP="00F51716">
            <w:pPr>
              <w:pStyle w:val="Tabletext0"/>
            </w:pPr>
            <w:r w:rsidRPr="003A12BF">
              <w:t>Towong Shire Council</w:t>
            </w:r>
          </w:p>
        </w:tc>
        <w:tc>
          <w:tcPr>
            <w:tcW w:w="4481" w:type="dxa"/>
            <w:noWrap/>
            <w:hideMark/>
          </w:tcPr>
          <w:p w14:paraId="35E0D52A" w14:textId="3C023346" w:rsidR="003A12BF" w:rsidRPr="003A12BF" w:rsidRDefault="003A12BF" w:rsidP="00F51716">
            <w:pPr>
              <w:pStyle w:val="Tabletext0"/>
            </w:pPr>
            <w:r w:rsidRPr="003A12BF">
              <w:t xml:space="preserve">Towong Energy Saver </w:t>
            </w:r>
            <w:r w:rsidR="005D5DBE">
              <w:t>2019–20</w:t>
            </w:r>
          </w:p>
        </w:tc>
        <w:tc>
          <w:tcPr>
            <w:tcW w:w="1440" w:type="dxa"/>
            <w:noWrap/>
            <w:hideMark/>
          </w:tcPr>
          <w:p w14:paraId="0D5E8B6C" w14:textId="77777777" w:rsidR="003A12BF" w:rsidRPr="003A12BF" w:rsidRDefault="003A12BF" w:rsidP="00F51716">
            <w:pPr>
              <w:pStyle w:val="Tabletext0"/>
            </w:pPr>
            <w:r w:rsidRPr="003A12BF">
              <w:t>$33,482.62</w:t>
            </w:r>
          </w:p>
        </w:tc>
      </w:tr>
      <w:tr w:rsidR="003A12BF" w:rsidRPr="003A12BF" w14:paraId="3AB30482" w14:textId="77777777" w:rsidTr="002D4B7F">
        <w:trPr>
          <w:trHeight w:val="300"/>
        </w:trPr>
        <w:tc>
          <w:tcPr>
            <w:tcW w:w="2977" w:type="dxa"/>
            <w:noWrap/>
            <w:hideMark/>
          </w:tcPr>
          <w:p w14:paraId="3D3AA9BE" w14:textId="77777777" w:rsidR="003A12BF" w:rsidRPr="003A12BF" w:rsidRDefault="003A12BF" w:rsidP="00F51716">
            <w:pPr>
              <w:pStyle w:val="Tabletext0"/>
            </w:pPr>
            <w:r w:rsidRPr="003A12BF">
              <w:t>Bass Coast Shire Council</w:t>
            </w:r>
          </w:p>
        </w:tc>
        <w:tc>
          <w:tcPr>
            <w:tcW w:w="4481" w:type="dxa"/>
            <w:noWrap/>
            <w:hideMark/>
          </w:tcPr>
          <w:p w14:paraId="0E8EA07D" w14:textId="77777777" w:rsidR="003A12BF" w:rsidRPr="003A12BF" w:rsidRDefault="003A12BF" w:rsidP="00F51716">
            <w:pPr>
              <w:pStyle w:val="Tabletext0"/>
            </w:pPr>
            <w:r w:rsidRPr="003A12BF">
              <w:t>Bass Coast 2019/20 Solar Program</w:t>
            </w:r>
          </w:p>
        </w:tc>
        <w:tc>
          <w:tcPr>
            <w:tcW w:w="1440" w:type="dxa"/>
            <w:noWrap/>
            <w:hideMark/>
          </w:tcPr>
          <w:p w14:paraId="10AF934F" w14:textId="77777777" w:rsidR="003A12BF" w:rsidRPr="003A12BF" w:rsidRDefault="003A12BF" w:rsidP="00F51716">
            <w:pPr>
              <w:pStyle w:val="Tabletext0"/>
            </w:pPr>
            <w:r w:rsidRPr="003A12BF">
              <w:t>$16,592.50</w:t>
            </w:r>
          </w:p>
        </w:tc>
      </w:tr>
      <w:tr w:rsidR="003A12BF" w:rsidRPr="003A12BF" w14:paraId="2DAD682D" w14:textId="77777777" w:rsidTr="002D4B7F">
        <w:trPr>
          <w:trHeight w:val="300"/>
        </w:trPr>
        <w:tc>
          <w:tcPr>
            <w:tcW w:w="2977" w:type="dxa"/>
            <w:noWrap/>
            <w:hideMark/>
          </w:tcPr>
          <w:p w14:paraId="00C0BBA8" w14:textId="77777777" w:rsidR="003A12BF" w:rsidRPr="003A12BF" w:rsidRDefault="003A12BF" w:rsidP="00F51716">
            <w:pPr>
              <w:pStyle w:val="Tabletext0"/>
            </w:pPr>
            <w:r w:rsidRPr="003A12BF">
              <w:t>Bass Coast Shire Council</w:t>
            </w:r>
          </w:p>
        </w:tc>
        <w:tc>
          <w:tcPr>
            <w:tcW w:w="4481" w:type="dxa"/>
            <w:noWrap/>
            <w:hideMark/>
          </w:tcPr>
          <w:p w14:paraId="7CEBD9FE" w14:textId="77777777" w:rsidR="003A12BF" w:rsidRPr="003A12BF" w:rsidRDefault="003A12BF" w:rsidP="00F51716">
            <w:pPr>
              <w:pStyle w:val="Tabletext0"/>
            </w:pPr>
            <w:r w:rsidRPr="003A12BF">
              <w:t>Bass Coast 2019/20 Solar Program</w:t>
            </w:r>
          </w:p>
        </w:tc>
        <w:tc>
          <w:tcPr>
            <w:tcW w:w="1440" w:type="dxa"/>
            <w:noWrap/>
            <w:hideMark/>
          </w:tcPr>
          <w:p w14:paraId="7F16EDCA" w14:textId="77777777" w:rsidR="003A12BF" w:rsidRPr="003A12BF" w:rsidRDefault="003A12BF" w:rsidP="00F51716">
            <w:pPr>
              <w:pStyle w:val="Tabletext0"/>
            </w:pPr>
            <w:r w:rsidRPr="003A12BF">
              <w:t>$10,000.00</w:t>
            </w:r>
          </w:p>
        </w:tc>
      </w:tr>
      <w:tr w:rsidR="003A12BF" w:rsidRPr="003A12BF" w14:paraId="2D6AA056" w14:textId="77777777" w:rsidTr="002D4B7F">
        <w:trPr>
          <w:trHeight w:val="300"/>
        </w:trPr>
        <w:tc>
          <w:tcPr>
            <w:tcW w:w="2977" w:type="dxa"/>
            <w:noWrap/>
            <w:hideMark/>
          </w:tcPr>
          <w:p w14:paraId="708261AF" w14:textId="77777777" w:rsidR="003A12BF" w:rsidRPr="003A12BF" w:rsidRDefault="003A12BF" w:rsidP="00F51716">
            <w:pPr>
              <w:pStyle w:val="Tabletext0"/>
            </w:pPr>
            <w:r w:rsidRPr="003A12BF">
              <w:t>Bass Coast Shire Council</w:t>
            </w:r>
          </w:p>
        </w:tc>
        <w:tc>
          <w:tcPr>
            <w:tcW w:w="4481" w:type="dxa"/>
            <w:noWrap/>
            <w:hideMark/>
          </w:tcPr>
          <w:p w14:paraId="54EA6086" w14:textId="77777777" w:rsidR="003A12BF" w:rsidRPr="003A12BF" w:rsidRDefault="003A12BF" w:rsidP="00F51716">
            <w:pPr>
              <w:pStyle w:val="Tabletext0"/>
            </w:pPr>
            <w:r w:rsidRPr="003A12BF">
              <w:t>Bass Coast 2019/20 Solar Program</w:t>
            </w:r>
          </w:p>
        </w:tc>
        <w:tc>
          <w:tcPr>
            <w:tcW w:w="1440" w:type="dxa"/>
            <w:noWrap/>
            <w:hideMark/>
          </w:tcPr>
          <w:p w14:paraId="3E85C886" w14:textId="77777777" w:rsidR="003A12BF" w:rsidRPr="003A12BF" w:rsidRDefault="003A12BF" w:rsidP="00F51716">
            <w:pPr>
              <w:pStyle w:val="Tabletext0"/>
            </w:pPr>
            <w:r w:rsidRPr="003A12BF">
              <w:t>$15,084.09</w:t>
            </w:r>
          </w:p>
        </w:tc>
      </w:tr>
      <w:tr w:rsidR="003A12BF" w:rsidRPr="003A12BF" w14:paraId="0656E99F" w14:textId="77777777" w:rsidTr="002D4B7F">
        <w:trPr>
          <w:trHeight w:val="300"/>
        </w:trPr>
        <w:tc>
          <w:tcPr>
            <w:tcW w:w="2977" w:type="dxa"/>
            <w:noWrap/>
            <w:hideMark/>
          </w:tcPr>
          <w:p w14:paraId="6E95CD0B" w14:textId="77777777" w:rsidR="003A12BF" w:rsidRPr="003A12BF" w:rsidRDefault="003A12BF" w:rsidP="00F51716">
            <w:pPr>
              <w:pStyle w:val="Tabletext0"/>
            </w:pPr>
            <w:r w:rsidRPr="003A12BF">
              <w:t>Glenelg Shire Council</w:t>
            </w:r>
          </w:p>
        </w:tc>
        <w:tc>
          <w:tcPr>
            <w:tcW w:w="4481" w:type="dxa"/>
            <w:noWrap/>
            <w:hideMark/>
          </w:tcPr>
          <w:p w14:paraId="03E81BFB" w14:textId="77777777" w:rsidR="003A12BF" w:rsidRPr="003A12BF" w:rsidRDefault="003A12BF" w:rsidP="00F51716">
            <w:pPr>
              <w:pStyle w:val="Tabletext0"/>
            </w:pPr>
            <w:r w:rsidRPr="003A12BF">
              <w:t>Glenelg LGES installation of BMS</w:t>
            </w:r>
          </w:p>
        </w:tc>
        <w:tc>
          <w:tcPr>
            <w:tcW w:w="1440" w:type="dxa"/>
            <w:noWrap/>
            <w:hideMark/>
          </w:tcPr>
          <w:p w14:paraId="7A861EC2" w14:textId="77777777" w:rsidR="003A12BF" w:rsidRPr="003A12BF" w:rsidRDefault="003A12BF" w:rsidP="00F51716">
            <w:pPr>
              <w:pStyle w:val="Tabletext0"/>
            </w:pPr>
            <w:r w:rsidRPr="003A12BF">
              <w:t>$42,421.50</w:t>
            </w:r>
          </w:p>
        </w:tc>
      </w:tr>
      <w:tr w:rsidR="003A12BF" w:rsidRPr="003A12BF" w14:paraId="5A72DDFD" w14:textId="77777777" w:rsidTr="002D4B7F">
        <w:trPr>
          <w:trHeight w:val="300"/>
        </w:trPr>
        <w:tc>
          <w:tcPr>
            <w:tcW w:w="2977" w:type="dxa"/>
            <w:noWrap/>
            <w:hideMark/>
          </w:tcPr>
          <w:p w14:paraId="4F4D3707" w14:textId="77777777" w:rsidR="003A12BF" w:rsidRPr="003A12BF" w:rsidRDefault="003A12BF" w:rsidP="00F51716">
            <w:pPr>
              <w:pStyle w:val="Tabletext0"/>
            </w:pPr>
            <w:r w:rsidRPr="003A12BF">
              <w:t>Glenelg Shire Council</w:t>
            </w:r>
          </w:p>
        </w:tc>
        <w:tc>
          <w:tcPr>
            <w:tcW w:w="4481" w:type="dxa"/>
            <w:noWrap/>
            <w:hideMark/>
          </w:tcPr>
          <w:p w14:paraId="6044DF35" w14:textId="77777777" w:rsidR="003A12BF" w:rsidRPr="003A12BF" w:rsidRDefault="003A12BF" w:rsidP="00F51716">
            <w:pPr>
              <w:pStyle w:val="Tabletext0"/>
            </w:pPr>
            <w:r w:rsidRPr="003A12BF">
              <w:t>Glenelg LGES installation of BMS</w:t>
            </w:r>
          </w:p>
        </w:tc>
        <w:tc>
          <w:tcPr>
            <w:tcW w:w="1440" w:type="dxa"/>
            <w:noWrap/>
            <w:hideMark/>
          </w:tcPr>
          <w:p w14:paraId="4D33E206" w14:textId="77777777" w:rsidR="003A12BF" w:rsidRPr="003A12BF" w:rsidRDefault="003A12BF" w:rsidP="00F51716">
            <w:pPr>
              <w:pStyle w:val="Tabletext0"/>
            </w:pPr>
            <w:r w:rsidRPr="003A12BF">
              <w:t>$10,000.00</w:t>
            </w:r>
          </w:p>
        </w:tc>
      </w:tr>
      <w:tr w:rsidR="003A12BF" w:rsidRPr="003A12BF" w14:paraId="483CE656" w14:textId="77777777" w:rsidTr="002D4B7F">
        <w:trPr>
          <w:trHeight w:val="300"/>
        </w:trPr>
        <w:tc>
          <w:tcPr>
            <w:tcW w:w="2977" w:type="dxa"/>
            <w:noWrap/>
            <w:hideMark/>
          </w:tcPr>
          <w:p w14:paraId="03BB1CA3" w14:textId="77777777" w:rsidR="003A12BF" w:rsidRPr="003A12BF" w:rsidRDefault="003A12BF" w:rsidP="00F51716">
            <w:pPr>
              <w:pStyle w:val="Tabletext0"/>
            </w:pPr>
            <w:r w:rsidRPr="003A12BF">
              <w:t>Glenelg Shire Council</w:t>
            </w:r>
          </w:p>
        </w:tc>
        <w:tc>
          <w:tcPr>
            <w:tcW w:w="4481" w:type="dxa"/>
            <w:noWrap/>
            <w:hideMark/>
          </w:tcPr>
          <w:p w14:paraId="3C465801" w14:textId="77777777" w:rsidR="003A12BF" w:rsidRPr="003A12BF" w:rsidRDefault="003A12BF" w:rsidP="00F51716">
            <w:pPr>
              <w:pStyle w:val="Tabletext0"/>
            </w:pPr>
            <w:r w:rsidRPr="003A12BF">
              <w:t>Glenelg LGES installation of BMS</w:t>
            </w:r>
          </w:p>
        </w:tc>
        <w:tc>
          <w:tcPr>
            <w:tcW w:w="1440" w:type="dxa"/>
            <w:noWrap/>
            <w:hideMark/>
          </w:tcPr>
          <w:p w14:paraId="71AB0071" w14:textId="77777777" w:rsidR="003A12BF" w:rsidRPr="003A12BF" w:rsidRDefault="003A12BF" w:rsidP="00F51716">
            <w:pPr>
              <w:pStyle w:val="Tabletext0"/>
            </w:pPr>
            <w:r w:rsidRPr="003A12BF">
              <w:t>$42,241.50</w:t>
            </w:r>
          </w:p>
        </w:tc>
      </w:tr>
      <w:tr w:rsidR="003A12BF" w:rsidRPr="003A12BF" w14:paraId="2A32ACDB" w14:textId="77777777" w:rsidTr="002D4B7F">
        <w:trPr>
          <w:trHeight w:val="300"/>
        </w:trPr>
        <w:tc>
          <w:tcPr>
            <w:tcW w:w="2977" w:type="dxa"/>
            <w:noWrap/>
            <w:hideMark/>
          </w:tcPr>
          <w:p w14:paraId="635D51AC" w14:textId="77777777" w:rsidR="003A12BF" w:rsidRPr="003A12BF" w:rsidRDefault="003A12BF" w:rsidP="00F51716">
            <w:pPr>
              <w:pStyle w:val="Tabletext0"/>
            </w:pPr>
            <w:r w:rsidRPr="003A12BF">
              <w:t>Pyrenees Shire Council</w:t>
            </w:r>
          </w:p>
        </w:tc>
        <w:tc>
          <w:tcPr>
            <w:tcW w:w="4481" w:type="dxa"/>
            <w:noWrap/>
            <w:hideMark/>
          </w:tcPr>
          <w:p w14:paraId="0E132AEC" w14:textId="77777777" w:rsidR="003A12BF" w:rsidRPr="003A12BF" w:rsidRDefault="003A12BF" w:rsidP="00F51716">
            <w:pPr>
              <w:pStyle w:val="Tabletext0"/>
            </w:pPr>
            <w:r w:rsidRPr="003A12BF">
              <w:t>Pyrenees Shire LGES Stream 3 Facility Upgrades</w:t>
            </w:r>
          </w:p>
        </w:tc>
        <w:tc>
          <w:tcPr>
            <w:tcW w:w="1440" w:type="dxa"/>
            <w:noWrap/>
            <w:hideMark/>
          </w:tcPr>
          <w:p w14:paraId="106267BE" w14:textId="77777777" w:rsidR="003A12BF" w:rsidRPr="003A12BF" w:rsidRDefault="003A12BF" w:rsidP="00F51716">
            <w:pPr>
              <w:pStyle w:val="Tabletext0"/>
            </w:pPr>
            <w:r w:rsidRPr="003A12BF">
              <w:t>$50,000.00</w:t>
            </w:r>
          </w:p>
        </w:tc>
      </w:tr>
      <w:tr w:rsidR="003A12BF" w:rsidRPr="003A12BF" w14:paraId="7FAC0219" w14:textId="77777777" w:rsidTr="002D4B7F">
        <w:trPr>
          <w:trHeight w:val="300"/>
        </w:trPr>
        <w:tc>
          <w:tcPr>
            <w:tcW w:w="2977" w:type="dxa"/>
            <w:noWrap/>
            <w:hideMark/>
          </w:tcPr>
          <w:p w14:paraId="751E1650" w14:textId="77777777" w:rsidR="003A12BF" w:rsidRPr="003A12BF" w:rsidRDefault="003A12BF" w:rsidP="00F51716">
            <w:pPr>
              <w:pStyle w:val="Tabletext0"/>
            </w:pPr>
            <w:r w:rsidRPr="003A12BF">
              <w:t>Pyrenees Shire Council</w:t>
            </w:r>
          </w:p>
        </w:tc>
        <w:tc>
          <w:tcPr>
            <w:tcW w:w="4481" w:type="dxa"/>
            <w:noWrap/>
            <w:hideMark/>
          </w:tcPr>
          <w:p w14:paraId="1E4AE337" w14:textId="77777777" w:rsidR="003A12BF" w:rsidRPr="003A12BF" w:rsidRDefault="003A12BF" w:rsidP="00F51716">
            <w:pPr>
              <w:pStyle w:val="Tabletext0"/>
            </w:pPr>
            <w:r w:rsidRPr="003A12BF">
              <w:t>Pyrenees Shire LGES Stream 3 Facility Upgrades</w:t>
            </w:r>
          </w:p>
        </w:tc>
        <w:tc>
          <w:tcPr>
            <w:tcW w:w="1440" w:type="dxa"/>
            <w:noWrap/>
            <w:hideMark/>
          </w:tcPr>
          <w:p w14:paraId="39FB7B0A" w14:textId="77777777" w:rsidR="003A12BF" w:rsidRPr="003A12BF" w:rsidRDefault="003A12BF" w:rsidP="00F51716">
            <w:pPr>
              <w:pStyle w:val="Tabletext0"/>
            </w:pPr>
            <w:r w:rsidRPr="003A12BF">
              <w:t>$52,340.00</w:t>
            </w:r>
          </w:p>
        </w:tc>
      </w:tr>
      <w:tr w:rsidR="003A12BF" w:rsidRPr="003A12BF" w14:paraId="71AED002" w14:textId="77777777" w:rsidTr="002D4B7F">
        <w:trPr>
          <w:trHeight w:val="300"/>
        </w:trPr>
        <w:tc>
          <w:tcPr>
            <w:tcW w:w="2977" w:type="dxa"/>
            <w:noWrap/>
            <w:hideMark/>
          </w:tcPr>
          <w:p w14:paraId="04D986A0" w14:textId="77777777" w:rsidR="003A12BF" w:rsidRPr="003A12BF" w:rsidRDefault="003A12BF" w:rsidP="00F51716">
            <w:pPr>
              <w:pStyle w:val="Tabletext0"/>
            </w:pPr>
            <w:r w:rsidRPr="003A12BF">
              <w:t>Pyrenees Shire Council</w:t>
            </w:r>
          </w:p>
        </w:tc>
        <w:tc>
          <w:tcPr>
            <w:tcW w:w="4481" w:type="dxa"/>
            <w:noWrap/>
            <w:hideMark/>
          </w:tcPr>
          <w:p w14:paraId="280E6040" w14:textId="77777777" w:rsidR="003A12BF" w:rsidRPr="003A12BF" w:rsidRDefault="003A12BF" w:rsidP="00F51716">
            <w:pPr>
              <w:pStyle w:val="Tabletext0"/>
            </w:pPr>
            <w:r w:rsidRPr="003A12BF">
              <w:t>Pyrenees Shire LGES Stream 3 Facility Upgrades</w:t>
            </w:r>
          </w:p>
        </w:tc>
        <w:tc>
          <w:tcPr>
            <w:tcW w:w="1440" w:type="dxa"/>
            <w:noWrap/>
            <w:hideMark/>
          </w:tcPr>
          <w:p w14:paraId="4A8F2C99" w14:textId="77777777" w:rsidR="003A12BF" w:rsidRPr="003A12BF" w:rsidRDefault="003A12BF" w:rsidP="00F51716">
            <w:pPr>
              <w:pStyle w:val="Tabletext0"/>
            </w:pPr>
            <w:r w:rsidRPr="003A12BF">
              <w:t>$10,000.00</w:t>
            </w:r>
          </w:p>
        </w:tc>
      </w:tr>
      <w:tr w:rsidR="003A12BF" w:rsidRPr="003A12BF" w14:paraId="3A3C77A5" w14:textId="77777777" w:rsidTr="002D4B7F">
        <w:trPr>
          <w:trHeight w:val="300"/>
        </w:trPr>
        <w:tc>
          <w:tcPr>
            <w:tcW w:w="2977" w:type="dxa"/>
            <w:noWrap/>
            <w:hideMark/>
          </w:tcPr>
          <w:p w14:paraId="5A6EC22E" w14:textId="77777777" w:rsidR="003A12BF" w:rsidRPr="003A12BF" w:rsidRDefault="003A12BF" w:rsidP="00F51716">
            <w:pPr>
              <w:pStyle w:val="Tabletext0"/>
            </w:pPr>
            <w:r w:rsidRPr="003A12BF">
              <w:t>Ararat Rural City Council</w:t>
            </w:r>
          </w:p>
        </w:tc>
        <w:tc>
          <w:tcPr>
            <w:tcW w:w="4481" w:type="dxa"/>
            <w:noWrap/>
            <w:hideMark/>
          </w:tcPr>
          <w:p w14:paraId="661C3673" w14:textId="77777777" w:rsidR="003A12BF" w:rsidRPr="003A12BF" w:rsidRDefault="003A12BF" w:rsidP="00F51716">
            <w:pPr>
              <w:pStyle w:val="Tabletext0"/>
            </w:pPr>
            <w:r w:rsidRPr="003A12BF">
              <w:t>Ararat Rural City LGES Stream 3 Facility Upgrades</w:t>
            </w:r>
          </w:p>
        </w:tc>
        <w:tc>
          <w:tcPr>
            <w:tcW w:w="1440" w:type="dxa"/>
            <w:noWrap/>
            <w:hideMark/>
          </w:tcPr>
          <w:p w14:paraId="6361CE84" w14:textId="77777777" w:rsidR="003A12BF" w:rsidRPr="003A12BF" w:rsidRDefault="003A12BF" w:rsidP="00F51716">
            <w:pPr>
              <w:pStyle w:val="Tabletext0"/>
            </w:pPr>
            <w:r w:rsidRPr="003A12BF">
              <w:t>$50,000.00</w:t>
            </w:r>
          </w:p>
        </w:tc>
      </w:tr>
      <w:tr w:rsidR="003A12BF" w:rsidRPr="003A12BF" w14:paraId="598319B0" w14:textId="77777777" w:rsidTr="002D4B7F">
        <w:trPr>
          <w:trHeight w:val="300"/>
        </w:trPr>
        <w:tc>
          <w:tcPr>
            <w:tcW w:w="2977" w:type="dxa"/>
            <w:noWrap/>
            <w:hideMark/>
          </w:tcPr>
          <w:p w14:paraId="3CC6B8AD" w14:textId="77777777" w:rsidR="003A12BF" w:rsidRPr="003A12BF" w:rsidRDefault="003A12BF" w:rsidP="00F51716">
            <w:pPr>
              <w:pStyle w:val="Tabletext0"/>
            </w:pPr>
            <w:r w:rsidRPr="003A12BF">
              <w:t>Loddon Shire Council</w:t>
            </w:r>
          </w:p>
        </w:tc>
        <w:tc>
          <w:tcPr>
            <w:tcW w:w="4481" w:type="dxa"/>
            <w:noWrap/>
            <w:hideMark/>
          </w:tcPr>
          <w:p w14:paraId="2EA7A67B" w14:textId="77777777" w:rsidR="003A12BF" w:rsidRPr="003A12BF" w:rsidRDefault="003A12BF" w:rsidP="00F51716">
            <w:pPr>
              <w:pStyle w:val="Tabletext0"/>
            </w:pPr>
            <w:r w:rsidRPr="003A12BF">
              <w:t>Loddon Shire Local Government Energy Saver Facilities Upgrade</w:t>
            </w:r>
          </w:p>
        </w:tc>
        <w:tc>
          <w:tcPr>
            <w:tcW w:w="1440" w:type="dxa"/>
            <w:noWrap/>
            <w:hideMark/>
          </w:tcPr>
          <w:p w14:paraId="70AA8A28" w14:textId="77777777" w:rsidR="003A12BF" w:rsidRPr="003A12BF" w:rsidRDefault="003A12BF" w:rsidP="00F51716">
            <w:pPr>
              <w:pStyle w:val="Tabletext0"/>
            </w:pPr>
            <w:r w:rsidRPr="003A12BF">
              <w:t>$43,202.74</w:t>
            </w:r>
          </w:p>
        </w:tc>
      </w:tr>
      <w:tr w:rsidR="003A12BF" w:rsidRPr="003A12BF" w14:paraId="204AE7B4" w14:textId="77777777" w:rsidTr="002D4B7F">
        <w:trPr>
          <w:trHeight w:val="300"/>
        </w:trPr>
        <w:tc>
          <w:tcPr>
            <w:tcW w:w="2977" w:type="dxa"/>
            <w:noWrap/>
            <w:hideMark/>
          </w:tcPr>
          <w:p w14:paraId="157D6A34" w14:textId="77777777" w:rsidR="003A12BF" w:rsidRPr="003A12BF" w:rsidRDefault="003A12BF" w:rsidP="00F51716">
            <w:pPr>
              <w:pStyle w:val="Tabletext0"/>
            </w:pPr>
            <w:r w:rsidRPr="003A12BF">
              <w:t>Loddon Shire Council</w:t>
            </w:r>
          </w:p>
        </w:tc>
        <w:tc>
          <w:tcPr>
            <w:tcW w:w="4481" w:type="dxa"/>
            <w:noWrap/>
            <w:hideMark/>
          </w:tcPr>
          <w:p w14:paraId="07600AA3" w14:textId="77777777" w:rsidR="003A12BF" w:rsidRPr="003A12BF" w:rsidRDefault="003A12BF" w:rsidP="00F51716">
            <w:pPr>
              <w:pStyle w:val="Tabletext0"/>
            </w:pPr>
            <w:r w:rsidRPr="003A12BF">
              <w:t>Loddon Shire Local Government Energy Saver Facilities Upgrade</w:t>
            </w:r>
          </w:p>
        </w:tc>
        <w:tc>
          <w:tcPr>
            <w:tcW w:w="1440" w:type="dxa"/>
            <w:noWrap/>
            <w:hideMark/>
          </w:tcPr>
          <w:p w14:paraId="0A84B61B" w14:textId="77777777" w:rsidR="003A12BF" w:rsidRPr="003A12BF" w:rsidRDefault="003A12BF" w:rsidP="00F51716">
            <w:pPr>
              <w:pStyle w:val="Tabletext0"/>
            </w:pPr>
            <w:r w:rsidRPr="003A12BF">
              <w:t>$24,968.26</w:t>
            </w:r>
          </w:p>
        </w:tc>
      </w:tr>
      <w:tr w:rsidR="003A12BF" w:rsidRPr="003A12BF" w14:paraId="5B704696" w14:textId="77777777" w:rsidTr="002D4B7F">
        <w:trPr>
          <w:trHeight w:val="300"/>
        </w:trPr>
        <w:tc>
          <w:tcPr>
            <w:tcW w:w="2977" w:type="dxa"/>
            <w:noWrap/>
            <w:hideMark/>
          </w:tcPr>
          <w:p w14:paraId="74A79936" w14:textId="77777777" w:rsidR="003A12BF" w:rsidRPr="003A12BF" w:rsidRDefault="003A12BF" w:rsidP="00F51716">
            <w:pPr>
              <w:pStyle w:val="Tabletext0"/>
            </w:pPr>
            <w:r w:rsidRPr="003A12BF">
              <w:t>Horsham Rural City Council</w:t>
            </w:r>
          </w:p>
        </w:tc>
        <w:tc>
          <w:tcPr>
            <w:tcW w:w="4481" w:type="dxa"/>
            <w:noWrap/>
            <w:hideMark/>
          </w:tcPr>
          <w:p w14:paraId="5CADAEFE" w14:textId="77777777" w:rsidR="003A12BF" w:rsidRPr="003A12BF" w:rsidRDefault="003A12BF" w:rsidP="00F51716">
            <w:pPr>
              <w:pStyle w:val="Tabletext0"/>
            </w:pPr>
            <w:r w:rsidRPr="003A12BF">
              <w:t>Horsham Rural City LGES Stream 3 Facility Upgrades</w:t>
            </w:r>
          </w:p>
        </w:tc>
        <w:tc>
          <w:tcPr>
            <w:tcW w:w="1440" w:type="dxa"/>
            <w:noWrap/>
            <w:hideMark/>
          </w:tcPr>
          <w:p w14:paraId="0E1F2237" w14:textId="77777777" w:rsidR="003A12BF" w:rsidRPr="003A12BF" w:rsidRDefault="003A12BF" w:rsidP="00F51716">
            <w:pPr>
              <w:pStyle w:val="Tabletext0"/>
            </w:pPr>
            <w:r w:rsidRPr="003A12BF">
              <w:t>$45,000.00</w:t>
            </w:r>
          </w:p>
        </w:tc>
      </w:tr>
      <w:tr w:rsidR="003A12BF" w:rsidRPr="003A12BF" w14:paraId="67A74D3B" w14:textId="77777777" w:rsidTr="002D4B7F">
        <w:trPr>
          <w:trHeight w:val="300"/>
        </w:trPr>
        <w:tc>
          <w:tcPr>
            <w:tcW w:w="2977" w:type="dxa"/>
            <w:noWrap/>
            <w:hideMark/>
          </w:tcPr>
          <w:p w14:paraId="7D50C194" w14:textId="77777777" w:rsidR="003A12BF" w:rsidRPr="003A12BF" w:rsidRDefault="003A12BF" w:rsidP="00F51716">
            <w:pPr>
              <w:pStyle w:val="Tabletext0"/>
            </w:pPr>
            <w:r w:rsidRPr="003A12BF">
              <w:t>Horsham Rural City Council</w:t>
            </w:r>
          </w:p>
        </w:tc>
        <w:tc>
          <w:tcPr>
            <w:tcW w:w="4481" w:type="dxa"/>
            <w:noWrap/>
            <w:hideMark/>
          </w:tcPr>
          <w:p w14:paraId="1E1F49D9" w14:textId="77777777" w:rsidR="003A12BF" w:rsidRPr="003A12BF" w:rsidRDefault="003A12BF" w:rsidP="00F51716">
            <w:pPr>
              <w:pStyle w:val="Tabletext0"/>
            </w:pPr>
            <w:r w:rsidRPr="003A12BF">
              <w:t>Horsham Rural City LGES Stream 3 Facility Upgrades</w:t>
            </w:r>
          </w:p>
        </w:tc>
        <w:tc>
          <w:tcPr>
            <w:tcW w:w="1440" w:type="dxa"/>
            <w:noWrap/>
            <w:hideMark/>
          </w:tcPr>
          <w:p w14:paraId="3160BFB5" w14:textId="77777777" w:rsidR="003A12BF" w:rsidRPr="003A12BF" w:rsidRDefault="003A12BF" w:rsidP="00F51716">
            <w:pPr>
              <w:pStyle w:val="Tabletext0"/>
            </w:pPr>
            <w:r w:rsidRPr="003A12BF">
              <w:t>$45,970.00</w:t>
            </w:r>
          </w:p>
        </w:tc>
      </w:tr>
      <w:tr w:rsidR="003A12BF" w:rsidRPr="003A12BF" w14:paraId="666B9825" w14:textId="77777777" w:rsidTr="002D4B7F">
        <w:trPr>
          <w:trHeight w:val="300"/>
        </w:trPr>
        <w:tc>
          <w:tcPr>
            <w:tcW w:w="2977" w:type="dxa"/>
            <w:noWrap/>
            <w:hideMark/>
          </w:tcPr>
          <w:p w14:paraId="184ABF68" w14:textId="77777777" w:rsidR="003A12BF" w:rsidRPr="003A12BF" w:rsidRDefault="003A12BF" w:rsidP="00F51716">
            <w:pPr>
              <w:pStyle w:val="Tabletext0"/>
            </w:pPr>
            <w:r w:rsidRPr="003A12BF">
              <w:t>Horsham Rural City Council</w:t>
            </w:r>
          </w:p>
        </w:tc>
        <w:tc>
          <w:tcPr>
            <w:tcW w:w="4481" w:type="dxa"/>
            <w:noWrap/>
            <w:hideMark/>
          </w:tcPr>
          <w:p w14:paraId="069DACA3" w14:textId="77777777" w:rsidR="003A12BF" w:rsidRPr="003A12BF" w:rsidRDefault="003A12BF" w:rsidP="00F51716">
            <w:pPr>
              <w:pStyle w:val="Tabletext0"/>
            </w:pPr>
            <w:r w:rsidRPr="003A12BF">
              <w:t>Horsham Rural City LGES Stream 3 Facility Upgrades</w:t>
            </w:r>
          </w:p>
        </w:tc>
        <w:tc>
          <w:tcPr>
            <w:tcW w:w="1440" w:type="dxa"/>
            <w:noWrap/>
            <w:hideMark/>
          </w:tcPr>
          <w:p w14:paraId="69F49100" w14:textId="77777777" w:rsidR="003A12BF" w:rsidRPr="003A12BF" w:rsidRDefault="003A12BF" w:rsidP="00F51716">
            <w:pPr>
              <w:pStyle w:val="Tabletext0"/>
            </w:pPr>
            <w:r w:rsidRPr="003A12BF">
              <w:t>$10,000.00</w:t>
            </w:r>
          </w:p>
        </w:tc>
      </w:tr>
      <w:tr w:rsidR="003A12BF" w:rsidRPr="003A12BF" w14:paraId="6AE03B89" w14:textId="77777777" w:rsidTr="002D4B7F">
        <w:trPr>
          <w:trHeight w:val="300"/>
        </w:trPr>
        <w:tc>
          <w:tcPr>
            <w:tcW w:w="2977" w:type="dxa"/>
            <w:noWrap/>
            <w:hideMark/>
          </w:tcPr>
          <w:p w14:paraId="48B8B9E7" w14:textId="77777777" w:rsidR="003A12BF" w:rsidRPr="003A12BF" w:rsidRDefault="003A12BF" w:rsidP="00F51716">
            <w:pPr>
              <w:pStyle w:val="Tabletext0"/>
            </w:pPr>
            <w:r w:rsidRPr="003A12BF">
              <w:t>Hindmarsh Shire Council</w:t>
            </w:r>
          </w:p>
        </w:tc>
        <w:tc>
          <w:tcPr>
            <w:tcW w:w="4481" w:type="dxa"/>
            <w:noWrap/>
            <w:hideMark/>
          </w:tcPr>
          <w:p w14:paraId="71C0B36C" w14:textId="77777777" w:rsidR="003A12BF" w:rsidRPr="003A12BF" w:rsidRDefault="003A12BF" w:rsidP="00F51716">
            <w:pPr>
              <w:pStyle w:val="Tabletext0"/>
            </w:pPr>
            <w:r w:rsidRPr="003A12BF">
              <w:t>Hindmarsh LGES Stream 3 lighting upgrade</w:t>
            </w:r>
          </w:p>
        </w:tc>
        <w:tc>
          <w:tcPr>
            <w:tcW w:w="1440" w:type="dxa"/>
            <w:noWrap/>
            <w:hideMark/>
          </w:tcPr>
          <w:p w14:paraId="08B034A4" w14:textId="77777777" w:rsidR="003A12BF" w:rsidRPr="003A12BF" w:rsidRDefault="003A12BF" w:rsidP="00F51716">
            <w:pPr>
              <w:pStyle w:val="Tabletext0"/>
            </w:pPr>
            <w:r w:rsidRPr="003A12BF">
              <w:t>$12,500.00</w:t>
            </w:r>
          </w:p>
        </w:tc>
      </w:tr>
      <w:tr w:rsidR="003A12BF" w:rsidRPr="003A12BF" w14:paraId="5A300016" w14:textId="77777777" w:rsidTr="002D4B7F">
        <w:trPr>
          <w:trHeight w:val="300"/>
        </w:trPr>
        <w:tc>
          <w:tcPr>
            <w:tcW w:w="2977" w:type="dxa"/>
            <w:noWrap/>
            <w:hideMark/>
          </w:tcPr>
          <w:p w14:paraId="3758ED4F" w14:textId="77777777" w:rsidR="003A12BF" w:rsidRPr="003A12BF" w:rsidRDefault="003A12BF" w:rsidP="00F51716">
            <w:pPr>
              <w:pStyle w:val="Tabletext0"/>
            </w:pPr>
            <w:r w:rsidRPr="003A12BF">
              <w:t>Hindmarsh Shire Council</w:t>
            </w:r>
          </w:p>
        </w:tc>
        <w:tc>
          <w:tcPr>
            <w:tcW w:w="4481" w:type="dxa"/>
            <w:noWrap/>
            <w:hideMark/>
          </w:tcPr>
          <w:p w14:paraId="6994B0F6" w14:textId="77777777" w:rsidR="003A12BF" w:rsidRPr="003A12BF" w:rsidRDefault="003A12BF" w:rsidP="00F51716">
            <w:pPr>
              <w:pStyle w:val="Tabletext0"/>
            </w:pPr>
            <w:r w:rsidRPr="003A12BF">
              <w:t>Hindmarsh LGES Stream 3 lighting upgrade</w:t>
            </w:r>
          </w:p>
        </w:tc>
        <w:tc>
          <w:tcPr>
            <w:tcW w:w="1440" w:type="dxa"/>
            <w:noWrap/>
            <w:hideMark/>
          </w:tcPr>
          <w:p w14:paraId="0855AF3A" w14:textId="77777777" w:rsidR="003A12BF" w:rsidRPr="003A12BF" w:rsidRDefault="003A12BF" w:rsidP="00F51716">
            <w:pPr>
              <w:pStyle w:val="Tabletext0"/>
            </w:pPr>
            <w:r w:rsidRPr="003A12BF">
              <w:t>$10,000.00</w:t>
            </w:r>
          </w:p>
        </w:tc>
      </w:tr>
      <w:tr w:rsidR="003A12BF" w:rsidRPr="003A12BF" w14:paraId="593983EE" w14:textId="77777777" w:rsidTr="002D4B7F">
        <w:trPr>
          <w:trHeight w:val="300"/>
        </w:trPr>
        <w:tc>
          <w:tcPr>
            <w:tcW w:w="2977" w:type="dxa"/>
            <w:noWrap/>
            <w:hideMark/>
          </w:tcPr>
          <w:p w14:paraId="7E8038C9" w14:textId="77777777" w:rsidR="003A12BF" w:rsidRPr="003A12BF" w:rsidRDefault="003A12BF" w:rsidP="00F51716">
            <w:pPr>
              <w:pStyle w:val="Tabletext0"/>
            </w:pPr>
            <w:r w:rsidRPr="003A12BF">
              <w:t>Future Metals Recyclers Melbourne Pty Ltd</w:t>
            </w:r>
          </w:p>
        </w:tc>
        <w:tc>
          <w:tcPr>
            <w:tcW w:w="4481" w:type="dxa"/>
            <w:noWrap/>
            <w:hideMark/>
          </w:tcPr>
          <w:p w14:paraId="180F6D56" w14:textId="77777777" w:rsidR="003A12BF" w:rsidRPr="003A12BF" w:rsidRDefault="003A12BF" w:rsidP="00F51716">
            <w:pPr>
              <w:pStyle w:val="Tabletext0"/>
            </w:pPr>
            <w:r w:rsidRPr="003A12BF">
              <w:t>Cardinia Transfer Station Upgrade</w:t>
            </w:r>
          </w:p>
        </w:tc>
        <w:tc>
          <w:tcPr>
            <w:tcW w:w="1440" w:type="dxa"/>
            <w:noWrap/>
            <w:hideMark/>
          </w:tcPr>
          <w:p w14:paraId="22E22887" w14:textId="77777777" w:rsidR="003A12BF" w:rsidRPr="003A12BF" w:rsidRDefault="003A12BF" w:rsidP="00F51716">
            <w:pPr>
              <w:pStyle w:val="Tabletext0"/>
            </w:pPr>
            <w:r w:rsidRPr="003A12BF">
              <w:t>$20,000.00</w:t>
            </w:r>
          </w:p>
        </w:tc>
      </w:tr>
      <w:tr w:rsidR="003A12BF" w:rsidRPr="003A12BF" w14:paraId="44842B68" w14:textId="77777777" w:rsidTr="002D4B7F">
        <w:trPr>
          <w:trHeight w:val="300"/>
        </w:trPr>
        <w:tc>
          <w:tcPr>
            <w:tcW w:w="2977" w:type="dxa"/>
            <w:noWrap/>
            <w:hideMark/>
          </w:tcPr>
          <w:p w14:paraId="0E8726D8" w14:textId="77777777" w:rsidR="003A12BF" w:rsidRPr="003A12BF" w:rsidRDefault="003A12BF" w:rsidP="00F51716">
            <w:pPr>
              <w:pStyle w:val="Tabletext0"/>
            </w:pPr>
            <w:r w:rsidRPr="003A12BF">
              <w:t>Knox Transfer Station Pty Ltd</w:t>
            </w:r>
          </w:p>
        </w:tc>
        <w:tc>
          <w:tcPr>
            <w:tcW w:w="4481" w:type="dxa"/>
            <w:noWrap/>
            <w:hideMark/>
          </w:tcPr>
          <w:p w14:paraId="71E9D6BA" w14:textId="77777777" w:rsidR="003A12BF" w:rsidRPr="003A12BF" w:rsidRDefault="003A12BF" w:rsidP="00F51716">
            <w:pPr>
              <w:pStyle w:val="Tabletext0"/>
            </w:pPr>
            <w:r w:rsidRPr="003A12BF">
              <w:t>Knox Transfer Station Process Engineered Fuel</w:t>
            </w:r>
          </w:p>
        </w:tc>
        <w:tc>
          <w:tcPr>
            <w:tcW w:w="1440" w:type="dxa"/>
            <w:noWrap/>
            <w:hideMark/>
          </w:tcPr>
          <w:p w14:paraId="32DF887E" w14:textId="77777777" w:rsidR="003A12BF" w:rsidRPr="003A12BF" w:rsidRDefault="003A12BF" w:rsidP="00F51716">
            <w:pPr>
              <w:pStyle w:val="Tabletext0"/>
            </w:pPr>
            <w:r w:rsidRPr="003A12BF">
              <w:t>$25,000.00</w:t>
            </w:r>
          </w:p>
        </w:tc>
      </w:tr>
      <w:tr w:rsidR="003A12BF" w:rsidRPr="003A12BF" w14:paraId="66010B3F" w14:textId="77777777" w:rsidTr="002D4B7F">
        <w:trPr>
          <w:trHeight w:val="300"/>
        </w:trPr>
        <w:tc>
          <w:tcPr>
            <w:tcW w:w="2977" w:type="dxa"/>
            <w:noWrap/>
            <w:hideMark/>
          </w:tcPr>
          <w:p w14:paraId="1D820242" w14:textId="77777777" w:rsidR="003A12BF" w:rsidRPr="003A12BF" w:rsidRDefault="003A12BF" w:rsidP="00F51716">
            <w:pPr>
              <w:pStyle w:val="Tabletext0"/>
            </w:pPr>
            <w:r w:rsidRPr="003A12BF">
              <w:t>Replas</w:t>
            </w:r>
          </w:p>
        </w:tc>
        <w:tc>
          <w:tcPr>
            <w:tcW w:w="4481" w:type="dxa"/>
            <w:noWrap/>
            <w:hideMark/>
          </w:tcPr>
          <w:p w14:paraId="1F9D70C6" w14:textId="729AF0D1" w:rsidR="003A12BF" w:rsidRPr="003A12BF" w:rsidRDefault="003A12BF" w:rsidP="00F51716">
            <w:pPr>
              <w:pStyle w:val="Tabletext0"/>
            </w:pPr>
            <w:r w:rsidRPr="003A12BF">
              <w:t>Recycling plant expansion (post</w:t>
            </w:r>
            <w:r w:rsidR="00105AEC">
              <w:t>-</w:t>
            </w:r>
            <w:r w:rsidRPr="003A12BF">
              <w:t>consumer waste)</w:t>
            </w:r>
          </w:p>
        </w:tc>
        <w:tc>
          <w:tcPr>
            <w:tcW w:w="1440" w:type="dxa"/>
            <w:noWrap/>
            <w:hideMark/>
          </w:tcPr>
          <w:p w14:paraId="75FC2AC0" w14:textId="77777777" w:rsidR="003A12BF" w:rsidRPr="003A12BF" w:rsidRDefault="003A12BF" w:rsidP="00F51716">
            <w:pPr>
              <w:pStyle w:val="Tabletext0"/>
            </w:pPr>
            <w:r w:rsidRPr="003A12BF">
              <w:t>$61,100.00</w:t>
            </w:r>
          </w:p>
        </w:tc>
      </w:tr>
      <w:tr w:rsidR="003A12BF" w:rsidRPr="003A12BF" w14:paraId="50D04D57" w14:textId="77777777" w:rsidTr="002D4B7F">
        <w:trPr>
          <w:trHeight w:val="300"/>
        </w:trPr>
        <w:tc>
          <w:tcPr>
            <w:tcW w:w="2977" w:type="dxa"/>
            <w:noWrap/>
            <w:hideMark/>
          </w:tcPr>
          <w:p w14:paraId="511967B2" w14:textId="77777777" w:rsidR="003A12BF" w:rsidRPr="003A12BF" w:rsidRDefault="003A12BF" w:rsidP="00F51716">
            <w:pPr>
              <w:pStyle w:val="Tabletext0"/>
            </w:pPr>
            <w:r w:rsidRPr="003A12BF">
              <w:t>Replas</w:t>
            </w:r>
          </w:p>
        </w:tc>
        <w:tc>
          <w:tcPr>
            <w:tcW w:w="4481" w:type="dxa"/>
            <w:noWrap/>
            <w:hideMark/>
          </w:tcPr>
          <w:p w14:paraId="56AC0283" w14:textId="3D156402" w:rsidR="003A12BF" w:rsidRPr="003A12BF" w:rsidRDefault="003A12BF" w:rsidP="00F51716">
            <w:pPr>
              <w:pStyle w:val="Tabletext0"/>
            </w:pPr>
            <w:r w:rsidRPr="003A12BF">
              <w:t>Recycling plant expansion (post</w:t>
            </w:r>
            <w:r w:rsidR="00105AEC">
              <w:t>-</w:t>
            </w:r>
            <w:r w:rsidRPr="003A12BF">
              <w:t>consumer waste)</w:t>
            </w:r>
          </w:p>
        </w:tc>
        <w:tc>
          <w:tcPr>
            <w:tcW w:w="1440" w:type="dxa"/>
            <w:noWrap/>
            <w:hideMark/>
          </w:tcPr>
          <w:p w14:paraId="1FE9362E" w14:textId="77777777" w:rsidR="003A12BF" w:rsidRPr="003A12BF" w:rsidRDefault="003A12BF" w:rsidP="00F51716">
            <w:pPr>
              <w:pStyle w:val="Tabletext0"/>
            </w:pPr>
            <w:r w:rsidRPr="003A12BF">
              <w:t>$200,000.00</w:t>
            </w:r>
          </w:p>
        </w:tc>
      </w:tr>
      <w:tr w:rsidR="003A12BF" w:rsidRPr="003A12BF" w14:paraId="3E41D0FB" w14:textId="77777777" w:rsidTr="002D4B7F">
        <w:trPr>
          <w:trHeight w:val="300"/>
        </w:trPr>
        <w:tc>
          <w:tcPr>
            <w:tcW w:w="2977" w:type="dxa"/>
            <w:noWrap/>
            <w:hideMark/>
          </w:tcPr>
          <w:p w14:paraId="6233D925" w14:textId="77777777" w:rsidR="003A12BF" w:rsidRPr="003A12BF" w:rsidRDefault="003A12BF" w:rsidP="00F51716">
            <w:pPr>
              <w:pStyle w:val="Tabletext0"/>
            </w:pPr>
            <w:r w:rsidRPr="003A12BF">
              <w:t>Replas</w:t>
            </w:r>
          </w:p>
        </w:tc>
        <w:tc>
          <w:tcPr>
            <w:tcW w:w="4481" w:type="dxa"/>
            <w:noWrap/>
            <w:hideMark/>
          </w:tcPr>
          <w:p w14:paraId="7A1E58C6" w14:textId="78AA71B9" w:rsidR="003A12BF" w:rsidRPr="003A12BF" w:rsidRDefault="003A12BF" w:rsidP="00F51716">
            <w:pPr>
              <w:pStyle w:val="Tabletext0"/>
            </w:pPr>
            <w:r w:rsidRPr="003A12BF">
              <w:t>Recycling plant expansion (post</w:t>
            </w:r>
            <w:r w:rsidR="00105AEC">
              <w:t>-</w:t>
            </w:r>
            <w:r w:rsidRPr="003A12BF">
              <w:t>consumer waste)</w:t>
            </w:r>
          </w:p>
        </w:tc>
        <w:tc>
          <w:tcPr>
            <w:tcW w:w="1440" w:type="dxa"/>
            <w:noWrap/>
            <w:hideMark/>
          </w:tcPr>
          <w:p w14:paraId="79409930" w14:textId="77777777" w:rsidR="003A12BF" w:rsidRPr="003A12BF" w:rsidRDefault="003A12BF" w:rsidP="00F51716">
            <w:pPr>
              <w:pStyle w:val="Tabletext0"/>
            </w:pPr>
            <w:r w:rsidRPr="003A12BF">
              <w:t>$26,000.00</w:t>
            </w:r>
          </w:p>
        </w:tc>
      </w:tr>
      <w:tr w:rsidR="003A12BF" w:rsidRPr="003A12BF" w14:paraId="0773DFB7" w14:textId="77777777" w:rsidTr="002D4B7F">
        <w:trPr>
          <w:trHeight w:val="300"/>
        </w:trPr>
        <w:tc>
          <w:tcPr>
            <w:tcW w:w="2977" w:type="dxa"/>
            <w:noWrap/>
            <w:hideMark/>
          </w:tcPr>
          <w:p w14:paraId="7DFB0179" w14:textId="77777777" w:rsidR="003A12BF" w:rsidRPr="003A12BF" w:rsidRDefault="003A12BF" w:rsidP="00F51716">
            <w:pPr>
              <w:pStyle w:val="Tabletext0"/>
            </w:pPr>
            <w:r w:rsidRPr="003A12BF">
              <w:t>Replas</w:t>
            </w:r>
          </w:p>
        </w:tc>
        <w:tc>
          <w:tcPr>
            <w:tcW w:w="4481" w:type="dxa"/>
            <w:noWrap/>
            <w:hideMark/>
          </w:tcPr>
          <w:p w14:paraId="21748C6D" w14:textId="3DD9AD9C" w:rsidR="003A12BF" w:rsidRPr="003A12BF" w:rsidRDefault="003A12BF" w:rsidP="00F51716">
            <w:pPr>
              <w:pStyle w:val="Tabletext0"/>
            </w:pPr>
            <w:r w:rsidRPr="003A12BF">
              <w:t>Recycling plant expansion (post</w:t>
            </w:r>
            <w:r w:rsidR="00105AEC">
              <w:t>-</w:t>
            </w:r>
            <w:r w:rsidRPr="003A12BF">
              <w:t>consumer waste)</w:t>
            </w:r>
          </w:p>
        </w:tc>
        <w:tc>
          <w:tcPr>
            <w:tcW w:w="1440" w:type="dxa"/>
            <w:noWrap/>
            <w:hideMark/>
          </w:tcPr>
          <w:p w14:paraId="0F3BE2AE" w14:textId="77777777" w:rsidR="003A12BF" w:rsidRPr="003A12BF" w:rsidRDefault="003A12BF" w:rsidP="00F51716">
            <w:pPr>
              <w:pStyle w:val="Tabletext0"/>
            </w:pPr>
            <w:r w:rsidRPr="003A12BF">
              <w:t>$22,000.00</w:t>
            </w:r>
          </w:p>
        </w:tc>
      </w:tr>
      <w:tr w:rsidR="003A12BF" w:rsidRPr="003A12BF" w14:paraId="6D2A9E96" w14:textId="77777777" w:rsidTr="002D4B7F">
        <w:trPr>
          <w:trHeight w:val="300"/>
        </w:trPr>
        <w:tc>
          <w:tcPr>
            <w:tcW w:w="2977" w:type="dxa"/>
            <w:noWrap/>
            <w:hideMark/>
          </w:tcPr>
          <w:p w14:paraId="035A334B" w14:textId="77777777" w:rsidR="003A12BF" w:rsidRPr="003A12BF" w:rsidRDefault="003A12BF" w:rsidP="00F51716">
            <w:pPr>
              <w:pStyle w:val="Tabletext0"/>
            </w:pPr>
            <w:r w:rsidRPr="003A12BF">
              <w:t>Repurpose It</w:t>
            </w:r>
          </w:p>
        </w:tc>
        <w:tc>
          <w:tcPr>
            <w:tcW w:w="4481" w:type="dxa"/>
            <w:noWrap/>
            <w:hideMark/>
          </w:tcPr>
          <w:p w14:paraId="366E867C" w14:textId="77777777" w:rsidR="003A12BF" w:rsidRPr="003A12BF" w:rsidRDefault="003A12BF" w:rsidP="00F51716">
            <w:pPr>
              <w:pStyle w:val="Tabletext0"/>
            </w:pPr>
            <w:r w:rsidRPr="003A12BF">
              <w:t>Washing Plant 460 Cooper St</w:t>
            </w:r>
          </w:p>
        </w:tc>
        <w:tc>
          <w:tcPr>
            <w:tcW w:w="1440" w:type="dxa"/>
            <w:noWrap/>
            <w:hideMark/>
          </w:tcPr>
          <w:p w14:paraId="492A0C67" w14:textId="77777777" w:rsidR="003A12BF" w:rsidRPr="003A12BF" w:rsidRDefault="003A12BF" w:rsidP="00F51716">
            <w:pPr>
              <w:pStyle w:val="Tabletext0"/>
            </w:pPr>
            <w:r w:rsidRPr="003A12BF">
              <w:t>$15,000.00</w:t>
            </w:r>
          </w:p>
        </w:tc>
      </w:tr>
      <w:tr w:rsidR="003A12BF" w:rsidRPr="003A12BF" w14:paraId="023E51A3" w14:textId="77777777" w:rsidTr="002D4B7F">
        <w:trPr>
          <w:trHeight w:val="300"/>
        </w:trPr>
        <w:tc>
          <w:tcPr>
            <w:tcW w:w="2977" w:type="dxa"/>
            <w:noWrap/>
            <w:hideMark/>
          </w:tcPr>
          <w:p w14:paraId="1712D229" w14:textId="77777777" w:rsidR="003A12BF" w:rsidRPr="003A12BF" w:rsidRDefault="003A12BF" w:rsidP="00F51716">
            <w:pPr>
              <w:pStyle w:val="Tabletext0"/>
            </w:pPr>
            <w:r w:rsidRPr="003A12BF">
              <w:t>Enrich360 Pty Ltd</w:t>
            </w:r>
          </w:p>
        </w:tc>
        <w:tc>
          <w:tcPr>
            <w:tcW w:w="4481" w:type="dxa"/>
            <w:noWrap/>
            <w:hideMark/>
          </w:tcPr>
          <w:p w14:paraId="48153780" w14:textId="77777777" w:rsidR="003A12BF" w:rsidRPr="003A12BF" w:rsidRDefault="003A12BF" w:rsidP="00F51716">
            <w:pPr>
              <w:pStyle w:val="Tabletext0"/>
            </w:pPr>
            <w:r w:rsidRPr="003A12BF">
              <w:t>Enrich 360 Onsite Food Organic Waste Recovery Program</w:t>
            </w:r>
          </w:p>
        </w:tc>
        <w:tc>
          <w:tcPr>
            <w:tcW w:w="1440" w:type="dxa"/>
            <w:noWrap/>
            <w:hideMark/>
          </w:tcPr>
          <w:p w14:paraId="70FF03B6" w14:textId="77777777" w:rsidR="003A12BF" w:rsidRPr="003A12BF" w:rsidRDefault="003A12BF" w:rsidP="00F51716">
            <w:pPr>
              <w:pStyle w:val="Tabletext0"/>
            </w:pPr>
            <w:r w:rsidRPr="003A12BF">
              <w:t>$241,600.00</w:t>
            </w:r>
          </w:p>
        </w:tc>
      </w:tr>
      <w:tr w:rsidR="003A12BF" w:rsidRPr="003A12BF" w14:paraId="0CC60795" w14:textId="77777777" w:rsidTr="002D4B7F">
        <w:trPr>
          <w:trHeight w:val="300"/>
        </w:trPr>
        <w:tc>
          <w:tcPr>
            <w:tcW w:w="2977" w:type="dxa"/>
            <w:noWrap/>
            <w:hideMark/>
          </w:tcPr>
          <w:p w14:paraId="2BCE78B6" w14:textId="77777777" w:rsidR="003A12BF" w:rsidRPr="003A12BF" w:rsidRDefault="003A12BF" w:rsidP="00F51716">
            <w:pPr>
              <w:pStyle w:val="Tabletext0"/>
            </w:pPr>
            <w:r w:rsidRPr="003A12BF">
              <w:t>Polymeric Powders Company Pty Ltd</w:t>
            </w:r>
          </w:p>
        </w:tc>
        <w:tc>
          <w:tcPr>
            <w:tcW w:w="4481" w:type="dxa"/>
            <w:noWrap/>
            <w:hideMark/>
          </w:tcPr>
          <w:p w14:paraId="2AF9B530" w14:textId="77777777" w:rsidR="003A12BF" w:rsidRPr="003A12BF" w:rsidRDefault="003A12BF" w:rsidP="00F51716">
            <w:pPr>
              <w:pStyle w:val="Tabletext0"/>
            </w:pPr>
            <w:r w:rsidRPr="003A12BF">
              <w:t>Production of tyre crumb derived composite material</w:t>
            </w:r>
          </w:p>
        </w:tc>
        <w:tc>
          <w:tcPr>
            <w:tcW w:w="1440" w:type="dxa"/>
            <w:noWrap/>
            <w:hideMark/>
          </w:tcPr>
          <w:p w14:paraId="48A8BF77" w14:textId="77777777" w:rsidR="003A12BF" w:rsidRPr="003A12BF" w:rsidRDefault="003A12BF" w:rsidP="00F51716">
            <w:pPr>
              <w:pStyle w:val="Tabletext0"/>
            </w:pPr>
            <w:r w:rsidRPr="003A12BF">
              <w:t>$6,000.00</w:t>
            </w:r>
          </w:p>
        </w:tc>
      </w:tr>
      <w:tr w:rsidR="003A12BF" w:rsidRPr="003A12BF" w14:paraId="1A9885BD" w14:textId="77777777" w:rsidTr="002D4B7F">
        <w:trPr>
          <w:trHeight w:val="300"/>
        </w:trPr>
        <w:tc>
          <w:tcPr>
            <w:tcW w:w="2977" w:type="dxa"/>
            <w:noWrap/>
            <w:hideMark/>
          </w:tcPr>
          <w:p w14:paraId="241DA052" w14:textId="77777777" w:rsidR="003A12BF" w:rsidRPr="003A12BF" w:rsidRDefault="003A12BF" w:rsidP="00F51716">
            <w:pPr>
              <w:pStyle w:val="Tabletext0"/>
            </w:pPr>
            <w:r w:rsidRPr="003A12BF">
              <w:t>Polymeric Powders Company Pty Ltd</w:t>
            </w:r>
          </w:p>
        </w:tc>
        <w:tc>
          <w:tcPr>
            <w:tcW w:w="4481" w:type="dxa"/>
            <w:noWrap/>
            <w:hideMark/>
          </w:tcPr>
          <w:p w14:paraId="1F9C1E51" w14:textId="77777777" w:rsidR="003A12BF" w:rsidRPr="003A12BF" w:rsidRDefault="003A12BF" w:rsidP="00F51716">
            <w:pPr>
              <w:pStyle w:val="Tabletext0"/>
            </w:pPr>
            <w:r w:rsidRPr="003A12BF">
              <w:t>Production of tyre crumb derived composite material</w:t>
            </w:r>
          </w:p>
        </w:tc>
        <w:tc>
          <w:tcPr>
            <w:tcW w:w="1440" w:type="dxa"/>
            <w:noWrap/>
            <w:hideMark/>
          </w:tcPr>
          <w:p w14:paraId="4343C991" w14:textId="77777777" w:rsidR="003A12BF" w:rsidRPr="003A12BF" w:rsidRDefault="003A12BF" w:rsidP="00F51716">
            <w:pPr>
              <w:pStyle w:val="Tabletext0"/>
            </w:pPr>
            <w:r w:rsidRPr="003A12BF">
              <w:t>$5,000.00</w:t>
            </w:r>
          </w:p>
        </w:tc>
      </w:tr>
      <w:tr w:rsidR="003A12BF" w:rsidRPr="003A12BF" w14:paraId="394FA60D" w14:textId="77777777" w:rsidTr="002D4B7F">
        <w:trPr>
          <w:trHeight w:val="300"/>
        </w:trPr>
        <w:tc>
          <w:tcPr>
            <w:tcW w:w="2977" w:type="dxa"/>
            <w:noWrap/>
            <w:hideMark/>
          </w:tcPr>
          <w:p w14:paraId="684F50C4" w14:textId="77777777" w:rsidR="003A12BF" w:rsidRPr="003A12BF" w:rsidRDefault="003A12BF" w:rsidP="00F51716">
            <w:pPr>
              <w:pStyle w:val="Tabletext0"/>
            </w:pPr>
            <w:r w:rsidRPr="003A12BF">
              <w:t>Polytrade</w:t>
            </w:r>
          </w:p>
        </w:tc>
        <w:tc>
          <w:tcPr>
            <w:tcW w:w="4481" w:type="dxa"/>
            <w:noWrap/>
            <w:hideMark/>
          </w:tcPr>
          <w:p w14:paraId="45DA5661" w14:textId="77777777" w:rsidR="003A12BF" w:rsidRPr="003A12BF" w:rsidRDefault="003A12BF" w:rsidP="00F51716">
            <w:pPr>
              <w:pStyle w:val="Tabletext0"/>
            </w:pPr>
            <w:r w:rsidRPr="003A12BF">
              <w:t>Polytrade Dandenong Mixed Glass Fines Processing Project</w:t>
            </w:r>
          </w:p>
        </w:tc>
        <w:tc>
          <w:tcPr>
            <w:tcW w:w="1440" w:type="dxa"/>
            <w:noWrap/>
            <w:hideMark/>
          </w:tcPr>
          <w:p w14:paraId="6430A5A5" w14:textId="77777777" w:rsidR="003A12BF" w:rsidRPr="003A12BF" w:rsidRDefault="003A12BF" w:rsidP="00F51716">
            <w:pPr>
              <w:pStyle w:val="Tabletext0"/>
            </w:pPr>
            <w:r w:rsidRPr="003A12BF">
              <w:t>$25,000.00</w:t>
            </w:r>
          </w:p>
        </w:tc>
      </w:tr>
      <w:tr w:rsidR="003A12BF" w:rsidRPr="003A12BF" w14:paraId="24A1B5D1" w14:textId="77777777" w:rsidTr="002D4B7F">
        <w:trPr>
          <w:trHeight w:val="300"/>
        </w:trPr>
        <w:tc>
          <w:tcPr>
            <w:tcW w:w="2977" w:type="dxa"/>
            <w:noWrap/>
            <w:hideMark/>
          </w:tcPr>
          <w:p w14:paraId="3FA204E8" w14:textId="77777777" w:rsidR="003A12BF" w:rsidRPr="003A12BF" w:rsidRDefault="003A12BF" w:rsidP="00F51716">
            <w:pPr>
              <w:pStyle w:val="Tabletext0"/>
            </w:pPr>
            <w:r w:rsidRPr="003A12BF">
              <w:t>Advanced Circular Polymers Pty Ltd</w:t>
            </w:r>
          </w:p>
        </w:tc>
        <w:tc>
          <w:tcPr>
            <w:tcW w:w="4481" w:type="dxa"/>
            <w:noWrap/>
            <w:hideMark/>
          </w:tcPr>
          <w:p w14:paraId="45A31D5C" w14:textId="77777777" w:rsidR="003A12BF" w:rsidRPr="003A12BF" w:rsidRDefault="003A12BF" w:rsidP="00F51716">
            <w:pPr>
              <w:pStyle w:val="Tabletext0"/>
            </w:pPr>
            <w:r w:rsidRPr="003A12BF">
              <w:t>Advanced recycling of flexible plastic by polymer type</w:t>
            </w:r>
          </w:p>
        </w:tc>
        <w:tc>
          <w:tcPr>
            <w:tcW w:w="1440" w:type="dxa"/>
            <w:noWrap/>
            <w:hideMark/>
          </w:tcPr>
          <w:p w14:paraId="1DAA2D89" w14:textId="77777777" w:rsidR="003A12BF" w:rsidRPr="003A12BF" w:rsidRDefault="003A12BF" w:rsidP="00F51716">
            <w:pPr>
              <w:pStyle w:val="Tabletext0"/>
            </w:pPr>
            <w:r w:rsidRPr="003A12BF">
              <w:t>$125,000.00</w:t>
            </w:r>
          </w:p>
        </w:tc>
      </w:tr>
      <w:tr w:rsidR="003A12BF" w:rsidRPr="003A12BF" w14:paraId="33BF7450" w14:textId="77777777" w:rsidTr="002D4B7F">
        <w:trPr>
          <w:trHeight w:val="300"/>
        </w:trPr>
        <w:tc>
          <w:tcPr>
            <w:tcW w:w="2977" w:type="dxa"/>
            <w:noWrap/>
            <w:hideMark/>
          </w:tcPr>
          <w:p w14:paraId="6AC8CC9E" w14:textId="77777777" w:rsidR="003A12BF" w:rsidRPr="003A12BF" w:rsidRDefault="003A12BF" w:rsidP="00F51716">
            <w:pPr>
              <w:pStyle w:val="Tabletext0"/>
            </w:pPr>
            <w:r w:rsidRPr="003A12BF">
              <w:t>Advanced Circular Polymers Pty Ltd</w:t>
            </w:r>
          </w:p>
        </w:tc>
        <w:tc>
          <w:tcPr>
            <w:tcW w:w="4481" w:type="dxa"/>
            <w:noWrap/>
            <w:hideMark/>
          </w:tcPr>
          <w:p w14:paraId="345EC45B" w14:textId="77777777" w:rsidR="003A12BF" w:rsidRPr="003A12BF" w:rsidRDefault="003A12BF" w:rsidP="00F51716">
            <w:pPr>
              <w:pStyle w:val="Tabletext0"/>
            </w:pPr>
            <w:r w:rsidRPr="003A12BF">
              <w:t>Advanced recycling of flexible plastic by polymer type</w:t>
            </w:r>
          </w:p>
        </w:tc>
        <w:tc>
          <w:tcPr>
            <w:tcW w:w="1440" w:type="dxa"/>
            <w:noWrap/>
            <w:hideMark/>
          </w:tcPr>
          <w:p w14:paraId="329FB3BF" w14:textId="77777777" w:rsidR="003A12BF" w:rsidRPr="003A12BF" w:rsidRDefault="003A12BF" w:rsidP="00F51716">
            <w:pPr>
              <w:pStyle w:val="Tabletext0"/>
            </w:pPr>
            <w:r w:rsidRPr="003A12BF">
              <w:t>$50,000.00</w:t>
            </w:r>
          </w:p>
        </w:tc>
      </w:tr>
      <w:tr w:rsidR="003A12BF" w:rsidRPr="003A12BF" w14:paraId="629D9061" w14:textId="77777777" w:rsidTr="002D4B7F">
        <w:trPr>
          <w:trHeight w:val="300"/>
        </w:trPr>
        <w:tc>
          <w:tcPr>
            <w:tcW w:w="2977" w:type="dxa"/>
            <w:noWrap/>
            <w:hideMark/>
          </w:tcPr>
          <w:p w14:paraId="52DDF74E" w14:textId="77777777" w:rsidR="003A12BF" w:rsidRPr="003A12BF" w:rsidRDefault="003A12BF" w:rsidP="00F51716">
            <w:pPr>
              <w:pStyle w:val="Tabletext0"/>
            </w:pPr>
            <w:r w:rsidRPr="003A12BF">
              <w:t>Benalla Rural City Council</w:t>
            </w:r>
          </w:p>
        </w:tc>
        <w:tc>
          <w:tcPr>
            <w:tcW w:w="4481" w:type="dxa"/>
            <w:noWrap/>
            <w:hideMark/>
          </w:tcPr>
          <w:p w14:paraId="286547CD" w14:textId="77777777" w:rsidR="003A12BF" w:rsidRPr="003A12BF" w:rsidRDefault="003A12BF" w:rsidP="00F51716">
            <w:pPr>
              <w:pStyle w:val="Tabletext0"/>
            </w:pPr>
            <w:r w:rsidRPr="003A12BF">
              <w:t>Benalla Resource Recovery Centre Upgrade</w:t>
            </w:r>
          </w:p>
        </w:tc>
        <w:tc>
          <w:tcPr>
            <w:tcW w:w="1440" w:type="dxa"/>
            <w:noWrap/>
            <w:hideMark/>
          </w:tcPr>
          <w:p w14:paraId="50803C7E" w14:textId="77777777" w:rsidR="003A12BF" w:rsidRPr="003A12BF" w:rsidRDefault="003A12BF" w:rsidP="00F51716">
            <w:pPr>
              <w:pStyle w:val="Tabletext0"/>
            </w:pPr>
            <w:r w:rsidRPr="003A12BF">
              <w:t>$45,000.00</w:t>
            </w:r>
          </w:p>
        </w:tc>
      </w:tr>
      <w:tr w:rsidR="003A12BF" w:rsidRPr="003A12BF" w14:paraId="06229F0D" w14:textId="77777777" w:rsidTr="002D4B7F">
        <w:trPr>
          <w:trHeight w:val="300"/>
        </w:trPr>
        <w:tc>
          <w:tcPr>
            <w:tcW w:w="2977" w:type="dxa"/>
            <w:noWrap/>
            <w:hideMark/>
          </w:tcPr>
          <w:p w14:paraId="51B8B493" w14:textId="77777777" w:rsidR="003A12BF" w:rsidRPr="003A12BF" w:rsidRDefault="003A12BF" w:rsidP="00F51716">
            <w:pPr>
              <w:pStyle w:val="Tabletext0"/>
            </w:pPr>
            <w:r w:rsidRPr="003A12BF">
              <w:t>CMA Ecocycle</w:t>
            </w:r>
          </w:p>
        </w:tc>
        <w:tc>
          <w:tcPr>
            <w:tcW w:w="4481" w:type="dxa"/>
            <w:noWrap/>
            <w:hideMark/>
          </w:tcPr>
          <w:p w14:paraId="35F4555A" w14:textId="77777777" w:rsidR="003A12BF" w:rsidRPr="003A12BF" w:rsidRDefault="003A12BF" w:rsidP="00F51716">
            <w:pPr>
              <w:pStyle w:val="Tabletext0"/>
            </w:pPr>
            <w:r w:rsidRPr="003A12BF">
              <w:t>Battery Recycling Solutions</w:t>
            </w:r>
          </w:p>
        </w:tc>
        <w:tc>
          <w:tcPr>
            <w:tcW w:w="1440" w:type="dxa"/>
            <w:noWrap/>
            <w:hideMark/>
          </w:tcPr>
          <w:p w14:paraId="797B3163" w14:textId="77777777" w:rsidR="003A12BF" w:rsidRPr="003A12BF" w:rsidRDefault="003A12BF" w:rsidP="00F51716">
            <w:pPr>
              <w:pStyle w:val="Tabletext0"/>
            </w:pPr>
            <w:r w:rsidRPr="003A12BF">
              <w:t>$50,000.00</w:t>
            </w:r>
          </w:p>
        </w:tc>
      </w:tr>
      <w:tr w:rsidR="003A12BF" w:rsidRPr="003A12BF" w14:paraId="28994C40" w14:textId="77777777" w:rsidTr="002D4B7F">
        <w:trPr>
          <w:trHeight w:val="300"/>
        </w:trPr>
        <w:tc>
          <w:tcPr>
            <w:tcW w:w="2977" w:type="dxa"/>
            <w:noWrap/>
            <w:hideMark/>
          </w:tcPr>
          <w:p w14:paraId="793C6167" w14:textId="77777777" w:rsidR="003A12BF" w:rsidRPr="003A12BF" w:rsidRDefault="003A12BF" w:rsidP="00F51716">
            <w:pPr>
              <w:pStyle w:val="Tabletext0"/>
            </w:pPr>
            <w:r w:rsidRPr="003A12BF">
              <w:t>CMA Ecocycle</w:t>
            </w:r>
          </w:p>
        </w:tc>
        <w:tc>
          <w:tcPr>
            <w:tcW w:w="4481" w:type="dxa"/>
            <w:noWrap/>
            <w:hideMark/>
          </w:tcPr>
          <w:p w14:paraId="1C71A8A7" w14:textId="77777777" w:rsidR="003A12BF" w:rsidRPr="003A12BF" w:rsidRDefault="003A12BF" w:rsidP="00F51716">
            <w:pPr>
              <w:pStyle w:val="Tabletext0"/>
            </w:pPr>
            <w:r w:rsidRPr="003A12BF">
              <w:t>Battery Recycling Solutions</w:t>
            </w:r>
          </w:p>
        </w:tc>
        <w:tc>
          <w:tcPr>
            <w:tcW w:w="1440" w:type="dxa"/>
            <w:noWrap/>
            <w:hideMark/>
          </w:tcPr>
          <w:p w14:paraId="4F5FC870" w14:textId="77777777" w:rsidR="003A12BF" w:rsidRPr="003A12BF" w:rsidRDefault="003A12BF" w:rsidP="00F51716">
            <w:pPr>
              <w:pStyle w:val="Tabletext0"/>
            </w:pPr>
            <w:r w:rsidRPr="003A12BF">
              <w:t>$100,000.00</w:t>
            </w:r>
          </w:p>
        </w:tc>
      </w:tr>
      <w:tr w:rsidR="003A12BF" w:rsidRPr="003A12BF" w14:paraId="4749D166" w14:textId="77777777" w:rsidTr="002D4B7F">
        <w:trPr>
          <w:trHeight w:val="300"/>
        </w:trPr>
        <w:tc>
          <w:tcPr>
            <w:tcW w:w="2977" w:type="dxa"/>
            <w:noWrap/>
            <w:hideMark/>
          </w:tcPr>
          <w:p w14:paraId="1C0F0BBE" w14:textId="77777777" w:rsidR="003A12BF" w:rsidRPr="003A12BF" w:rsidRDefault="003A12BF" w:rsidP="00F51716">
            <w:pPr>
              <w:pStyle w:val="Tabletext0"/>
            </w:pPr>
            <w:r w:rsidRPr="003A12BF">
              <w:t>CMA Ecocycle</w:t>
            </w:r>
          </w:p>
        </w:tc>
        <w:tc>
          <w:tcPr>
            <w:tcW w:w="4481" w:type="dxa"/>
            <w:noWrap/>
            <w:hideMark/>
          </w:tcPr>
          <w:p w14:paraId="08423F5C" w14:textId="77777777" w:rsidR="003A12BF" w:rsidRPr="003A12BF" w:rsidRDefault="003A12BF" w:rsidP="00F51716">
            <w:pPr>
              <w:pStyle w:val="Tabletext0"/>
            </w:pPr>
            <w:r w:rsidRPr="003A12BF">
              <w:t>Battery Recycling Solutions</w:t>
            </w:r>
          </w:p>
        </w:tc>
        <w:tc>
          <w:tcPr>
            <w:tcW w:w="1440" w:type="dxa"/>
            <w:noWrap/>
            <w:hideMark/>
          </w:tcPr>
          <w:p w14:paraId="70855CE6" w14:textId="77777777" w:rsidR="003A12BF" w:rsidRPr="003A12BF" w:rsidRDefault="003A12BF" w:rsidP="00F51716">
            <w:pPr>
              <w:pStyle w:val="Tabletext0"/>
            </w:pPr>
            <w:r w:rsidRPr="003A12BF">
              <w:t>$30,000.00</w:t>
            </w:r>
          </w:p>
        </w:tc>
      </w:tr>
      <w:tr w:rsidR="003A12BF" w:rsidRPr="003A12BF" w14:paraId="463A90D3" w14:textId="77777777" w:rsidTr="002D4B7F">
        <w:trPr>
          <w:trHeight w:val="300"/>
        </w:trPr>
        <w:tc>
          <w:tcPr>
            <w:tcW w:w="2977" w:type="dxa"/>
            <w:noWrap/>
            <w:hideMark/>
          </w:tcPr>
          <w:p w14:paraId="75F31AFB" w14:textId="77777777" w:rsidR="003A12BF" w:rsidRPr="003A12BF" w:rsidRDefault="003A12BF" w:rsidP="00F51716">
            <w:pPr>
              <w:pStyle w:val="Tabletext0"/>
            </w:pPr>
            <w:r w:rsidRPr="003A12BF">
              <w:t>CMA Ecocycle</w:t>
            </w:r>
          </w:p>
        </w:tc>
        <w:tc>
          <w:tcPr>
            <w:tcW w:w="4481" w:type="dxa"/>
            <w:noWrap/>
            <w:hideMark/>
          </w:tcPr>
          <w:p w14:paraId="0A5F02BA" w14:textId="77777777" w:rsidR="003A12BF" w:rsidRPr="003A12BF" w:rsidRDefault="003A12BF" w:rsidP="00F51716">
            <w:pPr>
              <w:pStyle w:val="Tabletext0"/>
            </w:pPr>
            <w:r w:rsidRPr="003A12BF">
              <w:t>Battery Recycling Solutions</w:t>
            </w:r>
          </w:p>
        </w:tc>
        <w:tc>
          <w:tcPr>
            <w:tcW w:w="1440" w:type="dxa"/>
            <w:noWrap/>
            <w:hideMark/>
          </w:tcPr>
          <w:p w14:paraId="79F850A4" w14:textId="77777777" w:rsidR="003A12BF" w:rsidRPr="003A12BF" w:rsidRDefault="003A12BF" w:rsidP="00F51716">
            <w:pPr>
              <w:pStyle w:val="Tabletext0"/>
            </w:pPr>
            <w:r w:rsidRPr="003A12BF">
              <w:t>$50,000.00</w:t>
            </w:r>
          </w:p>
        </w:tc>
      </w:tr>
      <w:tr w:rsidR="003A12BF" w:rsidRPr="003A12BF" w14:paraId="24BD4508" w14:textId="77777777" w:rsidTr="002D4B7F">
        <w:trPr>
          <w:trHeight w:val="300"/>
        </w:trPr>
        <w:tc>
          <w:tcPr>
            <w:tcW w:w="2977" w:type="dxa"/>
            <w:noWrap/>
            <w:hideMark/>
          </w:tcPr>
          <w:p w14:paraId="4FD2C232" w14:textId="77777777" w:rsidR="003A12BF" w:rsidRPr="003A12BF" w:rsidRDefault="003A12BF" w:rsidP="00F51716">
            <w:pPr>
              <w:pStyle w:val="Tabletext0"/>
            </w:pPr>
            <w:r w:rsidRPr="003A12BF">
              <w:t>Western Composting Technology Pty Ltd</w:t>
            </w:r>
          </w:p>
        </w:tc>
        <w:tc>
          <w:tcPr>
            <w:tcW w:w="4481" w:type="dxa"/>
            <w:noWrap/>
            <w:hideMark/>
          </w:tcPr>
          <w:p w14:paraId="6370E64F" w14:textId="77777777" w:rsidR="003A12BF" w:rsidRPr="003A12BF" w:rsidRDefault="003A12BF" w:rsidP="00F51716">
            <w:pPr>
              <w:pStyle w:val="Tabletext0"/>
            </w:pPr>
            <w:r w:rsidRPr="003A12BF">
              <w:t>Western Composting – Plant Capacity Increase</w:t>
            </w:r>
          </w:p>
        </w:tc>
        <w:tc>
          <w:tcPr>
            <w:tcW w:w="1440" w:type="dxa"/>
            <w:noWrap/>
            <w:hideMark/>
          </w:tcPr>
          <w:p w14:paraId="7D403EFC" w14:textId="77777777" w:rsidR="003A12BF" w:rsidRPr="003A12BF" w:rsidRDefault="003A12BF" w:rsidP="00F51716">
            <w:pPr>
              <w:pStyle w:val="Tabletext0"/>
            </w:pPr>
            <w:r w:rsidRPr="003A12BF">
              <w:t>$30,000.00</w:t>
            </w:r>
          </w:p>
        </w:tc>
      </w:tr>
      <w:tr w:rsidR="003A12BF" w:rsidRPr="003A12BF" w14:paraId="3DF4C434" w14:textId="77777777" w:rsidTr="002D4B7F">
        <w:trPr>
          <w:trHeight w:val="300"/>
        </w:trPr>
        <w:tc>
          <w:tcPr>
            <w:tcW w:w="2977" w:type="dxa"/>
            <w:noWrap/>
            <w:hideMark/>
          </w:tcPr>
          <w:p w14:paraId="0C0E0493" w14:textId="77777777" w:rsidR="003A12BF" w:rsidRPr="003A12BF" w:rsidRDefault="003A12BF" w:rsidP="00F51716">
            <w:pPr>
              <w:pStyle w:val="Tabletext0"/>
            </w:pPr>
            <w:r w:rsidRPr="003A12BF">
              <w:t>Western Composting Technology Pty Ltd</w:t>
            </w:r>
          </w:p>
        </w:tc>
        <w:tc>
          <w:tcPr>
            <w:tcW w:w="4481" w:type="dxa"/>
            <w:noWrap/>
            <w:hideMark/>
          </w:tcPr>
          <w:p w14:paraId="10D22584" w14:textId="77777777" w:rsidR="003A12BF" w:rsidRPr="003A12BF" w:rsidRDefault="003A12BF" w:rsidP="00F51716">
            <w:pPr>
              <w:pStyle w:val="Tabletext0"/>
            </w:pPr>
            <w:r w:rsidRPr="003A12BF">
              <w:t>Western Composting – Plant Capacity Increase</w:t>
            </w:r>
          </w:p>
        </w:tc>
        <w:tc>
          <w:tcPr>
            <w:tcW w:w="1440" w:type="dxa"/>
            <w:noWrap/>
            <w:hideMark/>
          </w:tcPr>
          <w:p w14:paraId="68F5EF93" w14:textId="77777777" w:rsidR="003A12BF" w:rsidRPr="003A12BF" w:rsidRDefault="003A12BF" w:rsidP="00F51716">
            <w:pPr>
              <w:pStyle w:val="Tabletext0"/>
            </w:pPr>
            <w:r w:rsidRPr="003A12BF">
              <w:t>$15,000.00</w:t>
            </w:r>
          </w:p>
        </w:tc>
      </w:tr>
      <w:tr w:rsidR="003A12BF" w:rsidRPr="003A12BF" w14:paraId="243958A8" w14:textId="77777777" w:rsidTr="002D4B7F">
        <w:trPr>
          <w:trHeight w:val="300"/>
        </w:trPr>
        <w:tc>
          <w:tcPr>
            <w:tcW w:w="2977" w:type="dxa"/>
            <w:noWrap/>
            <w:hideMark/>
          </w:tcPr>
          <w:p w14:paraId="7217C4A5" w14:textId="77777777" w:rsidR="003A12BF" w:rsidRPr="003A12BF" w:rsidRDefault="003A12BF" w:rsidP="00F51716">
            <w:pPr>
              <w:pStyle w:val="Tabletext0"/>
            </w:pPr>
            <w:r w:rsidRPr="003A12BF">
              <w:t>Resourc Pty Ltd</w:t>
            </w:r>
          </w:p>
        </w:tc>
        <w:tc>
          <w:tcPr>
            <w:tcW w:w="4481" w:type="dxa"/>
            <w:noWrap/>
            <w:hideMark/>
          </w:tcPr>
          <w:p w14:paraId="14DFF245" w14:textId="77777777" w:rsidR="003A12BF" w:rsidRPr="003A12BF" w:rsidRDefault="003A12BF" w:rsidP="00F51716">
            <w:pPr>
              <w:pStyle w:val="Tabletext0"/>
            </w:pPr>
            <w:r w:rsidRPr="003A12BF">
              <w:t>Expansion of Handheld Battery Recycling Plant</w:t>
            </w:r>
          </w:p>
        </w:tc>
        <w:tc>
          <w:tcPr>
            <w:tcW w:w="1440" w:type="dxa"/>
            <w:noWrap/>
            <w:hideMark/>
          </w:tcPr>
          <w:p w14:paraId="6E5DEC26" w14:textId="77777777" w:rsidR="003A12BF" w:rsidRPr="003A12BF" w:rsidRDefault="003A12BF" w:rsidP="00F51716">
            <w:pPr>
              <w:pStyle w:val="Tabletext0"/>
            </w:pPr>
            <w:r w:rsidRPr="003A12BF">
              <w:t>$17,000.00</w:t>
            </w:r>
          </w:p>
        </w:tc>
      </w:tr>
      <w:tr w:rsidR="003A12BF" w:rsidRPr="003A12BF" w14:paraId="6542C892" w14:textId="77777777" w:rsidTr="002D4B7F">
        <w:trPr>
          <w:trHeight w:val="300"/>
        </w:trPr>
        <w:tc>
          <w:tcPr>
            <w:tcW w:w="2977" w:type="dxa"/>
            <w:noWrap/>
            <w:hideMark/>
          </w:tcPr>
          <w:p w14:paraId="470AD968" w14:textId="77777777" w:rsidR="003A12BF" w:rsidRPr="003A12BF" w:rsidRDefault="003A12BF" w:rsidP="00F51716">
            <w:pPr>
              <w:pStyle w:val="Tabletext0"/>
            </w:pPr>
            <w:r w:rsidRPr="003A12BF">
              <w:t>Resourc Pty Ltd</w:t>
            </w:r>
          </w:p>
        </w:tc>
        <w:tc>
          <w:tcPr>
            <w:tcW w:w="4481" w:type="dxa"/>
            <w:noWrap/>
            <w:hideMark/>
          </w:tcPr>
          <w:p w14:paraId="0643435A" w14:textId="77777777" w:rsidR="003A12BF" w:rsidRPr="003A12BF" w:rsidRDefault="003A12BF" w:rsidP="00F51716">
            <w:pPr>
              <w:pStyle w:val="Tabletext0"/>
            </w:pPr>
            <w:r w:rsidRPr="003A12BF">
              <w:t>Expansion of Handheld Battery Recycling Plant</w:t>
            </w:r>
          </w:p>
        </w:tc>
        <w:tc>
          <w:tcPr>
            <w:tcW w:w="1440" w:type="dxa"/>
            <w:noWrap/>
            <w:hideMark/>
          </w:tcPr>
          <w:p w14:paraId="5D7B7BA1" w14:textId="77777777" w:rsidR="003A12BF" w:rsidRPr="003A12BF" w:rsidRDefault="003A12BF" w:rsidP="00F51716">
            <w:pPr>
              <w:pStyle w:val="Tabletext0"/>
            </w:pPr>
            <w:r w:rsidRPr="003A12BF">
              <w:t>$13,000.00</w:t>
            </w:r>
          </w:p>
        </w:tc>
      </w:tr>
      <w:tr w:rsidR="003A12BF" w:rsidRPr="003A12BF" w14:paraId="1E602926" w14:textId="77777777" w:rsidTr="002D4B7F">
        <w:trPr>
          <w:trHeight w:val="300"/>
        </w:trPr>
        <w:tc>
          <w:tcPr>
            <w:tcW w:w="2977" w:type="dxa"/>
            <w:noWrap/>
            <w:hideMark/>
          </w:tcPr>
          <w:p w14:paraId="4E157742" w14:textId="62E6069F" w:rsidR="003A12BF" w:rsidRPr="003A12BF" w:rsidRDefault="003A12BF" w:rsidP="00F51716">
            <w:pPr>
              <w:pStyle w:val="Tabletext0"/>
            </w:pPr>
            <w:r w:rsidRPr="003A12BF">
              <w:t>National EWaste Alliance</w:t>
            </w:r>
          </w:p>
        </w:tc>
        <w:tc>
          <w:tcPr>
            <w:tcW w:w="4481" w:type="dxa"/>
            <w:noWrap/>
            <w:hideMark/>
          </w:tcPr>
          <w:p w14:paraId="288D003C" w14:textId="77777777" w:rsidR="003A12BF" w:rsidRPr="003A12BF" w:rsidRDefault="003A12BF" w:rsidP="00F51716">
            <w:pPr>
              <w:pStyle w:val="Tabletext0"/>
            </w:pPr>
            <w:r w:rsidRPr="003A12BF">
              <w:t>Diversion and Recycling of Problematic Electronic Waste</w:t>
            </w:r>
          </w:p>
        </w:tc>
        <w:tc>
          <w:tcPr>
            <w:tcW w:w="1440" w:type="dxa"/>
            <w:noWrap/>
            <w:hideMark/>
          </w:tcPr>
          <w:p w14:paraId="444ECECB" w14:textId="77777777" w:rsidR="003A12BF" w:rsidRPr="003A12BF" w:rsidRDefault="003A12BF" w:rsidP="00F51716">
            <w:pPr>
              <w:pStyle w:val="Tabletext0"/>
            </w:pPr>
            <w:r w:rsidRPr="003A12BF">
              <w:t>$5,000.00</w:t>
            </w:r>
          </w:p>
        </w:tc>
      </w:tr>
      <w:tr w:rsidR="003A12BF" w:rsidRPr="003A12BF" w14:paraId="155C73F3" w14:textId="77777777" w:rsidTr="002D4B7F">
        <w:trPr>
          <w:trHeight w:val="300"/>
        </w:trPr>
        <w:tc>
          <w:tcPr>
            <w:tcW w:w="2977" w:type="dxa"/>
            <w:noWrap/>
            <w:hideMark/>
          </w:tcPr>
          <w:p w14:paraId="6A1763C1" w14:textId="2D98F082" w:rsidR="003A12BF" w:rsidRPr="003A12BF" w:rsidRDefault="003A12BF" w:rsidP="00F51716">
            <w:pPr>
              <w:pStyle w:val="Tabletext0"/>
            </w:pPr>
            <w:r w:rsidRPr="003A12BF">
              <w:t>National EWaste Alliance</w:t>
            </w:r>
          </w:p>
        </w:tc>
        <w:tc>
          <w:tcPr>
            <w:tcW w:w="4481" w:type="dxa"/>
            <w:noWrap/>
            <w:hideMark/>
          </w:tcPr>
          <w:p w14:paraId="1E5AD1DC" w14:textId="77777777" w:rsidR="003A12BF" w:rsidRPr="003A12BF" w:rsidRDefault="003A12BF" w:rsidP="00F51716">
            <w:pPr>
              <w:pStyle w:val="Tabletext0"/>
            </w:pPr>
            <w:r w:rsidRPr="003A12BF">
              <w:t>Diversion and Recycling of Problematic Electronic Waste</w:t>
            </w:r>
          </w:p>
        </w:tc>
        <w:tc>
          <w:tcPr>
            <w:tcW w:w="1440" w:type="dxa"/>
            <w:noWrap/>
            <w:hideMark/>
          </w:tcPr>
          <w:p w14:paraId="1D31AA3C" w14:textId="77777777" w:rsidR="003A12BF" w:rsidRPr="003A12BF" w:rsidRDefault="003A12BF" w:rsidP="00F51716">
            <w:pPr>
              <w:pStyle w:val="Tabletext0"/>
            </w:pPr>
            <w:r w:rsidRPr="003A12BF">
              <w:t>$10,000.00</w:t>
            </w:r>
          </w:p>
        </w:tc>
      </w:tr>
      <w:tr w:rsidR="003A12BF" w:rsidRPr="003A12BF" w14:paraId="1A97272B" w14:textId="77777777" w:rsidTr="002D4B7F">
        <w:trPr>
          <w:trHeight w:val="300"/>
        </w:trPr>
        <w:tc>
          <w:tcPr>
            <w:tcW w:w="2977" w:type="dxa"/>
            <w:noWrap/>
            <w:hideMark/>
          </w:tcPr>
          <w:p w14:paraId="16D8F4F1" w14:textId="77777777" w:rsidR="003A12BF" w:rsidRPr="003A12BF" w:rsidRDefault="003A12BF" w:rsidP="00F51716">
            <w:pPr>
              <w:pStyle w:val="Tabletext0"/>
            </w:pPr>
            <w:r w:rsidRPr="003A12BF">
              <w:t>Commercial Tippers Pty Ltd</w:t>
            </w:r>
          </w:p>
        </w:tc>
        <w:tc>
          <w:tcPr>
            <w:tcW w:w="4481" w:type="dxa"/>
            <w:noWrap/>
            <w:hideMark/>
          </w:tcPr>
          <w:p w14:paraId="1C3975DA" w14:textId="77777777" w:rsidR="003A12BF" w:rsidRPr="003A12BF" w:rsidRDefault="003A12BF" w:rsidP="00F51716">
            <w:pPr>
              <w:pStyle w:val="Tabletext0"/>
            </w:pPr>
            <w:r w:rsidRPr="003A12BF">
              <w:t>Construction and Demolition Waste &amp; Commercial and Industrial Waste Sortation Facility</w:t>
            </w:r>
          </w:p>
        </w:tc>
        <w:tc>
          <w:tcPr>
            <w:tcW w:w="1440" w:type="dxa"/>
            <w:noWrap/>
            <w:hideMark/>
          </w:tcPr>
          <w:p w14:paraId="636AFDCA" w14:textId="77777777" w:rsidR="003A12BF" w:rsidRPr="003A12BF" w:rsidRDefault="003A12BF" w:rsidP="00F51716">
            <w:pPr>
              <w:pStyle w:val="Tabletext0"/>
            </w:pPr>
            <w:r w:rsidRPr="003A12BF">
              <w:t>$50,000.00</w:t>
            </w:r>
          </w:p>
        </w:tc>
      </w:tr>
      <w:tr w:rsidR="003A12BF" w:rsidRPr="003A12BF" w14:paraId="470C67A1" w14:textId="77777777" w:rsidTr="002D4B7F">
        <w:trPr>
          <w:trHeight w:val="300"/>
        </w:trPr>
        <w:tc>
          <w:tcPr>
            <w:tcW w:w="2977" w:type="dxa"/>
            <w:noWrap/>
            <w:hideMark/>
          </w:tcPr>
          <w:p w14:paraId="33C66EF8" w14:textId="77777777" w:rsidR="003A12BF" w:rsidRPr="003A12BF" w:rsidRDefault="003A12BF" w:rsidP="00F51716">
            <w:pPr>
              <w:pStyle w:val="Tabletext0"/>
            </w:pPr>
            <w:r w:rsidRPr="003A12BF">
              <w:t>Commercial Tippers Pty Ltd</w:t>
            </w:r>
          </w:p>
        </w:tc>
        <w:tc>
          <w:tcPr>
            <w:tcW w:w="4481" w:type="dxa"/>
            <w:noWrap/>
            <w:hideMark/>
          </w:tcPr>
          <w:p w14:paraId="5E9BEB78" w14:textId="77777777" w:rsidR="003A12BF" w:rsidRPr="003A12BF" w:rsidRDefault="003A12BF" w:rsidP="00F51716">
            <w:pPr>
              <w:pStyle w:val="Tabletext0"/>
            </w:pPr>
            <w:r w:rsidRPr="003A12BF">
              <w:t>Construction and Demolition Waste &amp; Commercial and Industrial Waste Sortation Facility</w:t>
            </w:r>
          </w:p>
        </w:tc>
        <w:tc>
          <w:tcPr>
            <w:tcW w:w="1440" w:type="dxa"/>
            <w:noWrap/>
            <w:hideMark/>
          </w:tcPr>
          <w:p w14:paraId="1EA55075" w14:textId="77777777" w:rsidR="003A12BF" w:rsidRPr="003A12BF" w:rsidRDefault="003A12BF" w:rsidP="00F51716">
            <w:pPr>
              <w:pStyle w:val="Tabletext0"/>
            </w:pPr>
            <w:r w:rsidRPr="003A12BF">
              <w:t>$50,000.00</w:t>
            </w:r>
          </w:p>
        </w:tc>
      </w:tr>
      <w:tr w:rsidR="003A12BF" w:rsidRPr="003A12BF" w14:paraId="26A6C2C7" w14:textId="77777777" w:rsidTr="002D4B7F">
        <w:trPr>
          <w:trHeight w:val="300"/>
        </w:trPr>
        <w:tc>
          <w:tcPr>
            <w:tcW w:w="2977" w:type="dxa"/>
            <w:noWrap/>
            <w:hideMark/>
          </w:tcPr>
          <w:p w14:paraId="41F05E22" w14:textId="77777777" w:rsidR="003A12BF" w:rsidRPr="003A12BF" w:rsidRDefault="003A12BF" w:rsidP="00F51716">
            <w:pPr>
              <w:pStyle w:val="Tabletext0"/>
            </w:pPr>
            <w:r w:rsidRPr="003A12BF">
              <w:t>Commercial Tippers Pty Ltd</w:t>
            </w:r>
          </w:p>
        </w:tc>
        <w:tc>
          <w:tcPr>
            <w:tcW w:w="4481" w:type="dxa"/>
            <w:noWrap/>
            <w:hideMark/>
          </w:tcPr>
          <w:p w14:paraId="3D58259A" w14:textId="77777777" w:rsidR="003A12BF" w:rsidRPr="003A12BF" w:rsidRDefault="003A12BF" w:rsidP="00F51716">
            <w:pPr>
              <w:pStyle w:val="Tabletext0"/>
            </w:pPr>
            <w:r w:rsidRPr="003A12BF">
              <w:t>Construction and Demolition Waste &amp; Commercial and Industrial Waste Sortation Facility</w:t>
            </w:r>
          </w:p>
        </w:tc>
        <w:tc>
          <w:tcPr>
            <w:tcW w:w="1440" w:type="dxa"/>
            <w:noWrap/>
            <w:hideMark/>
          </w:tcPr>
          <w:p w14:paraId="79A76A52" w14:textId="77777777" w:rsidR="003A12BF" w:rsidRPr="003A12BF" w:rsidRDefault="003A12BF" w:rsidP="00F51716">
            <w:pPr>
              <w:pStyle w:val="Tabletext0"/>
            </w:pPr>
            <w:r w:rsidRPr="003A12BF">
              <w:t>$20,000.00</w:t>
            </w:r>
          </w:p>
        </w:tc>
      </w:tr>
      <w:tr w:rsidR="003A12BF" w:rsidRPr="003A12BF" w14:paraId="6A0C90AD" w14:textId="77777777" w:rsidTr="002D4B7F">
        <w:trPr>
          <w:trHeight w:val="300"/>
        </w:trPr>
        <w:tc>
          <w:tcPr>
            <w:tcW w:w="2977" w:type="dxa"/>
            <w:noWrap/>
            <w:hideMark/>
          </w:tcPr>
          <w:p w14:paraId="668B10DA" w14:textId="77777777" w:rsidR="003A12BF" w:rsidRPr="003A12BF" w:rsidRDefault="003A12BF" w:rsidP="00F51716">
            <w:pPr>
              <w:pStyle w:val="Tabletext0"/>
            </w:pPr>
            <w:r w:rsidRPr="003A12BF">
              <w:t>Commercial Tippers Pty Ltd</w:t>
            </w:r>
          </w:p>
        </w:tc>
        <w:tc>
          <w:tcPr>
            <w:tcW w:w="4481" w:type="dxa"/>
            <w:noWrap/>
            <w:hideMark/>
          </w:tcPr>
          <w:p w14:paraId="00125CC2" w14:textId="77777777" w:rsidR="003A12BF" w:rsidRPr="003A12BF" w:rsidRDefault="003A12BF" w:rsidP="00F51716">
            <w:pPr>
              <w:pStyle w:val="Tabletext0"/>
            </w:pPr>
            <w:r w:rsidRPr="003A12BF">
              <w:t>Construction and Demolition Waste &amp; Commercial and Industrial Waste Sortation Facility</w:t>
            </w:r>
          </w:p>
        </w:tc>
        <w:tc>
          <w:tcPr>
            <w:tcW w:w="1440" w:type="dxa"/>
            <w:noWrap/>
            <w:hideMark/>
          </w:tcPr>
          <w:p w14:paraId="5B7D1E9F" w14:textId="77777777" w:rsidR="003A12BF" w:rsidRPr="003A12BF" w:rsidRDefault="003A12BF" w:rsidP="00F51716">
            <w:pPr>
              <w:pStyle w:val="Tabletext0"/>
            </w:pPr>
            <w:r w:rsidRPr="003A12BF">
              <w:t>$20,000.00</w:t>
            </w:r>
          </w:p>
        </w:tc>
      </w:tr>
      <w:tr w:rsidR="003A12BF" w:rsidRPr="003A12BF" w14:paraId="49FBFAF0" w14:textId="77777777" w:rsidTr="002D4B7F">
        <w:trPr>
          <w:trHeight w:val="300"/>
        </w:trPr>
        <w:tc>
          <w:tcPr>
            <w:tcW w:w="2977" w:type="dxa"/>
            <w:noWrap/>
            <w:hideMark/>
          </w:tcPr>
          <w:p w14:paraId="7F173F4B" w14:textId="77777777" w:rsidR="003A12BF" w:rsidRPr="003A12BF" w:rsidRDefault="003A12BF" w:rsidP="00F51716">
            <w:pPr>
              <w:pStyle w:val="Tabletext0"/>
            </w:pPr>
            <w:r w:rsidRPr="003A12BF">
              <w:t>30xy Group Pty Ltd</w:t>
            </w:r>
          </w:p>
        </w:tc>
        <w:tc>
          <w:tcPr>
            <w:tcW w:w="4481" w:type="dxa"/>
            <w:noWrap/>
            <w:hideMark/>
          </w:tcPr>
          <w:p w14:paraId="39E42984" w14:textId="77777777" w:rsidR="003A12BF" w:rsidRPr="003A12BF" w:rsidRDefault="003A12BF" w:rsidP="00F51716">
            <w:pPr>
              <w:pStyle w:val="Tabletext0"/>
            </w:pPr>
            <w:r w:rsidRPr="003A12BF">
              <w:t>30XY Group Reclaim Waste Wet Recycling System</w:t>
            </w:r>
          </w:p>
        </w:tc>
        <w:tc>
          <w:tcPr>
            <w:tcW w:w="1440" w:type="dxa"/>
            <w:noWrap/>
            <w:hideMark/>
          </w:tcPr>
          <w:p w14:paraId="01197DCE" w14:textId="77777777" w:rsidR="003A12BF" w:rsidRPr="003A12BF" w:rsidRDefault="003A12BF" w:rsidP="00F51716">
            <w:pPr>
              <w:pStyle w:val="Tabletext0"/>
            </w:pPr>
            <w:r w:rsidRPr="003A12BF">
              <w:t>$30,000.00</w:t>
            </w:r>
          </w:p>
        </w:tc>
      </w:tr>
      <w:tr w:rsidR="003A12BF" w:rsidRPr="003A12BF" w14:paraId="421ABF70" w14:textId="77777777" w:rsidTr="002D4B7F">
        <w:trPr>
          <w:trHeight w:val="300"/>
        </w:trPr>
        <w:tc>
          <w:tcPr>
            <w:tcW w:w="2977" w:type="dxa"/>
            <w:noWrap/>
            <w:hideMark/>
          </w:tcPr>
          <w:p w14:paraId="62D69E61" w14:textId="77777777" w:rsidR="003A12BF" w:rsidRPr="003A12BF" w:rsidRDefault="003A12BF" w:rsidP="00F51716">
            <w:pPr>
              <w:pStyle w:val="Tabletext0"/>
            </w:pPr>
            <w:r w:rsidRPr="003A12BF">
              <w:t>30xy Group Pty Ltd</w:t>
            </w:r>
          </w:p>
        </w:tc>
        <w:tc>
          <w:tcPr>
            <w:tcW w:w="4481" w:type="dxa"/>
            <w:noWrap/>
            <w:hideMark/>
          </w:tcPr>
          <w:p w14:paraId="5E86E8B2" w14:textId="77777777" w:rsidR="003A12BF" w:rsidRPr="003A12BF" w:rsidRDefault="003A12BF" w:rsidP="00F51716">
            <w:pPr>
              <w:pStyle w:val="Tabletext0"/>
            </w:pPr>
            <w:r w:rsidRPr="003A12BF">
              <w:t>30XY Group Reclaim Waste Wet Recycling System</w:t>
            </w:r>
          </w:p>
        </w:tc>
        <w:tc>
          <w:tcPr>
            <w:tcW w:w="1440" w:type="dxa"/>
            <w:noWrap/>
            <w:hideMark/>
          </w:tcPr>
          <w:p w14:paraId="7899DF5C" w14:textId="77777777" w:rsidR="003A12BF" w:rsidRPr="003A12BF" w:rsidRDefault="003A12BF" w:rsidP="00F51716">
            <w:pPr>
              <w:pStyle w:val="Tabletext0"/>
            </w:pPr>
            <w:r w:rsidRPr="003A12BF">
              <w:t>$100,000.00</w:t>
            </w:r>
          </w:p>
        </w:tc>
      </w:tr>
      <w:tr w:rsidR="003A12BF" w:rsidRPr="003A12BF" w14:paraId="3941FC96" w14:textId="77777777" w:rsidTr="002D4B7F">
        <w:trPr>
          <w:trHeight w:val="300"/>
        </w:trPr>
        <w:tc>
          <w:tcPr>
            <w:tcW w:w="2977" w:type="dxa"/>
            <w:noWrap/>
            <w:hideMark/>
          </w:tcPr>
          <w:p w14:paraId="172EFEA3" w14:textId="77777777" w:rsidR="003A12BF" w:rsidRPr="003A12BF" w:rsidRDefault="003A12BF" w:rsidP="00F51716">
            <w:pPr>
              <w:pStyle w:val="Tabletext0"/>
            </w:pPr>
            <w:r w:rsidRPr="003A12BF">
              <w:t>30xy Group Pty Ltd</w:t>
            </w:r>
          </w:p>
        </w:tc>
        <w:tc>
          <w:tcPr>
            <w:tcW w:w="4481" w:type="dxa"/>
            <w:noWrap/>
            <w:hideMark/>
          </w:tcPr>
          <w:p w14:paraId="00EB699E" w14:textId="77777777" w:rsidR="003A12BF" w:rsidRPr="003A12BF" w:rsidRDefault="003A12BF" w:rsidP="00F51716">
            <w:pPr>
              <w:pStyle w:val="Tabletext0"/>
            </w:pPr>
            <w:r w:rsidRPr="003A12BF">
              <w:t>30XY Group Reclaim Waste Wet Recycling System</w:t>
            </w:r>
          </w:p>
        </w:tc>
        <w:tc>
          <w:tcPr>
            <w:tcW w:w="1440" w:type="dxa"/>
            <w:noWrap/>
            <w:hideMark/>
          </w:tcPr>
          <w:p w14:paraId="623F80ED" w14:textId="77777777" w:rsidR="003A12BF" w:rsidRPr="003A12BF" w:rsidRDefault="003A12BF" w:rsidP="00F51716">
            <w:pPr>
              <w:pStyle w:val="Tabletext0"/>
            </w:pPr>
            <w:r w:rsidRPr="003A12BF">
              <w:t>$30,000.00</w:t>
            </w:r>
          </w:p>
        </w:tc>
      </w:tr>
      <w:tr w:rsidR="003A12BF" w:rsidRPr="003A12BF" w14:paraId="24FA1494" w14:textId="77777777" w:rsidTr="002D4B7F">
        <w:trPr>
          <w:trHeight w:val="300"/>
        </w:trPr>
        <w:tc>
          <w:tcPr>
            <w:tcW w:w="2977" w:type="dxa"/>
            <w:noWrap/>
            <w:hideMark/>
          </w:tcPr>
          <w:p w14:paraId="3383C86E" w14:textId="77777777" w:rsidR="003A12BF" w:rsidRPr="003A12BF" w:rsidRDefault="003A12BF" w:rsidP="00F51716">
            <w:pPr>
              <w:pStyle w:val="Tabletext0"/>
            </w:pPr>
            <w:r w:rsidRPr="003A12BF">
              <w:t>30xy Group Pty Ltd</w:t>
            </w:r>
          </w:p>
        </w:tc>
        <w:tc>
          <w:tcPr>
            <w:tcW w:w="4481" w:type="dxa"/>
            <w:noWrap/>
            <w:hideMark/>
          </w:tcPr>
          <w:p w14:paraId="61ACF7CE" w14:textId="77777777" w:rsidR="003A12BF" w:rsidRPr="003A12BF" w:rsidRDefault="003A12BF" w:rsidP="00F51716">
            <w:pPr>
              <w:pStyle w:val="Tabletext0"/>
            </w:pPr>
            <w:r w:rsidRPr="003A12BF">
              <w:t>30XY Group Reclaim Waste Wet Recycling System</w:t>
            </w:r>
          </w:p>
        </w:tc>
        <w:tc>
          <w:tcPr>
            <w:tcW w:w="1440" w:type="dxa"/>
            <w:noWrap/>
            <w:hideMark/>
          </w:tcPr>
          <w:p w14:paraId="43AB7D7E" w14:textId="77777777" w:rsidR="003A12BF" w:rsidRPr="003A12BF" w:rsidRDefault="003A12BF" w:rsidP="00F51716">
            <w:pPr>
              <w:pStyle w:val="Tabletext0"/>
            </w:pPr>
            <w:r w:rsidRPr="003A12BF">
              <w:t>$80,000.00</w:t>
            </w:r>
          </w:p>
        </w:tc>
      </w:tr>
      <w:tr w:rsidR="003A12BF" w:rsidRPr="003A12BF" w14:paraId="04F354EA" w14:textId="77777777" w:rsidTr="002D4B7F">
        <w:trPr>
          <w:trHeight w:val="300"/>
        </w:trPr>
        <w:tc>
          <w:tcPr>
            <w:tcW w:w="2977" w:type="dxa"/>
            <w:noWrap/>
            <w:hideMark/>
          </w:tcPr>
          <w:p w14:paraId="28F44862" w14:textId="77777777" w:rsidR="003A12BF" w:rsidRPr="003A12BF" w:rsidRDefault="003A12BF" w:rsidP="00F51716">
            <w:pPr>
              <w:pStyle w:val="Tabletext0"/>
            </w:pPr>
            <w:r w:rsidRPr="003A12BF">
              <w:t>Officeworks</w:t>
            </w:r>
          </w:p>
        </w:tc>
        <w:tc>
          <w:tcPr>
            <w:tcW w:w="4481" w:type="dxa"/>
            <w:noWrap/>
            <w:hideMark/>
          </w:tcPr>
          <w:p w14:paraId="3E89B08B" w14:textId="77777777" w:rsidR="003A12BF" w:rsidRPr="003A12BF" w:rsidRDefault="003A12BF" w:rsidP="00F51716">
            <w:pPr>
              <w:pStyle w:val="Tabletext0"/>
            </w:pPr>
            <w:r w:rsidRPr="003A12BF">
              <w:t>New Recycling Stations for Officeworks' Product Stewardship Programs</w:t>
            </w:r>
          </w:p>
        </w:tc>
        <w:tc>
          <w:tcPr>
            <w:tcW w:w="1440" w:type="dxa"/>
            <w:noWrap/>
            <w:hideMark/>
          </w:tcPr>
          <w:p w14:paraId="43468F46" w14:textId="77777777" w:rsidR="003A12BF" w:rsidRPr="003A12BF" w:rsidRDefault="003A12BF" w:rsidP="00F51716">
            <w:pPr>
              <w:pStyle w:val="Tabletext0"/>
            </w:pPr>
            <w:r w:rsidRPr="003A12BF">
              <w:t>$5,000.00</w:t>
            </w:r>
          </w:p>
        </w:tc>
      </w:tr>
      <w:tr w:rsidR="003A12BF" w:rsidRPr="003A12BF" w14:paraId="1E2D2A6E" w14:textId="77777777" w:rsidTr="002D4B7F">
        <w:trPr>
          <w:trHeight w:val="300"/>
        </w:trPr>
        <w:tc>
          <w:tcPr>
            <w:tcW w:w="2977" w:type="dxa"/>
            <w:noWrap/>
            <w:hideMark/>
          </w:tcPr>
          <w:p w14:paraId="060D3861" w14:textId="77777777" w:rsidR="003A12BF" w:rsidRPr="003A12BF" w:rsidRDefault="003A12BF" w:rsidP="00F51716">
            <w:pPr>
              <w:pStyle w:val="Tabletext0"/>
            </w:pPr>
            <w:r w:rsidRPr="003A12BF">
              <w:t>Sims Recycling Solutions</w:t>
            </w:r>
          </w:p>
        </w:tc>
        <w:tc>
          <w:tcPr>
            <w:tcW w:w="4481" w:type="dxa"/>
            <w:noWrap/>
            <w:hideMark/>
          </w:tcPr>
          <w:p w14:paraId="44388A86" w14:textId="5F4F7089" w:rsidR="003A12BF" w:rsidRPr="003A12BF" w:rsidRDefault="003A12BF" w:rsidP="00F51716">
            <w:pPr>
              <w:pStyle w:val="Tabletext0"/>
            </w:pPr>
            <w:r w:rsidRPr="003A12BF">
              <w:t xml:space="preserve">Sims Recycling </w:t>
            </w:r>
            <w:r w:rsidR="00737453">
              <w:t>–</w:t>
            </w:r>
            <w:r w:rsidRPr="003A12BF">
              <w:t xml:space="preserve"> E-waste and Battery Recycling Receptacles</w:t>
            </w:r>
          </w:p>
        </w:tc>
        <w:tc>
          <w:tcPr>
            <w:tcW w:w="1440" w:type="dxa"/>
            <w:noWrap/>
            <w:hideMark/>
          </w:tcPr>
          <w:p w14:paraId="482713BE" w14:textId="77777777" w:rsidR="003A12BF" w:rsidRPr="003A12BF" w:rsidRDefault="003A12BF" w:rsidP="00F51716">
            <w:pPr>
              <w:pStyle w:val="Tabletext0"/>
            </w:pPr>
            <w:r w:rsidRPr="003A12BF">
              <w:t>$5,000.00</w:t>
            </w:r>
          </w:p>
        </w:tc>
      </w:tr>
      <w:tr w:rsidR="003A12BF" w:rsidRPr="003A12BF" w14:paraId="023B291D" w14:textId="77777777" w:rsidTr="002D4B7F">
        <w:trPr>
          <w:trHeight w:val="300"/>
        </w:trPr>
        <w:tc>
          <w:tcPr>
            <w:tcW w:w="2977" w:type="dxa"/>
            <w:noWrap/>
            <w:hideMark/>
          </w:tcPr>
          <w:p w14:paraId="45C17F99" w14:textId="77777777" w:rsidR="003A12BF" w:rsidRPr="003A12BF" w:rsidRDefault="003A12BF" w:rsidP="00F51716">
            <w:pPr>
              <w:pStyle w:val="Tabletext0"/>
            </w:pPr>
            <w:r w:rsidRPr="003A12BF">
              <w:t>Sims Recycling Solutions</w:t>
            </w:r>
          </w:p>
        </w:tc>
        <w:tc>
          <w:tcPr>
            <w:tcW w:w="4481" w:type="dxa"/>
            <w:noWrap/>
            <w:hideMark/>
          </w:tcPr>
          <w:p w14:paraId="2B48EEEB" w14:textId="059D1249" w:rsidR="003A12BF" w:rsidRPr="003A12BF" w:rsidRDefault="003A12BF" w:rsidP="00F51716">
            <w:pPr>
              <w:pStyle w:val="Tabletext0"/>
            </w:pPr>
            <w:r w:rsidRPr="003A12BF">
              <w:t xml:space="preserve">Sims Recycling </w:t>
            </w:r>
            <w:r w:rsidR="00737453">
              <w:t>–</w:t>
            </w:r>
            <w:r w:rsidRPr="003A12BF">
              <w:t xml:space="preserve"> E-waste and Battery Recycling Receptacles</w:t>
            </w:r>
          </w:p>
        </w:tc>
        <w:tc>
          <w:tcPr>
            <w:tcW w:w="1440" w:type="dxa"/>
            <w:noWrap/>
            <w:hideMark/>
          </w:tcPr>
          <w:p w14:paraId="28027B26" w14:textId="77777777" w:rsidR="003A12BF" w:rsidRPr="003A12BF" w:rsidRDefault="003A12BF" w:rsidP="00F51716">
            <w:pPr>
              <w:pStyle w:val="Tabletext0"/>
            </w:pPr>
            <w:r w:rsidRPr="003A12BF">
              <w:t>$10,000.00</w:t>
            </w:r>
          </w:p>
        </w:tc>
      </w:tr>
      <w:tr w:rsidR="003A12BF" w:rsidRPr="003A12BF" w14:paraId="5AD52E6E" w14:textId="77777777" w:rsidTr="002D4B7F">
        <w:trPr>
          <w:trHeight w:val="300"/>
        </w:trPr>
        <w:tc>
          <w:tcPr>
            <w:tcW w:w="2977" w:type="dxa"/>
            <w:noWrap/>
            <w:hideMark/>
          </w:tcPr>
          <w:p w14:paraId="32A4FBE0" w14:textId="77777777" w:rsidR="003A12BF" w:rsidRPr="003A12BF" w:rsidRDefault="003A12BF" w:rsidP="00F51716">
            <w:pPr>
              <w:pStyle w:val="Tabletext0"/>
            </w:pPr>
            <w:r w:rsidRPr="003A12BF">
              <w:t>Sims Recycling Solutions</w:t>
            </w:r>
          </w:p>
        </w:tc>
        <w:tc>
          <w:tcPr>
            <w:tcW w:w="4481" w:type="dxa"/>
            <w:noWrap/>
            <w:hideMark/>
          </w:tcPr>
          <w:p w14:paraId="7E5F9F02" w14:textId="75D33E2D" w:rsidR="003A12BF" w:rsidRPr="003A12BF" w:rsidRDefault="003A12BF" w:rsidP="00F51716">
            <w:pPr>
              <w:pStyle w:val="Tabletext0"/>
            </w:pPr>
            <w:r w:rsidRPr="003A12BF">
              <w:t xml:space="preserve">Sims Recycling </w:t>
            </w:r>
            <w:r w:rsidR="00737453">
              <w:t>–</w:t>
            </w:r>
            <w:r w:rsidRPr="003A12BF">
              <w:t xml:space="preserve"> E-waste and Battery Recycling Receptacles</w:t>
            </w:r>
          </w:p>
        </w:tc>
        <w:tc>
          <w:tcPr>
            <w:tcW w:w="1440" w:type="dxa"/>
            <w:noWrap/>
            <w:hideMark/>
          </w:tcPr>
          <w:p w14:paraId="35641061" w14:textId="77777777" w:rsidR="003A12BF" w:rsidRPr="003A12BF" w:rsidRDefault="003A12BF" w:rsidP="00F51716">
            <w:pPr>
              <w:pStyle w:val="Tabletext0"/>
            </w:pPr>
            <w:r w:rsidRPr="003A12BF">
              <w:t>$18,000.00</w:t>
            </w:r>
          </w:p>
        </w:tc>
      </w:tr>
      <w:tr w:rsidR="003A12BF" w:rsidRPr="003A12BF" w14:paraId="417BE526" w14:textId="77777777" w:rsidTr="002D4B7F">
        <w:trPr>
          <w:trHeight w:val="300"/>
        </w:trPr>
        <w:tc>
          <w:tcPr>
            <w:tcW w:w="2977" w:type="dxa"/>
            <w:noWrap/>
            <w:hideMark/>
          </w:tcPr>
          <w:p w14:paraId="3F631FF5" w14:textId="77777777" w:rsidR="003A12BF" w:rsidRPr="003A12BF" w:rsidRDefault="003A12BF" w:rsidP="00F51716">
            <w:pPr>
              <w:pStyle w:val="Tabletext0"/>
            </w:pPr>
            <w:r w:rsidRPr="003A12BF">
              <w:t>Sims Recycling Solutions</w:t>
            </w:r>
          </w:p>
        </w:tc>
        <w:tc>
          <w:tcPr>
            <w:tcW w:w="4481" w:type="dxa"/>
            <w:noWrap/>
            <w:hideMark/>
          </w:tcPr>
          <w:p w14:paraId="58CDC65B" w14:textId="44054560" w:rsidR="003A12BF" w:rsidRPr="003A12BF" w:rsidRDefault="003A12BF" w:rsidP="00F51716">
            <w:pPr>
              <w:pStyle w:val="Tabletext0"/>
            </w:pPr>
            <w:r w:rsidRPr="003A12BF">
              <w:t xml:space="preserve">Sims Recycling </w:t>
            </w:r>
            <w:r w:rsidR="00737453">
              <w:t>–</w:t>
            </w:r>
            <w:r w:rsidRPr="003A12BF">
              <w:t xml:space="preserve"> E-waste and Battery Recycling Receptacles</w:t>
            </w:r>
          </w:p>
        </w:tc>
        <w:tc>
          <w:tcPr>
            <w:tcW w:w="1440" w:type="dxa"/>
            <w:noWrap/>
            <w:hideMark/>
          </w:tcPr>
          <w:p w14:paraId="693F6E6B" w14:textId="77777777" w:rsidR="003A12BF" w:rsidRPr="003A12BF" w:rsidRDefault="003A12BF" w:rsidP="00F51716">
            <w:pPr>
              <w:pStyle w:val="Tabletext0"/>
            </w:pPr>
            <w:r w:rsidRPr="003A12BF">
              <w:t>$9,000.00</w:t>
            </w:r>
          </w:p>
        </w:tc>
      </w:tr>
      <w:tr w:rsidR="003A12BF" w:rsidRPr="003A12BF" w14:paraId="38AD1CB0" w14:textId="77777777" w:rsidTr="002D4B7F">
        <w:trPr>
          <w:trHeight w:val="300"/>
        </w:trPr>
        <w:tc>
          <w:tcPr>
            <w:tcW w:w="2977" w:type="dxa"/>
            <w:noWrap/>
            <w:hideMark/>
          </w:tcPr>
          <w:p w14:paraId="4912BA52" w14:textId="77777777" w:rsidR="003A12BF" w:rsidRPr="003A12BF" w:rsidRDefault="003A12BF" w:rsidP="00F51716">
            <w:pPr>
              <w:pStyle w:val="Tabletext0"/>
            </w:pPr>
            <w:r w:rsidRPr="003A12BF">
              <w:t>Sims Recycling Solutions</w:t>
            </w:r>
          </w:p>
        </w:tc>
        <w:tc>
          <w:tcPr>
            <w:tcW w:w="4481" w:type="dxa"/>
            <w:noWrap/>
            <w:hideMark/>
          </w:tcPr>
          <w:p w14:paraId="6E82BB9F" w14:textId="194345A0" w:rsidR="003A12BF" w:rsidRPr="003A12BF" w:rsidRDefault="003A12BF" w:rsidP="00F51716">
            <w:pPr>
              <w:pStyle w:val="Tabletext0"/>
            </w:pPr>
            <w:r w:rsidRPr="003A12BF">
              <w:t xml:space="preserve">Sims Recycling </w:t>
            </w:r>
            <w:r w:rsidR="00737453">
              <w:t>–</w:t>
            </w:r>
            <w:r w:rsidRPr="003A12BF">
              <w:t xml:space="preserve"> E-waste and Battery Recycling Receptacles</w:t>
            </w:r>
          </w:p>
        </w:tc>
        <w:tc>
          <w:tcPr>
            <w:tcW w:w="1440" w:type="dxa"/>
            <w:noWrap/>
            <w:hideMark/>
          </w:tcPr>
          <w:p w14:paraId="2864A8D1" w14:textId="77777777" w:rsidR="003A12BF" w:rsidRPr="003A12BF" w:rsidRDefault="003A12BF" w:rsidP="00F51716">
            <w:pPr>
              <w:pStyle w:val="Tabletext0"/>
            </w:pPr>
            <w:r w:rsidRPr="003A12BF">
              <w:t>$5,000.00</w:t>
            </w:r>
          </w:p>
        </w:tc>
      </w:tr>
      <w:tr w:rsidR="003A12BF" w:rsidRPr="003A12BF" w14:paraId="568C5010" w14:textId="77777777" w:rsidTr="002D4B7F">
        <w:trPr>
          <w:trHeight w:val="300"/>
        </w:trPr>
        <w:tc>
          <w:tcPr>
            <w:tcW w:w="2977" w:type="dxa"/>
            <w:noWrap/>
            <w:hideMark/>
          </w:tcPr>
          <w:p w14:paraId="64325FB5" w14:textId="77777777" w:rsidR="003A12BF" w:rsidRPr="003A12BF" w:rsidRDefault="003A12BF" w:rsidP="00F51716">
            <w:pPr>
              <w:pStyle w:val="Tabletext0"/>
            </w:pPr>
            <w:r w:rsidRPr="003A12BF">
              <w:t>Melton City Council</w:t>
            </w:r>
          </w:p>
        </w:tc>
        <w:tc>
          <w:tcPr>
            <w:tcW w:w="4481" w:type="dxa"/>
            <w:noWrap/>
            <w:hideMark/>
          </w:tcPr>
          <w:p w14:paraId="7B8E7F70" w14:textId="77777777" w:rsidR="003A12BF" w:rsidRPr="003A12BF" w:rsidRDefault="003A12BF" w:rsidP="00F51716">
            <w:pPr>
              <w:pStyle w:val="Tabletext0"/>
            </w:pPr>
            <w:r w:rsidRPr="003A12BF">
              <w:t>Melton Transfer Station Upgrade</w:t>
            </w:r>
          </w:p>
        </w:tc>
        <w:tc>
          <w:tcPr>
            <w:tcW w:w="1440" w:type="dxa"/>
            <w:noWrap/>
            <w:hideMark/>
          </w:tcPr>
          <w:p w14:paraId="24BBDFFA" w14:textId="77777777" w:rsidR="003A12BF" w:rsidRPr="003A12BF" w:rsidRDefault="003A12BF" w:rsidP="00F51716">
            <w:pPr>
              <w:pStyle w:val="Tabletext0"/>
            </w:pPr>
            <w:r w:rsidRPr="003A12BF">
              <w:t>$150,000.00</w:t>
            </w:r>
          </w:p>
        </w:tc>
      </w:tr>
      <w:tr w:rsidR="003A12BF" w:rsidRPr="003A12BF" w14:paraId="220538F6" w14:textId="77777777" w:rsidTr="002D4B7F">
        <w:trPr>
          <w:trHeight w:val="300"/>
        </w:trPr>
        <w:tc>
          <w:tcPr>
            <w:tcW w:w="2977" w:type="dxa"/>
            <w:noWrap/>
            <w:hideMark/>
          </w:tcPr>
          <w:p w14:paraId="5FE85246" w14:textId="77777777" w:rsidR="003A12BF" w:rsidRPr="003A12BF" w:rsidRDefault="003A12BF" w:rsidP="00F51716">
            <w:pPr>
              <w:pStyle w:val="Tabletext0"/>
            </w:pPr>
            <w:r w:rsidRPr="003A12BF">
              <w:t>Melton City Council</w:t>
            </w:r>
          </w:p>
        </w:tc>
        <w:tc>
          <w:tcPr>
            <w:tcW w:w="4481" w:type="dxa"/>
            <w:noWrap/>
            <w:hideMark/>
          </w:tcPr>
          <w:p w14:paraId="6EA926D0" w14:textId="77777777" w:rsidR="003A12BF" w:rsidRPr="003A12BF" w:rsidRDefault="003A12BF" w:rsidP="00F51716">
            <w:pPr>
              <w:pStyle w:val="Tabletext0"/>
            </w:pPr>
            <w:r w:rsidRPr="003A12BF">
              <w:t>Melton Transfer Station Upgrade</w:t>
            </w:r>
          </w:p>
        </w:tc>
        <w:tc>
          <w:tcPr>
            <w:tcW w:w="1440" w:type="dxa"/>
            <w:noWrap/>
            <w:hideMark/>
          </w:tcPr>
          <w:p w14:paraId="6A42DC2A" w14:textId="77777777" w:rsidR="003A12BF" w:rsidRPr="003A12BF" w:rsidRDefault="003A12BF" w:rsidP="00F51716">
            <w:pPr>
              <w:pStyle w:val="Tabletext0"/>
            </w:pPr>
            <w:r w:rsidRPr="003A12BF">
              <w:t>$27,000.00</w:t>
            </w:r>
          </w:p>
        </w:tc>
      </w:tr>
      <w:tr w:rsidR="003A12BF" w:rsidRPr="003A12BF" w14:paraId="3E37E36A" w14:textId="77777777" w:rsidTr="002D4B7F">
        <w:trPr>
          <w:trHeight w:val="300"/>
        </w:trPr>
        <w:tc>
          <w:tcPr>
            <w:tcW w:w="2977" w:type="dxa"/>
            <w:noWrap/>
            <w:hideMark/>
          </w:tcPr>
          <w:p w14:paraId="3D66F8F4" w14:textId="77777777" w:rsidR="003A12BF" w:rsidRPr="003A12BF" w:rsidRDefault="003A12BF" w:rsidP="00F51716">
            <w:pPr>
              <w:pStyle w:val="Tabletext0"/>
            </w:pPr>
            <w:r w:rsidRPr="003A12BF">
              <w:t>Melton City Council</w:t>
            </w:r>
          </w:p>
        </w:tc>
        <w:tc>
          <w:tcPr>
            <w:tcW w:w="4481" w:type="dxa"/>
            <w:noWrap/>
            <w:hideMark/>
          </w:tcPr>
          <w:p w14:paraId="32697C56" w14:textId="77777777" w:rsidR="003A12BF" w:rsidRPr="003A12BF" w:rsidRDefault="003A12BF" w:rsidP="00F51716">
            <w:pPr>
              <w:pStyle w:val="Tabletext0"/>
            </w:pPr>
            <w:r w:rsidRPr="003A12BF">
              <w:t>Melton Transfer Station Upgrade</w:t>
            </w:r>
          </w:p>
        </w:tc>
        <w:tc>
          <w:tcPr>
            <w:tcW w:w="1440" w:type="dxa"/>
            <w:noWrap/>
            <w:hideMark/>
          </w:tcPr>
          <w:p w14:paraId="13D3C4F7" w14:textId="77777777" w:rsidR="003A12BF" w:rsidRPr="003A12BF" w:rsidRDefault="003A12BF" w:rsidP="00F51716">
            <w:pPr>
              <w:pStyle w:val="Tabletext0"/>
            </w:pPr>
            <w:r w:rsidRPr="003A12BF">
              <w:t>$24,500.00</w:t>
            </w:r>
          </w:p>
        </w:tc>
      </w:tr>
      <w:tr w:rsidR="003A12BF" w:rsidRPr="003A12BF" w14:paraId="33663518" w14:textId="77777777" w:rsidTr="002D4B7F">
        <w:trPr>
          <w:trHeight w:val="300"/>
        </w:trPr>
        <w:tc>
          <w:tcPr>
            <w:tcW w:w="2977" w:type="dxa"/>
            <w:noWrap/>
            <w:hideMark/>
          </w:tcPr>
          <w:p w14:paraId="011C2F61" w14:textId="77777777" w:rsidR="003A12BF" w:rsidRPr="003A12BF" w:rsidRDefault="003A12BF" w:rsidP="00F51716">
            <w:pPr>
              <w:pStyle w:val="Tabletext0"/>
            </w:pPr>
            <w:r w:rsidRPr="003A12BF">
              <w:t>Yarra City Council</w:t>
            </w:r>
          </w:p>
        </w:tc>
        <w:tc>
          <w:tcPr>
            <w:tcW w:w="4481" w:type="dxa"/>
            <w:noWrap/>
            <w:hideMark/>
          </w:tcPr>
          <w:p w14:paraId="315255DC" w14:textId="77777777" w:rsidR="003A12BF" w:rsidRPr="003A12BF" w:rsidRDefault="003A12BF" w:rsidP="00F51716">
            <w:pPr>
              <w:pStyle w:val="Tabletext0"/>
            </w:pPr>
            <w:r w:rsidRPr="003A12BF">
              <w:t>Closing the Loop on Yarra's Food Waste</w:t>
            </w:r>
          </w:p>
        </w:tc>
        <w:tc>
          <w:tcPr>
            <w:tcW w:w="1440" w:type="dxa"/>
            <w:noWrap/>
            <w:hideMark/>
          </w:tcPr>
          <w:p w14:paraId="3EB4A68D" w14:textId="77777777" w:rsidR="003A12BF" w:rsidRPr="003A12BF" w:rsidRDefault="003A12BF" w:rsidP="00F51716">
            <w:pPr>
              <w:pStyle w:val="Tabletext0"/>
            </w:pPr>
            <w:r w:rsidRPr="003A12BF">
              <w:t>$65,000.00</w:t>
            </w:r>
          </w:p>
        </w:tc>
      </w:tr>
      <w:tr w:rsidR="003A12BF" w:rsidRPr="003A12BF" w14:paraId="437438E5" w14:textId="77777777" w:rsidTr="002D4B7F">
        <w:trPr>
          <w:trHeight w:val="300"/>
        </w:trPr>
        <w:tc>
          <w:tcPr>
            <w:tcW w:w="2977" w:type="dxa"/>
            <w:noWrap/>
            <w:hideMark/>
          </w:tcPr>
          <w:p w14:paraId="730FAEFC" w14:textId="77777777" w:rsidR="003A12BF" w:rsidRPr="003A12BF" w:rsidRDefault="003A12BF" w:rsidP="00F51716">
            <w:pPr>
              <w:pStyle w:val="Tabletext0"/>
            </w:pPr>
            <w:r w:rsidRPr="003A12BF">
              <w:t>Yarra City Council</w:t>
            </w:r>
          </w:p>
        </w:tc>
        <w:tc>
          <w:tcPr>
            <w:tcW w:w="4481" w:type="dxa"/>
            <w:noWrap/>
            <w:hideMark/>
          </w:tcPr>
          <w:p w14:paraId="3BB8EE83" w14:textId="77777777" w:rsidR="003A12BF" w:rsidRPr="003A12BF" w:rsidRDefault="003A12BF" w:rsidP="00F51716">
            <w:pPr>
              <w:pStyle w:val="Tabletext0"/>
            </w:pPr>
            <w:r w:rsidRPr="003A12BF">
              <w:t>Closing the Loop on Yarra's Food Waste</w:t>
            </w:r>
          </w:p>
        </w:tc>
        <w:tc>
          <w:tcPr>
            <w:tcW w:w="1440" w:type="dxa"/>
            <w:noWrap/>
            <w:hideMark/>
          </w:tcPr>
          <w:p w14:paraId="40A2DFE5" w14:textId="77777777" w:rsidR="003A12BF" w:rsidRPr="003A12BF" w:rsidRDefault="003A12BF" w:rsidP="00F51716">
            <w:pPr>
              <w:pStyle w:val="Tabletext0"/>
            </w:pPr>
            <w:r w:rsidRPr="003A12BF">
              <w:t>$40,000.00</w:t>
            </w:r>
          </w:p>
        </w:tc>
      </w:tr>
      <w:tr w:rsidR="003A12BF" w:rsidRPr="003A12BF" w14:paraId="36CD17BC" w14:textId="77777777" w:rsidTr="002D4B7F">
        <w:trPr>
          <w:trHeight w:val="300"/>
        </w:trPr>
        <w:tc>
          <w:tcPr>
            <w:tcW w:w="2977" w:type="dxa"/>
            <w:noWrap/>
            <w:hideMark/>
          </w:tcPr>
          <w:p w14:paraId="5CB787D3" w14:textId="77777777" w:rsidR="003A12BF" w:rsidRPr="003A12BF" w:rsidRDefault="003A12BF" w:rsidP="00F51716">
            <w:pPr>
              <w:pStyle w:val="Tabletext0"/>
            </w:pPr>
            <w:r w:rsidRPr="003A12BF">
              <w:t>Yarra City Council</w:t>
            </w:r>
          </w:p>
        </w:tc>
        <w:tc>
          <w:tcPr>
            <w:tcW w:w="4481" w:type="dxa"/>
            <w:noWrap/>
            <w:hideMark/>
          </w:tcPr>
          <w:p w14:paraId="07E2934E" w14:textId="77777777" w:rsidR="003A12BF" w:rsidRPr="003A12BF" w:rsidRDefault="003A12BF" w:rsidP="00F51716">
            <w:pPr>
              <w:pStyle w:val="Tabletext0"/>
            </w:pPr>
            <w:r w:rsidRPr="003A12BF">
              <w:t>Closing the Loop on Yarra's Food Waste</w:t>
            </w:r>
          </w:p>
        </w:tc>
        <w:tc>
          <w:tcPr>
            <w:tcW w:w="1440" w:type="dxa"/>
            <w:noWrap/>
            <w:hideMark/>
          </w:tcPr>
          <w:p w14:paraId="1A39CF29" w14:textId="77777777" w:rsidR="003A12BF" w:rsidRPr="003A12BF" w:rsidRDefault="003A12BF" w:rsidP="00F51716">
            <w:pPr>
              <w:pStyle w:val="Tabletext0"/>
            </w:pPr>
            <w:r w:rsidRPr="003A12BF">
              <w:t>$5,000.00</w:t>
            </w:r>
          </w:p>
        </w:tc>
      </w:tr>
      <w:tr w:rsidR="003A12BF" w:rsidRPr="003A12BF" w14:paraId="265E5FE2" w14:textId="77777777" w:rsidTr="002D4B7F">
        <w:trPr>
          <w:trHeight w:val="300"/>
        </w:trPr>
        <w:tc>
          <w:tcPr>
            <w:tcW w:w="2977" w:type="dxa"/>
            <w:noWrap/>
            <w:hideMark/>
          </w:tcPr>
          <w:p w14:paraId="751457D8" w14:textId="77777777" w:rsidR="003A12BF" w:rsidRPr="003A12BF" w:rsidRDefault="003A12BF" w:rsidP="00F51716">
            <w:pPr>
              <w:pStyle w:val="Tabletext0"/>
            </w:pPr>
            <w:r w:rsidRPr="003A12BF">
              <w:t>Wangaratta Rural City Council</w:t>
            </w:r>
          </w:p>
        </w:tc>
        <w:tc>
          <w:tcPr>
            <w:tcW w:w="4481" w:type="dxa"/>
            <w:noWrap/>
            <w:hideMark/>
          </w:tcPr>
          <w:p w14:paraId="287ADD6D" w14:textId="44D2C51F" w:rsidR="003A12BF" w:rsidRPr="003A12BF" w:rsidRDefault="003A12BF" w:rsidP="00F51716">
            <w:pPr>
              <w:pStyle w:val="Tabletext0"/>
            </w:pPr>
            <w:r w:rsidRPr="003A12BF">
              <w:t xml:space="preserve">Wangaratta </w:t>
            </w:r>
            <w:r w:rsidR="00737453">
              <w:t>–</w:t>
            </w:r>
            <w:r w:rsidRPr="003A12BF">
              <w:t xml:space="preserve"> Regional Organics Processing Plant</w:t>
            </w:r>
          </w:p>
        </w:tc>
        <w:tc>
          <w:tcPr>
            <w:tcW w:w="1440" w:type="dxa"/>
            <w:noWrap/>
            <w:hideMark/>
          </w:tcPr>
          <w:p w14:paraId="0C8D5E11" w14:textId="77777777" w:rsidR="003A12BF" w:rsidRPr="003A12BF" w:rsidRDefault="003A12BF" w:rsidP="00F51716">
            <w:pPr>
              <w:pStyle w:val="Tabletext0"/>
            </w:pPr>
            <w:r w:rsidRPr="003A12BF">
              <w:t>$47,500.00</w:t>
            </w:r>
          </w:p>
        </w:tc>
      </w:tr>
      <w:tr w:rsidR="003A12BF" w:rsidRPr="003A12BF" w14:paraId="204AB5A1" w14:textId="77777777" w:rsidTr="002D4B7F">
        <w:trPr>
          <w:trHeight w:val="300"/>
        </w:trPr>
        <w:tc>
          <w:tcPr>
            <w:tcW w:w="2977" w:type="dxa"/>
            <w:noWrap/>
            <w:hideMark/>
          </w:tcPr>
          <w:p w14:paraId="0D91334D" w14:textId="77777777" w:rsidR="003A12BF" w:rsidRPr="003A12BF" w:rsidRDefault="003A12BF" w:rsidP="00F51716">
            <w:pPr>
              <w:pStyle w:val="Tabletext0"/>
            </w:pPr>
            <w:r w:rsidRPr="003A12BF">
              <w:t>Wangaratta Rural City Council</w:t>
            </w:r>
          </w:p>
        </w:tc>
        <w:tc>
          <w:tcPr>
            <w:tcW w:w="4481" w:type="dxa"/>
            <w:noWrap/>
            <w:hideMark/>
          </w:tcPr>
          <w:p w14:paraId="1669CE6B" w14:textId="64E1005D" w:rsidR="003A12BF" w:rsidRPr="003A12BF" w:rsidRDefault="003A12BF" w:rsidP="00F51716">
            <w:pPr>
              <w:pStyle w:val="Tabletext0"/>
            </w:pPr>
            <w:r w:rsidRPr="003A12BF">
              <w:t xml:space="preserve">Wangaratta </w:t>
            </w:r>
            <w:r w:rsidR="00737453">
              <w:t>–</w:t>
            </w:r>
            <w:r w:rsidRPr="003A12BF">
              <w:t xml:space="preserve"> Regional Organics Processing Plant</w:t>
            </w:r>
          </w:p>
        </w:tc>
        <w:tc>
          <w:tcPr>
            <w:tcW w:w="1440" w:type="dxa"/>
            <w:noWrap/>
            <w:hideMark/>
          </w:tcPr>
          <w:p w14:paraId="7420903F" w14:textId="77777777" w:rsidR="003A12BF" w:rsidRPr="003A12BF" w:rsidRDefault="003A12BF" w:rsidP="00F51716">
            <w:pPr>
              <w:pStyle w:val="Tabletext0"/>
            </w:pPr>
            <w:r w:rsidRPr="003A12BF">
              <w:t>$71,250.00</w:t>
            </w:r>
          </w:p>
        </w:tc>
      </w:tr>
      <w:tr w:rsidR="003A12BF" w:rsidRPr="003A12BF" w14:paraId="77E9DC3D" w14:textId="77777777" w:rsidTr="002D4B7F">
        <w:trPr>
          <w:trHeight w:val="300"/>
        </w:trPr>
        <w:tc>
          <w:tcPr>
            <w:tcW w:w="2977" w:type="dxa"/>
            <w:noWrap/>
            <w:hideMark/>
          </w:tcPr>
          <w:p w14:paraId="6D2694F6" w14:textId="77777777" w:rsidR="003A12BF" w:rsidRPr="003A12BF" w:rsidRDefault="003A12BF" w:rsidP="00F51716">
            <w:pPr>
              <w:pStyle w:val="Tabletext0"/>
            </w:pPr>
            <w:r w:rsidRPr="003A12BF">
              <w:t>Wangaratta Rural City Council</w:t>
            </w:r>
          </w:p>
        </w:tc>
        <w:tc>
          <w:tcPr>
            <w:tcW w:w="4481" w:type="dxa"/>
            <w:noWrap/>
            <w:hideMark/>
          </w:tcPr>
          <w:p w14:paraId="7C2D9966" w14:textId="26D7E247" w:rsidR="003A12BF" w:rsidRPr="003A12BF" w:rsidRDefault="003A12BF" w:rsidP="00F51716">
            <w:pPr>
              <w:pStyle w:val="Tabletext0"/>
            </w:pPr>
            <w:r w:rsidRPr="003A12BF">
              <w:t xml:space="preserve">Wangaratta </w:t>
            </w:r>
            <w:r w:rsidR="00737453">
              <w:t>–</w:t>
            </w:r>
            <w:r w:rsidRPr="003A12BF">
              <w:t xml:space="preserve"> Regional Organics Processing Plant</w:t>
            </w:r>
          </w:p>
        </w:tc>
        <w:tc>
          <w:tcPr>
            <w:tcW w:w="1440" w:type="dxa"/>
            <w:noWrap/>
            <w:hideMark/>
          </w:tcPr>
          <w:p w14:paraId="7C62DDF4" w14:textId="77777777" w:rsidR="003A12BF" w:rsidRPr="003A12BF" w:rsidRDefault="003A12BF" w:rsidP="00F51716">
            <w:pPr>
              <w:pStyle w:val="Tabletext0"/>
            </w:pPr>
            <w:r w:rsidRPr="003A12BF">
              <w:t>$90,000.00</w:t>
            </w:r>
          </w:p>
        </w:tc>
      </w:tr>
      <w:tr w:rsidR="003A12BF" w:rsidRPr="003A12BF" w14:paraId="4992B5F1" w14:textId="77777777" w:rsidTr="002D4B7F">
        <w:trPr>
          <w:trHeight w:val="300"/>
        </w:trPr>
        <w:tc>
          <w:tcPr>
            <w:tcW w:w="2977" w:type="dxa"/>
            <w:noWrap/>
            <w:hideMark/>
          </w:tcPr>
          <w:p w14:paraId="61B30113" w14:textId="77777777" w:rsidR="003A12BF" w:rsidRPr="003A12BF" w:rsidRDefault="003A12BF" w:rsidP="00F51716">
            <w:pPr>
              <w:pStyle w:val="Tabletext0"/>
            </w:pPr>
            <w:r w:rsidRPr="003A12BF">
              <w:t>Wangaratta Rural City Council</w:t>
            </w:r>
          </w:p>
        </w:tc>
        <w:tc>
          <w:tcPr>
            <w:tcW w:w="4481" w:type="dxa"/>
            <w:noWrap/>
            <w:hideMark/>
          </w:tcPr>
          <w:p w14:paraId="2B3D2BEA" w14:textId="77777777" w:rsidR="003A12BF" w:rsidRPr="003A12BF" w:rsidRDefault="003A12BF" w:rsidP="00F51716">
            <w:pPr>
              <w:pStyle w:val="Tabletext0"/>
            </w:pPr>
            <w:r w:rsidRPr="003A12BF">
              <w:t>Wangaratta - Regional Organics Processing Plant</w:t>
            </w:r>
          </w:p>
        </w:tc>
        <w:tc>
          <w:tcPr>
            <w:tcW w:w="1440" w:type="dxa"/>
            <w:noWrap/>
            <w:hideMark/>
          </w:tcPr>
          <w:p w14:paraId="64CA8D11" w14:textId="77777777" w:rsidR="003A12BF" w:rsidRPr="003A12BF" w:rsidRDefault="003A12BF" w:rsidP="00F51716">
            <w:pPr>
              <w:pStyle w:val="Tabletext0"/>
            </w:pPr>
            <w:r w:rsidRPr="003A12BF">
              <w:t>$90,000.00</w:t>
            </w:r>
          </w:p>
        </w:tc>
      </w:tr>
      <w:tr w:rsidR="003A12BF" w:rsidRPr="003A12BF" w14:paraId="5DC42BE0" w14:textId="77777777" w:rsidTr="002D4B7F">
        <w:trPr>
          <w:trHeight w:val="300"/>
        </w:trPr>
        <w:tc>
          <w:tcPr>
            <w:tcW w:w="2977" w:type="dxa"/>
            <w:noWrap/>
            <w:hideMark/>
          </w:tcPr>
          <w:p w14:paraId="1C5AC68E" w14:textId="77777777" w:rsidR="003A12BF" w:rsidRPr="003A12BF" w:rsidRDefault="003A12BF" w:rsidP="00F51716">
            <w:pPr>
              <w:pStyle w:val="Tabletext0"/>
            </w:pPr>
            <w:r w:rsidRPr="003A12BF">
              <w:t>Moira Shire Council</w:t>
            </w:r>
          </w:p>
        </w:tc>
        <w:tc>
          <w:tcPr>
            <w:tcW w:w="4481" w:type="dxa"/>
            <w:noWrap/>
            <w:hideMark/>
          </w:tcPr>
          <w:p w14:paraId="617FED8E" w14:textId="77777777" w:rsidR="003A12BF" w:rsidRPr="003A12BF" w:rsidRDefault="003A12BF" w:rsidP="00F51716">
            <w:pPr>
              <w:pStyle w:val="Tabletext0"/>
            </w:pPr>
            <w:r w:rsidRPr="003A12BF">
              <w:t>Moira – Cobram Commercial Waste Sorting Facility</w:t>
            </w:r>
          </w:p>
        </w:tc>
        <w:tc>
          <w:tcPr>
            <w:tcW w:w="1440" w:type="dxa"/>
            <w:noWrap/>
            <w:hideMark/>
          </w:tcPr>
          <w:p w14:paraId="03C954BB" w14:textId="77777777" w:rsidR="003A12BF" w:rsidRPr="003A12BF" w:rsidRDefault="003A12BF" w:rsidP="00F51716">
            <w:pPr>
              <w:pStyle w:val="Tabletext0"/>
            </w:pPr>
            <w:r w:rsidRPr="003A12BF">
              <w:t>$80,000.00</w:t>
            </w:r>
          </w:p>
        </w:tc>
      </w:tr>
      <w:tr w:rsidR="003A12BF" w:rsidRPr="003A12BF" w14:paraId="4CDAD413" w14:textId="77777777" w:rsidTr="002D4B7F">
        <w:trPr>
          <w:trHeight w:val="300"/>
        </w:trPr>
        <w:tc>
          <w:tcPr>
            <w:tcW w:w="2977" w:type="dxa"/>
            <w:noWrap/>
            <w:hideMark/>
          </w:tcPr>
          <w:p w14:paraId="49D41514" w14:textId="77777777" w:rsidR="003A12BF" w:rsidRPr="003A12BF" w:rsidRDefault="003A12BF" w:rsidP="00F51716">
            <w:pPr>
              <w:pStyle w:val="Tabletext0"/>
            </w:pPr>
            <w:r w:rsidRPr="003A12BF">
              <w:t>Moira Shire Council</w:t>
            </w:r>
          </w:p>
        </w:tc>
        <w:tc>
          <w:tcPr>
            <w:tcW w:w="4481" w:type="dxa"/>
            <w:noWrap/>
            <w:hideMark/>
          </w:tcPr>
          <w:p w14:paraId="68397EE6" w14:textId="77777777" w:rsidR="003A12BF" w:rsidRPr="003A12BF" w:rsidRDefault="003A12BF" w:rsidP="00F51716">
            <w:pPr>
              <w:pStyle w:val="Tabletext0"/>
            </w:pPr>
            <w:r w:rsidRPr="003A12BF">
              <w:t>Moira – Cobram Commercial Waste Sorting Facility</w:t>
            </w:r>
          </w:p>
        </w:tc>
        <w:tc>
          <w:tcPr>
            <w:tcW w:w="1440" w:type="dxa"/>
            <w:noWrap/>
            <w:hideMark/>
          </w:tcPr>
          <w:p w14:paraId="00C62735" w14:textId="77777777" w:rsidR="003A12BF" w:rsidRPr="003A12BF" w:rsidRDefault="003A12BF" w:rsidP="00F51716">
            <w:pPr>
              <w:pStyle w:val="Tabletext0"/>
            </w:pPr>
            <w:r w:rsidRPr="003A12BF">
              <w:t>$125,000.00</w:t>
            </w:r>
          </w:p>
        </w:tc>
      </w:tr>
      <w:tr w:rsidR="003A12BF" w:rsidRPr="003A12BF" w14:paraId="2DF24F0B" w14:textId="77777777" w:rsidTr="002D4B7F">
        <w:trPr>
          <w:trHeight w:val="300"/>
        </w:trPr>
        <w:tc>
          <w:tcPr>
            <w:tcW w:w="2977" w:type="dxa"/>
            <w:noWrap/>
            <w:hideMark/>
          </w:tcPr>
          <w:p w14:paraId="0206C31C" w14:textId="77777777" w:rsidR="003A12BF" w:rsidRPr="003A12BF" w:rsidRDefault="003A12BF" w:rsidP="00F51716">
            <w:pPr>
              <w:pStyle w:val="Tabletext0"/>
            </w:pPr>
            <w:r w:rsidRPr="003A12BF">
              <w:t>Yarriambiack Shire Council</w:t>
            </w:r>
          </w:p>
        </w:tc>
        <w:tc>
          <w:tcPr>
            <w:tcW w:w="4481" w:type="dxa"/>
            <w:noWrap/>
            <w:hideMark/>
          </w:tcPr>
          <w:p w14:paraId="5877BED2" w14:textId="43108640" w:rsidR="003A12BF" w:rsidRPr="003A12BF" w:rsidRDefault="003A12BF" w:rsidP="00F51716">
            <w:pPr>
              <w:pStyle w:val="Tabletext0"/>
            </w:pPr>
            <w:r w:rsidRPr="003A12BF">
              <w:t xml:space="preserve">Yarriambiack </w:t>
            </w:r>
            <w:r w:rsidR="00737453">
              <w:t>–</w:t>
            </w:r>
            <w:r w:rsidRPr="003A12BF">
              <w:t xml:space="preserve"> Warracknabeal Transfer Station Upgrade</w:t>
            </w:r>
          </w:p>
        </w:tc>
        <w:tc>
          <w:tcPr>
            <w:tcW w:w="1440" w:type="dxa"/>
            <w:noWrap/>
            <w:hideMark/>
          </w:tcPr>
          <w:p w14:paraId="04E05A3B" w14:textId="77777777" w:rsidR="003A12BF" w:rsidRPr="003A12BF" w:rsidRDefault="003A12BF" w:rsidP="00F51716">
            <w:pPr>
              <w:pStyle w:val="Tabletext0"/>
            </w:pPr>
            <w:r w:rsidRPr="003A12BF">
              <w:t>$85,000.00</w:t>
            </w:r>
          </w:p>
        </w:tc>
      </w:tr>
      <w:tr w:rsidR="003A12BF" w:rsidRPr="003A12BF" w14:paraId="47455F5E" w14:textId="77777777" w:rsidTr="002D4B7F">
        <w:trPr>
          <w:trHeight w:val="300"/>
        </w:trPr>
        <w:tc>
          <w:tcPr>
            <w:tcW w:w="2977" w:type="dxa"/>
            <w:noWrap/>
            <w:hideMark/>
          </w:tcPr>
          <w:p w14:paraId="43CF2905" w14:textId="77777777" w:rsidR="003A12BF" w:rsidRPr="003A12BF" w:rsidRDefault="003A12BF" w:rsidP="00F51716">
            <w:pPr>
              <w:pStyle w:val="Tabletext0"/>
            </w:pPr>
            <w:r w:rsidRPr="003A12BF">
              <w:t>Mitchell Shire Council</w:t>
            </w:r>
          </w:p>
        </w:tc>
        <w:tc>
          <w:tcPr>
            <w:tcW w:w="4481" w:type="dxa"/>
            <w:noWrap/>
            <w:hideMark/>
          </w:tcPr>
          <w:p w14:paraId="7D657E5A" w14:textId="6BFB1186" w:rsidR="003A12BF" w:rsidRPr="003A12BF" w:rsidRDefault="003A12BF" w:rsidP="00F51716">
            <w:pPr>
              <w:pStyle w:val="Tabletext0"/>
            </w:pPr>
            <w:r w:rsidRPr="003A12BF">
              <w:t xml:space="preserve">Mitchell Shire Council </w:t>
            </w:r>
            <w:r w:rsidR="00737453">
              <w:t>–</w:t>
            </w:r>
            <w:r w:rsidRPr="003A12BF">
              <w:t xml:space="preserve"> Seymour RRC</w:t>
            </w:r>
          </w:p>
        </w:tc>
        <w:tc>
          <w:tcPr>
            <w:tcW w:w="1440" w:type="dxa"/>
            <w:noWrap/>
            <w:hideMark/>
          </w:tcPr>
          <w:p w14:paraId="39AD4539" w14:textId="77777777" w:rsidR="003A12BF" w:rsidRPr="003A12BF" w:rsidRDefault="003A12BF" w:rsidP="00F51716">
            <w:pPr>
              <w:pStyle w:val="Tabletext0"/>
            </w:pPr>
            <w:r w:rsidRPr="003A12BF">
              <w:t>$30,000.00</w:t>
            </w:r>
          </w:p>
        </w:tc>
      </w:tr>
      <w:tr w:rsidR="003A12BF" w:rsidRPr="003A12BF" w14:paraId="2FDB94C6" w14:textId="77777777" w:rsidTr="002D4B7F">
        <w:trPr>
          <w:trHeight w:val="300"/>
        </w:trPr>
        <w:tc>
          <w:tcPr>
            <w:tcW w:w="2977" w:type="dxa"/>
            <w:noWrap/>
            <w:hideMark/>
          </w:tcPr>
          <w:p w14:paraId="4B6873D0" w14:textId="77777777" w:rsidR="003A12BF" w:rsidRPr="003A12BF" w:rsidRDefault="003A12BF" w:rsidP="00F51716">
            <w:pPr>
              <w:pStyle w:val="Tabletext0"/>
            </w:pPr>
            <w:r w:rsidRPr="003A12BF">
              <w:t>Warrnambool City Council</w:t>
            </w:r>
          </w:p>
        </w:tc>
        <w:tc>
          <w:tcPr>
            <w:tcW w:w="4481" w:type="dxa"/>
            <w:noWrap/>
            <w:hideMark/>
          </w:tcPr>
          <w:p w14:paraId="012FC42A" w14:textId="77777777" w:rsidR="003A12BF" w:rsidRPr="003A12BF" w:rsidRDefault="003A12BF" w:rsidP="00F51716">
            <w:pPr>
              <w:pStyle w:val="Tabletext0"/>
            </w:pPr>
            <w:r w:rsidRPr="003A12BF">
              <w:t>FOGO's a GOGO. "If it Grows in it Goes"</w:t>
            </w:r>
          </w:p>
        </w:tc>
        <w:tc>
          <w:tcPr>
            <w:tcW w:w="1440" w:type="dxa"/>
            <w:noWrap/>
            <w:hideMark/>
          </w:tcPr>
          <w:p w14:paraId="20852B51" w14:textId="77777777" w:rsidR="003A12BF" w:rsidRPr="003A12BF" w:rsidRDefault="003A12BF" w:rsidP="00F51716">
            <w:pPr>
              <w:pStyle w:val="Tabletext0"/>
            </w:pPr>
            <w:r w:rsidRPr="003A12BF">
              <w:t>$9,000.00</w:t>
            </w:r>
          </w:p>
        </w:tc>
      </w:tr>
      <w:tr w:rsidR="003A12BF" w:rsidRPr="003A12BF" w14:paraId="3C6C3467" w14:textId="77777777" w:rsidTr="002D4B7F">
        <w:trPr>
          <w:trHeight w:val="300"/>
        </w:trPr>
        <w:tc>
          <w:tcPr>
            <w:tcW w:w="2977" w:type="dxa"/>
            <w:noWrap/>
            <w:hideMark/>
          </w:tcPr>
          <w:p w14:paraId="15E746D0" w14:textId="77777777" w:rsidR="003A12BF" w:rsidRPr="003A12BF" w:rsidRDefault="003A12BF" w:rsidP="00F51716">
            <w:pPr>
              <w:pStyle w:val="Tabletext0"/>
            </w:pPr>
            <w:r w:rsidRPr="003A12BF">
              <w:t>Macedon Ranges Shire Council</w:t>
            </w:r>
          </w:p>
        </w:tc>
        <w:tc>
          <w:tcPr>
            <w:tcW w:w="4481" w:type="dxa"/>
            <w:noWrap/>
            <w:hideMark/>
          </w:tcPr>
          <w:p w14:paraId="64945158" w14:textId="77777777" w:rsidR="003A12BF" w:rsidRPr="003A12BF" w:rsidRDefault="003A12BF" w:rsidP="00F51716">
            <w:pPr>
              <w:pStyle w:val="Tabletext0"/>
            </w:pPr>
            <w:r w:rsidRPr="003A12BF">
              <w:t>Kerbside Food Organics Garden Organics (FOGO) Service Infrastructure</w:t>
            </w:r>
          </w:p>
        </w:tc>
        <w:tc>
          <w:tcPr>
            <w:tcW w:w="1440" w:type="dxa"/>
            <w:noWrap/>
            <w:hideMark/>
          </w:tcPr>
          <w:p w14:paraId="290192DF" w14:textId="77777777" w:rsidR="003A12BF" w:rsidRPr="003A12BF" w:rsidRDefault="003A12BF" w:rsidP="00F51716">
            <w:pPr>
              <w:pStyle w:val="Tabletext0"/>
            </w:pPr>
            <w:r w:rsidRPr="003A12BF">
              <w:t>$20,000.00</w:t>
            </w:r>
          </w:p>
        </w:tc>
      </w:tr>
      <w:tr w:rsidR="003A12BF" w:rsidRPr="003A12BF" w14:paraId="1CF16B6C" w14:textId="77777777" w:rsidTr="002D4B7F">
        <w:trPr>
          <w:trHeight w:val="300"/>
        </w:trPr>
        <w:tc>
          <w:tcPr>
            <w:tcW w:w="2977" w:type="dxa"/>
            <w:noWrap/>
            <w:hideMark/>
          </w:tcPr>
          <w:p w14:paraId="1E232086" w14:textId="332473B6" w:rsidR="003A12BF" w:rsidRPr="003A12BF" w:rsidRDefault="00AB668E" w:rsidP="00F51716">
            <w:pPr>
              <w:pStyle w:val="Tabletext0"/>
            </w:pPr>
            <w:r>
              <w:t>F</w:t>
            </w:r>
            <w:r w:rsidR="003A12BF" w:rsidRPr="003A12BF">
              <w:t>Macedon Ranges Shire Council</w:t>
            </w:r>
          </w:p>
        </w:tc>
        <w:tc>
          <w:tcPr>
            <w:tcW w:w="4481" w:type="dxa"/>
            <w:noWrap/>
            <w:hideMark/>
          </w:tcPr>
          <w:p w14:paraId="44A364A2" w14:textId="77777777" w:rsidR="003A12BF" w:rsidRPr="003A12BF" w:rsidRDefault="003A12BF" w:rsidP="00F51716">
            <w:pPr>
              <w:pStyle w:val="Tabletext0"/>
            </w:pPr>
            <w:r w:rsidRPr="003A12BF">
              <w:t>Kerbside Food Organics Garden Organics (FOGO) Service Infrastructure</w:t>
            </w:r>
          </w:p>
        </w:tc>
        <w:tc>
          <w:tcPr>
            <w:tcW w:w="1440" w:type="dxa"/>
            <w:noWrap/>
            <w:hideMark/>
          </w:tcPr>
          <w:p w14:paraId="4B587E48" w14:textId="77777777" w:rsidR="003A12BF" w:rsidRPr="003A12BF" w:rsidRDefault="003A12BF" w:rsidP="00F51716">
            <w:pPr>
              <w:pStyle w:val="Tabletext0"/>
            </w:pPr>
            <w:r w:rsidRPr="003A12BF">
              <w:t>$140,000.00</w:t>
            </w:r>
          </w:p>
        </w:tc>
      </w:tr>
      <w:tr w:rsidR="003A12BF" w:rsidRPr="003A12BF" w14:paraId="08616CE5" w14:textId="77777777" w:rsidTr="002D4B7F">
        <w:trPr>
          <w:trHeight w:val="300"/>
        </w:trPr>
        <w:tc>
          <w:tcPr>
            <w:tcW w:w="2977" w:type="dxa"/>
            <w:noWrap/>
            <w:hideMark/>
          </w:tcPr>
          <w:p w14:paraId="74B2CAD9" w14:textId="77777777" w:rsidR="003A12BF" w:rsidRPr="003A12BF" w:rsidRDefault="003A12BF" w:rsidP="00F51716">
            <w:pPr>
              <w:pStyle w:val="Tabletext0"/>
            </w:pPr>
            <w:r w:rsidRPr="003A12BF">
              <w:t>Warrnambool City Council</w:t>
            </w:r>
          </w:p>
        </w:tc>
        <w:tc>
          <w:tcPr>
            <w:tcW w:w="4481" w:type="dxa"/>
            <w:noWrap/>
            <w:hideMark/>
          </w:tcPr>
          <w:p w14:paraId="0A1CE504" w14:textId="77777777" w:rsidR="003A12BF" w:rsidRPr="003A12BF" w:rsidRDefault="003A12BF" w:rsidP="00F51716">
            <w:pPr>
              <w:pStyle w:val="Tabletext0"/>
            </w:pPr>
            <w:r w:rsidRPr="003A12BF">
              <w:t>Separation at source recycling –“a clear solution!”</w:t>
            </w:r>
          </w:p>
        </w:tc>
        <w:tc>
          <w:tcPr>
            <w:tcW w:w="1440" w:type="dxa"/>
            <w:noWrap/>
            <w:hideMark/>
          </w:tcPr>
          <w:p w14:paraId="118A7970" w14:textId="77777777" w:rsidR="003A12BF" w:rsidRPr="003A12BF" w:rsidRDefault="003A12BF" w:rsidP="00F51716">
            <w:pPr>
              <w:pStyle w:val="Tabletext0"/>
            </w:pPr>
            <w:r w:rsidRPr="003A12BF">
              <w:t>$30,000.00</w:t>
            </w:r>
          </w:p>
        </w:tc>
      </w:tr>
      <w:tr w:rsidR="003A12BF" w:rsidRPr="003A12BF" w14:paraId="5CD9A3F4" w14:textId="77777777" w:rsidTr="002D4B7F">
        <w:trPr>
          <w:trHeight w:val="300"/>
        </w:trPr>
        <w:tc>
          <w:tcPr>
            <w:tcW w:w="2977" w:type="dxa"/>
            <w:noWrap/>
            <w:hideMark/>
          </w:tcPr>
          <w:p w14:paraId="1C9B514E" w14:textId="77777777" w:rsidR="003A12BF" w:rsidRPr="003A12BF" w:rsidRDefault="003A12BF" w:rsidP="00F51716">
            <w:pPr>
              <w:pStyle w:val="Tabletext0"/>
            </w:pPr>
            <w:r w:rsidRPr="003A12BF">
              <w:t>Warrnambool City Council</w:t>
            </w:r>
          </w:p>
        </w:tc>
        <w:tc>
          <w:tcPr>
            <w:tcW w:w="4481" w:type="dxa"/>
            <w:noWrap/>
            <w:hideMark/>
          </w:tcPr>
          <w:p w14:paraId="0D8AD516" w14:textId="77777777" w:rsidR="003A12BF" w:rsidRPr="003A12BF" w:rsidRDefault="003A12BF" w:rsidP="00F51716">
            <w:pPr>
              <w:pStyle w:val="Tabletext0"/>
            </w:pPr>
            <w:r w:rsidRPr="003A12BF">
              <w:t>Separation at source recycling –“a clear solution!”</w:t>
            </w:r>
          </w:p>
        </w:tc>
        <w:tc>
          <w:tcPr>
            <w:tcW w:w="1440" w:type="dxa"/>
            <w:noWrap/>
            <w:hideMark/>
          </w:tcPr>
          <w:p w14:paraId="221D65DD" w14:textId="77777777" w:rsidR="003A12BF" w:rsidRPr="003A12BF" w:rsidRDefault="003A12BF" w:rsidP="00F51716">
            <w:pPr>
              <w:pStyle w:val="Tabletext0"/>
            </w:pPr>
            <w:r w:rsidRPr="003A12BF">
              <w:t>$7,000.00</w:t>
            </w:r>
          </w:p>
        </w:tc>
      </w:tr>
      <w:tr w:rsidR="003A12BF" w:rsidRPr="003A12BF" w14:paraId="6BB9355C" w14:textId="77777777" w:rsidTr="002D4B7F">
        <w:trPr>
          <w:trHeight w:val="300"/>
        </w:trPr>
        <w:tc>
          <w:tcPr>
            <w:tcW w:w="2977" w:type="dxa"/>
            <w:noWrap/>
            <w:hideMark/>
          </w:tcPr>
          <w:p w14:paraId="2473AB39" w14:textId="77777777" w:rsidR="003A12BF" w:rsidRPr="003A12BF" w:rsidRDefault="003A12BF" w:rsidP="00F51716">
            <w:pPr>
              <w:pStyle w:val="Tabletext0"/>
            </w:pPr>
            <w:r w:rsidRPr="003A12BF">
              <w:t>Surf Coast Shire Council</w:t>
            </w:r>
          </w:p>
        </w:tc>
        <w:tc>
          <w:tcPr>
            <w:tcW w:w="4481" w:type="dxa"/>
            <w:noWrap/>
            <w:hideMark/>
          </w:tcPr>
          <w:p w14:paraId="047C6C8C" w14:textId="77777777" w:rsidR="003A12BF" w:rsidRPr="003A12BF" w:rsidRDefault="003A12BF" w:rsidP="00F51716">
            <w:pPr>
              <w:pStyle w:val="Tabletext0"/>
            </w:pPr>
            <w:r w:rsidRPr="003A12BF">
              <w:t>Surf Coast Shire Food Organics Recovery Program</w:t>
            </w:r>
          </w:p>
        </w:tc>
        <w:tc>
          <w:tcPr>
            <w:tcW w:w="1440" w:type="dxa"/>
            <w:noWrap/>
            <w:hideMark/>
          </w:tcPr>
          <w:p w14:paraId="345CEB3C" w14:textId="77777777" w:rsidR="003A12BF" w:rsidRPr="003A12BF" w:rsidRDefault="003A12BF" w:rsidP="00F51716">
            <w:pPr>
              <w:pStyle w:val="Tabletext0"/>
            </w:pPr>
            <w:r w:rsidRPr="003A12BF">
              <w:t>$20,000.00</w:t>
            </w:r>
          </w:p>
        </w:tc>
      </w:tr>
      <w:tr w:rsidR="003A12BF" w:rsidRPr="003A12BF" w14:paraId="02FD9B65" w14:textId="77777777" w:rsidTr="002D4B7F">
        <w:trPr>
          <w:trHeight w:val="300"/>
        </w:trPr>
        <w:tc>
          <w:tcPr>
            <w:tcW w:w="2977" w:type="dxa"/>
            <w:noWrap/>
            <w:hideMark/>
          </w:tcPr>
          <w:p w14:paraId="3B40FF16" w14:textId="77777777" w:rsidR="003A12BF" w:rsidRPr="003A12BF" w:rsidRDefault="003A12BF" w:rsidP="00F51716">
            <w:pPr>
              <w:pStyle w:val="Tabletext0"/>
            </w:pPr>
            <w:r w:rsidRPr="003A12BF">
              <w:t>Yarra City Council</w:t>
            </w:r>
          </w:p>
        </w:tc>
        <w:tc>
          <w:tcPr>
            <w:tcW w:w="4481" w:type="dxa"/>
            <w:noWrap/>
            <w:hideMark/>
          </w:tcPr>
          <w:p w14:paraId="4786C1CA" w14:textId="77777777" w:rsidR="003A12BF" w:rsidRPr="003A12BF" w:rsidRDefault="003A12BF" w:rsidP="00F51716">
            <w:pPr>
              <w:pStyle w:val="Tabletext0"/>
            </w:pPr>
            <w:r w:rsidRPr="003A12BF">
              <w:t>Yarra City Council Holistic Waste Management Services</w:t>
            </w:r>
          </w:p>
        </w:tc>
        <w:tc>
          <w:tcPr>
            <w:tcW w:w="1440" w:type="dxa"/>
            <w:noWrap/>
            <w:hideMark/>
          </w:tcPr>
          <w:p w14:paraId="17C53136" w14:textId="77777777" w:rsidR="003A12BF" w:rsidRPr="003A12BF" w:rsidRDefault="003A12BF" w:rsidP="00F51716">
            <w:pPr>
              <w:pStyle w:val="Tabletext0"/>
            </w:pPr>
            <w:r w:rsidRPr="003A12BF">
              <w:t>$50,000.00</w:t>
            </w:r>
          </w:p>
        </w:tc>
      </w:tr>
      <w:tr w:rsidR="003A12BF" w:rsidRPr="003A12BF" w14:paraId="0FA69ED4" w14:textId="77777777" w:rsidTr="002D4B7F">
        <w:trPr>
          <w:trHeight w:val="300"/>
        </w:trPr>
        <w:tc>
          <w:tcPr>
            <w:tcW w:w="2977" w:type="dxa"/>
            <w:noWrap/>
            <w:hideMark/>
          </w:tcPr>
          <w:p w14:paraId="563F1CB3" w14:textId="77777777" w:rsidR="003A12BF" w:rsidRPr="003A12BF" w:rsidRDefault="003A12BF" w:rsidP="00F51716">
            <w:pPr>
              <w:pStyle w:val="Tabletext0"/>
            </w:pPr>
            <w:r w:rsidRPr="003A12BF">
              <w:t>Warrnambool City Council</w:t>
            </w:r>
          </w:p>
        </w:tc>
        <w:tc>
          <w:tcPr>
            <w:tcW w:w="4481" w:type="dxa"/>
            <w:noWrap/>
            <w:hideMark/>
          </w:tcPr>
          <w:p w14:paraId="4E3CE2E9" w14:textId="77777777" w:rsidR="003A12BF" w:rsidRPr="003A12BF" w:rsidRDefault="003A12BF" w:rsidP="00F51716">
            <w:pPr>
              <w:pStyle w:val="Tabletext0"/>
            </w:pPr>
            <w:r w:rsidRPr="003A12BF">
              <w:t>Separation at source recycling –“a clear solution!”</w:t>
            </w:r>
          </w:p>
        </w:tc>
        <w:tc>
          <w:tcPr>
            <w:tcW w:w="1440" w:type="dxa"/>
            <w:noWrap/>
            <w:hideMark/>
          </w:tcPr>
          <w:p w14:paraId="10D9D3FF" w14:textId="77777777" w:rsidR="003A12BF" w:rsidRPr="003A12BF" w:rsidRDefault="003A12BF" w:rsidP="00F51716">
            <w:pPr>
              <w:pStyle w:val="Tabletext0"/>
            </w:pPr>
            <w:r w:rsidRPr="003A12BF">
              <w:t>$10,000.00</w:t>
            </w:r>
          </w:p>
        </w:tc>
      </w:tr>
      <w:tr w:rsidR="003A12BF" w:rsidRPr="003A12BF" w14:paraId="12CD66E7" w14:textId="77777777" w:rsidTr="002D4B7F">
        <w:trPr>
          <w:trHeight w:val="300"/>
        </w:trPr>
        <w:tc>
          <w:tcPr>
            <w:tcW w:w="2977" w:type="dxa"/>
            <w:noWrap/>
            <w:hideMark/>
          </w:tcPr>
          <w:p w14:paraId="0627DF8B" w14:textId="77777777" w:rsidR="003A12BF" w:rsidRPr="003A12BF" w:rsidRDefault="003A12BF" w:rsidP="00F51716">
            <w:pPr>
              <w:pStyle w:val="Tabletext0"/>
            </w:pPr>
            <w:r w:rsidRPr="003A12BF">
              <w:t>McMahons</w:t>
            </w:r>
          </w:p>
        </w:tc>
        <w:tc>
          <w:tcPr>
            <w:tcW w:w="4481" w:type="dxa"/>
            <w:noWrap/>
            <w:hideMark/>
          </w:tcPr>
          <w:p w14:paraId="42B797A3" w14:textId="19DC3E70" w:rsidR="003A12BF" w:rsidRPr="003A12BF" w:rsidRDefault="003A12BF" w:rsidP="00F51716">
            <w:pPr>
              <w:pStyle w:val="Tabletext0"/>
            </w:pPr>
            <w:r w:rsidRPr="003A12BF">
              <w:t xml:space="preserve">Investment Support Grant </w:t>
            </w:r>
            <w:r w:rsidR="00737453">
              <w:t>–</w:t>
            </w:r>
            <w:r w:rsidRPr="003A12BF">
              <w:t xml:space="preserve"> McMahons</w:t>
            </w:r>
          </w:p>
        </w:tc>
        <w:tc>
          <w:tcPr>
            <w:tcW w:w="1440" w:type="dxa"/>
            <w:noWrap/>
            <w:hideMark/>
          </w:tcPr>
          <w:p w14:paraId="18410E47" w14:textId="77777777" w:rsidR="003A12BF" w:rsidRPr="003A12BF" w:rsidRDefault="003A12BF" w:rsidP="00F51716">
            <w:pPr>
              <w:pStyle w:val="Tabletext0"/>
            </w:pPr>
            <w:r w:rsidRPr="003A12BF">
              <w:t>$10,000.00</w:t>
            </w:r>
          </w:p>
        </w:tc>
      </w:tr>
      <w:tr w:rsidR="003A12BF" w:rsidRPr="003A12BF" w14:paraId="30B9C4AB" w14:textId="77777777" w:rsidTr="002D4B7F">
        <w:trPr>
          <w:trHeight w:val="300"/>
        </w:trPr>
        <w:tc>
          <w:tcPr>
            <w:tcW w:w="2977" w:type="dxa"/>
            <w:noWrap/>
            <w:hideMark/>
          </w:tcPr>
          <w:p w14:paraId="6CF16CBB" w14:textId="77777777" w:rsidR="003A12BF" w:rsidRPr="003A12BF" w:rsidRDefault="003A12BF" w:rsidP="00F51716">
            <w:pPr>
              <w:pStyle w:val="Tabletext0"/>
            </w:pPr>
            <w:r w:rsidRPr="003A12BF">
              <w:t>Australia New Zealand Recycling Platform Limited ANZRP</w:t>
            </w:r>
          </w:p>
        </w:tc>
        <w:tc>
          <w:tcPr>
            <w:tcW w:w="4481" w:type="dxa"/>
            <w:noWrap/>
            <w:hideMark/>
          </w:tcPr>
          <w:p w14:paraId="04E52059" w14:textId="77777777" w:rsidR="003A12BF" w:rsidRPr="003A12BF" w:rsidRDefault="003A12BF" w:rsidP="00F51716">
            <w:pPr>
              <w:pStyle w:val="Tabletext0"/>
            </w:pPr>
            <w:r w:rsidRPr="003A12BF">
              <w:t>Mobile E-Waste Factory Project</w:t>
            </w:r>
          </w:p>
        </w:tc>
        <w:tc>
          <w:tcPr>
            <w:tcW w:w="1440" w:type="dxa"/>
            <w:noWrap/>
            <w:hideMark/>
          </w:tcPr>
          <w:p w14:paraId="6516A4B6" w14:textId="77777777" w:rsidR="003A12BF" w:rsidRPr="003A12BF" w:rsidRDefault="003A12BF" w:rsidP="00F51716">
            <w:pPr>
              <w:pStyle w:val="Tabletext0"/>
            </w:pPr>
            <w:r w:rsidRPr="003A12BF">
              <w:t>$2,000.00</w:t>
            </w:r>
          </w:p>
        </w:tc>
      </w:tr>
      <w:tr w:rsidR="003A12BF" w:rsidRPr="003A12BF" w14:paraId="56936801" w14:textId="77777777" w:rsidTr="002D4B7F">
        <w:trPr>
          <w:trHeight w:val="300"/>
        </w:trPr>
        <w:tc>
          <w:tcPr>
            <w:tcW w:w="2977" w:type="dxa"/>
            <w:noWrap/>
            <w:hideMark/>
          </w:tcPr>
          <w:p w14:paraId="61BA92D6" w14:textId="77777777" w:rsidR="003A12BF" w:rsidRPr="003A12BF" w:rsidRDefault="003A12BF" w:rsidP="00F51716">
            <w:pPr>
              <w:pStyle w:val="Tabletext0"/>
            </w:pPr>
            <w:r w:rsidRPr="003A12BF">
              <w:t>Australia New Zealand Recycling Platform Limited ANZRP</w:t>
            </w:r>
          </w:p>
        </w:tc>
        <w:tc>
          <w:tcPr>
            <w:tcW w:w="4481" w:type="dxa"/>
            <w:noWrap/>
            <w:hideMark/>
          </w:tcPr>
          <w:p w14:paraId="4D9FF6DB" w14:textId="77777777" w:rsidR="003A12BF" w:rsidRPr="003A12BF" w:rsidRDefault="003A12BF" w:rsidP="00F51716">
            <w:pPr>
              <w:pStyle w:val="Tabletext0"/>
            </w:pPr>
            <w:r w:rsidRPr="003A12BF">
              <w:t>Mobile E-Waste Factory Project</w:t>
            </w:r>
          </w:p>
        </w:tc>
        <w:tc>
          <w:tcPr>
            <w:tcW w:w="1440" w:type="dxa"/>
            <w:noWrap/>
            <w:hideMark/>
          </w:tcPr>
          <w:p w14:paraId="0CCE049B" w14:textId="77777777" w:rsidR="003A12BF" w:rsidRPr="003A12BF" w:rsidRDefault="003A12BF" w:rsidP="00F51716">
            <w:pPr>
              <w:pStyle w:val="Tabletext0"/>
            </w:pPr>
            <w:r w:rsidRPr="003A12BF">
              <w:t>$12,000.00</w:t>
            </w:r>
          </w:p>
        </w:tc>
      </w:tr>
      <w:tr w:rsidR="003A12BF" w:rsidRPr="003A12BF" w14:paraId="36C4D66C" w14:textId="77777777" w:rsidTr="002D4B7F">
        <w:trPr>
          <w:trHeight w:val="300"/>
        </w:trPr>
        <w:tc>
          <w:tcPr>
            <w:tcW w:w="2977" w:type="dxa"/>
            <w:noWrap/>
            <w:hideMark/>
          </w:tcPr>
          <w:p w14:paraId="7009C2F4" w14:textId="77777777" w:rsidR="003A12BF" w:rsidRPr="003A12BF" w:rsidRDefault="003A12BF" w:rsidP="00F51716">
            <w:pPr>
              <w:pStyle w:val="Tabletext0"/>
            </w:pPr>
            <w:r w:rsidRPr="003A12BF">
              <w:t>Plascorp Pty Ltd</w:t>
            </w:r>
          </w:p>
        </w:tc>
        <w:tc>
          <w:tcPr>
            <w:tcW w:w="4481" w:type="dxa"/>
            <w:noWrap/>
            <w:hideMark/>
          </w:tcPr>
          <w:p w14:paraId="41890D9E" w14:textId="315412CC" w:rsidR="003A12BF" w:rsidRPr="003A12BF" w:rsidRDefault="003A12BF" w:rsidP="00F51716">
            <w:pPr>
              <w:pStyle w:val="Tabletext0"/>
            </w:pPr>
            <w:r w:rsidRPr="003A12BF">
              <w:t xml:space="preserve">Plascorp </w:t>
            </w:r>
            <w:r w:rsidR="00737453">
              <w:t>–</w:t>
            </w:r>
            <w:r w:rsidRPr="003A12BF">
              <w:t xml:space="preserve"> PVC Granulator for Recycling PVC Piping</w:t>
            </w:r>
          </w:p>
        </w:tc>
        <w:tc>
          <w:tcPr>
            <w:tcW w:w="1440" w:type="dxa"/>
            <w:noWrap/>
            <w:hideMark/>
          </w:tcPr>
          <w:p w14:paraId="41DC2D5B" w14:textId="77777777" w:rsidR="003A12BF" w:rsidRPr="003A12BF" w:rsidRDefault="003A12BF" w:rsidP="00F51716">
            <w:pPr>
              <w:pStyle w:val="Tabletext0"/>
            </w:pPr>
            <w:r w:rsidRPr="003A12BF">
              <w:t>$73,250.00</w:t>
            </w:r>
          </w:p>
        </w:tc>
      </w:tr>
      <w:tr w:rsidR="003A12BF" w:rsidRPr="003A12BF" w14:paraId="773C5D0D" w14:textId="77777777" w:rsidTr="002D4B7F">
        <w:trPr>
          <w:trHeight w:val="300"/>
        </w:trPr>
        <w:tc>
          <w:tcPr>
            <w:tcW w:w="2977" w:type="dxa"/>
            <w:noWrap/>
            <w:hideMark/>
          </w:tcPr>
          <w:p w14:paraId="3862C952" w14:textId="77777777" w:rsidR="003A12BF" w:rsidRPr="003A12BF" w:rsidRDefault="003A12BF" w:rsidP="00F51716">
            <w:pPr>
              <w:pStyle w:val="Tabletext0"/>
            </w:pPr>
            <w:r w:rsidRPr="003A12BF">
              <w:t>Plascorp Pty Ltd</w:t>
            </w:r>
          </w:p>
        </w:tc>
        <w:tc>
          <w:tcPr>
            <w:tcW w:w="4481" w:type="dxa"/>
            <w:noWrap/>
            <w:hideMark/>
          </w:tcPr>
          <w:p w14:paraId="40D231B2" w14:textId="0161FA39" w:rsidR="003A12BF" w:rsidRPr="003A12BF" w:rsidRDefault="003A12BF" w:rsidP="00F51716">
            <w:pPr>
              <w:pStyle w:val="Tabletext0"/>
            </w:pPr>
            <w:r w:rsidRPr="003A12BF">
              <w:t xml:space="preserve">Plascorp </w:t>
            </w:r>
            <w:r w:rsidR="00737453">
              <w:softHyphen/>
              <w:t>–</w:t>
            </w:r>
            <w:r w:rsidRPr="003A12BF">
              <w:t xml:space="preserve"> PVC Granulator for Recycling PVC Piping</w:t>
            </w:r>
          </w:p>
        </w:tc>
        <w:tc>
          <w:tcPr>
            <w:tcW w:w="1440" w:type="dxa"/>
            <w:noWrap/>
            <w:hideMark/>
          </w:tcPr>
          <w:p w14:paraId="5AC94A83" w14:textId="77777777" w:rsidR="003A12BF" w:rsidRPr="003A12BF" w:rsidRDefault="003A12BF" w:rsidP="00F51716">
            <w:pPr>
              <w:pStyle w:val="Tabletext0"/>
            </w:pPr>
            <w:r w:rsidRPr="003A12BF">
              <w:t>$2,495.00</w:t>
            </w:r>
          </w:p>
        </w:tc>
      </w:tr>
      <w:tr w:rsidR="003A12BF" w:rsidRPr="003A12BF" w14:paraId="44160C8C" w14:textId="77777777" w:rsidTr="002D4B7F">
        <w:trPr>
          <w:trHeight w:val="300"/>
        </w:trPr>
        <w:tc>
          <w:tcPr>
            <w:tcW w:w="2977" w:type="dxa"/>
            <w:noWrap/>
            <w:hideMark/>
          </w:tcPr>
          <w:p w14:paraId="61CAB747" w14:textId="77777777" w:rsidR="003A12BF" w:rsidRPr="003A12BF" w:rsidRDefault="003A12BF" w:rsidP="00F51716">
            <w:pPr>
              <w:pStyle w:val="Tabletext0"/>
            </w:pPr>
            <w:r w:rsidRPr="003A12BF">
              <w:t>Replant-It Pty Ltd</w:t>
            </w:r>
          </w:p>
        </w:tc>
        <w:tc>
          <w:tcPr>
            <w:tcW w:w="4481" w:type="dxa"/>
            <w:noWrap/>
            <w:hideMark/>
          </w:tcPr>
          <w:p w14:paraId="38E60CDD" w14:textId="77777777" w:rsidR="003A12BF" w:rsidRPr="003A12BF" w:rsidRDefault="003A12BF" w:rsidP="00F51716">
            <w:pPr>
              <w:pStyle w:val="Tabletext0"/>
            </w:pPr>
            <w:r w:rsidRPr="003A12BF">
              <w:t>Waste Glass Washing Project</w:t>
            </w:r>
          </w:p>
        </w:tc>
        <w:tc>
          <w:tcPr>
            <w:tcW w:w="1440" w:type="dxa"/>
            <w:noWrap/>
            <w:hideMark/>
          </w:tcPr>
          <w:p w14:paraId="6C884D9A" w14:textId="77777777" w:rsidR="003A12BF" w:rsidRPr="003A12BF" w:rsidRDefault="003A12BF" w:rsidP="00F51716">
            <w:pPr>
              <w:pStyle w:val="Tabletext0"/>
            </w:pPr>
            <w:r w:rsidRPr="003A12BF">
              <w:t>$20,000.00</w:t>
            </w:r>
          </w:p>
        </w:tc>
      </w:tr>
      <w:tr w:rsidR="003A12BF" w:rsidRPr="003A12BF" w14:paraId="2BA4E9F9" w14:textId="77777777" w:rsidTr="002D4B7F">
        <w:trPr>
          <w:trHeight w:val="300"/>
        </w:trPr>
        <w:tc>
          <w:tcPr>
            <w:tcW w:w="2977" w:type="dxa"/>
            <w:noWrap/>
            <w:hideMark/>
          </w:tcPr>
          <w:p w14:paraId="1CEC3D97" w14:textId="77777777" w:rsidR="003A12BF" w:rsidRPr="003A12BF" w:rsidRDefault="003A12BF" w:rsidP="00F51716">
            <w:pPr>
              <w:pStyle w:val="Tabletext0"/>
            </w:pPr>
            <w:r w:rsidRPr="003A12BF">
              <w:t>Envirostream</w:t>
            </w:r>
          </w:p>
        </w:tc>
        <w:tc>
          <w:tcPr>
            <w:tcW w:w="4481" w:type="dxa"/>
            <w:noWrap/>
            <w:hideMark/>
          </w:tcPr>
          <w:p w14:paraId="2E037E75" w14:textId="77777777" w:rsidR="003A12BF" w:rsidRPr="003A12BF" w:rsidRDefault="003A12BF" w:rsidP="00F51716">
            <w:pPr>
              <w:pStyle w:val="Tabletext0"/>
            </w:pPr>
            <w:r w:rsidRPr="003A12BF">
              <w:t>The Victorian Battery Recycling and Material Recovery Infrastructure Project</w:t>
            </w:r>
          </w:p>
        </w:tc>
        <w:tc>
          <w:tcPr>
            <w:tcW w:w="1440" w:type="dxa"/>
            <w:noWrap/>
            <w:hideMark/>
          </w:tcPr>
          <w:p w14:paraId="5717159C" w14:textId="77777777" w:rsidR="003A12BF" w:rsidRPr="003A12BF" w:rsidRDefault="003A12BF" w:rsidP="00F51716">
            <w:pPr>
              <w:pStyle w:val="Tabletext0"/>
            </w:pPr>
            <w:r w:rsidRPr="003A12BF">
              <w:t>$8,800.00</w:t>
            </w:r>
          </w:p>
        </w:tc>
      </w:tr>
      <w:tr w:rsidR="003A12BF" w:rsidRPr="003A12BF" w14:paraId="0F65579C" w14:textId="77777777" w:rsidTr="002D4B7F">
        <w:trPr>
          <w:trHeight w:val="300"/>
        </w:trPr>
        <w:tc>
          <w:tcPr>
            <w:tcW w:w="2977" w:type="dxa"/>
            <w:noWrap/>
            <w:hideMark/>
          </w:tcPr>
          <w:p w14:paraId="70B0C94D" w14:textId="77777777" w:rsidR="003A12BF" w:rsidRPr="003A12BF" w:rsidRDefault="003A12BF" w:rsidP="00F51716">
            <w:pPr>
              <w:pStyle w:val="Tabletext0"/>
            </w:pPr>
            <w:r w:rsidRPr="003A12BF">
              <w:t>Envirostream</w:t>
            </w:r>
          </w:p>
        </w:tc>
        <w:tc>
          <w:tcPr>
            <w:tcW w:w="4481" w:type="dxa"/>
            <w:noWrap/>
            <w:hideMark/>
          </w:tcPr>
          <w:p w14:paraId="492772A1" w14:textId="77777777" w:rsidR="003A12BF" w:rsidRPr="003A12BF" w:rsidRDefault="003A12BF" w:rsidP="00F51716">
            <w:pPr>
              <w:pStyle w:val="Tabletext0"/>
            </w:pPr>
            <w:r w:rsidRPr="003A12BF">
              <w:t>The Victorian Battery Recycling and Material Recovery Infrastructure Project</w:t>
            </w:r>
          </w:p>
        </w:tc>
        <w:tc>
          <w:tcPr>
            <w:tcW w:w="1440" w:type="dxa"/>
            <w:noWrap/>
            <w:hideMark/>
          </w:tcPr>
          <w:p w14:paraId="09655472" w14:textId="77777777" w:rsidR="003A12BF" w:rsidRPr="003A12BF" w:rsidRDefault="003A12BF" w:rsidP="00F51716">
            <w:pPr>
              <w:pStyle w:val="Tabletext0"/>
            </w:pPr>
            <w:r w:rsidRPr="003A12BF">
              <w:t>$35,200.00</w:t>
            </w:r>
          </w:p>
        </w:tc>
      </w:tr>
      <w:tr w:rsidR="003A12BF" w:rsidRPr="003A12BF" w14:paraId="16501E9C" w14:textId="77777777" w:rsidTr="002D4B7F">
        <w:trPr>
          <w:trHeight w:val="300"/>
        </w:trPr>
        <w:tc>
          <w:tcPr>
            <w:tcW w:w="2977" w:type="dxa"/>
            <w:noWrap/>
            <w:hideMark/>
          </w:tcPr>
          <w:p w14:paraId="3DDEA602" w14:textId="77777777" w:rsidR="003A12BF" w:rsidRPr="003A12BF" w:rsidRDefault="003A12BF" w:rsidP="00F51716">
            <w:pPr>
              <w:pStyle w:val="Tabletext0"/>
            </w:pPr>
            <w:r w:rsidRPr="003A12BF">
              <w:t>Envirostream</w:t>
            </w:r>
          </w:p>
        </w:tc>
        <w:tc>
          <w:tcPr>
            <w:tcW w:w="4481" w:type="dxa"/>
            <w:noWrap/>
            <w:hideMark/>
          </w:tcPr>
          <w:p w14:paraId="21936642" w14:textId="77777777" w:rsidR="003A12BF" w:rsidRPr="003A12BF" w:rsidRDefault="003A12BF" w:rsidP="00F51716">
            <w:pPr>
              <w:pStyle w:val="Tabletext0"/>
            </w:pPr>
            <w:r w:rsidRPr="003A12BF">
              <w:t>The Victorian Battery Recycling and Material Recovery Infrastructure Project</w:t>
            </w:r>
          </w:p>
        </w:tc>
        <w:tc>
          <w:tcPr>
            <w:tcW w:w="1440" w:type="dxa"/>
            <w:noWrap/>
            <w:hideMark/>
          </w:tcPr>
          <w:p w14:paraId="2EC6A90D" w14:textId="77777777" w:rsidR="003A12BF" w:rsidRPr="003A12BF" w:rsidRDefault="003A12BF" w:rsidP="00F51716">
            <w:pPr>
              <w:pStyle w:val="Tabletext0"/>
            </w:pPr>
            <w:r w:rsidRPr="003A12BF">
              <w:t>$52,800.00</w:t>
            </w:r>
          </w:p>
        </w:tc>
      </w:tr>
      <w:tr w:rsidR="003A12BF" w:rsidRPr="003A12BF" w14:paraId="08C8DCE8" w14:textId="77777777" w:rsidTr="002D4B7F">
        <w:trPr>
          <w:trHeight w:val="300"/>
        </w:trPr>
        <w:tc>
          <w:tcPr>
            <w:tcW w:w="2977" w:type="dxa"/>
            <w:noWrap/>
            <w:hideMark/>
          </w:tcPr>
          <w:p w14:paraId="1AB2F3B5" w14:textId="77777777" w:rsidR="003A12BF" w:rsidRPr="003A12BF" w:rsidRDefault="003A12BF" w:rsidP="00F51716">
            <w:pPr>
              <w:pStyle w:val="Tabletext0"/>
            </w:pPr>
            <w:r w:rsidRPr="003A12BF">
              <w:t>FDA Enterprises Pty Ltd</w:t>
            </w:r>
          </w:p>
        </w:tc>
        <w:tc>
          <w:tcPr>
            <w:tcW w:w="4481" w:type="dxa"/>
            <w:noWrap/>
            <w:hideMark/>
          </w:tcPr>
          <w:p w14:paraId="5E3C2099" w14:textId="77777777" w:rsidR="003A12BF" w:rsidRPr="003A12BF" w:rsidRDefault="003A12BF" w:rsidP="00F51716">
            <w:pPr>
              <w:pStyle w:val="Tabletext0"/>
            </w:pPr>
            <w:r w:rsidRPr="003A12BF">
              <w:t>Melbourne PVC Pipe Recycling and Manufacturing Facility</w:t>
            </w:r>
          </w:p>
        </w:tc>
        <w:tc>
          <w:tcPr>
            <w:tcW w:w="1440" w:type="dxa"/>
            <w:noWrap/>
            <w:hideMark/>
          </w:tcPr>
          <w:p w14:paraId="43BB701D" w14:textId="77777777" w:rsidR="003A12BF" w:rsidRPr="003A12BF" w:rsidRDefault="003A12BF" w:rsidP="00F51716">
            <w:pPr>
              <w:pStyle w:val="Tabletext0"/>
            </w:pPr>
            <w:r w:rsidRPr="003A12BF">
              <w:t>$10,000.00</w:t>
            </w:r>
          </w:p>
        </w:tc>
      </w:tr>
      <w:tr w:rsidR="003A12BF" w:rsidRPr="003A12BF" w14:paraId="378C5523" w14:textId="77777777" w:rsidTr="002D4B7F">
        <w:trPr>
          <w:trHeight w:val="300"/>
        </w:trPr>
        <w:tc>
          <w:tcPr>
            <w:tcW w:w="2977" w:type="dxa"/>
            <w:noWrap/>
            <w:hideMark/>
          </w:tcPr>
          <w:p w14:paraId="1CCF77FD" w14:textId="77777777" w:rsidR="003A12BF" w:rsidRPr="003A12BF" w:rsidRDefault="003A12BF" w:rsidP="00F51716">
            <w:pPr>
              <w:pStyle w:val="Tabletext0"/>
            </w:pPr>
            <w:r w:rsidRPr="003A12BF">
              <w:t>FDA Enterprises Pty Ltd</w:t>
            </w:r>
          </w:p>
        </w:tc>
        <w:tc>
          <w:tcPr>
            <w:tcW w:w="4481" w:type="dxa"/>
            <w:noWrap/>
            <w:hideMark/>
          </w:tcPr>
          <w:p w14:paraId="5E3AF83B" w14:textId="77777777" w:rsidR="003A12BF" w:rsidRPr="003A12BF" w:rsidRDefault="003A12BF" w:rsidP="00F51716">
            <w:pPr>
              <w:pStyle w:val="Tabletext0"/>
            </w:pPr>
            <w:r w:rsidRPr="003A12BF">
              <w:t>Melbourne PVC Pipe Recycling and Manufacturing Facility</w:t>
            </w:r>
          </w:p>
        </w:tc>
        <w:tc>
          <w:tcPr>
            <w:tcW w:w="1440" w:type="dxa"/>
            <w:noWrap/>
            <w:hideMark/>
          </w:tcPr>
          <w:p w14:paraId="1751C8AD" w14:textId="77777777" w:rsidR="003A12BF" w:rsidRPr="003A12BF" w:rsidRDefault="003A12BF" w:rsidP="00F51716">
            <w:pPr>
              <w:pStyle w:val="Tabletext0"/>
            </w:pPr>
            <w:r w:rsidRPr="003A12BF">
              <w:t>$24,350.00</w:t>
            </w:r>
          </w:p>
        </w:tc>
      </w:tr>
      <w:tr w:rsidR="003A12BF" w:rsidRPr="003A12BF" w14:paraId="54449B8F" w14:textId="77777777" w:rsidTr="002D4B7F">
        <w:trPr>
          <w:trHeight w:val="300"/>
        </w:trPr>
        <w:tc>
          <w:tcPr>
            <w:tcW w:w="2977" w:type="dxa"/>
            <w:noWrap/>
            <w:hideMark/>
          </w:tcPr>
          <w:p w14:paraId="1DAAF3B6" w14:textId="77777777" w:rsidR="003A12BF" w:rsidRPr="003A12BF" w:rsidRDefault="003A12BF" w:rsidP="00F51716">
            <w:pPr>
              <w:pStyle w:val="Tabletext0"/>
            </w:pPr>
            <w:r w:rsidRPr="003A12BF">
              <w:t>FDA Enterprises Pty Ltd</w:t>
            </w:r>
          </w:p>
        </w:tc>
        <w:tc>
          <w:tcPr>
            <w:tcW w:w="4481" w:type="dxa"/>
            <w:noWrap/>
            <w:hideMark/>
          </w:tcPr>
          <w:p w14:paraId="42545858" w14:textId="77777777" w:rsidR="003A12BF" w:rsidRPr="003A12BF" w:rsidRDefault="003A12BF" w:rsidP="00F51716">
            <w:pPr>
              <w:pStyle w:val="Tabletext0"/>
            </w:pPr>
            <w:r w:rsidRPr="003A12BF">
              <w:t>Melbourne PVC Pipe Recycling and Manufacturing Facility</w:t>
            </w:r>
          </w:p>
        </w:tc>
        <w:tc>
          <w:tcPr>
            <w:tcW w:w="1440" w:type="dxa"/>
            <w:noWrap/>
            <w:hideMark/>
          </w:tcPr>
          <w:p w14:paraId="38CE0FE5" w14:textId="77777777" w:rsidR="003A12BF" w:rsidRPr="003A12BF" w:rsidRDefault="003A12BF" w:rsidP="00F51716">
            <w:pPr>
              <w:pStyle w:val="Tabletext0"/>
            </w:pPr>
            <w:r w:rsidRPr="003A12BF">
              <w:t>$12,100.00</w:t>
            </w:r>
          </w:p>
        </w:tc>
      </w:tr>
      <w:tr w:rsidR="003A12BF" w:rsidRPr="003A12BF" w14:paraId="3232C80E" w14:textId="77777777" w:rsidTr="002D4B7F">
        <w:trPr>
          <w:trHeight w:val="300"/>
        </w:trPr>
        <w:tc>
          <w:tcPr>
            <w:tcW w:w="2977" w:type="dxa"/>
            <w:noWrap/>
            <w:hideMark/>
          </w:tcPr>
          <w:p w14:paraId="67108ED8" w14:textId="77777777" w:rsidR="003A12BF" w:rsidRPr="003A12BF" w:rsidRDefault="003A12BF" w:rsidP="00F51716">
            <w:pPr>
              <w:pStyle w:val="Tabletext0"/>
            </w:pPr>
            <w:r w:rsidRPr="003A12BF">
              <w:t>Recycling Industries Pty Ltd</w:t>
            </w:r>
          </w:p>
        </w:tc>
        <w:tc>
          <w:tcPr>
            <w:tcW w:w="4481" w:type="dxa"/>
            <w:noWrap/>
            <w:hideMark/>
          </w:tcPr>
          <w:p w14:paraId="0144E2C4" w14:textId="77777777" w:rsidR="003A12BF" w:rsidRPr="003A12BF" w:rsidRDefault="003A12BF" w:rsidP="00F51716">
            <w:pPr>
              <w:pStyle w:val="Tabletext0"/>
            </w:pPr>
            <w:r w:rsidRPr="003A12BF">
              <w:t>Clarinda Additive Bin</w:t>
            </w:r>
          </w:p>
        </w:tc>
        <w:tc>
          <w:tcPr>
            <w:tcW w:w="1440" w:type="dxa"/>
            <w:noWrap/>
            <w:hideMark/>
          </w:tcPr>
          <w:p w14:paraId="4ABC3B11" w14:textId="77777777" w:rsidR="003A12BF" w:rsidRPr="003A12BF" w:rsidRDefault="003A12BF" w:rsidP="00F51716">
            <w:pPr>
              <w:pStyle w:val="Tabletext0"/>
            </w:pPr>
            <w:r w:rsidRPr="003A12BF">
              <w:t>$5,000.00</w:t>
            </w:r>
          </w:p>
        </w:tc>
      </w:tr>
      <w:tr w:rsidR="003A12BF" w:rsidRPr="003A12BF" w14:paraId="0FF33727" w14:textId="77777777" w:rsidTr="002D4B7F">
        <w:trPr>
          <w:trHeight w:val="300"/>
        </w:trPr>
        <w:tc>
          <w:tcPr>
            <w:tcW w:w="2977" w:type="dxa"/>
            <w:noWrap/>
            <w:hideMark/>
          </w:tcPr>
          <w:p w14:paraId="61318DF6" w14:textId="77777777" w:rsidR="003A12BF" w:rsidRPr="003A12BF" w:rsidRDefault="003A12BF" w:rsidP="00F51716">
            <w:pPr>
              <w:pStyle w:val="Tabletext0"/>
            </w:pPr>
            <w:r w:rsidRPr="003A12BF">
              <w:t>Recycling Industries Pty Ltd</w:t>
            </w:r>
          </w:p>
        </w:tc>
        <w:tc>
          <w:tcPr>
            <w:tcW w:w="4481" w:type="dxa"/>
            <w:noWrap/>
            <w:hideMark/>
          </w:tcPr>
          <w:p w14:paraId="451FFE25" w14:textId="77777777" w:rsidR="003A12BF" w:rsidRPr="003A12BF" w:rsidRDefault="003A12BF" w:rsidP="00F51716">
            <w:pPr>
              <w:pStyle w:val="Tabletext0"/>
            </w:pPr>
            <w:r w:rsidRPr="003A12BF">
              <w:t>Clarinda Additive Bin</w:t>
            </w:r>
          </w:p>
        </w:tc>
        <w:tc>
          <w:tcPr>
            <w:tcW w:w="1440" w:type="dxa"/>
            <w:noWrap/>
            <w:hideMark/>
          </w:tcPr>
          <w:p w14:paraId="77659ADE" w14:textId="77777777" w:rsidR="003A12BF" w:rsidRPr="003A12BF" w:rsidRDefault="003A12BF" w:rsidP="00F51716">
            <w:pPr>
              <w:pStyle w:val="Tabletext0"/>
            </w:pPr>
            <w:r w:rsidRPr="003A12BF">
              <w:t>$41,400.00</w:t>
            </w:r>
          </w:p>
        </w:tc>
      </w:tr>
      <w:tr w:rsidR="003A12BF" w:rsidRPr="003A12BF" w14:paraId="570585D1" w14:textId="77777777" w:rsidTr="002D4B7F">
        <w:trPr>
          <w:trHeight w:val="300"/>
        </w:trPr>
        <w:tc>
          <w:tcPr>
            <w:tcW w:w="2977" w:type="dxa"/>
            <w:noWrap/>
            <w:hideMark/>
          </w:tcPr>
          <w:p w14:paraId="00979A6E" w14:textId="77777777" w:rsidR="003A12BF" w:rsidRPr="003A12BF" w:rsidRDefault="003A12BF" w:rsidP="00F51716">
            <w:pPr>
              <w:pStyle w:val="Tabletext0"/>
            </w:pPr>
            <w:r w:rsidRPr="003A12BF">
              <w:t>Recycling Industries Pty Ltd</w:t>
            </w:r>
          </w:p>
        </w:tc>
        <w:tc>
          <w:tcPr>
            <w:tcW w:w="4481" w:type="dxa"/>
            <w:noWrap/>
            <w:hideMark/>
          </w:tcPr>
          <w:p w14:paraId="530C1778" w14:textId="77777777" w:rsidR="003A12BF" w:rsidRPr="003A12BF" w:rsidRDefault="003A12BF" w:rsidP="00F51716">
            <w:pPr>
              <w:pStyle w:val="Tabletext0"/>
            </w:pPr>
            <w:r w:rsidRPr="003A12BF">
              <w:t>Clarinda Additive Bin</w:t>
            </w:r>
          </w:p>
        </w:tc>
        <w:tc>
          <w:tcPr>
            <w:tcW w:w="1440" w:type="dxa"/>
            <w:noWrap/>
            <w:hideMark/>
          </w:tcPr>
          <w:p w14:paraId="11ED4890" w14:textId="77777777" w:rsidR="003A12BF" w:rsidRPr="003A12BF" w:rsidRDefault="003A12BF" w:rsidP="00F51716">
            <w:pPr>
              <w:pStyle w:val="Tabletext0"/>
            </w:pPr>
            <w:r w:rsidRPr="003A12BF">
              <w:t>$60,000.00</w:t>
            </w:r>
          </w:p>
        </w:tc>
      </w:tr>
      <w:tr w:rsidR="003A12BF" w:rsidRPr="003A12BF" w14:paraId="46B62F19" w14:textId="77777777" w:rsidTr="002D4B7F">
        <w:trPr>
          <w:trHeight w:val="300"/>
        </w:trPr>
        <w:tc>
          <w:tcPr>
            <w:tcW w:w="2977" w:type="dxa"/>
            <w:noWrap/>
            <w:hideMark/>
          </w:tcPr>
          <w:p w14:paraId="09EB8409" w14:textId="77777777" w:rsidR="003A12BF" w:rsidRPr="003A12BF" w:rsidRDefault="003A12BF" w:rsidP="00F51716">
            <w:pPr>
              <w:pStyle w:val="Tabletext0"/>
            </w:pPr>
            <w:r w:rsidRPr="003A12BF">
              <w:t>Recycling Industries Pty Ltd</w:t>
            </w:r>
          </w:p>
        </w:tc>
        <w:tc>
          <w:tcPr>
            <w:tcW w:w="4481" w:type="dxa"/>
            <w:noWrap/>
            <w:hideMark/>
          </w:tcPr>
          <w:p w14:paraId="2B351055" w14:textId="77777777" w:rsidR="003A12BF" w:rsidRPr="003A12BF" w:rsidRDefault="003A12BF" w:rsidP="00F51716">
            <w:pPr>
              <w:pStyle w:val="Tabletext0"/>
            </w:pPr>
            <w:r w:rsidRPr="003A12BF">
              <w:t>Clarinda Additive Bin</w:t>
            </w:r>
          </w:p>
        </w:tc>
        <w:tc>
          <w:tcPr>
            <w:tcW w:w="1440" w:type="dxa"/>
            <w:noWrap/>
            <w:hideMark/>
          </w:tcPr>
          <w:p w14:paraId="2DC05629" w14:textId="77777777" w:rsidR="003A12BF" w:rsidRPr="003A12BF" w:rsidRDefault="003A12BF" w:rsidP="00F51716">
            <w:pPr>
              <w:pStyle w:val="Tabletext0"/>
            </w:pPr>
            <w:r w:rsidRPr="003A12BF">
              <w:t>$21,000.00</w:t>
            </w:r>
          </w:p>
        </w:tc>
      </w:tr>
      <w:tr w:rsidR="003A12BF" w:rsidRPr="003A12BF" w14:paraId="0CB26B2E" w14:textId="77777777" w:rsidTr="002D4B7F">
        <w:trPr>
          <w:trHeight w:val="300"/>
        </w:trPr>
        <w:tc>
          <w:tcPr>
            <w:tcW w:w="2977" w:type="dxa"/>
            <w:noWrap/>
            <w:hideMark/>
          </w:tcPr>
          <w:p w14:paraId="5639A181" w14:textId="77777777" w:rsidR="003A12BF" w:rsidRPr="003A12BF" w:rsidRDefault="003A12BF" w:rsidP="00F51716">
            <w:pPr>
              <w:pStyle w:val="Tabletext0"/>
            </w:pPr>
            <w:r w:rsidRPr="003A12BF">
              <w:t>Recycling Industries Pty Ltd</w:t>
            </w:r>
          </w:p>
        </w:tc>
        <w:tc>
          <w:tcPr>
            <w:tcW w:w="4481" w:type="dxa"/>
            <w:noWrap/>
            <w:hideMark/>
          </w:tcPr>
          <w:p w14:paraId="7BF5C061" w14:textId="77777777" w:rsidR="003A12BF" w:rsidRPr="003A12BF" w:rsidRDefault="003A12BF" w:rsidP="00F51716">
            <w:pPr>
              <w:pStyle w:val="Tabletext0"/>
            </w:pPr>
            <w:r w:rsidRPr="003A12BF">
              <w:t>Clarinda Additive Bin</w:t>
            </w:r>
          </w:p>
        </w:tc>
        <w:tc>
          <w:tcPr>
            <w:tcW w:w="1440" w:type="dxa"/>
            <w:noWrap/>
            <w:hideMark/>
          </w:tcPr>
          <w:p w14:paraId="1DE2465F" w14:textId="77777777" w:rsidR="003A12BF" w:rsidRPr="003A12BF" w:rsidRDefault="003A12BF" w:rsidP="00F51716">
            <w:pPr>
              <w:pStyle w:val="Tabletext0"/>
            </w:pPr>
            <w:r w:rsidRPr="003A12BF">
              <w:t>$16,100.00</w:t>
            </w:r>
          </w:p>
        </w:tc>
      </w:tr>
      <w:tr w:rsidR="003A12BF" w:rsidRPr="003A12BF" w14:paraId="4677E631" w14:textId="77777777" w:rsidTr="002D4B7F">
        <w:trPr>
          <w:trHeight w:val="300"/>
        </w:trPr>
        <w:tc>
          <w:tcPr>
            <w:tcW w:w="2977" w:type="dxa"/>
            <w:noWrap/>
            <w:hideMark/>
          </w:tcPr>
          <w:p w14:paraId="33C66DD2" w14:textId="77777777" w:rsidR="003A12BF" w:rsidRPr="003A12BF" w:rsidRDefault="003A12BF" w:rsidP="00F51716">
            <w:pPr>
              <w:pStyle w:val="Tabletext0"/>
            </w:pPr>
            <w:r w:rsidRPr="003A12BF">
              <w:t>Astron Plastics Pty Limited</w:t>
            </w:r>
          </w:p>
        </w:tc>
        <w:tc>
          <w:tcPr>
            <w:tcW w:w="4481" w:type="dxa"/>
            <w:noWrap/>
            <w:hideMark/>
          </w:tcPr>
          <w:p w14:paraId="5E6FEE46" w14:textId="3C83C868" w:rsidR="003A12BF" w:rsidRPr="003A12BF" w:rsidRDefault="003A12BF" w:rsidP="00F51716">
            <w:pPr>
              <w:pStyle w:val="Tabletext0"/>
            </w:pPr>
            <w:r w:rsidRPr="003A12BF">
              <w:t>Postconsumer polyproperlyne plastic flake sorting and reprocessing plant</w:t>
            </w:r>
          </w:p>
        </w:tc>
        <w:tc>
          <w:tcPr>
            <w:tcW w:w="1440" w:type="dxa"/>
            <w:noWrap/>
            <w:hideMark/>
          </w:tcPr>
          <w:p w14:paraId="0714DD3B" w14:textId="77777777" w:rsidR="003A12BF" w:rsidRPr="003A12BF" w:rsidRDefault="003A12BF" w:rsidP="00F51716">
            <w:pPr>
              <w:pStyle w:val="Tabletext0"/>
            </w:pPr>
            <w:r w:rsidRPr="003A12BF">
              <w:t>$18,750.00</w:t>
            </w:r>
          </w:p>
        </w:tc>
      </w:tr>
      <w:tr w:rsidR="003A12BF" w:rsidRPr="003A12BF" w14:paraId="7958606B" w14:textId="77777777" w:rsidTr="002D4B7F">
        <w:trPr>
          <w:trHeight w:val="300"/>
        </w:trPr>
        <w:tc>
          <w:tcPr>
            <w:tcW w:w="2977" w:type="dxa"/>
            <w:noWrap/>
            <w:hideMark/>
          </w:tcPr>
          <w:p w14:paraId="00C6C3C4" w14:textId="77777777" w:rsidR="003A12BF" w:rsidRPr="003A12BF" w:rsidRDefault="003A12BF" w:rsidP="00F51716">
            <w:pPr>
              <w:pStyle w:val="Tabletext0"/>
            </w:pPr>
            <w:r w:rsidRPr="003A12BF">
              <w:t>Close the Loop Ltd</w:t>
            </w:r>
          </w:p>
        </w:tc>
        <w:tc>
          <w:tcPr>
            <w:tcW w:w="4481" w:type="dxa"/>
            <w:noWrap/>
            <w:hideMark/>
          </w:tcPr>
          <w:p w14:paraId="6450E123" w14:textId="77777777" w:rsidR="003A12BF" w:rsidRPr="003A12BF" w:rsidRDefault="003A12BF" w:rsidP="00F51716">
            <w:pPr>
              <w:pStyle w:val="Tabletext0"/>
            </w:pPr>
            <w:r w:rsidRPr="003A12BF">
              <w:t>Increased use of recycled soft plastics in asphalt roads</w:t>
            </w:r>
          </w:p>
        </w:tc>
        <w:tc>
          <w:tcPr>
            <w:tcW w:w="1440" w:type="dxa"/>
            <w:noWrap/>
            <w:hideMark/>
          </w:tcPr>
          <w:p w14:paraId="0DD9D8A1" w14:textId="77777777" w:rsidR="003A12BF" w:rsidRPr="003A12BF" w:rsidRDefault="003A12BF" w:rsidP="00F51716">
            <w:pPr>
              <w:pStyle w:val="Tabletext0"/>
            </w:pPr>
            <w:r w:rsidRPr="003A12BF">
              <w:t>$8,000.00</w:t>
            </w:r>
          </w:p>
        </w:tc>
      </w:tr>
      <w:tr w:rsidR="003A12BF" w:rsidRPr="003A12BF" w14:paraId="5A26C9FA" w14:textId="77777777" w:rsidTr="002D4B7F">
        <w:trPr>
          <w:trHeight w:val="300"/>
        </w:trPr>
        <w:tc>
          <w:tcPr>
            <w:tcW w:w="2977" w:type="dxa"/>
            <w:noWrap/>
            <w:hideMark/>
          </w:tcPr>
          <w:p w14:paraId="4E77D119" w14:textId="77777777" w:rsidR="003A12BF" w:rsidRPr="003A12BF" w:rsidRDefault="003A12BF" w:rsidP="00F51716">
            <w:pPr>
              <w:pStyle w:val="Tabletext0"/>
            </w:pPr>
            <w:r w:rsidRPr="003A12BF">
              <w:t>Close the Loop Ltd</w:t>
            </w:r>
          </w:p>
        </w:tc>
        <w:tc>
          <w:tcPr>
            <w:tcW w:w="4481" w:type="dxa"/>
            <w:noWrap/>
            <w:hideMark/>
          </w:tcPr>
          <w:p w14:paraId="659D7908" w14:textId="77777777" w:rsidR="003A12BF" w:rsidRPr="003A12BF" w:rsidRDefault="003A12BF" w:rsidP="00F51716">
            <w:pPr>
              <w:pStyle w:val="Tabletext0"/>
            </w:pPr>
            <w:r w:rsidRPr="003A12BF">
              <w:t>Increased use of recycled soft plastics in asphalt roads</w:t>
            </w:r>
          </w:p>
        </w:tc>
        <w:tc>
          <w:tcPr>
            <w:tcW w:w="1440" w:type="dxa"/>
            <w:noWrap/>
            <w:hideMark/>
          </w:tcPr>
          <w:p w14:paraId="653916A6" w14:textId="77777777" w:rsidR="003A12BF" w:rsidRPr="003A12BF" w:rsidRDefault="003A12BF" w:rsidP="00F51716">
            <w:pPr>
              <w:pStyle w:val="Tabletext0"/>
            </w:pPr>
            <w:r w:rsidRPr="003A12BF">
              <w:t>$62,019.00</w:t>
            </w:r>
          </w:p>
        </w:tc>
      </w:tr>
      <w:tr w:rsidR="003A12BF" w:rsidRPr="003A12BF" w14:paraId="06AFC1BB" w14:textId="77777777" w:rsidTr="002D4B7F">
        <w:trPr>
          <w:trHeight w:val="300"/>
        </w:trPr>
        <w:tc>
          <w:tcPr>
            <w:tcW w:w="2977" w:type="dxa"/>
            <w:noWrap/>
            <w:hideMark/>
          </w:tcPr>
          <w:p w14:paraId="1D1F5656" w14:textId="77777777" w:rsidR="003A12BF" w:rsidRPr="003A12BF" w:rsidRDefault="003A12BF" w:rsidP="00F51716">
            <w:pPr>
              <w:pStyle w:val="Tabletext0"/>
            </w:pPr>
            <w:r w:rsidRPr="003A12BF">
              <w:t>Close the Loop Ltd</w:t>
            </w:r>
          </w:p>
        </w:tc>
        <w:tc>
          <w:tcPr>
            <w:tcW w:w="4481" w:type="dxa"/>
            <w:noWrap/>
            <w:hideMark/>
          </w:tcPr>
          <w:p w14:paraId="563FE4E7" w14:textId="77777777" w:rsidR="003A12BF" w:rsidRPr="003A12BF" w:rsidRDefault="003A12BF" w:rsidP="00F51716">
            <w:pPr>
              <w:pStyle w:val="Tabletext0"/>
            </w:pPr>
            <w:r w:rsidRPr="003A12BF">
              <w:t>Increased use of recycled soft plastics in asphalt roads</w:t>
            </w:r>
          </w:p>
        </w:tc>
        <w:tc>
          <w:tcPr>
            <w:tcW w:w="1440" w:type="dxa"/>
            <w:noWrap/>
            <w:hideMark/>
          </w:tcPr>
          <w:p w14:paraId="6C3D4C94" w14:textId="77777777" w:rsidR="003A12BF" w:rsidRPr="003A12BF" w:rsidRDefault="003A12BF" w:rsidP="00F51716">
            <w:pPr>
              <w:pStyle w:val="Tabletext0"/>
            </w:pPr>
            <w:r w:rsidRPr="003A12BF">
              <w:t>$3,764.00</w:t>
            </w:r>
          </w:p>
        </w:tc>
      </w:tr>
      <w:tr w:rsidR="003A12BF" w:rsidRPr="003A12BF" w14:paraId="754ABFC7" w14:textId="77777777" w:rsidTr="002D4B7F">
        <w:trPr>
          <w:trHeight w:val="300"/>
        </w:trPr>
        <w:tc>
          <w:tcPr>
            <w:tcW w:w="2977" w:type="dxa"/>
            <w:noWrap/>
            <w:hideMark/>
          </w:tcPr>
          <w:p w14:paraId="1FA7CF12" w14:textId="77777777" w:rsidR="003A12BF" w:rsidRPr="003A12BF" w:rsidRDefault="003A12BF" w:rsidP="00F51716">
            <w:pPr>
              <w:pStyle w:val="Tabletext0"/>
            </w:pPr>
            <w:r w:rsidRPr="003A12BF">
              <w:t>Fulton Hogan Industries</w:t>
            </w:r>
          </w:p>
        </w:tc>
        <w:tc>
          <w:tcPr>
            <w:tcW w:w="4481" w:type="dxa"/>
            <w:noWrap/>
            <w:hideMark/>
          </w:tcPr>
          <w:p w14:paraId="03BF987F" w14:textId="77777777" w:rsidR="003A12BF" w:rsidRPr="003A12BF" w:rsidRDefault="003A12BF" w:rsidP="00F51716">
            <w:pPr>
              <w:pStyle w:val="Tabletext0"/>
            </w:pPr>
            <w:r w:rsidRPr="003A12BF">
              <w:t>Warrnambool Glass &amp; Plastic Recovery Processing for Pavement Materials</w:t>
            </w:r>
          </w:p>
        </w:tc>
        <w:tc>
          <w:tcPr>
            <w:tcW w:w="1440" w:type="dxa"/>
            <w:noWrap/>
            <w:hideMark/>
          </w:tcPr>
          <w:p w14:paraId="6849E107" w14:textId="77777777" w:rsidR="003A12BF" w:rsidRPr="003A12BF" w:rsidRDefault="003A12BF" w:rsidP="00F51716">
            <w:pPr>
              <w:pStyle w:val="Tabletext0"/>
            </w:pPr>
            <w:r w:rsidRPr="003A12BF">
              <w:t>$5,500.00</w:t>
            </w:r>
          </w:p>
        </w:tc>
      </w:tr>
      <w:tr w:rsidR="003A12BF" w:rsidRPr="003A12BF" w14:paraId="75A56271" w14:textId="77777777" w:rsidTr="002D4B7F">
        <w:trPr>
          <w:trHeight w:val="300"/>
        </w:trPr>
        <w:tc>
          <w:tcPr>
            <w:tcW w:w="2977" w:type="dxa"/>
            <w:noWrap/>
            <w:hideMark/>
          </w:tcPr>
          <w:p w14:paraId="4FAC2742" w14:textId="77777777" w:rsidR="003A12BF" w:rsidRPr="003A12BF" w:rsidRDefault="003A12BF" w:rsidP="00F51716">
            <w:pPr>
              <w:pStyle w:val="Tabletext0"/>
            </w:pPr>
            <w:r w:rsidRPr="003A12BF">
              <w:t>Supa Dupa</w:t>
            </w:r>
          </w:p>
        </w:tc>
        <w:tc>
          <w:tcPr>
            <w:tcW w:w="4481" w:type="dxa"/>
            <w:noWrap/>
            <w:hideMark/>
          </w:tcPr>
          <w:p w14:paraId="1A6AF375" w14:textId="77777777" w:rsidR="003A12BF" w:rsidRPr="003A12BF" w:rsidRDefault="003A12BF" w:rsidP="00F51716">
            <w:pPr>
              <w:pStyle w:val="Tabletext0"/>
            </w:pPr>
            <w:r w:rsidRPr="003A12BF">
              <w:t>HordyPly: Recycling Construction Site Hoarding into valuable Plywood</w:t>
            </w:r>
          </w:p>
        </w:tc>
        <w:tc>
          <w:tcPr>
            <w:tcW w:w="1440" w:type="dxa"/>
            <w:noWrap/>
            <w:hideMark/>
          </w:tcPr>
          <w:p w14:paraId="140A993D" w14:textId="77777777" w:rsidR="003A12BF" w:rsidRPr="003A12BF" w:rsidRDefault="003A12BF" w:rsidP="00F51716">
            <w:pPr>
              <w:pStyle w:val="Tabletext0"/>
            </w:pPr>
            <w:r w:rsidRPr="003A12BF">
              <w:t>$2,912.00</w:t>
            </w:r>
          </w:p>
        </w:tc>
      </w:tr>
      <w:tr w:rsidR="003A12BF" w:rsidRPr="003A12BF" w14:paraId="4011FE85" w14:textId="77777777" w:rsidTr="002D4B7F">
        <w:trPr>
          <w:trHeight w:val="300"/>
        </w:trPr>
        <w:tc>
          <w:tcPr>
            <w:tcW w:w="2977" w:type="dxa"/>
            <w:noWrap/>
            <w:hideMark/>
          </w:tcPr>
          <w:p w14:paraId="64BE8C79" w14:textId="77777777" w:rsidR="003A12BF" w:rsidRPr="003A12BF" w:rsidRDefault="003A12BF" w:rsidP="00F51716">
            <w:pPr>
              <w:pStyle w:val="Tabletext0"/>
            </w:pPr>
            <w:r w:rsidRPr="003A12BF">
              <w:t>Supa Dupa</w:t>
            </w:r>
          </w:p>
        </w:tc>
        <w:tc>
          <w:tcPr>
            <w:tcW w:w="4481" w:type="dxa"/>
            <w:noWrap/>
            <w:hideMark/>
          </w:tcPr>
          <w:p w14:paraId="7D1FEEDF" w14:textId="77777777" w:rsidR="003A12BF" w:rsidRPr="003A12BF" w:rsidRDefault="003A12BF" w:rsidP="00F51716">
            <w:pPr>
              <w:pStyle w:val="Tabletext0"/>
            </w:pPr>
            <w:r w:rsidRPr="003A12BF">
              <w:t>HordyPly: Recycling Construction Site Hoarding into valuable Plywood</w:t>
            </w:r>
          </w:p>
        </w:tc>
        <w:tc>
          <w:tcPr>
            <w:tcW w:w="1440" w:type="dxa"/>
            <w:noWrap/>
            <w:hideMark/>
          </w:tcPr>
          <w:p w14:paraId="4D1BD6F3" w14:textId="77777777" w:rsidR="003A12BF" w:rsidRPr="003A12BF" w:rsidRDefault="003A12BF" w:rsidP="00F51716">
            <w:pPr>
              <w:pStyle w:val="Tabletext0"/>
            </w:pPr>
            <w:r w:rsidRPr="003A12BF">
              <w:t>$20,475.00</w:t>
            </w:r>
          </w:p>
        </w:tc>
      </w:tr>
      <w:tr w:rsidR="003A12BF" w:rsidRPr="003A12BF" w14:paraId="1279B97B" w14:textId="77777777" w:rsidTr="002D4B7F">
        <w:trPr>
          <w:trHeight w:val="300"/>
        </w:trPr>
        <w:tc>
          <w:tcPr>
            <w:tcW w:w="2977" w:type="dxa"/>
            <w:noWrap/>
            <w:hideMark/>
          </w:tcPr>
          <w:p w14:paraId="0D5E10C8" w14:textId="77777777" w:rsidR="003A12BF" w:rsidRPr="003A12BF" w:rsidRDefault="003A12BF" w:rsidP="00F51716">
            <w:pPr>
              <w:pStyle w:val="Tabletext0"/>
            </w:pPr>
            <w:r w:rsidRPr="003A12BF">
              <w:t>Greater Shepparton City Council</w:t>
            </w:r>
          </w:p>
        </w:tc>
        <w:tc>
          <w:tcPr>
            <w:tcW w:w="4481" w:type="dxa"/>
            <w:noWrap/>
            <w:hideMark/>
          </w:tcPr>
          <w:p w14:paraId="6CB681AD" w14:textId="77777777" w:rsidR="003A12BF" w:rsidRPr="003A12BF" w:rsidRDefault="003A12BF" w:rsidP="00F51716">
            <w:pPr>
              <w:pStyle w:val="Tabletext0"/>
            </w:pPr>
            <w:r w:rsidRPr="003A12BF">
              <w:t>Installation of Recycling Bins at Ardmona and Murchison Resource Recovery Centres (RRCs)</w:t>
            </w:r>
          </w:p>
        </w:tc>
        <w:tc>
          <w:tcPr>
            <w:tcW w:w="1440" w:type="dxa"/>
            <w:noWrap/>
            <w:hideMark/>
          </w:tcPr>
          <w:p w14:paraId="3099AC74" w14:textId="77777777" w:rsidR="003A12BF" w:rsidRPr="003A12BF" w:rsidRDefault="003A12BF" w:rsidP="00F51716">
            <w:pPr>
              <w:pStyle w:val="Tabletext0"/>
            </w:pPr>
            <w:r w:rsidRPr="003A12BF">
              <w:t>$17,000.00</w:t>
            </w:r>
          </w:p>
        </w:tc>
      </w:tr>
      <w:tr w:rsidR="003A12BF" w:rsidRPr="003A12BF" w14:paraId="382A52FF" w14:textId="77777777" w:rsidTr="002D4B7F">
        <w:trPr>
          <w:trHeight w:val="300"/>
        </w:trPr>
        <w:tc>
          <w:tcPr>
            <w:tcW w:w="2977" w:type="dxa"/>
            <w:noWrap/>
            <w:hideMark/>
          </w:tcPr>
          <w:p w14:paraId="62CD6744" w14:textId="77777777" w:rsidR="003A12BF" w:rsidRPr="003A12BF" w:rsidRDefault="003A12BF" w:rsidP="00F51716">
            <w:pPr>
              <w:pStyle w:val="Tabletext0"/>
            </w:pPr>
            <w:r w:rsidRPr="003A12BF">
              <w:t>Ararat Rural City Council</w:t>
            </w:r>
          </w:p>
        </w:tc>
        <w:tc>
          <w:tcPr>
            <w:tcW w:w="4481" w:type="dxa"/>
            <w:noWrap/>
            <w:hideMark/>
          </w:tcPr>
          <w:p w14:paraId="7CFF95C2" w14:textId="26C91594" w:rsidR="003A12BF" w:rsidRPr="003A12BF" w:rsidRDefault="003A12BF" w:rsidP="00F51716">
            <w:pPr>
              <w:pStyle w:val="Tabletext0"/>
            </w:pPr>
            <w:r w:rsidRPr="003A12BF">
              <w:t>Toward</w:t>
            </w:r>
            <w:r w:rsidR="00653AB9">
              <w:t>s</w:t>
            </w:r>
            <w:r w:rsidRPr="003A12BF">
              <w:t xml:space="preserve"> the Future </w:t>
            </w:r>
            <w:r w:rsidR="00737453">
              <w:t>–</w:t>
            </w:r>
            <w:r w:rsidRPr="003A12BF">
              <w:t xml:space="preserve"> Lake Bolac Resource Recovery Centre Upgrade Project</w:t>
            </w:r>
          </w:p>
        </w:tc>
        <w:tc>
          <w:tcPr>
            <w:tcW w:w="1440" w:type="dxa"/>
            <w:noWrap/>
            <w:hideMark/>
          </w:tcPr>
          <w:p w14:paraId="74212F8E" w14:textId="77777777" w:rsidR="003A12BF" w:rsidRPr="003A12BF" w:rsidRDefault="003A12BF" w:rsidP="00F51716">
            <w:pPr>
              <w:pStyle w:val="Tabletext0"/>
            </w:pPr>
            <w:r w:rsidRPr="003A12BF">
              <w:t>$5,000.00</w:t>
            </w:r>
          </w:p>
        </w:tc>
      </w:tr>
      <w:tr w:rsidR="003A12BF" w:rsidRPr="003A12BF" w14:paraId="05A48571" w14:textId="77777777" w:rsidTr="002D4B7F">
        <w:trPr>
          <w:trHeight w:val="300"/>
        </w:trPr>
        <w:tc>
          <w:tcPr>
            <w:tcW w:w="2977" w:type="dxa"/>
            <w:noWrap/>
            <w:hideMark/>
          </w:tcPr>
          <w:p w14:paraId="4ABED694" w14:textId="77777777" w:rsidR="003A12BF" w:rsidRPr="003A12BF" w:rsidRDefault="003A12BF" w:rsidP="00F51716">
            <w:pPr>
              <w:pStyle w:val="Tabletext0"/>
            </w:pPr>
            <w:r w:rsidRPr="003A12BF">
              <w:t>Ararat Rural City Council</w:t>
            </w:r>
          </w:p>
        </w:tc>
        <w:tc>
          <w:tcPr>
            <w:tcW w:w="4481" w:type="dxa"/>
            <w:noWrap/>
            <w:hideMark/>
          </w:tcPr>
          <w:p w14:paraId="163AD2B8" w14:textId="0B4DA370" w:rsidR="003A12BF" w:rsidRPr="003A12BF" w:rsidRDefault="003A12BF" w:rsidP="00F51716">
            <w:pPr>
              <w:pStyle w:val="Tabletext0"/>
            </w:pPr>
            <w:r w:rsidRPr="003A12BF">
              <w:t>Toward</w:t>
            </w:r>
            <w:r w:rsidR="00653AB9">
              <w:t>s</w:t>
            </w:r>
            <w:r w:rsidRPr="003A12BF">
              <w:t xml:space="preserve"> the Future </w:t>
            </w:r>
            <w:r w:rsidR="00737453">
              <w:t>–</w:t>
            </w:r>
            <w:r w:rsidRPr="003A12BF">
              <w:t xml:space="preserve"> Lake Bolac Resource Recovery Centre Upgrade Project</w:t>
            </w:r>
          </w:p>
        </w:tc>
        <w:tc>
          <w:tcPr>
            <w:tcW w:w="1440" w:type="dxa"/>
            <w:noWrap/>
            <w:hideMark/>
          </w:tcPr>
          <w:p w14:paraId="69B2A659" w14:textId="77777777" w:rsidR="003A12BF" w:rsidRPr="003A12BF" w:rsidRDefault="003A12BF" w:rsidP="00F51716">
            <w:pPr>
              <w:pStyle w:val="Tabletext0"/>
            </w:pPr>
            <w:r w:rsidRPr="003A12BF">
              <w:t>$15,000.00</w:t>
            </w:r>
          </w:p>
        </w:tc>
      </w:tr>
      <w:tr w:rsidR="003A12BF" w:rsidRPr="003A12BF" w14:paraId="68D49F7C" w14:textId="77777777" w:rsidTr="002D4B7F">
        <w:trPr>
          <w:trHeight w:val="300"/>
        </w:trPr>
        <w:tc>
          <w:tcPr>
            <w:tcW w:w="2977" w:type="dxa"/>
            <w:noWrap/>
            <w:hideMark/>
          </w:tcPr>
          <w:p w14:paraId="13A0031D" w14:textId="77777777" w:rsidR="003A12BF" w:rsidRPr="003A12BF" w:rsidRDefault="003A12BF" w:rsidP="00F51716">
            <w:pPr>
              <w:pStyle w:val="Tabletext0"/>
            </w:pPr>
            <w:r w:rsidRPr="003A12BF">
              <w:t>Tambo Waste</w:t>
            </w:r>
          </w:p>
        </w:tc>
        <w:tc>
          <w:tcPr>
            <w:tcW w:w="4481" w:type="dxa"/>
            <w:noWrap/>
            <w:hideMark/>
          </w:tcPr>
          <w:p w14:paraId="7CA438D0" w14:textId="6A98E45C" w:rsidR="003A12BF" w:rsidRPr="003A12BF" w:rsidRDefault="003A12BF" w:rsidP="00F51716">
            <w:pPr>
              <w:pStyle w:val="Tabletext0"/>
            </w:pPr>
            <w:r w:rsidRPr="003A12BF">
              <w:t xml:space="preserve">Tambo Waste </w:t>
            </w:r>
            <w:r w:rsidR="00C65C26">
              <w:t xml:space="preserve">Materials Recycling Facility </w:t>
            </w:r>
            <w:r w:rsidRPr="003A12BF">
              <w:t>Upgrade Project</w:t>
            </w:r>
          </w:p>
        </w:tc>
        <w:tc>
          <w:tcPr>
            <w:tcW w:w="1440" w:type="dxa"/>
            <w:noWrap/>
            <w:hideMark/>
          </w:tcPr>
          <w:p w14:paraId="43247621" w14:textId="77777777" w:rsidR="003A12BF" w:rsidRPr="003A12BF" w:rsidRDefault="003A12BF" w:rsidP="00F51716">
            <w:pPr>
              <w:pStyle w:val="Tabletext0"/>
            </w:pPr>
            <w:r w:rsidRPr="003A12BF">
              <w:t>$34,000.00</w:t>
            </w:r>
          </w:p>
        </w:tc>
      </w:tr>
      <w:tr w:rsidR="003A12BF" w:rsidRPr="003A12BF" w14:paraId="381327DB" w14:textId="77777777" w:rsidTr="002D4B7F">
        <w:trPr>
          <w:trHeight w:val="300"/>
        </w:trPr>
        <w:tc>
          <w:tcPr>
            <w:tcW w:w="2977" w:type="dxa"/>
            <w:noWrap/>
            <w:hideMark/>
          </w:tcPr>
          <w:p w14:paraId="3FF74D89" w14:textId="77777777" w:rsidR="003A12BF" w:rsidRPr="003A12BF" w:rsidRDefault="003A12BF" w:rsidP="00F51716">
            <w:pPr>
              <w:pStyle w:val="Tabletext0"/>
            </w:pPr>
            <w:r w:rsidRPr="003A12BF">
              <w:t>Tambo Waste</w:t>
            </w:r>
          </w:p>
        </w:tc>
        <w:tc>
          <w:tcPr>
            <w:tcW w:w="4481" w:type="dxa"/>
            <w:noWrap/>
            <w:hideMark/>
          </w:tcPr>
          <w:p w14:paraId="0D66536B" w14:textId="086614C4" w:rsidR="003A12BF" w:rsidRPr="003A12BF" w:rsidRDefault="003A12BF" w:rsidP="00F51716">
            <w:pPr>
              <w:pStyle w:val="Tabletext0"/>
            </w:pPr>
            <w:r w:rsidRPr="003A12BF">
              <w:t xml:space="preserve">Tambo Waste </w:t>
            </w:r>
            <w:r w:rsidR="00C65C26">
              <w:t>Materials Recycling Facility</w:t>
            </w:r>
            <w:r w:rsidRPr="003A12BF">
              <w:t xml:space="preserve"> Upgrade Project</w:t>
            </w:r>
          </w:p>
        </w:tc>
        <w:tc>
          <w:tcPr>
            <w:tcW w:w="1440" w:type="dxa"/>
            <w:noWrap/>
            <w:hideMark/>
          </w:tcPr>
          <w:p w14:paraId="299AF0C3" w14:textId="77777777" w:rsidR="003A12BF" w:rsidRPr="003A12BF" w:rsidRDefault="003A12BF" w:rsidP="00F51716">
            <w:pPr>
              <w:pStyle w:val="Tabletext0"/>
            </w:pPr>
            <w:r w:rsidRPr="003A12BF">
              <w:t>$23,000.00</w:t>
            </w:r>
          </w:p>
        </w:tc>
      </w:tr>
      <w:tr w:rsidR="003A12BF" w:rsidRPr="003A12BF" w14:paraId="5FB492A7" w14:textId="77777777" w:rsidTr="002D4B7F">
        <w:trPr>
          <w:trHeight w:val="300"/>
        </w:trPr>
        <w:tc>
          <w:tcPr>
            <w:tcW w:w="2977" w:type="dxa"/>
            <w:noWrap/>
            <w:hideMark/>
          </w:tcPr>
          <w:p w14:paraId="51ECCD2E" w14:textId="77777777" w:rsidR="003A12BF" w:rsidRPr="003A12BF" w:rsidRDefault="003A12BF" w:rsidP="00F51716">
            <w:pPr>
              <w:pStyle w:val="Tabletext0"/>
            </w:pPr>
            <w:r w:rsidRPr="003A12BF">
              <w:t>Tambo Waste</w:t>
            </w:r>
          </w:p>
        </w:tc>
        <w:tc>
          <w:tcPr>
            <w:tcW w:w="4481" w:type="dxa"/>
            <w:noWrap/>
            <w:hideMark/>
          </w:tcPr>
          <w:p w14:paraId="048848A3" w14:textId="3B252C72" w:rsidR="003A12BF" w:rsidRPr="003A12BF" w:rsidRDefault="003A12BF" w:rsidP="00F51716">
            <w:pPr>
              <w:pStyle w:val="Tabletext0"/>
            </w:pPr>
            <w:r w:rsidRPr="003A12BF">
              <w:t xml:space="preserve">Tambo Waste </w:t>
            </w:r>
            <w:r w:rsidR="00C65C26">
              <w:t xml:space="preserve">Materials Recycling Facility </w:t>
            </w:r>
            <w:r w:rsidRPr="003A12BF">
              <w:t>Upgrade Project</w:t>
            </w:r>
          </w:p>
        </w:tc>
        <w:tc>
          <w:tcPr>
            <w:tcW w:w="1440" w:type="dxa"/>
            <w:noWrap/>
            <w:hideMark/>
          </w:tcPr>
          <w:p w14:paraId="7B575068" w14:textId="77777777" w:rsidR="003A12BF" w:rsidRPr="003A12BF" w:rsidRDefault="003A12BF" w:rsidP="00F51716">
            <w:pPr>
              <w:pStyle w:val="Tabletext0"/>
            </w:pPr>
            <w:r w:rsidRPr="003A12BF">
              <w:t>$13,000.00</w:t>
            </w:r>
          </w:p>
        </w:tc>
      </w:tr>
      <w:tr w:rsidR="003A12BF" w:rsidRPr="003A12BF" w14:paraId="244B7883" w14:textId="77777777" w:rsidTr="002D4B7F">
        <w:trPr>
          <w:trHeight w:val="300"/>
        </w:trPr>
        <w:tc>
          <w:tcPr>
            <w:tcW w:w="2977" w:type="dxa"/>
            <w:noWrap/>
            <w:hideMark/>
          </w:tcPr>
          <w:p w14:paraId="2D6AE7A9" w14:textId="77777777" w:rsidR="003A12BF" w:rsidRPr="003A12BF" w:rsidRDefault="003A12BF" w:rsidP="00F51716">
            <w:pPr>
              <w:pStyle w:val="Tabletext0"/>
            </w:pPr>
            <w:r w:rsidRPr="003A12BF">
              <w:t>Tambo Waste</w:t>
            </w:r>
          </w:p>
        </w:tc>
        <w:tc>
          <w:tcPr>
            <w:tcW w:w="4481" w:type="dxa"/>
            <w:noWrap/>
            <w:hideMark/>
          </w:tcPr>
          <w:p w14:paraId="794613CF" w14:textId="3E8E0BB0" w:rsidR="003A12BF" w:rsidRPr="003A12BF" w:rsidRDefault="003A12BF" w:rsidP="00F51716">
            <w:pPr>
              <w:pStyle w:val="Tabletext0"/>
            </w:pPr>
            <w:r w:rsidRPr="003A12BF">
              <w:t xml:space="preserve">Tambo Waste </w:t>
            </w:r>
            <w:r w:rsidR="00C65C26">
              <w:t>Materials Recycling Facility</w:t>
            </w:r>
            <w:r w:rsidRPr="003A12BF">
              <w:t xml:space="preserve"> Upgrade Project</w:t>
            </w:r>
          </w:p>
        </w:tc>
        <w:tc>
          <w:tcPr>
            <w:tcW w:w="1440" w:type="dxa"/>
            <w:noWrap/>
            <w:hideMark/>
          </w:tcPr>
          <w:p w14:paraId="1072EF1A" w14:textId="77777777" w:rsidR="003A12BF" w:rsidRPr="003A12BF" w:rsidRDefault="003A12BF" w:rsidP="00F51716">
            <w:pPr>
              <w:pStyle w:val="Tabletext0"/>
            </w:pPr>
            <w:r w:rsidRPr="003A12BF">
              <w:t>$13,000.00</w:t>
            </w:r>
          </w:p>
        </w:tc>
      </w:tr>
      <w:tr w:rsidR="003A12BF" w:rsidRPr="003A12BF" w14:paraId="0763943D" w14:textId="77777777" w:rsidTr="002D4B7F">
        <w:trPr>
          <w:trHeight w:val="300"/>
        </w:trPr>
        <w:tc>
          <w:tcPr>
            <w:tcW w:w="2977" w:type="dxa"/>
            <w:noWrap/>
            <w:hideMark/>
          </w:tcPr>
          <w:p w14:paraId="7E5AF8AD" w14:textId="77777777" w:rsidR="003A12BF" w:rsidRPr="003A12BF" w:rsidRDefault="003A12BF" w:rsidP="00F51716">
            <w:pPr>
              <w:pStyle w:val="Tabletext0"/>
            </w:pPr>
            <w:r w:rsidRPr="003A12BF">
              <w:t>Australian Paper Recovery</w:t>
            </w:r>
          </w:p>
        </w:tc>
        <w:tc>
          <w:tcPr>
            <w:tcW w:w="4481" w:type="dxa"/>
            <w:noWrap/>
            <w:hideMark/>
          </w:tcPr>
          <w:p w14:paraId="030302CE" w14:textId="77777777" w:rsidR="003A12BF" w:rsidRPr="003A12BF" w:rsidRDefault="003A12BF" w:rsidP="00F51716">
            <w:pPr>
              <w:pStyle w:val="Tabletext0"/>
            </w:pPr>
            <w:r w:rsidRPr="003A12BF">
              <w:t>Mixed paper sorting to meet grade specifications and market acceptance</w:t>
            </w:r>
          </w:p>
        </w:tc>
        <w:tc>
          <w:tcPr>
            <w:tcW w:w="1440" w:type="dxa"/>
            <w:noWrap/>
            <w:hideMark/>
          </w:tcPr>
          <w:p w14:paraId="258F595A" w14:textId="77777777" w:rsidR="003A12BF" w:rsidRPr="003A12BF" w:rsidRDefault="003A12BF" w:rsidP="00F51716">
            <w:pPr>
              <w:pStyle w:val="Tabletext0"/>
            </w:pPr>
            <w:r w:rsidRPr="003A12BF">
              <w:t>$120,000.00</w:t>
            </w:r>
          </w:p>
        </w:tc>
      </w:tr>
      <w:tr w:rsidR="003A12BF" w:rsidRPr="003A12BF" w14:paraId="3776030A" w14:textId="77777777" w:rsidTr="002D4B7F">
        <w:trPr>
          <w:trHeight w:val="300"/>
        </w:trPr>
        <w:tc>
          <w:tcPr>
            <w:tcW w:w="2977" w:type="dxa"/>
            <w:noWrap/>
            <w:hideMark/>
          </w:tcPr>
          <w:p w14:paraId="123A97AB" w14:textId="77777777" w:rsidR="003A12BF" w:rsidRPr="003A12BF" w:rsidRDefault="003A12BF" w:rsidP="00F51716">
            <w:pPr>
              <w:pStyle w:val="Tabletext0"/>
            </w:pPr>
            <w:r w:rsidRPr="003A12BF">
              <w:t>Australian Paper Recovery</w:t>
            </w:r>
          </w:p>
        </w:tc>
        <w:tc>
          <w:tcPr>
            <w:tcW w:w="4481" w:type="dxa"/>
            <w:noWrap/>
            <w:hideMark/>
          </w:tcPr>
          <w:p w14:paraId="6CD934BD" w14:textId="77777777" w:rsidR="003A12BF" w:rsidRPr="003A12BF" w:rsidRDefault="003A12BF" w:rsidP="00F51716">
            <w:pPr>
              <w:pStyle w:val="Tabletext0"/>
            </w:pPr>
            <w:r w:rsidRPr="003A12BF">
              <w:t>Mixed paper sorting to meet grade specifications and market acceptance</w:t>
            </w:r>
          </w:p>
        </w:tc>
        <w:tc>
          <w:tcPr>
            <w:tcW w:w="1440" w:type="dxa"/>
            <w:noWrap/>
            <w:hideMark/>
          </w:tcPr>
          <w:p w14:paraId="63C92AA6" w14:textId="77777777" w:rsidR="003A12BF" w:rsidRPr="003A12BF" w:rsidRDefault="003A12BF" w:rsidP="00F51716">
            <w:pPr>
              <w:pStyle w:val="Tabletext0"/>
            </w:pPr>
            <w:r w:rsidRPr="003A12BF">
              <w:t>$50,000.00</w:t>
            </w:r>
          </w:p>
        </w:tc>
      </w:tr>
      <w:tr w:rsidR="003A12BF" w:rsidRPr="003A12BF" w14:paraId="510771DA" w14:textId="77777777" w:rsidTr="002D4B7F">
        <w:trPr>
          <w:trHeight w:val="300"/>
        </w:trPr>
        <w:tc>
          <w:tcPr>
            <w:tcW w:w="2977" w:type="dxa"/>
            <w:noWrap/>
            <w:hideMark/>
          </w:tcPr>
          <w:p w14:paraId="455F5D37" w14:textId="77777777" w:rsidR="003A12BF" w:rsidRPr="003A12BF" w:rsidRDefault="003A12BF" w:rsidP="00F51716">
            <w:pPr>
              <w:pStyle w:val="Tabletext0"/>
            </w:pPr>
            <w:r w:rsidRPr="003A12BF">
              <w:t>Polymer Processors</w:t>
            </w:r>
          </w:p>
        </w:tc>
        <w:tc>
          <w:tcPr>
            <w:tcW w:w="4481" w:type="dxa"/>
            <w:noWrap/>
            <w:hideMark/>
          </w:tcPr>
          <w:p w14:paraId="7687E4DD" w14:textId="26AC0F45" w:rsidR="003A12BF" w:rsidRPr="003A12BF" w:rsidRDefault="003A12BF" w:rsidP="00F51716">
            <w:pPr>
              <w:pStyle w:val="Tabletext0"/>
            </w:pPr>
            <w:r w:rsidRPr="003A12BF">
              <w:t xml:space="preserve">Polymer Processors </w:t>
            </w:r>
            <w:r w:rsidR="00737453">
              <w:t>–</w:t>
            </w:r>
            <w:r w:rsidRPr="003A12BF">
              <w:t xml:space="preserve"> Enhanced Plastics Processing Project</w:t>
            </w:r>
          </w:p>
        </w:tc>
        <w:tc>
          <w:tcPr>
            <w:tcW w:w="1440" w:type="dxa"/>
            <w:noWrap/>
            <w:hideMark/>
          </w:tcPr>
          <w:p w14:paraId="5663E2FA" w14:textId="77777777" w:rsidR="003A12BF" w:rsidRPr="003A12BF" w:rsidRDefault="003A12BF" w:rsidP="00F51716">
            <w:pPr>
              <w:pStyle w:val="Tabletext0"/>
            </w:pPr>
            <w:r w:rsidRPr="003A12BF">
              <w:t>$150,000.00</w:t>
            </w:r>
          </w:p>
        </w:tc>
      </w:tr>
      <w:tr w:rsidR="003A12BF" w:rsidRPr="003A12BF" w14:paraId="413D2518" w14:textId="77777777" w:rsidTr="002D4B7F">
        <w:trPr>
          <w:trHeight w:val="300"/>
        </w:trPr>
        <w:tc>
          <w:tcPr>
            <w:tcW w:w="2977" w:type="dxa"/>
            <w:noWrap/>
            <w:hideMark/>
          </w:tcPr>
          <w:p w14:paraId="25A79AA7" w14:textId="77777777" w:rsidR="003A12BF" w:rsidRPr="003A12BF" w:rsidRDefault="003A12BF" w:rsidP="00F51716">
            <w:pPr>
              <w:pStyle w:val="Tabletext0"/>
            </w:pPr>
            <w:r w:rsidRPr="003A12BF">
              <w:t>Polymer Processors</w:t>
            </w:r>
          </w:p>
        </w:tc>
        <w:tc>
          <w:tcPr>
            <w:tcW w:w="4481" w:type="dxa"/>
            <w:noWrap/>
            <w:hideMark/>
          </w:tcPr>
          <w:p w14:paraId="29E4C612" w14:textId="31D27ED1" w:rsidR="003A12BF" w:rsidRPr="003A12BF" w:rsidRDefault="003A12BF" w:rsidP="00F51716">
            <w:pPr>
              <w:pStyle w:val="Tabletext0"/>
            </w:pPr>
            <w:r w:rsidRPr="003A12BF">
              <w:t xml:space="preserve">Polymer Processors </w:t>
            </w:r>
            <w:r w:rsidR="00737453">
              <w:t>–</w:t>
            </w:r>
            <w:r w:rsidRPr="003A12BF">
              <w:t xml:space="preserve"> Enhanced Plastics Processing Project</w:t>
            </w:r>
          </w:p>
        </w:tc>
        <w:tc>
          <w:tcPr>
            <w:tcW w:w="1440" w:type="dxa"/>
            <w:noWrap/>
            <w:hideMark/>
          </w:tcPr>
          <w:p w14:paraId="488F6C5E" w14:textId="77777777" w:rsidR="003A12BF" w:rsidRPr="003A12BF" w:rsidRDefault="003A12BF" w:rsidP="00F51716">
            <w:pPr>
              <w:pStyle w:val="Tabletext0"/>
            </w:pPr>
            <w:r w:rsidRPr="003A12BF">
              <w:t>$25,000.00</w:t>
            </w:r>
          </w:p>
        </w:tc>
      </w:tr>
      <w:tr w:rsidR="003A12BF" w:rsidRPr="003A12BF" w14:paraId="544A9D4D" w14:textId="77777777" w:rsidTr="002D4B7F">
        <w:trPr>
          <w:trHeight w:val="300"/>
        </w:trPr>
        <w:tc>
          <w:tcPr>
            <w:tcW w:w="2977" w:type="dxa"/>
            <w:noWrap/>
            <w:hideMark/>
          </w:tcPr>
          <w:p w14:paraId="61C4E67A" w14:textId="77777777" w:rsidR="003A12BF" w:rsidRPr="003A12BF" w:rsidRDefault="003A12BF" w:rsidP="00F51716">
            <w:pPr>
              <w:pStyle w:val="Tabletext0"/>
            </w:pPr>
            <w:r w:rsidRPr="003A12BF">
              <w:t>Polytrade</w:t>
            </w:r>
          </w:p>
        </w:tc>
        <w:tc>
          <w:tcPr>
            <w:tcW w:w="4481" w:type="dxa"/>
            <w:noWrap/>
            <w:hideMark/>
          </w:tcPr>
          <w:p w14:paraId="59CAD193" w14:textId="77777777" w:rsidR="003A12BF" w:rsidRPr="003A12BF" w:rsidRDefault="003A12BF" w:rsidP="00F51716">
            <w:pPr>
              <w:pStyle w:val="Tabletext0"/>
            </w:pPr>
            <w:r w:rsidRPr="003A12BF">
              <w:t>Polytrade Campbellfield Plastics Sorting Project</w:t>
            </w:r>
          </w:p>
        </w:tc>
        <w:tc>
          <w:tcPr>
            <w:tcW w:w="1440" w:type="dxa"/>
            <w:noWrap/>
            <w:hideMark/>
          </w:tcPr>
          <w:p w14:paraId="54D6ECE3" w14:textId="77777777" w:rsidR="003A12BF" w:rsidRPr="003A12BF" w:rsidRDefault="003A12BF" w:rsidP="00F51716">
            <w:pPr>
              <w:pStyle w:val="Tabletext0"/>
            </w:pPr>
            <w:r w:rsidRPr="003A12BF">
              <w:t>$170,000.00</w:t>
            </w:r>
          </w:p>
        </w:tc>
      </w:tr>
      <w:tr w:rsidR="003A12BF" w:rsidRPr="003A12BF" w14:paraId="3F335123" w14:textId="77777777" w:rsidTr="002D4B7F">
        <w:trPr>
          <w:trHeight w:val="300"/>
        </w:trPr>
        <w:tc>
          <w:tcPr>
            <w:tcW w:w="2977" w:type="dxa"/>
            <w:noWrap/>
            <w:hideMark/>
          </w:tcPr>
          <w:p w14:paraId="4D816ED6" w14:textId="77777777" w:rsidR="003A12BF" w:rsidRPr="003A12BF" w:rsidRDefault="003A12BF" w:rsidP="00F51716">
            <w:pPr>
              <w:pStyle w:val="Tabletext0"/>
            </w:pPr>
            <w:r w:rsidRPr="003A12BF">
              <w:t>Swinburne University of Technology</w:t>
            </w:r>
          </w:p>
        </w:tc>
        <w:tc>
          <w:tcPr>
            <w:tcW w:w="4481" w:type="dxa"/>
            <w:noWrap/>
            <w:hideMark/>
          </w:tcPr>
          <w:p w14:paraId="7985D5BD" w14:textId="7357ECF7" w:rsidR="003A12BF" w:rsidRPr="003A12BF" w:rsidRDefault="003A12BF" w:rsidP="00F51716">
            <w:pPr>
              <w:pStyle w:val="Tabletext0"/>
            </w:pPr>
            <w:r w:rsidRPr="003A12BF">
              <w:t xml:space="preserve">Swinburne University </w:t>
            </w:r>
            <w:r w:rsidR="00737453">
              <w:t>–</w:t>
            </w:r>
            <w:r w:rsidRPr="003A12BF">
              <w:t xml:space="preserve"> Demonstration trial of plastics and glass in concrete footpath</w:t>
            </w:r>
          </w:p>
        </w:tc>
        <w:tc>
          <w:tcPr>
            <w:tcW w:w="1440" w:type="dxa"/>
            <w:noWrap/>
            <w:hideMark/>
          </w:tcPr>
          <w:p w14:paraId="1E65B73D" w14:textId="77777777" w:rsidR="003A12BF" w:rsidRPr="003A12BF" w:rsidRDefault="003A12BF" w:rsidP="00F51716">
            <w:pPr>
              <w:pStyle w:val="Tabletext0"/>
            </w:pPr>
            <w:r w:rsidRPr="003A12BF">
              <w:t>$20,000.00</w:t>
            </w:r>
          </w:p>
        </w:tc>
      </w:tr>
      <w:tr w:rsidR="003A12BF" w:rsidRPr="003A12BF" w14:paraId="48C98764" w14:textId="77777777" w:rsidTr="002D4B7F">
        <w:trPr>
          <w:trHeight w:val="300"/>
        </w:trPr>
        <w:tc>
          <w:tcPr>
            <w:tcW w:w="2977" w:type="dxa"/>
            <w:noWrap/>
            <w:hideMark/>
          </w:tcPr>
          <w:p w14:paraId="2EBC8B79" w14:textId="77777777" w:rsidR="003A12BF" w:rsidRPr="003A12BF" w:rsidRDefault="003A12BF" w:rsidP="00F51716">
            <w:pPr>
              <w:pStyle w:val="Tabletext0"/>
            </w:pPr>
            <w:r w:rsidRPr="003A12BF">
              <w:t>Swinburne University of Technology</w:t>
            </w:r>
          </w:p>
        </w:tc>
        <w:tc>
          <w:tcPr>
            <w:tcW w:w="4481" w:type="dxa"/>
            <w:noWrap/>
            <w:hideMark/>
          </w:tcPr>
          <w:p w14:paraId="123F800B" w14:textId="0F2AC628" w:rsidR="003A12BF" w:rsidRPr="003A12BF" w:rsidRDefault="003A12BF" w:rsidP="00F51716">
            <w:pPr>
              <w:pStyle w:val="Tabletext0"/>
            </w:pPr>
            <w:r w:rsidRPr="003A12BF">
              <w:t xml:space="preserve">Swinburne University </w:t>
            </w:r>
            <w:r w:rsidR="00737453">
              <w:t>–</w:t>
            </w:r>
            <w:r w:rsidRPr="003A12BF">
              <w:t xml:space="preserve"> Demonstration trial of plastics and glass in concrete footpath</w:t>
            </w:r>
          </w:p>
        </w:tc>
        <w:tc>
          <w:tcPr>
            <w:tcW w:w="1440" w:type="dxa"/>
            <w:noWrap/>
            <w:hideMark/>
          </w:tcPr>
          <w:p w14:paraId="291FECBB" w14:textId="77777777" w:rsidR="003A12BF" w:rsidRPr="003A12BF" w:rsidRDefault="003A12BF" w:rsidP="00F51716">
            <w:pPr>
              <w:pStyle w:val="Tabletext0"/>
            </w:pPr>
            <w:r w:rsidRPr="003A12BF">
              <w:t>$12,100.00</w:t>
            </w:r>
          </w:p>
        </w:tc>
      </w:tr>
      <w:tr w:rsidR="003A12BF" w:rsidRPr="003A12BF" w14:paraId="0B7730DB" w14:textId="77777777" w:rsidTr="002D4B7F">
        <w:trPr>
          <w:trHeight w:val="300"/>
        </w:trPr>
        <w:tc>
          <w:tcPr>
            <w:tcW w:w="2977" w:type="dxa"/>
            <w:noWrap/>
            <w:hideMark/>
          </w:tcPr>
          <w:p w14:paraId="765BEFC6" w14:textId="77777777" w:rsidR="003A12BF" w:rsidRPr="003A12BF" w:rsidRDefault="003A12BF" w:rsidP="00F51716">
            <w:pPr>
              <w:pStyle w:val="Tabletext0"/>
            </w:pPr>
            <w:r w:rsidRPr="003A12BF">
              <w:t>RMIT</w:t>
            </w:r>
          </w:p>
        </w:tc>
        <w:tc>
          <w:tcPr>
            <w:tcW w:w="4481" w:type="dxa"/>
            <w:noWrap/>
            <w:hideMark/>
          </w:tcPr>
          <w:p w14:paraId="400A8713" w14:textId="77009AE9" w:rsidR="003A12BF" w:rsidRPr="003A12BF" w:rsidRDefault="003A12BF" w:rsidP="00F51716">
            <w:pPr>
              <w:pStyle w:val="Tabletext0"/>
            </w:pPr>
            <w:r w:rsidRPr="003A12BF">
              <w:t xml:space="preserve">RMIT University </w:t>
            </w:r>
            <w:r w:rsidR="00737453">
              <w:t>–</w:t>
            </w:r>
            <w:r w:rsidRPr="003A12BF">
              <w:t xml:space="preserve"> Recycled Plastic and Rubber in Municipal Concrete Infrastructure</w:t>
            </w:r>
          </w:p>
        </w:tc>
        <w:tc>
          <w:tcPr>
            <w:tcW w:w="1440" w:type="dxa"/>
            <w:noWrap/>
            <w:hideMark/>
          </w:tcPr>
          <w:p w14:paraId="6EECBF63" w14:textId="77777777" w:rsidR="003A12BF" w:rsidRPr="003A12BF" w:rsidRDefault="003A12BF" w:rsidP="00F51716">
            <w:pPr>
              <w:pStyle w:val="Tabletext0"/>
            </w:pPr>
            <w:r w:rsidRPr="003A12BF">
              <w:t>$50,000.00</w:t>
            </w:r>
          </w:p>
        </w:tc>
      </w:tr>
      <w:tr w:rsidR="003A12BF" w:rsidRPr="003A12BF" w14:paraId="57D2A596" w14:textId="77777777" w:rsidTr="002D4B7F">
        <w:trPr>
          <w:trHeight w:val="300"/>
        </w:trPr>
        <w:tc>
          <w:tcPr>
            <w:tcW w:w="2977" w:type="dxa"/>
            <w:noWrap/>
            <w:hideMark/>
          </w:tcPr>
          <w:p w14:paraId="7699E6A5" w14:textId="77777777" w:rsidR="003A12BF" w:rsidRPr="003A12BF" w:rsidRDefault="003A12BF" w:rsidP="00F51716">
            <w:pPr>
              <w:pStyle w:val="Tabletext0"/>
            </w:pPr>
            <w:r w:rsidRPr="003A12BF">
              <w:t>RMIT</w:t>
            </w:r>
          </w:p>
        </w:tc>
        <w:tc>
          <w:tcPr>
            <w:tcW w:w="4481" w:type="dxa"/>
            <w:noWrap/>
            <w:hideMark/>
          </w:tcPr>
          <w:p w14:paraId="093244C7" w14:textId="6D43C731" w:rsidR="003A12BF" w:rsidRPr="003A12BF" w:rsidRDefault="003A12BF" w:rsidP="00F51716">
            <w:pPr>
              <w:pStyle w:val="Tabletext0"/>
            </w:pPr>
            <w:r w:rsidRPr="003A12BF">
              <w:t xml:space="preserve">RMIT University </w:t>
            </w:r>
            <w:r w:rsidR="00737453">
              <w:t>–</w:t>
            </w:r>
            <w:r w:rsidRPr="003A12BF">
              <w:t xml:space="preserve"> Recycled Plastic and Rubber in Municipal Concrete Infrastructure</w:t>
            </w:r>
          </w:p>
        </w:tc>
        <w:tc>
          <w:tcPr>
            <w:tcW w:w="1440" w:type="dxa"/>
            <w:noWrap/>
            <w:hideMark/>
          </w:tcPr>
          <w:p w14:paraId="68852B15" w14:textId="77777777" w:rsidR="003A12BF" w:rsidRPr="003A12BF" w:rsidRDefault="003A12BF" w:rsidP="00F51716">
            <w:pPr>
              <w:pStyle w:val="Tabletext0"/>
            </w:pPr>
            <w:r w:rsidRPr="003A12BF">
              <w:t>$25,000.00</w:t>
            </w:r>
          </w:p>
        </w:tc>
      </w:tr>
      <w:tr w:rsidR="003A12BF" w:rsidRPr="003A12BF" w14:paraId="51B9E2B8" w14:textId="77777777" w:rsidTr="002D4B7F">
        <w:trPr>
          <w:trHeight w:val="300"/>
        </w:trPr>
        <w:tc>
          <w:tcPr>
            <w:tcW w:w="2977" w:type="dxa"/>
            <w:noWrap/>
            <w:hideMark/>
          </w:tcPr>
          <w:p w14:paraId="472746FB" w14:textId="77777777" w:rsidR="003A12BF" w:rsidRPr="003A12BF" w:rsidRDefault="003A12BF" w:rsidP="00F51716">
            <w:pPr>
              <w:pStyle w:val="Tabletext0"/>
            </w:pPr>
            <w:r w:rsidRPr="003A12BF">
              <w:t>Yarra City Council</w:t>
            </w:r>
          </w:p>
        </w:tc>
        <w:tc>
          <w:tcPr>
            <w:tcW w:w="4481" w:type="dxa"/>
            <w:noWrap/>
            <w:hideMark/>
          </w:tcPr>
          <w:p w14:paraId="48DADCB5" w14:textId="5C3D8807" w:rsidR="003A12BF" w:rsidRPr="003A12BF" w:rsidRDefault="003A12BF" w:rsidP="00F51716">
            <w:pPr>
              <w:pStyle w:val="Tabletext0"/>
            </w:pPr>
            <w:r w:rsidRPr="003A12BF">
              <w:t xml:space="preserve">Yarra City Council </w:t>
            </w:r>
            <w:r w:rsidR="00737453">
              <w:t>–</w:t>
            </w:r>
            <w:r w:rsidRPr="003A12BF">
              <w:t xml:space="preserve"> Understanding benefits in separating glass at the kerbside</w:t>
            </w:r>
          </w:p>
        </w:tc>
        <w:tc>
          <w:tcPr>
            <w:tcW w:w="1440" w:type="dxa"/>
            <w:noWrap/>
            <w:hideMark/>
          </w:tcPr>
          <w:p w14:paraId="0F51D736" w14:textId="77777777" w:rsidR="003A12BF" w:rsidRPr="003A12BF" w:rsidRDefault="003A12BF" w:rsidP="00F51716">
            <w:pPr>
              <w:pStyle w:val="Tabletext0"/>
            </w:pPr>
            <w:r w:rsidRPr="003A12BF">
              <w:t>$35,000.00</w:t>
            </w:r>
          </w:p>
        </w:tc>
      </w:tr>
      <w:tr w:rsidR="003A12BF" w:rsidRPr="003A12BF" w14:paraId="0966F4B1" w14:textId="77777777" w:rsidTr="002D4B7F">
        <w:trPr>
          <w:trHeight w:val="300"/>
        </w:trPr>
        <w:tc>
          <w:tcPr>
            <w:tcW w:w="2977" w:type="dxa"/>
            <w:noWrap/>
            <w:hideMark/>
          </w:tcPr>
          <w:p w14:paraId="633B9E35" w14:textId="77777777" w:rsidR="003A12BF" w:rsidRPr="003A12BF" w:rsidRDefault="003A12BF" w:rsidP="00F51716">
            <w:pPr>
              <w:pStyle w:val="Tabletext0"/>
            </w:pPr>
            <w:r w:rsidRPr="003A12BF">
              <w:t>Yarra City Council</w:t>
            </w:r>
          </w:p>
        </w:tc>
        <w:tc>
          <w:tcPr>
            <w:tcW w:w="4481" w:type="dxa"/>
            <w:noWrap/>
            <w:hideMark/>
          </w:tcPr>
          <w:p w14:paraId="013150A4" w14:textId="3F985DAB" w:rsidR="003A12BF" w:rsidRPr="003A12BF" w:rsidRDefault="003A12BF" w:rsidP="00F51716">
            <w:pPr>
              <w:pStyle w:val="Tabletext0"/>
            </w:pPr>
            <w:r w:rsidRPr="003A12BF">
              <w:t xml:space="preserve">Yarra City Council </w:t>
            </w:r>
            <w:r w:rsidR="00737453">
              <w:t>–</w:t>
            </w:r>
            <w:r w:rsidRPr="003A12BF">
              <w:t xml:space="preserve"> Understanding benefits in separating glass at the kerbside</w:t>
            </w:r>
          </w:p>
        </w:tc>
        <w:tc>
          <w:tcPr>
            <w:tcW w:w="1440" w:type="dxa"/>
            <w:noWrap/>
            <w:hideMark/>
          </w:tcPr>
          <w:p w14:paraId="5BEF60F1" w14:textId="77777777" w:rsidR="003A12BF" w:rsidRPr="003A12BF" w:rsidRDefault="003A12BF" w:rsidP="00F51716">
            <w:pPr>
              <w:pStyle w:val="Tabletext0"/>
            </w:pPr>
            <w:r w:rsidRPr="003A12BF">
              <w:t>$65,000.00</w:t>
            </w:r>
          </w:p>
        </w:tc>
      </w:tr>
      <w:tr w:rsidR="003A12BF" w:rsidRPr="003A12BF" w14:paraId="44B843A4" w14:textId="77777777" w:rsidTr="002D4B7F">
        <w:trPr>
          <w:trHeight w:val="300"/>
        </w:trPr>
        <w:tc>
          <w:tcPr>
            <w:tcW w:w="2977" w:type="dxa"/>
            <w:noWrap/>
            <w:hideMark/>
          </w:tcPr>
          <w:p w14:paraId="4DC5E1E6" w14:textId="77777777" w:rsidR="003A12BF" w:rsidRPr="003A12BF" w:rsidRDefault="003A12BF" w:rsidP="00F51716">
            <w:pPr>
              <w:pStyle w:val="Tabletext0"/>
            </w:pPr>
            <w:r w:rsidRPr="003A12BF">
              <w:t>Swinburne University of Technology</w:t>
            </w:r>
          </w:p>
        </w:tc>
        <w:tc>
          <w:tcPr>
            <w:tcW w:w="4481" w:type="dxa"/>
            <w:noWrap/>
            <w:hideMark/>
          </w:tcPr>
          <w:p w14:paraId="3B7805DA" w14:textId="534E3CE4" w:rsidR="003A12BF" w:rsidRPr="003A12BF" w:rsidRDefault="003A12BF" w:rsidP="00F51716">
            <w:pPr>
              <w:pStyle w:val="Tabletext0"/>
            </w:pPr>
            <w:r w:rsidRPr="003A12BF">
              <w:t xml:space="preserve">Swinburne </w:t>
            </w:r>
            <w:r w:rsidR="00737453">
              <w:t>–</w:t>
            </w:r>
            <w:r w:rsidRPr="003A12BF">
              <w:t xml:space="preserve"> Recovered plastics and glass fines in rail track substructures</w:t>
            </w:r>
          </w:p>
        </w:tc>
        <w:tc>
          <w:tcPr>
            <w:tcW w:w="1440" w:type="dxa"/>
            <w:noWrap/>
            <w:hideMark/>
          </w:tcPr>
          <w:p w14:paraId="0685591C" w14:textId="77777777" w:rsidR="003A12BF" w:rsidRPr="003A12BF" w:rsidRDefault="003A12BF" w:rsidP="00F51716">
            <w:pPr>
              <w:pStyle w:val="Tabletext0"/>
            </w:pPr>
            <w:r w:rsidRPr="003A12BF">
              <w:t>$50,000.00</w:t>
            </w:r>
          </w:p>
        </w:tc>
      </w:tr>
      <w:tr w:rsidR="003A12BF" w:rsidRPr="003A12BF" w14:paraId="2D7CCE73" w14:textId="77777777" w:rsidTr="002D4B7F">
        <w:trPr>
          <w:trHeight w:val="300"/>
        </w:trPr>
        <w:tc>
          <w:tcPr>
            <w:tcW w:w="2977" w:type="dxa"/>
            <w:noWrap/>
            <w:hideMark/>
          </w:tcPr>
          <w:p w14:paraId="6C07B474" w14:textId="77777777" w:rsidR="003A12BF" w:rsidRPr="003A12BF" w:rsidRDefault="003A12BF" w:rsidP="00F51716">
            <w:pPr>
              <w:pStyle w:val="Tabletext0"/>
            </w:pPr>
            <w:r w:rsidRPr="003A12BF">
              <w:t>Swinburne University of Technology</w:t>
            </w:r>
          </w:p>
        </w:tc>
        <w:tc>
          <w:tcPr>
            <w:tcW w:w="4481" w:type="dxa"/>
            <w:noWrap/>
            <w:hideMark/>
          </w:tcPr>
          <w:p w14:paraId="7EA2CA16" w14:textId="7B82D383" w:rsidR="003A12BF" w:rsidRPr="003A12BF" w:rsidRDefault="003A12BF" w:rsidP="00F51716">
            <w:pPr>
              <w:pStyle w:val="Tabletext0"/>
            </w:pPr>
            <w:r w:rsidRPr="003A12BF">
              <w:t xml:space="preserve">Swinburne </w:t>
            </w:r>
            <w:r w:rsidR="00737453">
              <w:t>–</w:t>
            </w:r>
            <w:r w:rsidRPr="003A12BF">
              <w:t xml:space="preserve"> Recovered plastics and glass fines in rail track substructures</w:t>
            </w:r>
          </w:p>
        </w:tc>
        <w:tc>
          <w:tcPr>
            <w:tcW w:w="1440" w:type="dxa"/>
            <w:noWrap/>
            <w:hideMark/>
          </w:tcPr>
          <w:p w14:paraId="462FA940" w14:textId="77777777" w:rsidR="003A12BF" w:rsidRPr="003A12BF" w:rsidRDefault="003A12BF" w:rsidP="00F51716">
            <w:pPr>
              <w:pStyle w:val="Tabletext0"/>
            </w:pPr>
            <w:r w:rsidRPr="003A12BF">
              <w:t>$50,000.00</w:t>
            </w:r>
          </w:p>
        </w:tc>
      </w:tr>
      <w:tr w:rsidR="003A12BF" w:rsidRPr="003A12BF" w14:paraId="4FAC88FD" w14:textId="77777777" w:rsidTr="002D4B7F">
        <w:trPr>
          <w:trHeight w:val="300"/>
        </w:trPr>
        <w:tc>
          <w:tcPr>
            <w:tcW w:w="2977" w:type="dxa"/>
            <w:noWrap/>
            <w:hideMark/>
          </w:tcPr>
          <w:p w14:paraId="2808CF38" w14:textId="77777777" w:rsidR="003A12BF" w:rsidRPr="003A12BF" w:rsidRDefault="003A12BF" w:rsidP="00F51716">
            <w:pPr>
              <w:pStyle w:val="Tabletext0"/>
            </w:pPr>
            <w:r w:rsidRPr="003A12BF">
              <w:t>Swinburne University of Technology</w:t>
            </w:r>
          </w:p>
        </w:tc>
        <w:tc>
          <w:tcPr>
            <w:tcW w:w="4481" w:type="dxa"/>
            <w:noWrap/>
            <w:hideMark/>
          </w:tcPr>
          <w:p w14:paraId="75026F15" w14:textId="64F93CE0" w:rsidR="003A12BF" w:rsidRPr="003A12BF" w:rsidRDefault="003A12BF" w:rsidP="00F51716">
            <w:pPr>
              <w:pStyle w:val="Tabletext0"/>
            </w:pPr>
            <w:r w:rsidRPr="003A12BF">
              <w:t xml:space="preserve">Swinburne </w:t>
            </w:r>
            <w:r w:rsidR="00737453">
              <w:t>–</w:t>
            </w:r>
            <w:r w:rsidRPr="003A12BF">
              <w:t xml:space="preserve"> Recovered plastics and glass fines in rail track substructures</w:t>
            </w:r>
          </w:p>
        </w:tc>
        <w:tc>
          <w:tcPr>
            <w:tcW w:w="1440" w:type="dxa"/>
            <w:noWrap/>
            <w:hideMark/>
          </w:tcPr>
          <w:p w14:paraId="796C6D5D" w14:textId="77777777" w:rsidR="003A12BF" w:rsidRPr="003A12BF" w:rsidRDefault="003A12BF" w:rsidP="00F51716">
            <w:pPr>
              <w:pStyle w:val="Tabletext0"/>
            </w:pPr>
            <w:r w:rsidRPr="003A12BF">
              <w:t>$50,000.00</w:t>
            </w:r>
          </w:p>
        </w:tc>
      </w:tr>
      <w:tr w:rsidR="003A12BF" w:rsidRPr="003A12BF" w14:paraId="70BA4086" w14:textId="77777777" w:rsidTr="002D4B7F">
        <w:trPr>
          <w:trHeight w:val="300"/>
        </w:trPr>
        <w:tc>
          <w:tcPr>
            <w:tcW w:w="2977" w:type="dxa"/>
            <w:noWrap/>
            <w:hideMark/>
          </w:tcPr>
          <w:p w14:paraId="291023A9" w14:textId="77777777" w:rsidR="003A12BF" w:rsidRPr="003A12BF" w:rsidRDefault="003A12BF" w:rsidP="00F51716">
            <w:pPr>
              <w:pStyle w:val="Tabletext0"/>
            </w:pPr>
            <w:r w:rsidRPr="003A12BF">
              <w:t>Swinburne University of Technology</w:t>
            </w:r>
          </w:p>
        </w:tc>
        <w:tc>
          <w:tcPr>
            <w:tcW w:w="4481" w:type="dxa"/>
            <w:noWrap/>
            <w:hideMark/>
          </w:tcPr>
          <w:p w14:paraId="6B34C463" w14:textId="48A159FB" w:rsidR="003A12BF" w:rsidRPr="003A12BF" w:rsidRDefault="003A12BF" w:rsidP="00F51716">
            <w:pPr>
              <w:pStyle w:val="Tabletext0"/>
            </w:pPr>
            <w:r w:rsidRPr="003A12BF">
              <w:t xml:space="preserve">Swinburne </w:t>
            </w:r>
            <w:r w:rsidR="00737453">
              <w:t>–</w:t>
            </w:r>
            <w:r w:rsidRPr="003A12BF">
              <w:t xml:space="preserve"> Foamed bitumen stabilisation of pavements using glass fines and plastics</w:t>
            </w:r>
          </w:p>
        </w:tc>
        <w:tc>
          <w:tcPr>
            <w:tcW w:w="1440" w:type="dxa"/>
            <w:noWrap/>
            <w:hideMark/>
          </w:tcPr>
          <w:p w14:paraId="625EFA6E" w14:textId="77777777" w:rsidR="003A12BF" w:rsidRPr="003A12BF" w:rsidRDefault="003A12BF" w:rsidP="00F51716">
            <w:pPr>
              <w:pStyle w:val="Tabletext0"/>
            </w:pPr>
            <w:r w:rsidRPr="003A12BF">
              <w:t>$50,000.00</w:t>
            </w:r>
          </w:p>
        </w:tc>
      </w:tr>
      <w:tr w:rsidR="003A12BF" w:rsidRPr="003A12BF" w14:paraId="31C7E7D5" w14:textId="77777777" w:rsidTr="002D4B7F">
        <w:trPr>
          <w:trHeight w:val="300"/>
        </w:trPr>
        <w:tc>
          <w:tcPr>
            <w:tcW w:w="2977" w:type="dxa"/>
            <w:noWrap/>
            <w:hideMark/>
          </w:tcPr>
          <w:p w14:paraId="344A4A78" w14:textId="77777777" w:rsidR="003A12BF" w:rsidRPr="003A12BF" w:rsidRDefault="003A12BF" w:rsidP="00F51716">
            <w:pPr>
              <w:pStyle w:val="Tabletext0"/>
            </w:pPr>
            <w:r w:rsidRPr="003A12BF">
              <w:t>Swinburne University of Technology</w:t>
            </w:r>
          </w:p>
        </w:tc>
        <w:tc>
          <w:tcPr>
            <w:tcW w:w="4481" w:type="dxa"/>
            <w:noWrap/>
            <w:hideMark/>
          </w:tcPr>
          <w:p w14:paraId="2117A5C0" w14:textId="7105CEA4" w:rsidR="003A12BF" w:rsidRPr="003A12BF" w:rsidRDefault="003A12BF" w:rsidP="00F51716">
            <w:pPr>
              <w:pStyle w:val="Tabletext0"/>
            </w:pPr>
            <w:r w:rsidRPr="003A12BF">
              <w:t xml:space="preserve">Swinburne </w:t>
            </w:r>
            <w:r w:rsidR="00737453">
              <w:t>–</w:t>
            </w:r>
            <w:r w:rsidRPr="003A12BF">
              <w:t xml:space="preserve"> Foamed bitumen stabilisation of pavements using glass fines and plastics</w:t>
            </w:r>
          </w:p>
        </w:tc>
        <w:tc>
          <w:tcPr>
            <w:tcW w:w="1440" w:type="dxa"/>
            <w:noWrap/>
            <w:hideMark/>
          </w:tcPr>
          <w:p w14:paraId="233E8D85" w14:textId="77777777" w:rsidR="003A12BF" w:rsidRPr="003A12BF" w:rsidRDefault="003A12BF" w:rsidP="00F51716">
            <w:pPr>
              <w:pStyle w:val="Tabletext0"/>
            </w:pPr>
            <w:r w:rsidRPr="003A12BF">
              <w:t>$50,000.00</w:t>
            </w:r>
          </w:p>
        </w:tc>
      </w:tr>
      <w:tr w:rsidR="003A12BF" w:rsidRPr="003A12BF" w14:paraId="75B7FDA1" w14:textId="77777777" w:rsidTr="002D4B7F">
        <w:trPr>
          <w:trHeight w:val="300"/>
        </w:trPr>
        <w:tc>
          <w:tcPr>
            <w:tcW w:w="2977" w:type="dxa"/>
            <w:noWrap/>
            <w:hideMark/>
          </w:tcPr>
          <w:p w14:paraId="5D1598EA" w14:textId="06D56F54" w:rsidR="003A12BF" w:rsidRPr="003A12BF" w:rsidRDefault="003A12BF" w:rsidP="00F51716">
            <w:pPr>
              <w:pStyle w:val="Tabletext0"/>
            </w:pPr>
            <w:r w:rsidRPr="003A12BF">
              <w:t xml:space="preserve">Victoria University </w:t>
            </w:r>
            <w:r w:rsidR="00737453">
              <w:t>–</w:t>
            </w:r>
            <w:r w:rsidRPr="003A12BF">
              <w:t xml:space="preserve"> Footscray Campus</w:t>
            </w:r>
          </w:p>
        </w:tc>
        <w:tc>
          <w:tcPr>
            <w:tcW w:w="4481" w:type="dxa"/>
            <w:noWrap/>
            <w:hideMark/>
          </w:tcPr>
          <w:p w14:paraId="20982E3D" w14:textId="451CA5D5" w:rsidR="003A12BF" w:rsidRPr="003A12BF" w:rsidRDefault="003A12BF" w:rsidP="00F51716">
            <w:pPr>
              <w:pStyle w:val="Tabletext0"/>
            </w:pPr>
            <w:r w:rsidRPr="003A12BF">
              <w:t xml:space="preserve">Victoria University </w:t>
            </w:r>
            <w:r w:rsidR="00737453">
              <w:t>–</w:t>
            </w:r>
            <w:r w:rsidRPr="003A12BF">
              <w:t xml:space="preserve"> Recycled material blends for sewer and urban water infrasturcture</w:t>
            </w:r>
          </w:p>
        </w:tc>
        <w:tc>
          <w:tcPr>
            <w:tcW w:w="1440" w:type="dxa"/>
            <w:noWrap/>
            <w:hideMark/>
          </w:tcPr>
          <w:p w14:paraId="09329CDA" w14:textId="77777777" w:rsidR="003A12BF" w:rsidRPr="003A12BF" w:rsidRDefault="003A12BF" w:rsidP="00F51716">
            <w:pPr>
              <w:pStyle w:val="Tabletext0"/>
            </w:pPr>
            <w:r w:rsidRPr="003A12BF">
              <w:t>$50,000.00</w:t>
            </w:r>
          </w:p>
        </w:tc>
      </w:tr>
      <w:tr w:rsidR="003A12BF" w:rsidRPr="003A12BF" w14:paraId="120DD6EB" w14:textId="77777777" w:rsidTr="002D4B7F">
        <w:trPr>
          <w:trHeight w:val="300"/>
        </w:trPr>
        <w:tc>
          <w:tcPr>
            <w:tcW w:w="2977" w:type="dxa"/>
            <w:noWrap/>
            <w:hideMark/>
          </w:tcPr>
          <w:p w14:paraId="2E8A10A9" w14:textId="77777777" w:rsidR="003A12BF" w:rsidRPr="003A12BF" w:rsidRDefault="003A12BF" w:rsidP="00F51716">
            <w:pPr>
              <w:pStyle w:val="Tabletext0"/>
            </w:pPr>
            <w:r w:rsidRPr="003A12BF">
              <w:t>University of Melbourne</w:t>
            </w:r>
          </w:p>
        </w:tc>
        <w:tc>
          <w:tcPr>
            <w:tcW w:w="4481" w:type="dxa"/>
            <w:noWrap/>
            <w:hideMark/>
          </w:tcPr>
          <w:p w14:paraId="01ADF0F3" w14:textId="252A2567" w:rsidR="003A12BF" w:rsidRPr="003A12BF" w:rsidRDefault="003A12BF" w:rsidP="00F51716">
            <w:pPr>
              <w:pStyle w:val="Tabletext0"/>
            </w:pPr>
            <w:r w:rsidRPr="003A12BF">
              <w:t xml:space="preserve">Melbourne Uni </w:t>
            </w:r>
            <w:r w:rsidR="00737453">
              <w:t>–</w:t>
            </w:r>
            <w:r w:rsidRPr="003A12BF">
              <w:t xml:space="preserve"> Precast walls made from glass fines &amp; cellulose fib</w:t>
            </w:r>
            <w:r w:rsidR="00737453">
              <w:t>re</w:t>
            </w:r>
            <w:r w:rsidRPr="003A12BF">
              <w:t>s</w:t>
            </w:r>
          </w:p>
        </w:tc>
        <w:tc>
          <w:tcPr>
            <w:tcW w:w="1440" w:type="dxa"/>
            <w:noWrap/>
            <w:hideMark/>
          </w:tcPr>
          <w:p w14:paraId="09014DAF" w14:textId="77777777" w:rsidR="003A12BF" w:rsidRPr="003A12BF" w:rsidRDefault="003A12BF" w:rsidP="00F51716">
            <w:pPr>
              <w:pStyle w:val="Tabletext0"/>
            </w:pPr>
            <w:r w:rsidRPr="003A12BF">
              <w:t>$50,000.00</w:t>
            </w:r>
          </w:p>
        </w:tc>
      </w:tr>
      <w:tr w:rsidR="003A12BF" w:rsidRPr="003A12BF" w14:paraId="6C574B2B" w14:textId="77777777" w:rsidTr="002D4B7F">
        <w:trPr>
          <w:trHeight w:val="300"/>
        </w:trPr>
        <w:tc>
          <w:tcPr>
            <w:tcW w:w="2977" w:type="dxa"/>
            <w:noWrap/>
            <w:hideMark/>
          </w:tcPr>
          <w:p w14:paraId="37FAC383" w14:textId="5CE9B490" w:rsidR="003A12BF" w:rsidRPr="003A12BF" w:rsidRDefault="003A12BF" w:rsidP="00F51716">
            <w:pPr>
              <w:pStyle w:val="Tabletext0"/>
            </w:pPr>
            <w:r w:rsidRPr="003A12BF">
              <w:t>Deakin University</w:t>
            </w:r>
            <w:r w:rsidR="00737453">
              <w:t>–</w:t>
            </w:r>
            <w:r w:rsidRPr="003A12BF">
              <w:t xml:space="preserve"> Waurn Ponds Campus</w:t>
            </w:r>
          </w:p>
        </w:tc>
        <w:tc>
          <w:tcPr>
            <w:tcW w:w="4481" w:type="dxa"/>
            <w:noWrap/>
            <w:hideMark/>
          </w:tcPr>
          <w:p w14:paraId="2A2B547E" w14:textId="0CC0D17B" w:rsidR="003A12BF" w:rsidRPr="003A12BF" w:rsidRDefault="003A12BF" w:rsidP="00F51716">
            <w:pPr>
              <w:pStyle w:val="Tabletext0"/>
            </w:pPr>
            <w:r w:rsidRPr="003A12BF">
              <w:t xml:space="preserve">Deakin </w:t>
            </w:r>
            <w:r w:rsidR="00737453">
              <w:t>–</w:t>
            </w:r>
            <w:r w:rsidRPr="003A12BF">
              <w:t xml:space="preserve"> Catalyst assisted polyethylene (PE) recycling</w:t>
            </w:r>
          </w:p>
        </w:tc>
        <w:tc>
          <w:tcPr>
            <w:tcW w:w="1440" w:type="dxa"/>
            <w:noWrap/>
            <w:hideMark/>
          </w:tcPr>
          <w:p w14:paraId="5B55241D" w14:textId="77777777" w:rsidR="003A12BF" w:rsidRPr="003A12BF" w:rsidRDefault="003A12BF" w:rsidP="00F51716">
            <w:pPr>
              <w:pStyle w:val="Tabletext0"/>
            </w:pPr>
            <w:r w:rsidRPr="003A12BF">
              <w:t>$50,000.00</w:t>
            </w:r>
          </w:p>
        </w:tc>
      </w:tr>
      <w:tr w:rsidR="003A12BF" w:rsidRPr="003A12BF" w14:paraId="31AAEE57" w14:textId="77777777" w:rsidTr="002D4B7F">
        <w:trPr>
          <w:trHeight w:val="300"/>
        </w:trPr>
        <w:tc>
          <w:tcPr>
            <w:tcW w:w="2977" w:type="dxa"/>
            <w:noWrap/>
            <w:hideMark/>
          </w:tcPr>
          <w:p w14:paraId="6BEB9A45" w14:textId="77777777" w:rsidR="003A12BF" w:rsidRPr="003A12BF" w:rsidRDefault="003A12BF" w:rsidP="00F51716">
            <w:pPr>
              <w:pStyle w:val="Tabletext0"/>
            </w:pPr>
            <w:r w:rsidRPr="003A12BF">
              <w:t>Monash University</w:t>
            </w:r>
          </w:p>
        </w:tc>
        <w:tc>
          <w:tcPr>
            <w:tcW w:w="4481" w:type="dxa"/>
            <w:noWrap/>
            <w:hideMark/>
          </w:tcPr>
          <w:p w14:paraId="488A2767" w14:textId="77777777" w:rsidR="003A12BF" w:rsidRPr="003A12BF" w:rsidRDefault="003A12BF" w:rsidP="00F51716">
            <w:pPr>
              <w:pStyle w:val="Tabletext0"/>
            </w:pPr>
            <w:r w:rsidRPr="003A12BF">
              <w:t>Monash Railway Sleeper R&amp;D Grant Project</w:t>
            </w:r>
          </w:p>
        </w:tc>
        <w:tc>
          <w:tcPr>
            <w:tcW w:w="1440" w:type="dxa"/>
            <w:noWrap/>
            <w:hideMark/>
          </w:tcPr>
          <w:p w14:paraId="77166844" w14:textId="77777777" w:rsidR="003A12BF" w:rsidRPr="003A12BF" w:rsidRDefault="003A12BF" w:rsidP="00F51716">
            <w:pPr>
              <w:pStyle w:val="Tabletext0"/>
            </w:pPr>
            <w:r w:rsidRPr="003A12BF">
              <w:t>$50,000.00</w:t>
            </w:r>
          </w:p>
        </w:tc>
      </w:tr>
      <w:tr w:rsidR="003A12BF" w:rsidRPr="003A12BF" w14:paraId="2810DD7C" w14:textId="77777777" w:rsidTr="002D4B7F">
        <w:trPr>
          <w:trHeight w:val="300"/>
        </w:trPr>
        <w:tc>
          <w:tcPr>
            <w:tcW w:w="2977" w:type="dxa"/>
            <w:noWrap/>
            <w:hideMark/>
          </w:tcPr>
          <w:p w14:paraId="05866057" w14:textId="77777777" w:rsidR="003A12BF" w:rsidRPr="003A12BF" w:rsidRDefault="003A12BF" w:rsidP="00F51716">
            <w:pPr>
              <w:pStyle w:val="Tabletext0"/>
            </w:pPr>
            <w:r w:rsidRPr="003A12BF">
              <w:t>University of Melbourne</w:t>
            </w:r>
          </w:p>
        </w:tc>
        <w:tc>
          <w:tcPr>
            <w:tcW w:w="4481" w:type="dxa"/>
            <w:noWrap/>
            <w:hideMark/>
          </w:tcPr>
          <w:p w14:paraId="0F2AB031" w14:textId="77777777" w:rsidR="003A12BF" w:rsidRPr="003A12BF" w:rsidRDefault="003A12BF" w:rsidP="00F51716">
            <w:pPr>
              <w:pStyle w:val="Tabletext0"/>
            </w:pPr>
            <w:r w:rsidRPr="003A12BF">
              <w:t>Melbourne University Lightweight Concrete R&amp;D Grant Project</w:t>
            </w:r>
          </w:p>
        </w:tc>
        <w:tc>
          <w:tcPr>
            <w:tcW w:w="1440" w:type="dxa"/>
            <w:noWrap/>
            <w:hideMark/>
          </w:tcPr>
          <w:p w14:paraId="73B5FF52" w14:textId="77777777" w:rsidR="003A12BF" w:rsidRPr="003A12BF" w:rsidRDefault="003A12BF" w:rsidP="00F51716">
            <w:pPr>
              <w:pStyle w:val="Tabletext0"/>
            </w:pPr>
            <w:r w:rsidRPr="003A12BF">
              <w:t>$25,000.00</w:t>
            </w:r>
          </w:p>
        </w:tc>
      </w:tr>
      <w:tr w:rsidR="003A12BF" w:rsidRPr="003A12BF" w14:paraId="3831D6AF" w14:textId="77777777" w:rsidTr="002D4B7F">
        <w:trPr>
          <w:trHeight w:val="300"/>
        </w:trPr>
        <w:tc>
          <w:tcPr>
            <w:tcW w:w="2977" w:type="dxa"/>
            <w:noWrap/>
            <w:hideMark/>
          </w:tcPr>
          <w:p w14:paraId="2A0D98B8" w14:textId="77777777" w:rsidR="003A12BF" w:rsidRPr="003A12BF" w:rsidRDefault="003A12BF" w:rsidP="00F51716">
            <w:pPr>
              <w:pStyle w:val="Tabletext0"/>
            </w:pPr>
            <w:r w:rsidRPr="003A12BF">
              <w:t>Australian Road Research Board</w:t>
            </w:r>
          </w:p>
        </w:tc>
        <w:tc>
          <w:tcPr>
            <w:tcW w:w="4481" w:type="dxa"/>
            <w:noWrap/>
            <w:hideMark/>
          </w:tcPr>
          <w:p w14:paraId="66A886EF" w14:textId="5C311501" w:rsidR="003A12BF" w:rsidRPr="003A12BF" w:rsidRDefault="003A12BF" w:rsidP="00F51716">
            <w:pPr>
              <w:pStyle w:val="Tabletext0"/>
            </w:pPr>
            <w:r w:rsidRPr="003A12BF">
              <w:t xml:space="preserve">ARRB </w:t>
            </w:r>
            <w:r w:rsidR="00737453">
              <w:t>–</w:t>
            </w:r>
            <w:r w:rsidRPr="003A12BF">
              <w:t xml:space="preserve"> Increasing Crumb Rubber Asphalt in Local Government Roads</w:t>
            </w:r>
          </w:p>
        </w:tc>
        <w:tc>
          <w:tcPr>
            <w:tcW w:w="1440" w:type="dxa"/>
            <w:noWrap/>
            <w:hideMark/>
          </w:tcPr>
          <w:p w14:paraId="6A4D7296" w14:textId="77777777" w:rsidR="003A12BF" w:rsidRPr="003A12BF" w:rsidRDefault="003A12BF" w:rsidP="00F51716">
            <w:pPr>
              <w:pStyle w:val="Tabletext0"/>
            </w:pPr>
            <w:r w:rsidRPr="003A12BF">
              <w:t>$5,000.00</w:t>
            </w:r>
          </w:p>
        </w:tc>
      </w:tr>
      <w:tr w:rsidR="003A12BF" w:rsidRPr="003A12BF" w14:paraId="5BDC0FC2" w14:textId="77777777" w:rsidTr="002D4B7F">
        <w:trPr>
          <w:trHeight w:val="300"/>
        </w:trPr>
        <w:tc>
          <w:tcPr>
            <w:tcW w:w="2977" w:type="dxa"/>
            <w:noWrap/>
            <w:hideMark/>
          </w:tcPr>
          <w:p w14:paraId="6B05CA84" w14:textId="77777777" w:rsidR="003A12BF" w:rsidRPr="003A12BF" w:rsidRDefault="003A12BF" w:rsidP="00F51716">
            <w:pPr>
              <w:pStyle w:val="Tabletext0"/>
            </w:pPr>
            <w:r w:rsidRPr="003A12BF">
              <w:t>Swinburne University of Technology</w:t>
            </w:r>
          </w:p>
        </w:tc>
        <w:tc>
          <w:tcPr>
            <w:tcW w:w="4481" w:type="dxa"/>
            <w:noWrap/>
            <w:hideMark/>
          </w:tcPr>
          <w:p w14:paraId="58372D14" w14:textId="61FF9F7A" w:rsidR="003A12BF" w:rsidRPr="003A12BF" w:rsidRDefault="003A12BF" w:rsidP="00F51716">
            <w:pPr>
              <w:pStyle w:val="Tabletext0"/>
            </w:pPr>
            <w:r w:rsidRPr="003A12BF">
              <w:t xml:space="preserve">Swinburne University </w:t>
            </w:r>
            <w:r w:rsidR="00737453">
              <w:t>–</w:t>
            </w:r>
            <w:r w:rsidRPr="003A12BF">
              <w:t xml:space="preserve"> Developing a VicRoads specification for municipal roads using glass, concrete and brick</w:t>
            </w:r>
          </w:p>
        </w:tc>
        <w:tc>
          <w:tcPr>
            <w:tcW w:w="1440" w:type="dxa"/>
            <w:noWrap/>
            <w:hideMark/>
          </w:tcPr>
          <w:p w14:paraId="57C92D4F" w14:textId="77777777" w:rsidR="003A12BF" w:rsidRPr="003A12BF" w:rsidRDefault="003A12BF" w:rsidP="00F51716">
            <w:pPr>
              <w:pStyle w:val="Tabletext0"/>
            </w:pPr>
            <w:r w:rsidRPr="003A12BF">
              <w:t>$60,000.00</w:t>
            </w:r>
          </w:p>
        </w:tc>
      </w:tr>
      <w:tr w:rsidR="003A12BF" w:rsidRPr="003A12BF" w14:paraId="33347211" w14:textId="77777777" w:rsidTr="002D4B7F">
        <w:trPr>
          <w:trHeight w:val="300"/>
        </w:trPr>
        <w:tc>
          <w:tcPr>
            <w:tcW w:w="2977" w:type="dxa"/>
            <w:noWrap/>
            <w:hideMark/>
          </w:tcPr>
          <w:p w14:paraId="24555A13" w14:textId="77777777" w:rsidR="003A12BF" w:rsidRPr="003A12BF" w:rsidRDefault="003A12BF" w:rsidP="00F51716">
            <w:pPr>
              <w:pStyle w:val="Tabletext0"/>
            </w:pPr>
            <w:r w:rsidRPr="003A12BF">
              <w:t>Swinburne University of Technology</w:t>
            </w:r>
          </w:p>
        </w:tc>
        <w:tc>
          <w:tcPr>
            <w:tcW w:w="4481" w:type="dxa"/>
            <w:noWrap/>
            <w:hideMark/>
          </w:tcPr>
          <w:p w14:paraId="796D4126" w14:textId="2695FC8A" w:rsidR="003A12BF" w:rsidRPr="003A12BF" w:rsidRDefault="003A12BF" w:rsidP="00F51716">
            <w:pPr>
              <w:pStyle w:val="Tabletext0"/>
            </w:pPr>
            <w:r w:rsidRPr="003A12BF">
              <w:t xml:space="preserve">Swinburne University </w:t>
            </w:r>
            <w:r w:rsidR="00737453">
              <w:t>–</w:t>
            </w:r>
            <w:r w:rsidRPr="003A12BF">
              <w:t xml:space="preserve"> Recycled Plastics in Concrete Void Former</w:t>
            </w:r>
          </w:p>
        </w:tc>
        <w:tc>
          <w:tcPr>
            <w:tcW w:w="1440" w:type="dxa"/>
            <w:noWrap/>
            <w:hideMark/>
          </w:tcPr>
          <w:p w14:paraId="6F693C1F" w14:textId="77777777" w:rsidR="003A12BF" w:rsidRPr="003A12BF" w:rsidRDefault="003A12BF" w:rsidP="00F51716">
            <w:pPr>
              <w:pStyle w:val="Tabletext0"/>
            </w:pPr>
            <w:r w:rsidRPr="003A12BF">
              <w:t>$55,000.00</w:t>
            </w:r>
          </w:p>
        </w:tc>
      </w:tr>
      <w:tr w:rsidR="003A12BF" w:rsidRPr="003A12BF" w14:paraId="52849CBF" w14:textId="77777777" w:rsidTr="002D4B7F">
        <w:trPr>
          <w:trHeight w:val="300"/>
        </w:trPr>
        <w:tc>
          <w:tcPr>
            <w:tcW w:w="2977" w:type="dxa"/>
            <w:noWrap/>
            <w:hideMark/>
          </w:tcPr>
          <w:p w14:paraId="7E08B2F0" w14:textId="77777777" w:rsidR="003A12BF" w:rsidRPr="003A12BF" w:rsidRDefault="003A12BF" w:rsidP="00F51716">
            <w:pPr>
              <w:pStyle w:val="Tabletext0"/>
            </w:pPr>
            <w:r w:rsidRPr="003A12BF">
              <w:t>Swinburne University of Technology</w:t>
            </w:r>
          </w:p>
        </w:tc>
        <w:tc>
          <w:tcPr>
            <w:tcW w:w="4481" w:type="dxa"/>
            <w:noWrap/>
            <w:hideMark/>
          </w:tcPr>
          <w:p w14:paraId="2EC5AD4E" w14:textId="6305FF37" w:rsidR="003A12BF" w:rsidRPr="003A12BF" w:rsidRDefault="003A12BF" w:rsidP="00F51716">
            <w:pPr>
              <w:pStyle w:val="Tabletext0"/>
            </w:pPr>
            <w:r w:rsidRPr="003A12BF">
              <w:t xml:space="preserve">Swinburne University </w:t>
            </w:r>
            <w:r w:rsidR="00737453">
              <w:t>–</w:t>
            </w:r>
            <w:r w:rsidRPr="003A12BF">
              <w:t xml:space="preserve"> Recycled Plastics in Concrete Void Former</w:t>
            </w:r>
          </w:p>
        </w:tc>
        <w:tc>
          <w:tcPr>
            <w:tcW w:w="1440" w:type="dxa"/>
            <w:noWrap/>
            <w:hideMark/>
          </w:tcPr>
          <w:p w14:paraId="70965696" w14:textId="77777777" w:rsidR="003A12BF" w:rsidRPr="003A12BF" w:rsidRDefault="003A12BF" w:rsidP="00F51716">
            <w:pPr>
              <w:pStyle w:val="Tabletext0"/>
            </w:pPr>
            <w:r w:rsidRPr="003A12BF">
              <w:t>$55,000.00</w:t>
            </w:r>
          </w:p>
        </w:tc>
      </w:tr>
      <w:tr w:rsidR="003A12BF" w:rsidRPr="003A12BF" w14:paraId="627D89C9" w14:textId="77777777" w:rsidTr="002D4B7F">
        <w:trPr>
          <w:trHeight w:val="300"/>
        </w:trPr>
        <w:tc>
          <w:tcPr>
            <w:tcW w:w="2977" w:type="dxa"/>
            <w:noWrap/>
            <w:hideMark/>
          </w:tcPr>
          <w:p w14:paraId="447E26B9" w14:textId="77777777" w:rsidR="003A12BF" w:rsidRPr="003A12BF" w:rsidRDefault="003A12BF" w:rsidP="00F51716">
            <w:pPr>
              <w:pStyle w:val="Tabletext0"/>
            </w:pPr>
            <w:r w:rsidRPr="003A12BF">
              <w:t>University of Melbourne</w:t>
            </w:r>
          </w:p>
        </w:tc>
        <w:tc>
          <w:tcPr>
            <w:tcW w:w="4481" w:type="dxa"/>
            <w:noWrap/>
            <w:hideMark/>
          </w:tcPr>
          <w:p w14:paraId="36A07128" w14:textId="781CCCF3" w:rsidR="003A12BF" w:rsidRPr="003A12BF" w:rsidRDefault="003A12BF" w:rsidP="00F51716">
            <w:pPr>
              <w:pStyle w:val="Tabletext0"/>
            </w:pPr>
            <w:r w:rsidRPr="003A12BF">
              <w:t xml:space="preserve">Melbourne University </w:t>
            </w:r>
            <w:r w:rsidR="00737453">
              <w:t>–</w:t>
            </w:r>
            <w:r w:rsidRPr="003A12BF">
              <w:t xml:space="preserve"> Permeable Pavements Using Recycled Aggregates</w:t>
            </w:r>
          </w:p>
        </w:tc>
        <w:tc>
          <w:tcPr>
            <w:tcW w:w="1440" w:type="dxa"/>
            <w:noWrap/>
            <w:hideMark/>
          </w:tcPr>
          <w:p w14:paraId="4421DF3A" w14:textId="77777777" w:rsidR="003A12BF" w:rsidRPr="003A12BF" w:rsidRDefault="003A12BF" w:rsidP="00F51716">
            <w:pPr>
              <w:pStyle w:val="Tabletext0"/>
            </w:pPr>
            <w:r w:rsidRPr="003A12BF">
              <w:t>$55,000.00</w:t>
            </w:r>
          </w:p>
        </w:tc>
      </w:tr>
      <w:tr w:rsidR="003A12BF" w:rsidRPr="003A12BF" w14:paraId="29FFA3A1" w14:textId="77777777" w:rsidTr="002D4B7F">
        <w:trPr>
          <w:trHeight w:val="300"/>
        </w:trPr>
        <w:tc>
          <w:tcPr>
            <w:tcW w:w="2977" w:type="dxa"/>
            <w:noWrap/>
            <w:hideMark/>
          </w:tcPr>
          <w:p w14:paraId="051BDC6F" w14:textId="77777777" w:rsidR="003A12BF" w:rsidRPr="003A12BF" w:rsidRDefault="003A12BF" w:rsidP="00F51716">
            <w:pPr>
              <w:pStyle w:val="Tabletext0"/>
            </w:pPr>
            <w:r w:rsidRPr="003A12BF">
              <w:t>HATCH</w:t>
            </w:r>
          </w:p>
        </w:tc>
        <w:tc>
          <w:tcPr>
            <w:tcW w:w="4481" w:type="dxa"/>
            <w:noWrap/>
            <w:hideMark/>
          </w:tcPr>
          <w:p w14:paraId="18E43DD5" w14:textId="03EF7CAB" w:rsidR="003A12BF" w:rsidRPr="003A12BF" w:rsidRDefault="003A12BF" w:rsidP="00F51716">
            <w:pPr>
              <w:pStyle w:val="Tabletext0"/>
            </w:pPr>
            <w:r w:rsidRPr="003A12BF">
              <w:t xml:space="preserve">HATCH </w:t>
            </w:r>
            <w:r w:rsidR="00737453">
              <w:t>–</w:t>
            </w:r>
            <w:r w:rsidRPr="003A12BF">
              <w:t xml:space="preserve"> Insect Bioconversion Demonstration Project</w:t>
            </w:r>
          </w:p>
        </w:tc>
        <w:tc>
          <w:tcPr>
            <w:tcW w:w="1440" w:type="dxa"/>
            <w:noWrap/>
            <w:hideMark/>
          </w:tcPr>
          <w:p w14:paraId="0724CE01" w14:textId="77777777" w:rsidR="003A12BF" w:rsidRPr="003A12BF" w:rsidRDefault="003A12BF" w:rsidP="00F51716">
            <w:pPr>
              <w:pStyle w:val="Tabletext0"/>
            </w:pPr>
            <w:r w:rsidRPr="003A12BF">
              <w:t>$40,000.00</w:t>
            </w:r>
          </w:p>
        </w:tc>
      </w:tr>
      <w:tr w:rsidR="003A12BF" w:rsidRPr="003A12BF" w14:paraId="1FC93D15" w14:textId="77777777" w:rsidTr="002D4B7F">
        <w:trPr>
          <w:trHeight w:val="300"/>
        </w:trPr>
        <w:tc>
          <w:tcPr>
            <w:tcW w:w="2977" w:type="dxa"/>
            <w:noWrap/>
            <w:hideMark/>
          </w:tcPr>
          <w:p w14:paraId="4F3511DB" w14:textId="77777777" w:rsidR="003A12BF" w:rsidRPr="003A12BF" w:rsidRDefault="003A12BF" w:rsidP="00F51716">
            <w:pPr>
              <w:pStyle w:val="Tabletext0"/>
            </w:pPr>
            <w:r w:rsidRPr="003A12BF">
              <w:t>RMIT University LaTrobe Street</w:t>
            </w:r>
          </w:p>
        </w:tc>
        <w:tc>
          <w:tcPr>
            <w:tcW w:w="4481" w:type="dxa"/>
            <w:noWrap/>
            <w:hideMark/>
          </w:tcPr>
          <w:p w14:paraId="41FAEB81" w14:textId="158E5F4D" w:rsidR="003A12BF" w:rsidRPr="003A12BF" w:rsidRDefault="003A12BF" w:rsidP="00F51716">
            <w:pPr>
              <w:pStyle w:val="Tabletext0"/>
            </w:pPr>
            <w:r w:rsidRPr="003A12BF">
              <w:t xml:space="preserve">RMIT University </w:t>
            </w:r>
            <w:r w:rsidR="00737453">
              <w:t>–</w:t>
            </w:r>
            <w:r w:rsidRPr="003A12BF">
              <w:t xml:space="preserve"> LDPE and Crumb Rubber in Asphalt</w:t>
            </w:r>
          </w:p>
        </w:tc>
        <w:tc>
          <w:tcPr>
            <w:tcW w:w="1440" w:type="dxa"/>
            <w:noWrap/>
            <w:hideMark/>
          </w:tcPr>
          <w:p w14:paraId="522991BF" w14:textId="77777777" w:rsidR="003A12BF" w:rsidRPr="003A12BF" w:rsidRDefault="003A12BF" w:rsidP="00F51716">
            <w:pPr>
              <w:pStyle w:val="Tabletext0"/>
            </w:pPr>
            <w:r w:rsidRPr="003A12BF">
              <w:t>$50,000.00</w:t>
            </w:r>
          </w:p>
        </w:tc>
      </w:tr>
      <w:tr w:rsidR="003A12BF" w:rsidRPr="003A12BF" w14:paraId="3BCE7198" w14:textId="77777777" w:rsidTr="002D4B7F">
        <w:trPr>
          <w:trHeight w:val="300"/>
        </w:trPr>
        <w:tc>
          <w:tcPr>
            <w:tcW w:w="2977" w:type="dxa"/>
            <w:noWrap/>
            <w:hideMark/>
          </w:tcPr>
          <w:p w14:paraId="0639094D" w14:textId="77777777" w:rsidR="003A12BF" w:rsidRPr="003A12BF" w:rsidRDefault="003A12BF" w:rsidP="00F51716">
            <w:pPr>
              <w:pStyle w:val="Tabletext0"/>
            </w:pPr>
            <w:r w:rsidRPr="003A12BF">
              <w:t>RMIT University LaTrobe Street</w:t>
            </w:r>
          </w:p>
        </w:tc>
        <w:tc>
          <w:tcPr>
            <w:tcW w:w="4481" w:type="dxa"/>
            <w:noWrap/>
            <w:hideMark/>
          </w:tcPr>
          <w:p w14:paraId="55268B10" w14:textId="11EAC2C6" w:rsidR="003A12BF" w:rsidRPr="003A12BF" w:rsidRDefault="003A12BF" w:rsidP="00F51716">
            <w:pPr>
              <w:pStyle w:val="Tabletext0"/>
            </w:pPr>
            <w:r w:rsidRPr="003A12BF">
              <w:t xml:space="preserve">RMIT University </w:t>
            </w:r>
            <w:r w:rsidR="00737453">
              <w:t>–</w:t>
            </w:r>
            <w:r w:rsidRPr="003A12BF">
              <w:t xml:space="preserve"> LDPE and Crumb Rubber in Asphalt</w:t>
            </w:r>
          </w:p>
        </w:tc>
        <w:tc>
          <w:tcPr>
            <w:tcW w:w="1440" w:type="dxa"/>
            <w:noWrap/>
            <w:hideMark/>
          </w:tcPr>
          <w:p w14:paraId="42B1D894" w14:textId="77777777" w:rsidR="003A12BF" w:rsidRPr="003A12BF" w:rsidRDefault="003A12BF" w:rsidP="00F51716">
            <w:pPr>
              <w:pStyle w:val="Tabletext0"/>
            </w:pPr>
            <w:r w:rsidRPr="003A12BF">
              <w:t>$50,000.00</w:t>
            </w:r>
          </w:p>
        </w:tc>
      </w:tr>
      <w:tr w:rsidR="003A12BF" w:rsidRPr="003A12BF" w14:paraId="7AAA470D" w14:textId="77777777" w:rsidTr="002D4B7F">
        <w:trPr>
          <w:trHeight w:val="300"/>
        </w:trPr>
        <w:tc>
          <w:tcPr>
            <w:tcW w:w="2977" w:type="dxa"/>
            <w:noWrap/>
            <w:hideMark/>
          </w:tcPr>
          <w:p w14:paraId="79E8A729" w14:textId="77777777" w:rsidR="003A12BF" w:rsidRPr="003A12BF" w:rsidRDefault="003A12BF" w:rsidP="00F51716">
            <w:pPr>
              <w:pStyle w:val="Tabletext0"/>
            </w:pPr>
            <w:r w:rsidRPr="003A12BF">
              <w:t>RMIT University LaTrobe Street</w:t>
            </w:r>
          </w:p>
        </w:tc>
        <w:tc>
          <w:tcPr>
            <w:tcW w:w="4481" w:type="dxa"/>
            <w:noWrap/>
            <w:hideMark/>
          </w:tcPr>
          <w:p w14:paraId="6D61D304" w14:textId="763EE970" w:rsidR="003A12BF" w:rsidRPr="003A12BF" w:rsidRDefault="003A12BF" w:rsidP="00F51716">
            <w:pPr>
              <w:pStyle w:val="Tabletext0"/>
            </w:pPr>
            <w:r w:rsidRPr="003A12BF">
              <w:t xml:space="preserve">RMIT University </w:t>
            </w:r>
            <w:r w:rsidR="00737453">
              <w:t>–</w:t>
            </w:r>
            <w:r w:rsidRPr="003A12BF">
              <w:t xml:space="preserve"> Recycled Glass Technology for Cost Effective Access Covers</w:t>
            </w:r>
          </w:p>
        </w:tc>
        <w:tc>
          <w:tcPr>
            <w:tcW w:w="1440" w:type="dxa"/>
            <w:noWrap/>
            <w:hideMark/>
          </w:tcPr>
          <w:p w14:paraId="5CE93BDC" w14:textId="77777777" w:rsidR="003A12BF" w:rsidRPr="003A12BF" w:rsidRDefault="003A12BF" w:rsidP="00F51716">
            <w:pPr>
              <w:pStyle w:val="Tabletext0"/>
            </w:pPr>
            <w:r w:rsidRPr="003A12BF">
              <w:t>$35,000.00</w:t>
            </w:r>
          </w:p>
        </w:tc>
      </w:tr>
      <w:tr w:rsidR="003A12BF" w:rsidRPr="003A12BF" w14:paraId="1098018C" w14:textId="77777777" w:rsidTr="002D4B7F">
        <w:trPr>
          <w:trHeight w:val="300"/>
        </w:trPr>
        <w:tc>
          <w:tcPr>
            <w:tcW w:w="2977" w:type="dxa"/>
            <w:noWrap/>
            <w:hideMark/>
          </w:tcPr>
          <w:p w14:paraId="7174BFA5" w14:textId="77777777" w:rsidR="003A12BF" w:rsidRPr="003A12BF" w:rsidRDefault="003A12BF" w:rsidP="00F51716">
            <w:pPr>
              <w:pStyle w:val="Tabletext0"/>
            </w:pPr>
            <w:r w:rsidRPr="003A12BF">
              <w:t>RMIT University LaTrobe Street</w:t>
            </w:r>
          </w:p>
        </w:tc>
        <w:tc>
          <w:tcPr>
            <w:tcW w:w="4481" w:type="dxa"/>
            <w:noWrap/>
            <w:hideMark/>
          </w:tcPr>
          <w:p w14:paraId="26E91BF2" w14:textId="668E60C6" w:rsidR="003A12BF" w:rsidRPr="003A12BF" w:rsidRDefault="003A12BF" w:rsidP="00F51716">
            <w:pPr>
              <w:pStyle w:val="Tabletext0"/>
            </w:pPr>
            <w:r w:rsidRPr="003A12BF">
              <w:t xml:space="preserve">RMIT University </w:t>
            </w:r>
            <w:r w:rsidR="00737453">
              <w:t>–</w:t>
            </w:r>
            <w:r w:rsidRPr="003A12BF">
              <w:t xml:space="preserve"> Recycled Glass Technology for Cost Effective Access Covers</w:t>
            </w:r>
          </w:p>
        </w:tc>
        <w:tc>
          <w:tcPr>
            <w:tcW w:w="1440" w:type="dxa"/>
            <w:noWrap/>
            <w:hideMark/>
          </w:tcPr>
          <w:p w14:paraId="57E1E842" w14:textId="77777777" w:rsidR="003A12BF" w:rsidRPr="003A12BF" w:rsidRDefault="003A12BF" w:rsidP="00F51716">
            <w:pPr>
              <w:pStyle w:val="Tabletext0"/>
            </w:pPr>
            <w:r w:rsidRPr="003A12BF">
              <w:t>$20,000.00</w:t>
            </w:r>
          </w:p>
        </w:tc>
      </w:tr>
      <w:tr w:rsidR="003A12BF" w:rsidRPr="003A12BF" w14:paraId="1798315F" w14:textId="77777777" w:rsidTr="002D4B7F">
        <w:trPr>
          <w:trHeight w:val="300"/>
        </w:trPr>
        <w:tc>
          <w:tcPr>
            <w:tcW w:w="2977" w:type="dxa"/>
            <w:noWrap/>
            <w:hideMark/>
          </w:tcPr>
          <w:p w14:paraId="32801BF8" w14:textId="77777777" w:rsidR="003A12BF" w:rsidRPr="003A12BF" w:rsidRDefault="003A12BF" w:rsidP="00F51716">
            <w:pPr>
              <w:pStyle w:val="Tabletext0"/>
            </w:pPr>
            <w:r w:rsidRPr="003A12BF">
              <w:t>RMIT University LaTrobe Street</w:t>
            </w:r>
          </w:p>
        </w:tc>
        <w:tc>
          <w:tcPr>
            <w:tcW w:w="4481" w:type="dxa"/>
            <w:noWrap/>
            <w:hideMark/>
          </w:tcPr>
          <w:p w14:paraId="77BDD733" w14:textId="7F238C21" w:rsidR="003A12BF" w:rsidRPr="003A12BF" w:rsidRDefault="003A12BF" w:rsidP="00F51716">
            <w:pPr>
              <w:pStyle w:val="Tabletext0"/>
            </w:pPr>
            <w:r w:rsidRPr="003A12BF">
              <w:t xml:space="preserve">RMIT University </w:t>
            </w:r>
            <w:r w:rsidR="00737453">
              <w:t>–</w:t>
            </w:r>
            <w:r w:rsidRPr="003A12BF">
              <w:t xml:space="preserve"> Recycled Glass Technology for Cost Effective Access Covers</w:t>
            </w:r>
          </w:p>
        </w:tc>
        <w:tc>
          <w:tcPr>
            <w:tcW w:w="1440" w:type="dxa"/>
            <w:noWrap/>
            <w:hideMark/>
          </w:tcPr>
          <w:p w14:paraId="48F5C520" w14:textId="77777777" w:rsidR="003A12BF" w:rsidRPr="003A12BF" w:rsidRDefault="003A12BF" w:rsidP="00F51716">
            <w:pPr>
              <w:pStyle w:val="Tabletext0"/>
            </w:pPr>
            <w:r w:rsidRPr="003A12BF">
              <w:t>$15,000.00</w:t>
            </w:r>
          </w:p>
        </w:tc>
      </w:tr>
      <w:tr w:rsidR="003A12BF" w:rsidRPr="003A12BF" w14:paraId="112971C3" w14:textId="77777777" w:rsidTr="002D4B7F">
        <w:trPr>
          <w:trHeight w:val="300"/>
        </w:trPr>
        <w:tc>
          <w:tcPr>
            <w:tcW w:w="2977" w:type="dxa"/>
            <w:noWrap/>
            <w:hideMark/>
          </w:tcPr>
          <w:p w14:paraId="44AACDB2" w14:textId="77777777" w:rsidR="003A12BF" w:rsidRPr="003A12BF" w:rsidRDefault="003A12BF" w:rsidP="00F51716">
            <w:pPr>
              <w:pStyle w:val="Tabletext0"/>
            </w:pPr>
            <w:r w:rsidRPr="003A12BF">
              <w:t>University of Melbourne</w:t>
            </w:r>
          </w:p>
        </w:tc>
        <w:tc>
          <w:tcPr>
            <w:tcW w:w="4481" w:type="dxa"/>
            <w:noWrap/>
            <w:hideMark/>
          </w:tcPr>
          <w:p w14:paraId="67A20ABD" w14:textId="77777777" w:rsidR="003A12BF" w:rsidRPr="003A12BF" w:rsidRDefault="003A12BF" w:rsidP="00F51716">
            <w:pPr>
              <w:pStyle w:val="Tabletext0"/>
            </w:pPr>
            <w:r w:rsidRPr="003A12BF">
              <w:t>Melbourne University Lightweight Concrete R&amp;D Grant Project</w:t>
            </w:r>
          </w:p>
        </w:tc>
        <w:tc>
          <w:tcPr>
            <w:tcW w:w="1440" w:type="dxa"/>
            <w:noWrap/>
            <w:hideMark/>
          </w:tcPr>
          <w:p w14:paraId="4E82F623" w14:textId="77777777" w:rsidR="003A12BF" w:rsidRPr="003A12BF" w:rsidRDefault="003A12BF" w:rsidP="00F51716">
            <w:pPr>
              <w:pStyle w:val="Tabletext0"/>
            </w:pPr>
            <w:r w:rsidRPr="003A12BF">
              <w:t>$20,000.00</w:t>
            </w:r>
          </w:p>
        </w:tc>
      </w:tr>
      <w:tr w:rsidR="003A12BF" w:rsidRPr="003A12BF" w14:paraId="126E42E3" w14:textId="77777777" w:rsidTr="002D4B7F">
        <w:trPr>
          <w:trHeight w:val="300"/>
        </w:trPr>
        <w:tc>
          <w:tcPr>
            <w:tcW w:w="2977" w:type="dxa"/>
            <w:noWrap/>
            <w:hideMark/>
          </w:tcPr>
          <w:p w14:paraId="7DFDFF88" w14:textId="77777777" w:rsidR="003A12BF" w:rsidRPr="003A12BF" w:rsidRDefault="003A12BF" w:rsidP="00F51716">
            <w:pPr>
              <w:pStyle w:val="Tabletext0"/>
            </w:pPr>
            <w:r w:rsidRPr="003A12BF">
              <w:t>Swinburne University of Technology</w:t>
            </w:r>
          </w:p>
        </w:tc>
        <w:tc>
          <w:tcPr>
            <w:tcW w:w="4481" w:type="dxa"/>
            <w:noWrap/>
            <w:hideMark/>
          </w:tcPr>
          <w:p w14:paraId="1440FF5E" w14:textId="11C3C607" w:rsidR="003A12BF" w:rsidRPr="003A12BF" w:rsidRDefault="003A12BF" w:rsidP="00F51716">
            <w:pPr>
              <w:pStyle w:val="Tabletext0"/>
            </w:pPr>
            <w:r w:rsidRPr="003A12BF">
              <w:t xml:space="preserve">Swinburne University </w:t>
            </w:r>
            <w:r w:rsidR="00737453">
              <w:t>–</w:t>
            </w:r>
            <w:r w:rsidRPr="003A12BF">
              <w:t xml:space="preserve"> Developing a VicRoads specification for municipal roads using glass, concrete and brick</w:t>
            </w:r>
          </w:p>
        </w:tc>
        <w:tc>
          <w:tcPr>
            <w:tcW w:w="1440" w:type="dxa"/>
            <w:noWrap/>
            <w:hideMark/>
          </w:tcPr>
          <w:p w14:paraId="1C916F79" w14:textId="77777777" w:rsidR="003A12BF" w:rsidRPr="003A12BF" w:rsidRDefault="003A12BF" w:rsidP="00F51716">
            <w:pPr>
              <w:pStyle w:val="Tabletext0"/>
            </w:pPr>
            <w:r w:rsidRPr="003A12BF">
              <w:t>$16,000.00</w:t>
            </w:r>
          </w:p>
        </w:tc>
      </w:tr>
      <w:tr w:rsidR="003A12BF" w:rsidRPr="003A12BF" w14:paraId="4FB0F393" w14:textId="77777777" w:rsidTr="002D4B7F">
        <w:trPr>
          <w:trHeight w:val="300"/>
        </w:trPr>
        <w:tc>
          <w:tcPr>
            <w:tcW w:w="2977" w:type="dxa"/>
            <w:noWrap/>
            <w:hideMark/>
          </w:tcPr>
          <w:p w14:paraId="2B08AE58" w14:textId="77777777" w:rsidR="003A12BF" w:rsidRPr="003A12BF" w:rsidRDefault="003A12BF" w:rsidP="00F51716">
            <w:pPr>
              <w:pStyle w:val="Tabletext0"/>
            </w:pPr>
            <w:r w:rsidRPr="003A12BF">
              <w:t>University of Melbourne</w:t>
            </w:r>
          </w:p>
        </w:tc>
        <w:tc>
          <w:tcPr>
            <w:tcW w:w="4481" w:type="dxa"/>
            <w:noWrap/>
            <w:hideMark/>
          </w:tcPr>
          <w:p w14:paraId="0715426F" w14:textId="1E90ADB9" w:rsidR="003A12BF" w:rsidRPr="003A12BF" w:rsidRDefault="003A12BF" w:rsidP="00F51716">
            <w:pPr>
              <w:pStyle w:val="Tabletext0"/>
            </w:pPr>
            <w:r w:rsidRPr="003A12BF">
              <w:t xml:space="preserve">Melbourne Uni </w:t>
            </w:r>
            <w:r w:rsidR="00737453">
              <w:t>–</w:t>
            </w:r>
            <w:r w:rsidRPr="003A12BF">
              <w:t xml:space="preserve"> Recycled plastic noise barrier walls</w:t>
            </w:r>
          </w:p>
        </w:tc>
        <w:tc>
          <w:tcPr>
            <w:tcW w:w="1440" w:type="dxa"/>
            <w:noWrap/>
            <w:hideMark/>
          </w:tcPr>
          <w:p w14:paraId="55A25558" w14:textId="77777777" w:rsidR="003A12BF" w:rsidRPr="003A12BF" w:rsidRDefault="003A12BF" w:rsidP="00F51716">
            <w:pPr>
              <w:pStyle w:val="Tabletext0"/>
            </w:pPr>
            <w:r w:rsidRPr="003A12BF">
              <w:t>$50,000.00</w:t>
            </w:r>
          </w:p>
        </w:tc>
      </w:tr>
      <w:tr w:rsidR="003A12BF" w:rsidRPr="003A12BF" w14:paraId="0F1FB8DF" w14:textId="77777777" w:rsidTr="002D4B7F">
        <w:trPr>
          <w:trHeight w:val="300"/>
        </w:trPr>
        <w:tc>
          <w:tcPr>
            <w:tcW w:w="2977" w:type="dxa"/>
            <w:noWrap/>
            <w:hideMark/>
          </w:tcPr>
          <w:p w14:paraId="527D29BD" w14:textId="77777777" w:rsidR="003A12BF" w:rsidRPr="003A12BF" w:rsidRDefault="003A12BF" w:rsidP="00F51716">
            <w:pPr>
              <w:pStyle w:val="Tabletext0"/>
            </w:pPr>
            <w:r w:rsidRPr="003A12BF">
              <w:t>University of Melbourne</w:t>
            </w:r>
          </w:p>
        </w:tc>
        <w:tc>
          <w:tcPr>
            <w:tcW w:w="4481" w:type="dxa"/>
            <w:noWrap/>
            <w:hideMark/>
          </w:tcPr>
          <w:p w14:paraId="26B7219C" w14:textId="2F654802" w:rsidR="003A12BF" w:rsidRPr="003A12BF" w:rsidRDefault="003A12BF" w:rsidP="00F51716">
            <w:pPr>
              <w:pStyle w:val="Tabletext0"/>
            </w:pPr>
            <w:r w:rsidRPr="003A12BF">
              <w:t xml:space="preserve">Melbourne Uni </w:t>
            </w:r>
            <w:r w:rsidR="00737453">
              <w:t>–</w:t>
            </w:r>
            <w:r w:rsidRPr="003A12BF">
              <w:t xml:space="preserve"> Recycled plastic noise barrier walls</w:t>
            </w:r>
          </w:p>
        </w:tc>
        <w:tc>
          <w:tcPr>
            <w:tcW w:w="1440" w:type="dxa"/>
            <w:noWrap/>
            <w:hideMark/>
          </w:tcPr>
          <w:p w14:paraId="5A91315E" w14:textId="77777777" w:rsidR="003A12BF" w:rsidRPr="003A12BF" w:rsidRDefault="003A12BF" w:rsidP="00F51716">
            <w:pPr>
              <w:pStyle w:val="Tabletext0"/>
            </w:pPr>
            <w:r w:rsidRPr="003A12BF">
              <w:t>$50,000.00</w:t>
            </w:r>
          </w:p>
        </w:tc>
      </w:tr>
      <w:tr w:rsidR="003A12BF" w:rsidRPr="003A12BF" w14:paraId="27D91EF5" w14:textId="77777777" w:rsidTr="002D4B7F">
        <w:trPr>
          <w:trHeight w:val="300"/>
        </w:trPr>
        <w:tc>
          <w:tcPr>
            <w:tcW w:w="2977" w:type="dxa"/>
            <w:noWrap/>
            <w:hideMark/>
          </w:tcPr>
          <w:p w14:paraId="4F03EEB2" w14:textId="77777777" w:rsidR="003A12BF" w:rsidRPr="003A12BF" w:rsidRDefault="003A12BF" w:rsidP="00F51716">
            <w:pPr>
              <w:pStyle w:val="Tabletext0"/>
            </w:pPr>
            <w:r w:rsidRPr="003A12BF">
              <w:t>Australian Road Research Board</w:t>
            </w:r>
          </w:p>
        </w:tc>
        <w:tc>
          <w:tcPr>
            <w:tcW w:w="4481" w:type="dxa"/>
            <w:noWrap/>
            <w:hideMark/>
          </w:tcPr>
          <w:p w14:paraId="64E8F888" w14:textId="5B88383C" w:rsidR="003A12BF" w:rsidRPr="003A12BF" w:rsidRDefault="003A12BF" w:rsidP="00F51716">
            <w:pPr>
              <w:pStyle w:val="Tabletext0"/>
            </w:pPr>
            <w:r w:rsidRPr="003A12BF">
              <w:t xml:space="preserve">ARRB </w:t>
            </w:r>
            <w:r w:rsidR="00737453">
              <w:t>–</w:t>
            </w:r>
            <w:r w:rsidRPr="003A12BF">
              <w:t xml:space="preserve"> Recycled glass in asphalt for rehabilitation work on Brimbank City Council roads</w:t>
            </w:r>
          </w:p>
        </w:tc>
        <w:tc>
          <w:tcPr>
            <w:tcW w:w="1440" w:type="dxa"/>
            <w:noWrap/>
            <w:hideMark/>
          </w:tcPr>
          <w:p w14:paraId="58935963" w14:textId="77777777" w:rsidR="003A12BF" w:rsidRPr="003A12BF" w:rsidRDefault="003A12BF" w:rsidP="00F51716">
            <w:pPr>
              <w:pStyle w:val="Tabletext0"/>
            </w:pPr>
            <w:r w:rsidRPr="003A12BF">
              <w:t>$50,000.00</w:t>
            </w:r>
          </w:p>
        </w:tc>
      </w:tr>
      <w:tr w:rsidR="003A12BF" w:rsidRPr="003A12BF" w14:paraId="5375B8A8" w14:textId="77777777" w:rsidTr="002D4B7F">
        <w:trPr>
          <w:trHeight w:val="300"/>
        </w:trPr>
        <w:tc>
          <w:tcPr>
            <w:tcW w:w="2977" w:type="dxa"/>
            <w:noWrap/>
            <w:hideMark/>
          </w:tcPr>
          <w:p w14:paraId="4F85575F" w14:textId="77777777" w:rsidR="003A12BF" w:rsidRPr="003A12BF" w:rsidRDefault="003A12BF" w:rsidP="00F51716">
            <w:pPr>
              <w:pStyle w:val="Tabletext0"/>
            </w:pPr>
            <w:r w:rsidRPr="003A12BF">
              <w:t>Today Design</w:t>
            </w:r>
          </w:p>
        </w:tc>
        <w:tc>
          <w:tcPr>
            <w:tcW w:w="4481" w:type="dxa"/>
            <w:noWrap/>
            <w:hideMark/>
          </w:tcPr>
          <w:p w14:paraId="4975C475" w14:textId="77777777" w:rsidR="003A12BF" w:rsidRPr="003A12BF" w:rsidRDefault="003A12BF" w:rsidP="00F51716">
            <w:pPr>
              <w:pStyle w:val="Tabletext0"/>
            </w:pPr>
            <w:r w:rsidRPr="003A12BF">
              <w:t>Energy Web Tool Development</w:t>
            </w:r>
          </w:p>
        </w:tc>
        <w:tc>
          <w:tcPr>
            <w:tcW w:w="1440" w:type="dxa"/>
            <w:noWrap/>
            <w:hideMark/>
          </w:tcPr>
          <w:p w14:paraId="45FE9A64" w14:textId="77777777" w:rsidR="003A12BF" w:rsidRPr="003A12BF" w:rsidRDefault="003A12BF" w:rsidP="00F51716">
            <w:pPr>
              <w:pStyle w:val="Tabletext0"/>
            </w:pPr>
            <w:r w:rsidRPr="003A12BF">
              <w:t>$29,500.00</w:t>
            </w:r>
          </w:p>
        </w:tc>
      </w:tr>
      <w:tr w:rsidR="003A12BF" w:rsidRPr="003A12BF" w14:paraId="6DD7E16B" w14:textId="77777777" w:rsidTr="002D4B7F">
        <w:trPr>
          <w:trHeight w:val="300"/>
        </w:trPr>
        <w:tc>
          <w:tcPr>
            <w:tcW w:w="2977" w:type="dxa"/>
            <w:noWrap/>
            <w:hideMark/>
          </w:tcPr>
          <w:p w14:paraId="6639E610" w14:textId="77777777" w:rsidR="003A12BF" w:rsidRPr="003A12BF" w:rsidRDefault="003A12BF" w:rsidP="00F51716">
            <w:pPr>
              <w:pStyle w:val="Tabletext0"/>
            </w:pPr>
            <w:r w:rsidRPr="003A12BF">
              <w:t>Today Design</w:t>
            </w:r>
          </w:p>
        </w:tc>
        <w:tc>
          <w:tcPr>
            <w:tcW w:w="4481" w:type="dxa"/>
            <w:noWrap/>
            <w:hideMark/>
          </w:tcPr>
          <w:p w14:paraId="563BD644" w14:textId="77777777" w:rsidR="003A12BF" w:rsidRPr="003A12BF" w:rsidRDefault="003A12BF" w:rsidP="00F51716">
            <w:pPr>
              <w:pStyle w:val="Tabletext0"/>
            </w:pPr>
            <w:r w:rsidRPr="003A12BF">
              <w:t>Energy Web Tool Development</w:t>
            </w:r>
          </w:p>
        </w:tc>
        <w:tc>
          <w:tcPr>
            <w:tcW w:w="1440" w:type="dxa"/>
            <w:noWrap/>
            <w:hideMark/>
          </w:tcPr>
          <w:p w14:paraId="5097E277" w14:textId="77777777" w:rsidR="003A12BF" w:rsidRPr="003A12BF" w:rsidRDefault="003A12BF" w:rsidP="00F51716">
            <w:pPr>
              <w:pStyle w:val="Tabletext0"/>
            </w:pPr>
            <w:r w:rsidRPr="003A12BF">
              <w:t>$29,679.85</w:t>
            </w:r>
          </w:p>
        </w:tc>
      </w:tr>
      <w:tr w:rsidR="003A12BF" w:rsidRPr="003A12BF" w14:paraId="531D8935" w14:textId="77777777" w:rsidTr="002D4B7F">
        <w:trPr>
          <w:trHeight w:val="300"/>
        </w:trPr>
        <w:tc>
          <w:tcPr>
            <w:tcW w:w="2977" w:type="dxa"/>
            <w:noWrap/>
            <w:hideMark/>
          </w:tcPr>
          <w:p w14:paraId="0DEFBF2F" w14:textId="77777777" w:rsidR="003A12BF" w:rsidRPr="003A12BF" w:rsidRDefault="003A12BF" w:rsidP="00F51716">
            <w:pPr>
              <w:pStyle w:val="Tabletext0"/>
            </w:pPr>
            <w:r w:rsidRPr="003A12BF">
              <w:t>Today Design</w:t>
            </w:r>
          </w:p>
        </w:tc>
        <w:tc>
          <w:tcPr>
            <w:tcW w:w="4481" w:type="dxa"/>
            <w:noWrap/>
            <w:hideMark/>
          </w:tcPr>
          <w:p w14:paraId="4186248C" w14:textId="77777777" w:rsidR="003A12BF" w:rsidRPr="003A12BF" w:rsidRDefault="003A12BF" w:rsidP="00F51716">
            <w:pPr>
              <w:pStyle w:val="Tabletext0"/>
            </w:pPr>
            <w:r w:rsidRPr="003A12BF">
              <w:t>Energy Web Tool Development</w:t>
            </w:r>
          </w:p>
        </w:tc>
        <w:tc>
          <w:tcPr>
            <w:tcW w:w="1440" w:type="dxa"/>
            <w:noWrap/>
            <w:hideMark/>
          </w:tcPr>
          <w:p w14:paraId="5234EAB8" w14:textId="77777777" w:rsidR="003A12BF" w:rsidRPr="003A12BF" w:rsidRDefault="003A12BF" w:rsidP="00F51716">
            <w:pPr>
              <w:pStyle w:val="Tabletext0"/>
            </w:pPr>
            <w:r w:rsidRPr="003A12BF">
              <w:t>$5,358.00</w:t>
            </w:r>
          </w:p>
        </w:tc>
      </w:tr>
      <w:tr w:rsidR="003A12BF" w:rsidRPr="003A12BF" w14:paraId="12ADE532" w14:textId="77777777" w:rsidTr="002D4B7F">
        <w:trPr>
          <w:trHeight w:val="300"/>
        </w:trPr>
        <w:tc>
          <w:tcPr>
            <w:tcW w:w="2977" w:type="dxa"/>
            <w:noWrap/>
            <w:hideMark/>
          </w:tcPr>
          <w:p w14:paraId="2F259377" w14:textId="77777777" w:rsidR="003A12BF" w:rsidRPr="003A12BF" w:rsidRDefault="003A12BF" w:rsidP="00F51716">
            <w:pPr>
              <w:pStyle w:val="Tabletext0"/>
            </w:pPr>
            <w:r w:rsidRPr="003A12BF">
              <w:t>Indigo Power</w:t>
            </w:r>
          </w:p>
        </w:tc>
        <w:tc>
          <w:tcPr>
            <w:tcW w:w="4481" w:type="dxa"/>
            <w:noWrap/>
            <w:hideMark/>
          </w:tcPr>
          <w:p w14:paraId="4F971492" w14:textId="77777777" w:rsidR="003A12BF" w:rsidRPr="003A12BF" w:rsidRDefault="003A12BF" w:rsidP="00F51716">
            <w:pPr>
              <w:pStyle w:val="Tabletext0"/>
            </w:pPr>
            <w:r w:rsidRPr="003A12BF">
              <w:t>Yackandandah Solar Battery Conditional Grant</w:t>
            </w:r>
          </w:p>
        </w:tc>
        <w:tc>
          <w:tcPr>
            <w:tcW w:w="1440" w:type="dxa"/>
            <w:noWrap/>
            <w:hideMark/>
          </w:tcPr>
          <w:p w14:paraId="71FD04CB" w14:textId="77777777" w:rsidR="003A12BF" w:rsidRPr="003A12BF" w:rsidRDefault="003A12BF" w:rsidP="00F51716">
            <w:pPr>
              <w:pStyle w:val="Tabletext0"/>
            </w:pPr>
            <w:r w:rsidRPr="003A12BF">
              <w:t>$100,000.00</w:t>
            </w:r>
          </w:p>
        </w:tc>
      </w:tr>
      <w:tr w:rsidR="003A12BF" w:rsidRPr="003A12BF" w14:paraId="688A1D1D" w14:textId="77777777" w:rsidTr="002D4B7F">
        <w:trPr>
          <w:trHeight w:val="300"/>
        </w:trPr>
        <w:tc>
          <w:tcPr>
            <w:tcW w:w="2977" w:type="dxa"/>
            <w:noWrap/>
            <w:hideMark/>
          </w:tcPr>
          <w:p w14:paraId="343E75F9" w14:textId="77777777" w:rsidR="003A12BF" w:rsidRPr="003A12BF" w:rsidRDefault="003A12BF" w:rsidP="00F51716">
            <w:pPr>
              <w:pStyle w:val="Tabletext0"/>
            </w:pPr>
            <w:r w:rsidRPr="003A12BF">
              <w:t>Western Water</w:t>
            </w:r>
          </w:p>
        </w:tc>
        <w:tc>
          <w:tcPr>
            <w:tcW w:w="4481" w:type="dxa"/>
            <w:noWrap/>
            <w:hideMark/>
          </w:tcPr>
          <w:p w14:paraId="5B409DE2" w14:textId="77777777" w:rsidR="003A12BF" w:rsidRPr="003A12BF" w:rsidRDefault="003A12BF" w:rsidP="00F51716">
            <w:pPr>
              <w:pStyle w:val="Tabletext0"/>
            </w:pPr>
            <w:r w:rsidRPr="003A12BF">
              <w:t>Western Water W2E Infrastructure Project</w:t>
            </w:r>
          </w:p>
        </w:tc>
        <w:tc>
          <w:tcPr>
            <w:tcW w:w="1440" w:type="dxa"/>
            <w:noWrap/>
            <w:hideMark/>
          </w:tcPr>
          <w:p w14:paraId="58F5CB6E" w14:textId="77777777" w:rsidR="003A12BF" w:rsidRPr="003A12BF" w:rsidRDefault="003A12BF" w:rsidP="00F51716">
            <w:pPr>
              <w:pStyle w:val="Tabletext0"/>
            </w:pPr>
            <w:r w:rsidRPr="003A12BF">
              <w:t>$270,550.00</w:t>
            </w:r>
          </w:p>
        </w:tc>
      </w:tr>
      <w:tr w:rsidR="003A12BF" w:rsidRPr="003A12BF" w14:paraId="1F4B2706" w14:textId="77777777" w:rsidTr="002D4B7F">
        <w:trPr>
          <w:trHeight w:val="300"/>
        </w:trPr>
        <w:tc>
          <w:tcPr>
            <w:tcW w:w="2977" w:type="dxa"/>
            <w:noWrap/>
            <w:hideMark/>
          </w:tcPr>
          <w:p w14:paraId="158BDFCB" w14:textId="77777777" w:rsidR="003A12BF" w:rsidRPr="003A12BF" w:rsidRDefault="003A12BF" w:rsidP="00F51716">
            <w:pPr>
              <w:pStyle w:val="Tabletext0"/>
            </w:pPr>
            <w:r w:rsidRPr="003A12BF">
              <w:t>Norwood Technologies Pty Ltd</w:t>
            </w:r>
          </w:p>
        </w:tc>
        <w:tc>
          <w:tcPr>
            <w:tcW w:w="4481" w:type="dxa"/>
            <w:noWrap/>
            <w:hideMark/>
          </w:tcPr>
          <w:p w14:paraId="321524B2" w14:textId="77777777" w:rsidR="003A12BF" w:rsidRPr="003A12BF" w:rsidRDefault="003A12BF" w:rsidP="00F51716">
            <w:pPr>
              <w:pStyle w:val="Tabletext0"/>
            </w:pPr>
            <w:r w:rsidRPr="003A12BF">
              <w:t>Norwood Bioenergy Infrastructure Funding</w:t>
            </w:r>
          </w:p>
        </w:tc>
        <w:tc>
          <w:tcPr>
            <w:tcW w:w="1440" w:type="dxa"/>
            <w:noWrap/>
            <w:hideMark/>
          </w:tcPr>
          <w:p w14:paraId="702D921C" w14:textId="77777777" w:rsidR="003A12BF" w:rsidRPr="003A12BF" w:rsidRDefault="003A12BF" w:rsidP="00F51716">
            <w:pPr>
              <w:pStyle w:val="Tabletext0"/>
            </w:pPr>
            <w:r w:rsidRPr="003A12BF">
              <w:t>$5,000.00</w:t>
            </w:r>
          </w:p>
        </w:tc>
      </w:tr>
      <w:tr w:rsidR="003A12BF" w:rsidRPr="003A12BF" w14:paraId="53941550" w14:textId="77777777" w:rsidTr="002D4B7F">
        <w:trPr>
          <w:trHeight w:val="300"/>
        </w:trPr>
        <w:tc>
          <w:tcPr>
            <w:tcW w:w="2977" w:type="dxa"/>
            <w:noWrap/>
            <w:hideMark/>
          </w:tcPr>
          <w:p w14:paraId="2124C58F" w14:textId="77777777" w:rsidR="003A12BF" w:rsidRPr="003A12BF" w:rsidRDefault="003A12BF" w:rsidP="00F51716">
            <w:pPr>
              <w:pStyle w:val="Tabletext0"/>
            </w:pPr>
            <w:r w:rsidRPr="003A12BF">
              <w:t>Norwood Technologies Pty Ltd</w:t>
            </w:r>
          </w:p>
        </w:tc>
        <w:tc>
          <w:tcPr>
            <w:tcW w:w="4481" w:type="dxa"/>
            <w:noWrap/>
            <w:hideMark/>
          </w:tcPr>
          <w:p w14:paraId="1ABBB127" w14:textId="77777777" w:rsidR="003A12BF" w:rsidRPr="003A12BF" w:rsidRDefault="003A12BF" w:rsidP="00F51716">
            <w:pPr>
              <w:pStyle w:val="Tabletext0"/>
            </w:pPr>
            <w:r w:rsidRPr="003A12BF">
              <w:t>Norwood Bioenergy Infrastructure Funding</w:t>
            </w:r>
          </w:p>
        </w:tc>
        <w:tc>
          <w:tcPr>
            <w:tcW w:w="1440" w:type="dxa"/>
            <w:noWrap/>
            <w:hideMark/>
          </w:tcPr>
          <w:p w14:paraId="2D87F378" w14:textId="77777777" w:rsidR="003A12BF" w:rsidRPr="003A12BF" w:rsidRDefault="003A12BF" w:rsidP="00F51716">
            <w:pPr>
              <w:pStyle w:val="Tabletext0"/>
            </w:pPr>
            <w:r w:rsidRPr="003A12BF">
              <w:t>$45,000.00</w:t>
            </w:r>
          </w:p>
        </w:tc>
      </w:tr>
      <w:tr w:rsidR="003A12BF" w:rsidRPr="003A12BF" w14:paraId="2B660202" w14:textId="77777777" w:rsidTr="002D4B7F">
        <w:trPr>
          <w:trHeight w:val="300"/>
        </w:trPr>
        <w:tc>
          <w:tcPr>
            <w:tcW w:w="2977" w:type="dxa"/>
            <w:noWrap/>
            <w:hideMark/>
          </w:tcPr>
          <w:p w14:paraId="73028C47" w14:textId="77777777" w:rsidR="003A12BF" w:rsidRPr="003A12BF" w:rsidRDefault="003A12BF" w:rsidP="00F51716">
            <w:pPr>
              <w:pStyle w:val="Tabletext0"/>
            </w:pPr>
            <w:r w:rsidRPr="003A12BF">
              <w:t>Delorean Energy Pty Ltd</w:t>
            </w:r>
          </w:p>
        </w:tc>
        <w:tc>
          <w:tcPr>
            <w:tcW w:w="4481" w:type="dxa"/>
            <w:noWrap/>
            <w:hideMark/>
          </w:tcPr>
          <w:p w14:paraId="43CC876A" w14:textId="77777777" w:rsidR="003A12BF" w:rsidRPr="003A12BF" w:rsidRDefault="003A12BF" w:rsidP="00F51716">
            <w:pPr>
              <w:pStyle w:val="Tabletext0"/>
            </w:pPr>
            <w:r w:rsidRPr="003A12BF">
              <w:t>Delorean Bioenergy Infrastructure Funding</w:t>
            </w:r>
          </w:p>
        </w:tc>
        <w:tc>
          <w:tcPr>
            <w:tcW w:w="1440" w:type="dxa"/>
            <w:noWrap/>
            <w:hideMark/>
          </w:tcPr>
          <w:p w14:paraId="1873BEA8" w14:textId="77777777" w:rsidR="003A12BF" w:rsidRPr="003A12BF" w:rsidRDefault="003A12BF" w:rsidP="00F51716">
            <w:pPr>
              <w:pStyle w:val="Tabletext0"/>
            </w:pPr>
            <w:r w:rsidRPr="003A12BF">
              <w:t>$5,000.00</w:t>
            </w:r>
          </w:p>
        </w:tc>
      </w:tr>
      <w:tr w:rsidR="003A12BF" w:rsidRPr="003A12BF" w14:paraId="50188D40" w14:textId="77777777" w:rsidTr="002D4B7F">
        <w:trPr>
          <w:trHeight w:val="300"/>
        </w:trPr>
        <w:tc>
          <w:tcPr>
            <w:tcW w:w="2977" w:type="dxa"/>
            <w:noWrap/>
            <w:hideMark/>
          </w:tcPr>
          <w:p w14:paraId="0367CB71" w14:textId="77777777" w:rsidR="003A12BF" w:rsidRPr="003A12BF" w:rsidRDefault="003A12BF" w:rsidP="00F51716">
            <w:pPr>
              <w:pStyle w:val="Tabletext0"/>
            </w:pPr>
            <w:r w:rsidRPr="003A12BF">
              <w:t>Delorean Energy Pty Ltd</w:t>
            </w:r>
          </w:p>
        </w:tc>
        <w:tc>
          <w:tcPr>
            <w:tcW w:w="4481" w:type="dxa"/>
            <w:noWrap/>
            <w:hideMark/>
          </w:tcPr>
          <w:p w14:paraId="3FF450D1" w14:textId="77777777" w:rsidR="003A12BF" w:rsidRPr="003A12BF" w:rsidRDefault="003A12BF" w:rsidP="00F51716">
            <w:pPr>
              <w:pStyle w:val="Tabletext0"/>
            </w:pPr>
            <w:r w:rsidRPr="003A12BF">
              <w:t>Delorean Bioenergy Infrastructure Funding</w:t>
            </w:r>
          </w:p>
        </w:tc>
        <w:tc>
          <w:tcPr>
            <w:tcW w:w="1440" w:type="dxa"/>
            <w:noWrap/>
            <w:hideMark/>
          </w:tcPr>
          <w:p w14:paraId="1ACD468F" w14:textId="77777777" w:rsidR="003A12BF" w:rsidRPr="003A12BF" w:rsidRDefault="003A12BF" w:rsidP="00F51716">
            <w:pPr>
              <w:pStyle w:val="Tabletext0"/>
            </w:pPr>
            <w:r w:rsidRPr="003A12BF">
              <w:t>$45,000.00</w:t>
            </w:r>
          </w:p>
        </w:tc>
      </w:tr>
      <w:tr w:rsidR="003A12BF" w:rsidRPr="003A12BF" w14:paraId="01FDDBFE" w14:textId="77777777" w:rsidTr="002D4B7F">
        <w:trPr>
          <w:trHeight w:val="300"/>
        </w:trPr>
        <w:tc>
          <w:tcPr>
            <w:tcW w:w="2977" w:type="dxa"/>
            <w:noWrap/>
            <w:hideMark/>
          </w:tcPr>
          <w:p w14:paraId="58EFBE05" w14:textId="77777777" w:rsidR="003A12BF" w:rsidRPr="003A12BF" w:rsidRDefault="003A12BF" w:rsidP="00F51716">
            <w:pPr>
              <w:pStyle w:val="Tabletext0"/>
            </w:pPr>
            <w:r w:rsidRPr="003A12BF">
              <w:t>Mount Alexander Bioenergy</w:t>
            </w:r>
          </w:p>
        </w:tc>
        <w:tc>
          <w:tcPr>
            <w:tcW w:w="4481" w:type="dxa"/>
            <w:noWrap/>
            <w:hideMark/>
          </w:tcPr>
          <w:p w14:paraId="0059A3A1" w14:textId="77777777" w:rsidR="003A12BF" w:rsidRPr="003A12BF" w:rsidRDefault="003A12BF" w:rsidP="00F51716">
            <w:pPr>
              <w:pStyle w:val="Tabletext0"/>
            </w:pPr>
            <w:r w:rsidRPr="003A12BF">
              <w:t>Mount Alexander Bioenergy Infrastructure Grant</w:t>
            </w:r>
          </w:p>
        </w:tc>
        <w:tc>
          <w:tcPr>
            <w:tcW w:w="1440" w:type="dxa"/>
            <w:noWrap/>
            <w:hideMark/>
          </w:tcPr>
          <w:p w14:paraId="09E71ADA" w14:textId="77777777" w:rsidR="003A12BF" w:rsidRPr="003A12BF" w:rsidRDefault="003A12BF" w:rsidP="00F51716">
            <w:pPr>
              <w:pStyle w:val="Tabletext0"/>
            </w:pPr>
            <w:r w:rsidRPr="003A12BF">
              <w:t>$5,000.00</w:t>
            </w:r>
          </w:p>
        </w:tc>
      </w:tr>
      <w:tr w:rsidR="003A12BF" w:rsidRPr="003A12BF" w14:paraId="0024CF16" w14:textId="77777777" w:rsidTr="002D4B7F">
        <w:trPr>
          <w:trHeight w:val="300"/>
        </w:trPr>
        <w:tc>
          <w:tcPr>
            <w:tcW w:w="2977" w:type="dxa"/>
            <w:noWrap/>
            <w:hideMark/>
          </w:tcPr>
          <w:p w14:paraId="02ED4302" w14:textId="13E248E4" w:rsidR="003A12BF" w:rsidRPr="003A12BF" w:rsidRDefault="003A12BF" w:rsidP="00F51716">
            <w:pPr>
              <w:pStyle w:val="Tabletext0"/>
            </w:pPr>
            <w:r w:rsidRPr="003A12BF">
              <w:t>S</w:t>
            </w:r>
            <w:r w:rsidR="00653AB9">
              <w:t>MART</w:t>
            </w:r>
            <w:r w:rsidRPr="003A12BF">
              <w:t xml:space="preserve"> Recycling</w:t>
            </w:r>
          </w:p>
        </w:tc>
        <w:tc>
          <w:tcPr>
            <w:tcW w:w="4481" w:type="dxa"/>
            <w:noWrap/>
            <w:hideMark/>
          </w:tcPr>
          <w:p w14:paraId="63306099" w14:textId="77777777" w:rsidR="003A12BF" w:rsidRPr="003A12BF" w:rsidRDefault="003A12BF" w:rsidP="00F51716">
            <w:pPr>
              <w:pStyle w:val="Tabletext0"/>
            </w:pPr>
            <w:r w:rsidRPr="003A12BF">
              <w:t>SMART Bioenergy Infrastructure Fund</w:t>
            </w:r>
          </w:p>
        </w:tc>
        <w:tc>
          <w:tcPr>
            <w:tcW w:w="1440" w:type="dxa"/>
            <w:noWrap/>
            <w:hideMark/>
          </w:tcPr>
          <w:p w14:paraId="51F6B259" w14:textId="77777777" w:rsidR="003A12BF" w:rsidRPr="003A12BF" w:rsidRDefault="003A12BF" w:rsidP="00F51716">
            <w:pPr>
              <w:pStyle w:val="Tabletext0"/>
            </w:pPr>
            <w:r w:rsidRPr="003A12BF">
              <w:t>$5,000.00</w:t>
            </w:r>
          </w:p>
        </w:tc>
      </w:tr>
      <w:tr w:rsidR="003A12BF" w:rsidRPr="003A12BF" w14:paraId="3ADD852E" w14:textId="77777777" w:rsidTr="002D4B7F">
        <w:trPr>
          <w:trHeight w:val="300"/>
        </w:trPr>
        <w:tc>
          <w:tcPr>
            <w:tcW w:w="2977" w:type="dxa"/>
            <w:noWrap/>
            <w:hideMark/>
          </w:tcPr>
          <w:p w14:paraId="1F292ECC" w14:textId="61C85B42" w:rsidR="003A12BF" w:rsidRPr="003A12BF" w:rsidRDefault="003A12BF" w:rsidP="00F51716">
            <w:pPr>
              <w:pStyle w:val="Tabletext0"/>
            </w:pPr>
            <w:r w:rsidRPr="003A12BF">
              <w:t xml:space="preserve">Grampians Central West Waste and Resource Recovery Group </w:t>
            </w:r>
            <w:r w:rsidR="00737453">
              <w:t>–</w:t>
            </w:r>
            <w:r w:rsidRPr="003A12BF">
              <w:t xml:space="preserve"> </w:t>
            </w:r>
            <w:r w:rsidR="00C65C26" w:rsidRPr="003A12BF">
              <w:t>Head Office</w:t>
            </w:r>
          </w:p>
        </w:tc>
        <w:tc>
          <w:tcPr>
            <w:tcW w:w="4481" w:type="dxa"/>
            <w:noWrap/>
            <w:hideMark/>
          </w:tcPr>
          <w:p w14:paraId="09F51D9C" w14:textId="77777777" w:rsidR="003A12BF" w:rsidRPr="003A12BF" w:rsidRDefault="003A12BF" w:rsidP="00F51716">
            <w:pPr>
              <w:pStyle w:val="Tabletext0"/>
            </w:pPr>
            <w:r w:rsidRPr="003A12BF">
              <w:t>GCWWRRG Regional Litter Plan</w:t>
            </w:r>
          </w:p>
        </w:tc>
        <w:tc>
          <w:tcPr>
            <w:tcW w:w="1440" w:type="dxa"/>
            <w:noWrap/>
            <w:hideMark/>
          </w:tcPr>
          <w:p w14:paraId="1B7D8ED7" w14:textId="77777777" w:rsidR="003A12BF" w:rsidRPr="003A12BF" w:rsidRDefault="003A12BF" w:rsidP="00F51716">
            <w:pPr>
              <w:pStyle w:val="Tabletext0"/>
            </w:pPr>
            <w:r w:rsidRPr="003A12BF">
              <w:t>$7,500.00</w:t>
            </w:r>
          </w:p>
        </w:tc>
      </w:tr>
      <w:tr w:rsidR="003A12BF" w:rsidRPr="003A12BF" w14:paraId="01966E0F" w14:textId="77777777" w:rsidTr="002D4B7F">
        <w:trPr>
          <w:trHeight w:val="300"/>
        </w:trPr>
        <w:tc>
          <w:tcPr>
            <w:tcW w:w="2977" w:type="dxa"/>
            <w:noWrap/>
            <w:hideMark/>
          </w:tcPr>
          <w:p w14:paraId="5F4AFC97" w14:textId="77777777" w:rsidR="003A12BF" w:rsidRPr="003A12BF" w:rsidRDefault="003A12BF" w:rsidP="00F51716">
            <w:pPr>
              <w:pStyle w:val="Tabletext0"/>
            </w:pPr>
            <w:r w:rsidRPr="003A12BF">
              <w:t>Goulburn Valley Waste and Resource Recovery Group (GVWRRG)</w:t>
            </w:r>
          </w:p>
        </w:tc>
        <w:tc>
          <w:tcPr>
            <w:tcW w:w="4481" w:type="dxa"/>
            <w:noWrap/>
            <w:hideMark/>
          </w:tcPr>
          <w:p w14:paraId="5AC9269D" w14:textId="2D9E1644" w:rsidR="003A12BF" w:rsidRPr="003A12BF" w:rsidRDefault="003A12BF" w:rsidP="00F51716">
            <w:pPr>
              <w:pStyle w:val="Tabletext0"/>
            </w:pPr>
            <w:r w:rsidRPr="003A12BF">
              <w:t xml:space="preserve">GVWRRG </w:t>
            </w:r>
            <w:r w:rsidR="00737453">
              <w:t>–</w:t>
            </w:r>
            <w:r w:rsidRPr="003A12BF">
              <w:t xml:space="preserve"> Joint Regional Litter Plan</w:t>
            </w:r>
          </w:p>
        </w:tc>
        <w:tc>
          <w:tcPr>
            <w:tcW w:w="1440" w:type="dxa"/>
            <w:noWrap/>
            <w:hideMark/>
          </w:tcPr>
          <w:p w14:paraId="71DB353E" w14:textId="77777777" w:rsidR="003A12BF" w:rsidRPr="003A12BF" w:rsidRDefault="003A12BF" w:rsidP="00F51716">
            <w:pPr>
              <w:pStyle w:val="Tabletext0"/>
            </w:pPr>
            <w:r w:rsidRPr="003A12BF">
              <w:t>$15,000.00</w:t>
            </w:r>
          </w:p>
        </w:tc>
      </w:tr>
      <w:tr w:rsidR="003A12BF" w:rsidRPr="003A12BF" w14:paraId="06EC86CA" w14:textId="77777777" w:rsidTr="002D4B7F">
        <w:trPr>
          <w:trHeight w:val="300"/>
        </w:trPr>
        <w:tc>
          <w:tcPr>
            <w:tcW w:w="2977" w:type="dxa"/>
            <w:noWrap/>
            <w:hideMark/>
          </w:tcPr>
          <w:p w14:paraId="0308E389" w14:textId="77777777" w:rsidR="003A12BF" w:rsidRPr="003A12BF" w:rsidRDefault="003A12BF" w:rsidP="00F51716">
            <w:pPr>
              <w:pStyle w:val="Tabletext0"/>
            </w:pPr>
            <w:r w:rsidRPr="003A12BF">
              <w:t>Goulburn Valley Waste and Resource Recovery Group (GVWRRG)</w:t>
            </w:r>
          </w:p>
        </w:tc>
        <w:tc>
          <w:tcPr>
            <w:tcW w:w="4481" w:type="dxa"/>
            <w:noWrap/>
            <w:hideMark/>
          </w:tcPr>
          <w:p w14:paraId="070DA716" w14:textId="24C90ADE" w:rsidR="003A12BF" w:rsidRPr="003A12BF" w:rsidRDefault="003A12BF" w:rsidP="00F51716">
            <w:pPr>
              <w:pStyle w:val="Tabletext0"/>
            </w:pPr>
            <w:r w:rsidRPr="003A12BF">
              <w:t xml:space="preserve">GVWRRG </w:t>
            </w:r>
            <w:r w:rsidR="00737453">
              <w:t>–</w:t>
            </w:r>
            <w:r w:rsidRPr="003A12BF">
              <w:t xml:space="preserve"> Joint Regional Litter Plan</w:t>
            </w:r>
          </w:p>
        </w:tc>
        <w:tc>
          <w:tcPr>
            <w:tcW w:w="1440" w:type="dxa"/>
            <w:noWrap/>
            <w:hideMark/>
          </w:tcPr>
          <w:p w14:paraId="31CFAB54" w14:textId="77777777" w:rsidR="003A12BF" w:rsidRPr="003A12BF" w:rsidRDefault="003A12BF" w:rsidP="00F51716">
            <w:pPr>
              <w:pStyle w:val="Tabletext0"/>
            </w:pPr>
            <w:r w:rsidRPr="003A12BF">
              <w:t>$15,000.00</w:t>
            </w:r>
          </w:p>
        </w:tc>
      </w:tr>
      <w:tr w:rsidR="003A12BF" w:rsidRPr="003A12BF" w14:paraId="2F7D3223" w14:textId="77777777" w:rsidTr="002D4B7F">
        <w:trPr>
          <w:trHeight w:val="300"/>
        </w:trPr>
        <w:tc>
          <w:tcPr>
            <w:tcW w:w="2977" w:type="dxa"/>
            <w:noWrap/>
            <w:hideMark/>
          </w:tcPr>
          <w:p w14:paraId="3AFBA283" w14:textId="1ADE93E0" w:rsidR="003A12BF" w:rsidRPr="003A12BF" w:rsidRDefault="003A12BF" w:rsidP="00F51716">
            <w:pPr>
              <w:pStyle w:val="Tabletext0"/>
            </w:pPr>
            <w:r w:rsidRPr="003A12BF">
              <w:t xml:space="preserve">Barwon South West Waste and Resource Recovery Group </w:t>
            </w:r>
            <w:r w:rsidR="0075013C">
              <w:t>(BSWWRRG)</w:t>
            </w:r>
          </w:p>
        </w:tc>
        <w:tc>
          <w:tcPr>
            <w:tcW w:w="4481" w:type="dxa"/>
            <w:noWrap/>
            <w:hideMark/>
          </w:tcPr>
          <w:p w14:paraId="62965F18" w14:textId="77777777" w:rsidR="003A12BF" w:rsidRPr="003A12BF" w:rsidRDefault="003A12BF" w:rsidP="00F51716">
            <w:pPr>
              <w:pStyle w:val="Tabletext0"/>
            </w:pPr>
            <w:r w:rsidRPr="003A12BF">
              <w:t>BSWWRRG Regional Litter Plan</w:t>
            </w:r>
          </w:p>
        </w:tc>
        <w:tc>
          <w:tcPr>
            <w:tcW w:w="1440" w:type="dxa"/>
            <w:noWrap/>
            <w:hideMark/>
          </w:tcPr>
          <w:p w14:paraId="3DCAFDF3" w14:textId="77777777" w:rsidR="003A12BF" w:rsidRPr="003A12BF" w:rsidRDefault="003A12BF" w:rsidP="00F51716">
            <w:pPr>
              <w:pStyle w:val="Tabletext0"/>
            </w:pPr>
            <w:r w:rsidRPr="003A12BF">
              <w:t>$7,500.00</w:t>
            </w:r>
          </w:p>
        </w:tc>
      </w:tr>
      <w:tr w:rsidR="003A12BF" w:rsidRPr="003A12BF" w14:paraId="018593EB" w14:textId="77777777" w:rsidTr="002D4B7F">
        <w:trPr>
          <w:trHeight w:val="300"/>
        </w:trPr>
        <w:tc>
          <w:tcPr>
            <w:tcW w:w="2977" w:type="dxa"/>
            <w:noWrap/>
            <w:hideMark/>
          </w:tcPr>
          <w:p w14:paraId="70F940E7" w14:textId="1436B3A0" w:rsidR="003A12BF" w:rsidRPr="003A12BF" w:rsidRDefault="003A12BF" w:rsidP="00F51716">
            <w:pPr>
              <w:pStyle w:val="Tabletext0"/>
            </w:pPr>
            <w:r w:rsidRPr="003A12BF">
              <w:t>Barwon South West Waste and Resource Recovery Group</w:t>
            </w:r>
          </w:p>
        </w:tc>
        <w:tc>
          <w:tcPr>
            <w:tcW w:w="4481" w:type="dxa"/>
            <w:noWrap/>
            <w:hideMark/>
          </w:tcPr>
          <w:p w14:paraId="253BD61B" w14:textId="77777777" w:rsidR="003A12BF" w:rsidRPr="003A12BF" w:rsidRDefault="003A12BF" w:rsidP="00F51716">
            <w:pPr>
              <w:pStyle w:val="Tabletext0"/>
            </w:pPr>
            <w:r w:rsidRPr="003A12BF">
              <w:t>Barwon South West Community Led Litter Source Reduction</w:t>
            </w:r>
          </w:p>
        </w:tc>
        <w:tc>
          <w:tcPr>
            <w:tcW w:w="1440" w:type="dxa"/>
            <w:noWrap/>
            <w:hideMark/>
          </w:tcPr>
          <w:p w14:paraId="03918AC7" w14:textId="77777777" w:rsidR="003A12BF" w:rsidRPr="003A12BF" w:rsidRDefault="003A12BF" w:rsidP="00F51716">
            <w:pPr>
              <w:pStyle w:val="Tabletext0"/>
            </w:pPr>
            <w:r w:rsidRPr="003A12BF">
              <w:t>$17,416.00</w:t>
            </w:r>
          </w:p>
        </w:tc>
      </w:tr>
      <w:tr w:rsidR="003A12BF" w:rsidRPr="003A12BF" w14:paraId="1D4E44D5" w14:textId="77777777" w:rsidTr="002D4B7F">
        <w:trPr>
          <w:trHeight w:val="300"/>
        </w:trPr>
        <w:tc>
          <w:tcPr>
            <w:tcW w:w="2977" w:type="dxa"/>
            <w:noWrap/>
            <w:hideMark/>
          </w:tcPr>
          <w:p w14:paraId="7C884482" w14:textId="5B112BDD" w:rsidR="003A12BF" w:rsidRPr="003A12BF" w:rsidRDefault="003A12BF" w:rsidP="00F51716">
            <w:pPr>
              <w:pStyle w:val="Tabletext0"/>
            </w:pPr>
            <w:r w:rsidRPr="003A12BF">
              <w:t xml:space="preserve">Metropolitan Waste and Resource Recovery Group </w:t>
            </w:r>
            <w:r w:rsidR="00C65C26">
              <w:t>(MWRRG)</w:t>
            </w:r>
          </w:p>
        </w:tc>
        <w:tc>
          <w:tcPr>
            <w:tcW w:w="4481" w:type="dxa"/>
            <w:noWrap/>
            <w:hideMark/>
          </w:tcPr>
          <w:p w14:paraId="12B91A87" w14:textId="77777777" w:rsidR="003A12BF" w:rsidRPr="003A12BF" w:rsidRDefault="003A12BF" w:rsidP="00F51716">
            <w:pPr>
              <w:pStyle w:val="Tabletext0"/>
            </w:pPr>
            <w:r w:rsidRPr="003A12BF">
              <w:t>MWRRG Regional Litter Plan</w:t>
            </w:r>
          </w:p>
        </w:tc>
        <w:tc>
          <w:tcPr>
            <w:tcW w:w="1440" w:type="dxa"/>
            <w:noWrap/>
            <w:hideMark/>
          </w:tcPr>
          <w:p w14:paraId="623B7040" w14:textId="77777777" w:rsidR="003A12BF" w:rsidRPr="003A12BF" w:rsidRDefault="003A12BF" w:rsidP="00F51716">
            <w:pPr>
              <w:pStyle w:val="Tabletext0"/>
            </w:pPr>
            <w:r w:rsidRPr="003A12BF">
              <w:t>$7,500.00</w:t>
            </w:r>
          </w:p>
        </w:tc>
      </w:tr>
      <w:tr w:rsidR="003A12BF" w:rsidRPr="003A12BF" w14:paraId="2C7EDE7D" w14:textId="77777777" w:rsidTr="002D4B7F">
        <w:trPr>
          <w:trHeight w:val="300"/>
        </w:trPr>
        <w:tc>
          <w:tcPr>
            <w:tcW w:w="2977" w:type="dxa"/>
            <w:noWrap/>
            <w:hideMark/>
          </w:tcPr>
          <w:p w14:paraId="5EB36356" w14:textId="373E499E" w:rsidR="003A12BF" w:rsidRPr="003A12BF" w:rsidRDefault="003A12BF" w:rsidP="00F51716">
            <w:pPr>
              <w:pStyle w:val="Tabletext0"/>
            </w:pPr>
            <w:r w:rsidRPr="003A12BF">
              <w:t xml:space="preserve">Department of Health &amp; Human Services (DHHS) </w:t>
            </w:r>
            <w:r w:rsidR="00737453">
              <w:t>–</w:t>
            </w:r>
            <w:r w:rsidRPr="003A12BF">
              <w:t xml:space="preserve"> Head Office</w:t>
            </w:r>
          </w:p>
        </w:tc>
        <w:tc>
          <w:tcPr>
            <w:tcW w:w="4481" w:type="dxa"/>
            <w:noWrap/>
            <w:hideMark/>
          </w:tcPr>
          <w:p w14:paraId="22F6D0C8" w14:textId="77777777" w:rsidR="003A12BF" w:rsidRPr="003A12BF" w:rsidRDefault="003A12BF" w:rsidP="00F51716">
            <w:pPr>
              <w:pStyle w:val="Tabletext0"/>
            </w:pPr>
            <w:r w:rsidRPr="003A12BF">
              <w:t>Waste Education Officer in Healthcare</w:t>
            </w:r>
          </w:p>
        </w:tc>
        <w:tc>
          <w:tcPr>
            <w:tcW w:w="1440" w:type="dxa"/>
            <w:noWrap/>
            <w:hideMark/>
          </w:tcPr>
          <w:p w14:paraId="71B449C4" w14:textId="77777777" w:rsidR="003A12BF" w:rsidRPr="003A12BF" w:rsidRDefault="003A12BF" w:rsidP="00F51716">
            <w:pPr>
              <w:pStyle w:val="Tabletext0"/>
            </w:pPr>
            <w:r w:rsidRPr="003A12BF">
              <w:t>$28,082.19</w:t>
            </w:r>
          </w:p>
        </w:tc>
      </w:tr>
      <w:tr w:rsidR="003A12BF" w:rsidRPr="003A12BF" w14:paraId="77302973" w14:textId="77777777" w:rsidTr="002D4B7F">
        <w:trPr>
          <w:trHeight w:val="300"/>
        </w:trPr>
        <w:tc>
          <w:tcPr>
            <w:tcW w:w="2977" w:type="dxa"/>
            <w:noWrap/>
            <w:hideMark/>
          </w:tcPr>
          <w:p w14:paraId="1A2A25AC" w14:textId="77777777" w:rsidR="003A12BF" w:rsidRPr="003A12BF" w:rsidRDefault="003A12BF" w:rsidP="00F51716">
            <w:pPr>
              <w:pStyle w:val="Tabletext0"/>
            </w:pPr>
            <w:r w:rsidRPr="003A12BF">
              <w:t>SJD Marketing Pty Ltd</w:t>
            </w:r>
          </w:p>
        </w:tc>
        <w:tc>
          <w:tcPr>
            <w:tcW w:w="4481" w:type="dxa"/>
            <w:noWrap/>
            <w:hideMark/>
          </w:tcPr>
          <w:p w14:paraId="5DF3FD2B" w14:textId="6B9B0BC9" w:rsidR="003A12BF" w:rsidRPr="003A12BF" w:rsidRDefault="003A12BF" w:rsidP="00F51716">
            <w:pPr>
              <w:pStyle w:val="Tabletext0"/>
            </w:pPr>
            <w:r w:rsidRPr="003A12BF">
              <w:t>Zero Net Carbon Homes Contribution Agreement</w:t>
            </w:r>
            <w:r w:rsidR="00737453">
              <w:t xml:space="preserve"> –</w:t>
            </w:r>
            <w:r w:rsidRPr="003A12BF">
              <w:t xml:space="preserve"> SJD Marketing Pty Ltd</w:t>
            </w:r>
          </w:p>
        </w:tc>
        <w:tc>
          <w:tcPr>
            <w:tcW w:w="1440" w:type="dxa"/>
            <w:noWrap/>
            <w:hideMark/>
          </w:tcPr>
          <w:p w14:paraId="7444319C" w14:textId="77777777" w:rsidR="003A12BF" w:rsidRPr="003A12BF" w:rsidRDefault="003A12BF" w:rsidP="00F51716">
            <w:pPr>
              <w:pStyle w:val="Tabletext0"/>
            </w:pPr>
            <w:r w:rsidRPr="003A12BF">
              <w:t>$4,545.45</w:t>
            </w:r>
          </w:p>
        </w:tc>
      </w:tr>
      <w:tr w:rsidR="003A12BF" w:rsidRPr="003A12BF" w14:paraId="6453A9B1" w14:textId="77777777" w:rsidTr="002D4B7F">
        <w:trPr>
          <w:trHeight w:val="300"/>
        </w:trPr>
        <w:tc>
          <w:tcPr>
            <w:tcW w:w="2977" w:type="dxa"/>
            <w:noWrap/>
            <w:hideMark/>
          </w:tcPr>
          <w:p w14:paraId="0DB323AE" w14:textId="77777777" w:rsidR="003A12BF" w:rsidRPr="003A12BF" w:rsidRDefault="003A12BF" w:rsidP="00F51716">
            <w:pPr>
              <w:pStyle w:val="Tabletext0"/>
            </w:pPr>
            <w:r w:rsidRPr="003A12BF">
              <w:t>SJD Marketing Pty Ltd</w:t>
            </w:r>
          </w:p>
        </w:tc>
        <w:tc>
          <w:tcPr>
            <w:tcW w:w="4481" w:type="dxa"/>
            <w:noWrap/>
            <w:hideMark/>
          </w:tcPr>
          <w:p w14:paraId="2C6C8A47" w14:textId="3620129C" w:rsidR="003A12BF" w:rsidRPr="003A12BF" w:rsidRDefault="003A12BF" w:rsidP="00F51716">
            <w:pPr>
              <w:pStyle w:val="Tabletext0"/>
            </w:pPr>
            <w:r w:rsidRPr="003A12BF">
              <w:t>Zero Net Carbon Homes Contribution Agreement</w:t>
            </w:r>
            <w:r w:rsidR="00737453">
              <w:t xml:space="preserve"> –</w:t>
            </w:r>
            <w:r w:rsidRPr="003A12BF">
              <w:t xml:space="preserve"> SJD Marketing Pty Ltd</w:t>
            </w:r>
          </w:p>
        </w:tc>
        <w:tc>
          <w:tcPr>
            <w:tcW w:w="1440" w:type="dxa"/>
            <w:noWrap/>
            <w:hideMark/>
          </w:tcPr>
          <w:p w14:paraId="5B0184E2" w14:textId="77777777" w:rsidR="003A12BF" w:rsidRPr="003A12BF" w:rsidRDefault="003A12BF" w:rsidP="00F51716">
            <w:pPr>
              <w:pStyle w:val="Tabletext0"/>
            </w:pPr>
            <w:r w:rsidRPr="003A12BF">
              <w:t>$87,272.75</w:t>
            </w:r>
          </w:p>
        </w:tc>
      </w:tr>
      <w:tr w:rsidR="003A12BF" w:rsidRPr="003A12BF" w14:paraId="7A9B4853" w14:textId="77777777" w:rsidTr="002D4B7F">
        <w:trPr>
          <w:trHeight w:val="300"/>
        </w:trPr>
        <w:tc>
          <w:tcPr>
            <w:tcW w:w="2977" w:type="dxa"/>
            <w:noWrap/>
            <w:hideMark/>
          </w:tcPr>
          <w:p w14:paraId="78A1D219" w14:textId="77777777" w:rsidR="003A12BF" w:rsidRPr="003A12BF" w:rsidRDefault="003A12BF" w:rsidP="00F51716">
            <w:pPr>
              <w:pStyle w:val="Tabletext0"/>
            </w:pPr>
            <w:r w:rsidRPr="003A12BF">
              <w:t>Metricon Homes Pty Ltd</w:t>
            </w:r>
          </w:p>
        </w:tc>
        <w:tc>
          <w:tcPr>
            <w:tcW w:w="4481" w:type="dxa"/>
            <w:noWrap/>
            <w:hideMark/>
          </w:tcPr>
          <w:p w14:paraId="73061160" w14:textId="0776B66E" w:rsidR="003A12BF" w:rsidRPr="003A12BF" w:rsidRDefault="003A12BF" w:rsidP="00F51716">
            <w:pPr>
              <w:pStyle w:val="Tabletext0"/>
            </w:pPr>
            <w:r w:rsidRPr="003A12BF">
              <w:t>Zero Net Carbon Homes Contribution Agreement</w:t>
            </w:r>
          </w:p>
        </w:tc>
        <w:tc>
          <w:tcPr>
            <w:tcW w:w="1440" w:type="dxa"/>
            <w:noWrap/>
            <w:hideMark/>
          </w:tcPr>
          <w:p w14:paraId="4AD5794C" w14:textId="77777777" w:rsidR="003A12BF" w:rsidRPr="003A12BF" w:rsidRDefault="003A12BF" w:rsidP="00F51716">
            <w:pPr>
              <w:pStyle w:val="Tabletext0"/>
            </w:pPr>
            <w:r w:rsidRPr="003A12BF">
              <w:t>$4,253.77</w:t>
            </w:r>
          </w:p>
        </w:tc>
      </w:tr>
      <w:tr w:rsidR="003A12BF" w:rsidRPr="003A12BF" w14:paraId="66373F1C" w14:textId="77777777" w:rsidTr="002D4B7F">
        <w:trPr>
          <w:trHeight w:val="300"/>
        </w:trPr>
        <w:tc>
          <w:tcPr>
            <w:tcW w:w="2977" w:type="dxa"/>
            <w:noWrap/>
            <w:hideMark/>
          </w:tcPr>
          <w:p w14:paraId="323291B0" w14:textId="77777777" w:rsidR="003A12BF" w:rsidRPr="003A12BF" w:rsidRDefault="003A12BF" w:rsidP="00F51716">
            <w:pPr>
              <w:pStyle w:val="Tabletext0"/>
            </w:pPr>
            <w:r w:rsidRPr="003A12BF">
              <w:t>Best Environments</w:t>
            </w:r>
          </w:p>
        </w:tc>
        <w:tc>
          <w:tcPr>
            <w:tcW w:w="4481" w:type="dxa"/>
            <w:noWrap/>
            <w:hideMark/>
          </w:tcPr>
          <w:p w14:paraId="590BD864" w14:textId="70413F93" w:rsidR="003A12BF" w:rsidRPr="003A12BF" w:rsidRDefault="003A12BF" w:rsidP="00F51716">
            <w:pPr>
              <w:pStyle w:val="Tabletext0"/>
            </w:pPr>
            <w:r w:rsidRPr="003A12BF">
              <w:t xml:space="preserve">Energy Smart Housing Manual </w:t>
            </w:r>
            <w:r w:rsidR="00737453">
              <w:t>–</w:t>
            </w:r>
            <w:r w:rsidRPr="003A12BF">
              <w:t xml:space="preserve"> Finalisation</w:t>
            </w:r>
          </w:p>
        </w:tc>
        <w:tc>
          <w:tcPr>
            <w:tcW w:w="1440" w:type="dxa"/>
            <w:noWrap/>
            <w:hideMark/>
          </w:tcPr>
          <w:p w14:paraId="36794ACC" w14:textId="77777777" w:rsidR="003A12BF" w:rsidRPr="003A12BF" w:rsidRDefault="003A12BF" w:rsidP="00F51716">
            <w:pPr>
              <w:pStyle w:val="Tabletext0"/>
            </w:pPr>
            <w:r w:rsidRPr="003A12BF">
              <w:t>$6,600.00</w:t>
            </w:r>
          </w:p>
        </w:tc>
      </w:tr>
      <w:tr w:rsidR="003A12BF" w:rsidRPr="003A12BF" w14:paraId="335403E5" w14:textId="77777777" w:rsidTr="002D4B7F">
        <w:trPr>
          <w:trHeight w:val="300"/>
        </w:trPr>
        <w:tc>
          <w:tcPr>
            <w:tcW w:w="2977" w:type="dxa"/>
            <w:noWrap/>
            <w:hideMark/>
          </w:tcPr>
          <w:p w14:paraId="707D0E8E" w14:textId="77777777" w:rsidR="003A12BF" w:rsidRPr="003A12BF" w:rsidRDefault="003A12BF" w:rsidP="00F51716">
            <w:pPr>
              <w:pStyle w:val="Tabletext0"/>
            </w:pPr>
            <w:r w:rsidRPr="003A12BF">
              <w:t>Efficiency Matrix</w:t>
            </w:r>
          </w:p>
        </w:tc>
        <w:tc>
          <w:tcPr>
            <w:tcW w:w="4481" w:type="dxa"/>
            <w:noWrap/>
            <w:hideMark/>
          </w:tcPr>
          <w:p w14:paraId="08A44152" w14:textId="77777777" w:rsidR="003A12BF" w:rsidRPr="003A12BF" w:rsidRDefault="003A12BF" w:rsidP="00F51716">
            <w:pPr>
              <w:pStyle w:val="Tabletext0"/>
            </w:pPr>
            <w:r w:rsidRPr="003A12BF">
              <w:t>ABV Testing of 30 SJD Homes</w:t>
            </w:r>
          </w:p>
        </w:tc>
        <w:tc>
          <w:tcPr>
            <w:tcW w:w="1440" w:type="dxa"/>
            <w:noWrap/>
            <w:hideMark/>
          </w:tcPr>
          <w:p w14:paraId="206A9147" w14:textId="77777777" w:rsidR="003A12BF" w:rsidRPr="003A12BF" w:rsidRDefault="003A12BF" w:rsidP="00F51716">
            <w:pPr>
              <w:pStyle w:val="Tabletext0"/>
            </w:pPr>
            <w:r w:rsidRPr="003A12BF">
              <w:t>$1,250.00</w:t>
            </w:r>
          </w:p>
        </w:tc>
      </w:tr>
    </w:tbl>
    <w:p w14:paraId="4DD223F9" w14:textId="77777777" w:rsidR="000D3BD4" w:rsidRPr="00AF6B06" w:rsidRDefault="000D3BD4" w:rsidP="00F51716">
      <w:pPr>
        <w:pStyle w:val="Tabletext0"/>
      </w:pPr>
      <w:r w:rsidRPr="00AF6B06">
        <w:br w:type="page"/>
      </w:r>
    </w:p>
    <w:p w14:paraId="6A76207F" w14:textId="1230CB4A" w:rsidR="0077589D" w:rsidRDefault="0077589D" w:rsidP="00F51716">
      <w:pPr>
        <w:pStyle w:val="Heading1"/>
      </w:pPr>
      <w:bookmarkStart w:id="179" w:name="_Toc56627372"/>
      <w:bookmarkStart w:id="180" w:name="_Toc57039899"/>
      <w:bookmarkStart w:id="181" w:name="_Toc59624234"/>
      <w:r w:rsidRPr="0077589D">
        <w:t>Appendix 5: Attestation for compliance with Ministerial Standing Direction</w:t>
      </w:r>
      <w:bookmarkEnd w:id="179"/>
      <w:bookmarkEnd w:id="180"/>
      <w:bookmarkEnd w:id="181"/>
    </w:p>
    <w:p w14:paraId="6C2B407E" w14:textId="52560B0D" w:rsidR="0077589D" w:rsidRDefault="0077589D" w:rsidP="00F51716"/>
    <w:p w14:paraId="49F2C412" w14:textId="5A95F4E0" w:rsidR="0077589D" w:rsidRPr="00455DD4" w:rsidRDefault="00223BB6" w:rsidP="00F51716">
      <w:r w:rsidRPr="00455DD4">
        <w:t>Sustainability Victoria Financial Management Compliance Attestation Statement</w:t>
      </w:r>
    </w:p>
    <w:p w14:paraId="6EC20C11" w14:textId="45E02086" w:rsidR="00421616" w:rsidRPr="00AF6B06" w:rsidRDefault="00421616" w:rsidP="00F51716">
      <w:r w:rsidRPr="00AF6B06">
        <w:t xml:space="preserve">I, </w:t>
      </w:r>
      <w:r w:rsidR="00B949D5">
        <w:t>Vicky Darling</w:t>
      </w:r>
      <w:r w:rsidRPr="00AF6B06">
        <w:t xml:space="preserve">, on behalf of the Board, certify that Sustainability Victoria has complied with the applicable Standing Directions of the Minister for Finance under the </w:t>
      </w:r>
      <w:r w:rsidRPr="00AF6B06">
        <w:rPr>
          <w:i/>
        </w:rPr>
        <w:t>Financial Management Act</w:t>
      </w:r>
      <w:r w:rsidRPr="00AF6B06">
        <w:t xml:space="preserve"> </w:t>
      </w:r>
      <w:r w:rsidRPr="00264034">
        <w:rPr>
          <w:i/>
          <w:iCs/>
        </w:rPr>
        <w:t>1994</w:t>
      </w:r>
      <w:r w:rsidRPr="00AF6B06">
        <w:t xml:space="preserve"> and Instructions.</w:t>
      </w:r>
    </w:p>
    <w:p w14:paraId="5A1771F7" w14:textId="26D9A464" w:rsidR="00421616" w:rsidRDefault="00421616" w:rsidP="00F51716"/>
    <w:p w14:paraId="6786D8BC" w14:textId="03C95F4F" w:rsidR="00F051AF" w:rsidRDefault="00F051AF" w:rsidP="00F51716"/>
    <w:p w14:paraId="5F5A10D8" w14:textId="6D0F6484" w:rsidR="00F051AF" w:rsidRDefault="00F051AF" w:rsidP="00F51716"/>
    <w:p w14:paraId="02901078" w14:textId="77777777" w:rsidR="00F051AF" w:rsidRPr="00AF6B06" w:rsidRDefault="00F051AF" w:rsidP="00F51716"/>
    <w:p w14:paraId="2C13AC9F" w14:textId="77777777" w:rsidR="00421616" w:rsidRPr="00AF6B06" w:rsidRDefault="00421616" w:rsidP="00F51716"/>
    <w:p w14:paraId="2F68C9D4" w14:textId="77777777" w:rsidR="00421616" w:rsidRPr="00AF6B06" w:rsidRDefault="00421616" w:rsidP="00F51716"/>
    <w:p w14:paraId="1392D55D" w14:textId="77777777" w:rsidR="001F0478" w:rsidRDefault="001F0478" w:rsidP="00F51716">
      <w:r>
        <w:t>Vicky Darling</w:t>
      </w:r>
    </w:p>
    <w:p w14:paraId="61652442" w14:textId="4A038334" w:rsidR="00421616" w:rsidRPr="00AF6B06" w:rsidRDefault="001F0478" w:rsidP="00F51716">
      <w:r>
        <w:t>Chairperson</w:t>
      </w:r>
      <w:r w:rsidR="00421616" w:rsidRPr="00AF6B06">
        <w:t>, Sustainability Victoria</w:t>
      </w:r>
    </w:p>
    <w:p w14:paraId="52886FF3" w14:textId="77777777" w:rsidR="00421616" w:rsidRPr="00AF6B06" w:rsidRDefault="00421616" w:rsidP="00F51716"/>
    <w:p w14:paraId="22AC6819" w14:textId="7D1E182C" w:rsidR="0077589D" w:rsidRDefault="00AF7E27" w:rsidP="00F51716">
      <w:r w:rsidRPr="00E94CF8">
        <w:t>12</w:t>
      </w:r>
      <w:r w:rsidR="007536F1" w:rsidRPr="00E94CF8">
        <w:t> </w:t>
      </w:r>
      <w:r w:rsidRPr="00E94CF8">
        <w:t>November</w:t>
      </w:r>
      <w:r w:rsidR="007536F1" w:rsidRPr="00E94CF8">
        <w:t> </w:t>
      </w:r>
      <w:r w:rsidRPr="00E94CF8">
        <w:t>2020</w:t>
      </w:r>
      <w:r w:rsidR="0077589D">
        <w:br w:type="page"/>
      </w:r>
    </w:p>
    <w:p w14:paraId="2089C248" w14:textId="74F3841C" w:rsidR="00BC30B7" w:rsidRDefault="00BC30B7" w:rsidP="00F51716">
      <w:pPr>
        <w:pStyle w:val="Heading1"/>
      </w:pPr>
      <w:bookmarkStart w:id="182" w:name="_Toc56627373"/>
      <w:bookmarkStart w:id="183" w:name="_Toc57039900"/>
      <w:bookmarkStart w:id="184" w:name="_Toc59624235"/>
      <w:r>
        <w:t xml:space="preserve">Appendix 6: </w:t>
      </w:r>
      <w:r w:rsidR="004972BF">
        <w:t>A</w:t>
      </w:r>
      <w:r>
        <w:t>cronyms</w:t>
      </w:r>
      <w:bookmarkEnd w:id="182"/>
      <w:bookmarkEnd w:id="183"/>
      <w:bookmarkEnd w:id="184"/>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750"/>
        <w:gridCol w:w="5812"/>
      </w:tblGrid>
      <w:tr w:rsidR="00653AB9" w:rsidRPr="00105AEC" w14:paraId="7C5EE415" w14:textId="77777777" w:rsidTr="00AB668E">
        <w:trPr>
          <w:tblHeader/>
        </w:trPr>
        <w:tc>
          <w:tcPr>
            <w:tcW w:w="2750" w:type="dxa"/>
            <w:tcBorders>
              <w:top w:val="nil"/>
              <w:bottom w:val="nil"/>
            </w:tcBorders>
            <w:shd w:val="clear" w:color="auto" w:fill="92D050"/>
          </w:tcPr>
          <w:p w14:paraId="5FEF1933" w14:textId="77777777" w:rsidR="00BC30B7" w:rsidRPr="00105AEC" w:rsidRDefault="00BC30B7" w:rsidP="00F51716">
            <w:pPr>
              <w:pStyle w:val="TableHeading"/>
            </w:pPr>
            <w:r w:rsidRPr="00653AB9">
              <w:t xml:space="preserve">Acronym </w:t>
            </w:r>
          </w:p>
        </w:tc>
        <w:tc>
          <w:tcPr>
            <w:tcW w:w="5812" w:type="dxa"/>
            <w:tcBorders>
              <w:top w:val="nil"/>
              <w:bottom w:val="nil"/>
            </w:tcBorders>
            <w:shd w:val="clear" w:color="auto" w:fill="92D050"/>
          </w:tcPr>
          <w:p w14:paraId="72A69995" w14:textId="77777777" w:rsidR="00BC30B7" w:rsidRPr="00105AEC" w:rsidRDefault="00BC30B7" w:rsidP="00F51716">
            <w:pPr>
              <w:pStyle w:val="TableHeading"/>
            </w:pPr>
            <w:r w:rsidRPr="00105AEC">
              <w:t>Description</w:t>
            </w:r>
          </w:p>
        </w:tc>
      </w:tr>
      <w:tr w:rsidR="00BC30B7" w14:paraId="3ECC8DD4" w14:textId="77777777" w:rsidTr="00AB668E">
        <w:tc>
          <w:tcPr>
            <w:tcW w:w="2750" w:type="dxa"/>
            <w:tcBorders>
              <w:top w:val="nil"/>
            </w:tcBorders>
            <w:vAlign w:val="center"/>
          </w:tcPr>
          <w:p w14:paraId="5F60FCAD" w14:textId="77777777" w:rsidR="00BC30B7" w:rsidRDefault="00BC30B7" w:rsidP="00F51716">
            <w:pPr>
              <w:pStyle w:val="Tabletext0"/>
            </w:pPr>
            <w:r>
              <w:t>AAS</w:t>
            </w:r>
          </w:p>
        </w:tc>
        <w:tc>
          <w:tcPr>
            <w:tcW w:w="5812" w:type="dxa"/>
            <w:tcBorders>
              <w:top w:val="nil"/>
            </w:tcBorders>
            <w:vAlign w:val="center"/>
          </w:tcPr>
          <w:p w14:paraId="26CA6D37" w14:textId="77777777" w:rsidR="00BC30B7" w:rsidRDefault="00BC30B7" w:rsidP="00F51716">
            <w:pPr>
              <w:pStyle w:val="Tabletext0"/>
            </w:pPr>
            <w:r>
              <w:t>Australian Accounting Standards</w:t>
            </w:r>
          </w:p>
        </w:tc>
      </w:tr>
      <w:tr w:rsidR="00AB668E" w14:paraId="0877874D" w14:textId="77777777" w:rsidTr="00653AB9">
        <w:tc>
          <w:tcPr>
            <w:tcW w:w="2750" w:type="dxa"/>
            <w:tcBorders>
              <w:top w:val="nil"/>
            </w:tcBorders>
            <w:vAlign w:val="center"/>
          </w:tcPr>
          <w:p w14:paraId="2306A31F" w14:textId="72C7BFC7" w:rsidR="00AB668E" w:rsidRDefault="00AB668E" w:rsidP="00F51716">
            <w:pPr>
              <w:pStyle w:val="Tabletext0"/>
            </w:pPr>
            <w:r>
              <w:t>AAE</w:t>
            </w:r>
          </w:p>
        </w:tc>
        <w:tc>
          <w:tcPr>
            <w:tcW w:w="5812" w:type="dxa"/>
            <w:tcBorders>
              <w:top w:val="nil"/>
            </w:tcBorders>
            <w:vAlign w:val="center"/>
          </w:tcPr>
          <w:p w14:paraId="50AC9907" w14:textId="09D41365" w:rsidR="00AB668E" w:rsidRDefault="00AB668E" w:rsidP="00F51716">
            <w:pPr>
              <w:pStyle w:val="Tabletext0"/>
            </w:pPr>
            <w:r>
              <w:t>Annualised employee equivalent</w:t>
            </w:r>
          </w:p>
        </w:tc>
      </w:tr>
      <w:tr w:rsidR="00BC30B7" w14:paraId="4BBA649F" w14:textId="77777777" w:rsidTr="00AB668E">
        <w:tc>
          <w:tcPr>
            <w:tcW w:w="2750" w:type="dxa"/>
            <w:vAlign w:val="center"/>
          </w:tcPr>
          <w:p w14:paraId="5C6C46D2" w14:textId="77777777" w:rsidR="00BC30B7" w:rsidRDefault="00BC30B7" w:rsidP="00F51716">
            <w:pPr>
              <w:pStyle w:val="Tabletext0"/>
            </w:pPr>
            <w:r>
              <w:t>AASB</w:t>
            </w:r>
          </w:p>
        </w:tc>
        <w:tc>
          <w:tcPr>
            <w:tcW w:w="5812" w:type="dxa"/>
            <w:vAlign w:val="center"/>
          </w:tcPr>
          <w:p w14:paraId="40E5D21C" w14:textId="77777777" w:rsidR="00BC30B7" w:rsidRDefault="00BC30B7" w:rsidP="00F51716">
            <w:pPr>
              <w:pStyle w:val="Tabletext0"/>
            </w:pPr>
            <w:r>
              <w:t>Australian Accounting Standards Board</w:t>
            </w:r>
          </w:p>
        </w:tc>
      </w:tr>
      <w:tr w:rsidR="00BC30B7" w14:paraId="6F9D5932" w14:textId="77777777" w:rsidTr="00AB668E">
        <w:tc>
          <w:tcPr>
            <w:tcW w:w="2750" w:type="dxa"/>
            <w:vAlign w:val="center"/>
          </w:tcPr>
          <w:p w14:paraId="48B3098B" w14:textId="77777777" w:rsidR="00BC30B7" w:rsidRDefault="00BC30B7" w:rsidP="00F51716">
            <w:pPr>
              <w:pStyle w:val="Tabletext0"/>
            </w:pPr>
            <w:r>
              <w:t>ABBA</w:t>
            </w:r>
          </w:p>
        </w:tc>
        <w:tc>
          <w:tcPr>
            <w:tcW w:w="5812" w:type="dxa"/>
            <w:vAlign w:val="center"/>
          </w:tcPr>
          <w:p w14:paraId="1781F4E9" w14:textId="77777777" w:rsidR="00BC30B7" w:rsidRDefault="00BC30B7" w:rsidP="00F51716">
            <w:pPr>
              <w:pStyle w:val="Tabletext0"/>
            </w:pPr>
            <w:r w:rsidRPr="00A30888">
              <w:t>Australian Biomass for Bioenergy Assessment</w:t>
            </w:r>
          </w:p>
        </w:tc>
      </w:tr>
      <w:tr w:rsidR="00BC30B7" w14:paraId="4B4AFC67" w14:textId="77777777" w:rsidTr="00AB668E">
        <w:tc>
          <w:tcPr>
            <w:tcW w:w="2750" w:type="dxa"/>
            <w:vAlign w:val="center"/>
          </w:tcPr>
          <w:p w14:paraId="0273C91B" w14:textId="77777777" w:rsidR="00BC30B7" w:rsidRDefault="00BC30B7" w:rsidP="00F51716">
            <w:pPr>
              <w:pStyle w:val="Tabletext0"/>
            </w:pPr>
            <w:r>
              <w:t>ABN</w:t>
            </w:r>
          </w:p>
        </w:tc>
        <w:tc>
          <w:tcPr>
            <w:tcW w:w="5812" w:type="dxa"/>
            <w:vAlign w:val="center"/>
          </w:tcPr>
          <w:p w14:paraId="2EF6C0B0" w14:textId="77777777" w:rsidR="00BC30B7" w:rsidRDefault="00BC30B7" w:rsidP="00F51716">
            <w:pPr>
              <w:pStyle w:val="Tabletext0"/>
            </w:pPr>
            <w:r>
              <w:t>Australian Business Number</w:t>
            </w:r>
          </w:p>
        </w:tc>
      </w:tr>
      <w:tr w:rsidR="00BC30B7" w14:paraId="46AC8804" w14:textId="77777777" w:rsidTr="00AB668E">
        <w:tc>
          <w:tcPr>
            <w:tcW w:w="2750" w:type="dxa"/>
            <w:vAlign w:val="center"/>
          </w:tcPr>
          <w:p w14:paraId="16C1CB72" w14:textId="684363BA" w:rsidR="00BC30B7" w:rsidRDefault="00AB668E" w:rsidP="00F51716">
            <w:pPr>
              <w:pStyle w:val="Tabletext0"/>
            </w:pPr>
            <w:r>
              <w:t>ACN</w:t>
            </w:r>
          </w:p>
        </w:tc>
        <w:tc>
          <w:tcPr>
            <w:tcW w:w="5812" w:type="dxa"/>
            <w:vAlign w:val="center"/>
          </w:tcPr>
          <w:p w14:paraId="23A68798" w14:textId="77777777" w:rsidR="00BC30B7" w:rsidRDefault="00BC30B7" w:rsidP="00F51716">
            <w:pPr>
              <w:pStyle w:val="Tabletext0"/>
            </w:pPr>
            <w:r>
              <w:t>Australian Company Number</w:t>
            </w:r>
          </w:p>
        </w:tc>
      </w:tr>
      <w:tr w:rsidR="00BC30B7" w14:paraId="2AC59DF0" w14:textId="77777777" w:rsidTr="00AB668E">
        <w:tc>
          <w:tcPr>
            <w:tcW w:w="2750" w:type="dxa"/>
            <w:vAlign w:val="center"/>
          </w:tcPr>
          <w:p w14:paraId="31CBD768" w14:textId="77777777" w:rsidR="00BC30B7" w:rsidRDefault="00BC30B7" w:rsidP="00F51716">
            <w:pPr>
              <w:pStyle w:val="Tabletext0"/>
            </w:pPr>
            <w:r>
              <w:t>ARRB</w:t>
            </w:r>
          </w:p>
        </w:tc>
        <w:tc>
          <w:tcPr>
            <w:tcW w:w="5812" w:type="dxa"/>
            <w:vAlign w:val="center"/>
          </w:tcPr>
          <w:p w14:paraId="74137D94" w14:textId="77777777" w:rsidR="00BC30B7" w:rsidRDefault="00BC30B7" w:rsidP="00F51716">
            <w:pPr>
              <w:pStyle w:val="Tabletext0"/>
            </w:pPr>
            <w:r w:rsidRPr="00053E6C">
              <w:t>Australian Road Research Board</w:t>
            </w:r>
          </w:p>
        </w:tc>
      </w:tr>
      <w:tr w:rsidR="00BC30B7" w14:paraId="4B1C1173" w14:textId="77777777" w:rsidTr="00AB668E">
        <w:tc>
          <w:tcPr>
            <w:tcW w:w="2750" w:type="dxa"/>
            <w:vAlign w:val="center"/>
          </w:tcPr>
          <w:p w14:paraId="7A48CDBC" w14:textId="77777777" w:rsidR="00BC30B7" w:rsidRDefault="00BC30B7" w:rsidP="00F51716">
            <w:pPr>
              <w:pStyle w:val="Tabletext0"/>
            </w:pPr>
            <w:r>
              <w:t>AUD</w:t>
            </w:r>
          </w:p>
        </w:tc>
        <w:tc>
          <w:tcPr>
            <w:tcW w:w="5812" w:type="dxa"/>
            <w:vAlign w:val="center"/>
          </w:tcPr>
          <w:p w14:paraId="5609A56C" w14:textId="77777777" w:rsidR="00BC30B7" w:rsidRDefault="00BC30B7" w:rsidP="00F51716">
            <w:pPr>
              <w:pStyle w:val="Tabletext0"/>
            </w:pPr>
            <w:r>
              <w:t>Australian Dollars</w:t>
            </w:r>
          </w:p>
        </w:tc>
      </w:tr>
      <w:tr w:rsidR="00BC30B7" w14:paraId="2FC2B53C" w14:textId="77777777" w:rsidTr="00AB668E">
        <w:tc>
          <w:tcPr>
            <w:tcW w:w="2750" w:type="dxa"/>
            <w:vAlign w:val="center"/>
          </w:tcPr>
          <w:p w14:paraId="0ED6543A" w14:textId="77777777" w:rsidR="00BC30B7" w:rsidRDefault="00BC30B7" w:rsidP="00F51716">
            <w:pPr>
              <w:pStyle w:val="Tabletext0"/>
            </w:pPr>
            <w:r>
              <w:t>BAU</w:t>
            </w:r>
          </w:p>
        </w:tc>
        <w:tc>
          <w:tcPr>
            <w:tcW w:w="5812" w:type="dxa"/>
            <w:vAlign w:val="center"/>
          </w:tcPr>
          <w:p w14:paraId="4F69FAAE" w14:textId="77777777" w:rsidR="00BC30B7" w:rsidRDefault="00BC30B7" w:rsidP="00F51716">
            <w:pPr>
              <w:pStyle w:val="Tabletext0"/>
            </w:pPr>
            <w:r>
              <w:t>Business as Usual</w:t>
            </w:r>
          </w:p>
        </w:tc>
      </w:tr>
      <w:tr w:rsidR="00BC30B7" w14:paraId="4DE7144B" w14:textId="77777777" w:rsidTr="00AB668E">
        <w:tc>
          <w:tcPr>
            <w:tcW w:w="2750" w:type="dxa"/>
            <w:vAlign w:val="center"/>
          </w:tcPr>
          <w:p w14:paraId="5BAF9856" w14:textId="77777777" w:rsidR="00BC30B7" w:rsidRDefault="00BC30B7" w:rsidP="00F51716">
            <w:pPr>
              <w:pStyle w:val="Tabletext0"/>
            </w:pPr>
            <w:r>
              <w:t>Capex</w:t>
            </w:r>
          </w:p>
        </w:tc>
        <w:tc>
          <w:tcPr>
            <w:tcW w:w="5812" w:type="dxa"/>
            <w:vAlign w:val="center"/>
          </w:tcPr>
          <w:p w14:paraId="7A73F767" w14:textId="77777777" w:rsidR="00BC30B7" w:rsidRDefault="00BC30B7" w:rsidP="00F51716">
            <w:pPr>
              <w:pStyle w:val="Tabletext0"/>
            </w:pPr>
            <w:r>
              <w:t>Capital Expenditure</w:t>
            </w:r>
          </w:p>
        </w:tc>
      </w:tr>
      <w:tr w:rsidR="00BC30B7" w14:paraId="44CE5995" w14:textId="77777777" w:rsidTr="00AB668E">
        <w:tc>
          <w:tcPr>
            <w:tcW w:w="2750" w:type="dxa"/>
            <w:vAlign w:val="center"/>
          </w:tcPr>
          <w:p w14:paraId="185441E5" w14:textId="76881CEF" w:rsidR="00BC30B7" w:rsidRDefault="00BC30B7" w:rsidP="00F51716">
            <w:pPr>
              <w:pStyle w:val="Tabletext0"/>
            </w:pPr>
            <w:r>
              <w:t>CE</w:t>
            </w:r>
          </w:p>
        </w:tc>
        <w:tc>
          <w:tcPr>
            <w:tcW w:w="5812" w:type="dxa"/>
            <w:vAlign w:val="center"/>
          </w:tcPr>
          <w:p w14:paraId="7370ADF4" w14:textId="26FCE3D3" w:rsidR="00BC30B7" w:rsidRDefault="00BC30B7" w:rsidP="00F51716">
            <w:pPr>
              <w:pStyle w:val="Tabletext0"/>
            </w:pPr>
            <w:r>
              <w:t>Circular Economy</w:t>
            </w:r>
          </w:p>
        </w:tc>
      </w:tr>
      <w:tr w:rsidR="00BC30B7" w14:paraId="217B562D" w14:textId="77777777" w:rsidTr="00AB668E">
        <w:tc>
          <w:tcPr>
            <w:tcW w:w="2750" w:type="dxa"/>
            <w:vAlign w:val="center"/>
          </w:tcPr>
          <w:p w14:paraId="35024E0C" w14:textId="77777777" w:rsidR="00BC30B7" w:rsidRDefault="00BC30B7" w:rsidP="00F51716">
            <w:pPr>
              <w:pStyle w:val="Tabletext0"/>
            </w:pPr>
            <w:r>
              <w:t>CEO</w:t>
            </w:r>
          </w:p>
        </w:tc>
        <w:tc>
          <w:tcPr>
            <w:tcW w:w="5812" w:type="dxa"/>
            <w:vAlign w:val="center"/>
          </w:tcPr>
          <w:p w14:paraId="3479032B" w14:textId="77777777" w:rsidR="00BC30B7" w:rsidRDefault="00BC30B7" w:rsidP="00F51716">
            <w:pPr>
              <w:pStyle w:val="Tabletext0"/>
            </w:pPr>
            <w:r>
              <w:t>Chief Executive Officer</w:t>
            </w:r>
          </w:p>
        </w:tc>
      </w:tr>
      <w:tr w:rsidR="00BC30B7" w14:paraId="74E0F6A6" w14:textId="77777777" w:rsidTr="00AB668E">
        <w:tc>
          <w:tcPr>
            <w:tcW w:w="2750" w:type="dxa"/>
          </w:tcPr>
          <w:p w14:paraId="13A5AFC0" w14:textId="77777777" w:rsidR="00BC30B7" w:rsidRDefault="00BC30B7" w:rsidP="00F51716">
            <w:pPr>
              <w:pStyle w:val="Tabletext0"/>
            </w:pPr>
            <w:r>
              <w:t>CSIRO</w:t>
            </w:r>
          </w:p>
        </w:tc>
        <w:tc>
          <w:tcPr>
            <w:tcW w:w="5812" w:type="dxa"/>
            <w:vAlign w:val="center"/>
          </w:tcPr>
          <w:p w14:paraId="56542374" w14:textId="77777777" w:rsidR="00BC30B7" w:rsidRDefault="00BC30B7" w:rsidP="00F51716">
            <w:pPr>
              <w:pStyle w:val="Tabletext0"/>
            </w:pPr>
            <w:r>
              <w:t>Commonwealth Science and Industrial Research Organisation</w:t>
            </w:r>
          </w:p>
        </w:tc>
      </w:tr>
      <w:tr w:rsidR="00BC30B7" w14:paraId="06E54C63" w14:textId="77777777" w:rsidTr="00AB668E">
        <w:tc>
          <w:tcPr>
            <w:tcW w:w="2750" w:type="dxa"/>
          </w:tcPr>
          <w:p w14:paraId="75633284" w14:textId="77777777" w:rsidR="00BC30B7" w:rsidRDefault="00BC30B7" w:rsidP="00F51716">
            <w:pPr>
              <w:pStyle w:val="Tabletext0"/>
            </w:pPr>
            <w:r>
              <w:t>DELWP</w:t>
            </w:r>
          </w:p>
        </w:tc>
        <w:tc>
          <w:tcPr>
            <w:tcW w:w="5812" w:type="dxa"/>
            <w:vAlign w:val="center"/>
          </w:tcPr>
          <w:p w14:paraId="7995E7AA" w14:textId="77777777" w:rsidR="00BC30B7" w:rsidRDefault="00BC30B7" w:rsidP="00F51716">
            <w:pPr>
              <w:pStyle w:val="Tabletext0"/>
            </w:pPr>
            <w:r>
              <w:t>Department of Environment, Land, Water and Planning</w:t>
            </w:r>
          </w:p>
        </w:tc>
      </w:tr>
      <w:tr w:rsidR="00BC30B7" w14:paraId="22CA0BCA" w14:textId="77777777" w:rsidTr="00AB668E">
        <w:tc>
          <w:tcPr>
            <w:tcW w:w="2750" w:type="dxa"/>
            <w:vAlign w:val="center"/>
          </w:tcPr>
          <w:p w14:paraId="25B02D89" w14:textId="77777777" w:rsidR="00BC30B7" w:rsidRDefault="00BC30B7" w:rsidP="00F51716">
            <w:pPr>
              <w:pStyle w:val="Tabletext0"/>
            </w:pPr>
            <w:r>
              <w:t>DTF</w:t>
            </w:r>
          </w:p>
        </w:tc>
        <w:tc>
          <w:tcPr>
            <w:tcW w:w="5812" w:type="dxa"/>
            <w:vAlign w:val="center"/>
          </w:tcPr>
          <w:p w14:paraId="72CFA3C1" w14:textId="77777777" w:rsidR="00BC30B7" w:rsidRDefault="00BC30B7" w:rsidP="00F51716">
            <w:pPr>
              <w:pStyle w:val="Tabletext0"/>
            </w:pPr>
            <w:r>
              <w:t>Department of Treasury and Finance</w:t>
            </w:r>
          </w:p>
        </w:tc>
      </w:tr>
      <w:tr w:rsidR="00BC30B7" w14:paraId="3A263E68" w14:textId="77777777" w:rsidTr="00AB668E">
        <w:tc>
          <w:tcPr>
            <w:tcW w:w="2750" w:type="dxa"/>
            <w:vAlign w:val="center"/>
          </w:tcPr>
          <w:p w14:paraId="3C3314C8" w14:textId="77777777" w:rsidR="00BC30B7" w:rsidRDefault="00BC30B7" w:rsidP="00F51716">
            <w:pPr>
              <w:pStyle w:val="Tabletext0"/>
            </w:pPr>
            <w:r>
              <w:t>EMS</w:t>
            </w:r>
          </w:p>
        </w:tc>
        <w:tc>
          <w:tcPr>
            <w:tcW w:w="5812" w:type="dxa"/>
            <w:vAlign w:val="center"/>
          </w:tcPr>
          <w:p w14:paraId="0EB112AD" w14:textId="77777777" w:rsidR="00BC30B7" w:rsidRDefault="00BC30B7" w:rsidP="00F51716">
            <w:pPr>
              <w:pStyle w:val="Tabletext0"/>
            </w:pPr>
            <w:r>
              <w:t>Environmental Management System</w:t>
            </w:r>
          </w:p>
        </w:tc>
      </w:tr>
      <w:tr w:rsidR="00BC30B7" w14:paraId="0449DD91" w14:textId="77777777" w:rsidTr="00AB668E">
        <w:tc>
          <w:tcPr>
            <w:tcW w:w="2750" w:type="dxa"/>
            <w:vAlign w:val="center"/>
          </w:tcPr>
          <w:p w14:paraId="6834E12A" w14:textId="77777777" w:rsidR="00BC30B7" w:rsidRDefault="00BC30B7" w:rsidP="00F51716">
            <w:pPr>
              <w:pStyle w:val="Tabletext0"/>
            </w:pPr>
            <w:r>
              <w:t>EPA</w:t>
            </w:r>
          </w:p>
        </w:tc>
        <w:tc>
          <w:tcPr>
            <w:tcW w:w="5812" w:type="dxa"/>
            <w:vAlign w:val="center"/>
          </w:tcPr>
          <w:p w14:paraId="4FAEE9BD" w14:textId="77777777" w:rsidR="00BC30B7" w:rsidRDefault="00BC30B7" w:rsidP="00F51716">
            <w:pPr>
              <w:pStyle w:val="Tabletext0"/>
            </w:pPr>
            <w:r>
              <w:t>Environment Protection Authority Victoria</w:t>
            </w:r>
          </w:p>
        </w:tc>
      </w:tr>
      <w:tr w:rsidR="00730D2B" w14:paraId="2FC3D22A" w14:textId="77777777" w:rsidTr="00AB668E">
        <w:tc>
          <w:tcPr>
            <w:tcW w:w="2750" w:type="dxa"/>
            <w:vAlign w:val="center"/>
          </w:tcPr>
          <w:p w14:paraId="2097F62E" w14:textId="59BEF886" w:rsidR="00730D2B" w:rsidRDefault="00730D2B" w:rsidP="00F51716">
            <w:pPr>
              <w:pStyle w:val="Tabletext0"/>
            </w:pPr>
            <w:r>
              <w:t>FOGO</w:t>
            </w:r>
          </w:p>
        </w:tc>
        <w:tc>
          <w:tcPr>
            <w:tcW w:w="5812" w:type="dxa"/>
            <w:vAlign w:val="center"/>
          </w:tcPr>
          <w:p w14:paraId="00CC1164" w14:textId="2BD1DA4A" w:rsidR="00730D2B" w:rsidRDefault="00730D2B" w:rsidP="00F51716">
            <w:pPr>
              <w:pStyle w:val="Tabletext0"/>
            </w:pPr>
            <w:r>
              <w:t>Food Organics and Garden Organics</w:t>
            </w:r>
          </w:p>
        </w:tc>
      </w:tr>
      <w:tr w:rsidR="00730D2B" w14:paraId="15EAA822" w14:textId="77777777" w:rsidTr="00AB668E">
        <w:tc>
          <w:tcPr>
            <w:tcW w:w="2750" w:type="dxa"/>
            <w:vAlign w:val="center"/>
          </w:tcPr>
          <w:p w14:paraId="2EAC9022" w14:textId="3D686C85" w:rsidR="00730D2B" w:rsidRDefault="00730D2B" w:rsidP="00F51716">
            <w:pPr>
              <w:pStyle w:val="Tabletext0"/>
            </w:pPr>
            <w:r>
              <w:t>FOI</w:t>
            </w:r>
          </w:p>
        </w:tc>
        <w:tc>
          <w:tcPr>
            <w:tcW w:w="5812" w:type="dxa"/>
            <w:vAlign w:val="center"/>
          </w:tcPr>
          <w:p w14:paraId="2D223F7F" w14:textId="5AC09E66" w:rsidR="00730D2B" w:rsidRDefault="00730D2B" w:rsidP="00F51716">
            <w:pPr>
              <w:pStyle w:val="Tabletext0"/>
            </w:pPr>
            <w:r>
              <w:t>Freedom of Information</w:t>
            </w:r>
          </w:p>
        </w:tc>
      </w:tr>
      <w:tr w:rsidR="00BC30B7" w14:paraId="551BFC6D" w14:textId="77777777" w:rsidTr="00AB668E">
        <w:tc>
          <w:tcPr>
            <w:tcW w:w="2750" w:type="dxa"/>
            <w:vAlign w:val="center"/>
          </w:tcPr>
          <w:p w14:paraId="6315755B" w14:textId="77777777" w:rsidR="00BC30B7" w:rsidRDefault="00BC30B7" w:rsidP="00F51716">
            <w:pPr>
              <w:pStyle w:val="Tabletext0"/>
            </w:pPr>
            <w:r>
              <w:t>FRD</w:t>
            </w:r>
          </w:p>
        </w:tc>
        <w:tc>
          <w:tcPr>
            <w:tcW w:w="5812" w:type="dxa"/>
            <w:vAlign w:val="center"/>
          </w:tcPr>
          <w:p w14:paraId="49441D11" w14:textId="77777777" w:rsidR="00BC30B7" w:rsidRDefault="00BC30B7" w:rsidP="00F51716">
            <w:pPr>
              <w:pStyle w:val="Tabletext0"/>
            </w:pPr>
            <w:r>
              <w:t>Financial Reporting Direction</w:t>
            </w:r>
          </w:p>
        </w:tc>
      </w:tr>
      <w:tr w:rsidR="00BC30B7" w14:paraId="511C1AF9" w14:textId="77777777" w:rsidTr="00AB668E">
        <w:tc>
          <w:tcPr>
            <w:tcW w:w="2750" w:type="dxa"/>
            <w:vAlign w:val="center"/>
          </w:tcPr>
          <w:p w14:paraId="2DAFC6FA" w14:textId="77777777" w:rsidR="00BC30B7" w:rsidRDefault="00BC30B7" w:rsidP="00F51716">
            <w:pPr>
              <w:pStyle w:val="Tabletext0"/>
            </w:pPr>
            <w:r>
              <w:t>FT</w:t>
            </w:r>
          </w:p>
        </w:tc>
        <w:tc>
          <w:tcPr>
            <w:tcW w:w="5812" w:type="dxa"/>
            <w:vAlign w:val="center"/>
          </w:tcPr>
          <w:p w14:paraId="4B713571" w14:textId="7C55BE6B" w:rsidR="00BC30B7" w:rsidRDefault="00BC30B7" w:rsidP="00F51716">
            <w:pPr>
              <w:pStyle w:val="Tabletext0"/>
            </w:pPr>
            <w:r>
              <w:t>Full</w:t>
            </w:r>
            <w:r w:rsidR="00737453">
              <w:t>-time</w:t>
            </w:r>
          </w:p>
        </w:tc>
      </w:tr>
      <w:tr w:rsidR="00BC30B7" w14:paraId="1A56FB49" w14:textId="77777777" w:rsidTr="00AB668E">
        <w:tc>
          <w:tcPr>
            <w:tcW w:w="2750" w:type="dxa"/>
            <w:vAlign w:val="center"/>
          </w:tcPr>
          <w:p w14:paraId="3E43A404" w14:textId="77777777" w:rsidR="00BC30B7" w:rsidRDefault="00BC30B7" w:rsidP="00F51716">
            <w:pPr>
              <w:pStyle w:val="Tabletext0"/>
            </w:pPr>
            <w:r>
              <w:t>FTE</w:t>
            </w:r>
          </w:p>
        </w:tc>
        <w:tc>
          <w:tcPr>
            <w:tcW w:w="5812" w:type="dxa"/>
            <w:vAlign w:val="center"/>
          </w:tcPr>
          <w:p w14:paraId="43F7F3F6" w14:textId="711FEDF1" w:rsidR="00BC30B7" w:rsidRDefault="00BC30B7" w:rsidP="00F51716">
            <w:pPr>
              <w:pStyle w:val="Tabletext0"/>
            </w:pPr>
            <w:r>
              <w:t>Full</w:t>
            </w:r>
            <w:r w:rsidR="00737453">
              <w:t>-time</w:t>
            </w:r>
            <w:r>
              <w:t xml:space="preserve"> </w:t>
            </w:r>
            <w:r w:rsidR="00730D2B">
              <w:t>e</w:t>
            </w:r>
            <w:r>
              <w:t>quivalent</w:t>
            </w:r>
          </w:p>
        </w:tc>
      </w:tr>
      <w:tr w:rsidR="00BC30B7" w14:paraId="518862BA" w14:textId="77777777" w:rsidTr="00AB668E">
        <w:tc>
          <w:tcPr>
            <w:tcW w:w="2750" w:type="dxa"/>
            <w:vAlign w:val="center"/>
          </w:tcPr>
          <w:p w14:paraId="15F2EDF9" w14:textId="77777777" w:rsidR="00BC30B7" w:rsidRDefault="00BC30B7" w:rsidP="00F51716">
            <w:pPr>
              <w:pStyle w:val="Tabletext0"/>
            </w:pPr>
            <w:r>
              <w:t>FY</w:t>
            </w:r>
          </w:p>
        </w:tc>
        <w:tc>
          <w:tcPr>
            <w:tcW w:w="5812" w:type="dxa"/>
            <w:vAlign w:val="center"/>
          </w:tcPr>
          <w:p w14:paraId="23A023C1" w14:textId="77777777" w:rsidR="00BC30B7" w:rsidRDefault="00BC30B7" w:rsidP="00F51716">
            <w:pPr>
              <w:pStyle w:val="Tabletext0"/>
            </w:pPr>
            <w:r>
              <w:t>Financial Year</w:t>
            </w:r>
          </w:p>
        </w:tc>
      </w:tr>
      <w:tr w:rsidR="00BC30B7" w14:paraId="7A3CA578" w14:textId="77777777" w:rsidTr="00AB668E">
        <w:tc>
          <w:tcPr>
            <w:tcW w:w="2750" w:type="dxa"/>
            <w:vAlign w:val="center"/>
          </w:tcPr>
          <w:p w14:paraId="78405B93" w14:textId="77777777" w:rsidR="00BC30B7" w:rsidRDefault="00BC30B7" w:rsidP="00F51716">
            <w:pPr>
              <w:pStyle w:val="Tabletext0"/>
            </w:pPr>
            <w:r>
              <w:t>GHG</w:t>
            </w:r>
          </w:p>
        </w:tc>
        <w:tc>
          <w:tcPr>
            <w:tcW w:w="5812" w:type="dxa"/>
            <w:vAlign w:val="center"/>
          </w:tcPr>
          <w:p w14:paraId="580606B8" w14:textId="7BA75AD9" w:rsidR="00BC30B7" w:rsidRDefault="00BC30B7" w:rsidP="00F51716">
            <w:pPr>
              <w:pStyle w:val="Tabletext0"/>
            </w:pPr>
            <w:r>
              <w:t>Green</w:t>
            </w:r>
            <w:r w:rsidR="00730D2B">
              <w:t>h</w:t>
            </w:r>
            <w:r>
              <w:t xml:space="preserve">ouse </w:t>
            </w:r>
            <w:r w:rsidR="00730D2B">
              <w:t>g</w:t>
            </w:r>
            <w:r>
              <w:t>ases</w:t>
            </w:r>
          </w:p>
        </w:tc>
      </w:tr>
      <w:tr w:rsidR="00BC30B7" w14:paraId="1F64D5F6" w14:textId="77777777" w:rsidTr="00AB668E">
        <w:tc>
          <w:tcPr>
            <w:tcW w:w="2750" w:type="dxa"/>
            <w:vAlign w:val="center"/>
          </w:tcPr>
          <w:p w14:paraId="03A4EAA1" w14:textId="77777777" w:rsidR="00BC30B7" w:rsidRDefault="00BC30B7" w:rsidP="00F51716">
            <w:pPr>
              <w:pStyle w:val="Tabletext0"/>
            </w:pPr>
            <w:r>
              <w:t>GST</w:t>
            </w:r>
          </w:p>
        </w:tc>
        <w:tc>
          <w:tcPr>
            <w:tcW w:w="5812" w:type="dxa"/>
            <w:vAlign w:val="center"/>
          </w:tcPr>
          <w:p w14:paraId="68C9C3AE" w14:textId="77777777" w:rsidR="00BC30B7" w:rsidRDefault="00BC30B7" w:rsidP="00F51716">
            <w:pPr>
              <w:pStyle w:val="Tabletext0"/>
            </w:pPr>
            <w:r>
              <w:t>Goods and Service tax</w:t>
            </w:r>
          </w:p>
        </w:tc>
      </w:tr>
      <w:tr w:rsidR="00BC30B7" w14:paraId="73451850" w14:textId="77777777" w:rsidTr="00AB668E">
        <w:tc>
          <w:tcPr>
            <w:tcW w:w="2750" w:type="dxa"/>
            <w:vAlign w:val="center"/>
          </w:tcPr>
          <w:p w14:paraId="7A70F97B" w14:textId="77777777" w:rsidR="00BC30B7" w:rsidRDefault="00BC30B7" w:rsidP="00F51716">
            <w:pPr>
              <w:pStyle w:val="Tabletext0"/>
            </w:pPr>
            <w:r>
              <w:t>HS&amp;W</w:t>
            </w:r>
          </w:p>
        </w:tc>
        <w:tc>
          <w:tcPr>
            <w:tcW w:w="5812" w:type="dxa"/>
            <w:vAlign w:val="center"/>
          </w:tcPr>
          <w:p w14:paraId="5B1FEFF3" w14:textId="77777777" w:rsidR="00BC30B7" w:rsidRDefault="00BC30B7" w:rsidP="00F51716">
            <w:pPr>
              <w:pStyle w:val="Tabletext0"/>
            </w:pPr>
            <w:r>
              <w:t>Health, Safety and Welfare</w:t>
            </w:r>
          </w:p>
        </w:tc>
      </w:tr>
      <w:tr w:rsidR="00BC30B7" w14:paraId="3B1AE22C" w14:textId="77777777" w:rsidTr="00AB668E">
        <w:tc>
          <w:tcPr>
            <w:tcW w:w="2750" w:type="dxa"/>
          </w:tcPr>
          <w:p w14:paraId="3CC2A980" w14:textId="77777777" w:rsidR="00BC30B7" w:rsidRDefault="00BC30B7" w:rsidP="00F51716">
            <w:pPr>
              <w:pStyle w:val="Tabletext0"/>
            </w:pPr>
            <w:r>
              <w:t>IBAC</w:t>
            </w:r>
          </w:p>
        </w:tc>
        <w:tc>
          <w:tcPr>
            <w:tcW w:w="5812" w:type="dxa"/>
            <w:vAlign w:val="center"/>
          </w:tcPr>
          <w:p w14:paraId="12ED77D5" w14:textId="77777777" w:rsidR="00BC30B7" w:rsidRDefault="00BC30B7" w:rsidP="00F51716">
            <w:pPr>
              <w:pStyle w:val="Tabletext0"/>
            </w:pPr>
            <w:r>
              <w:t>Independent Broad-Based Anti-Corruption Commission</w:t>
            </w:r>
          </w:p>
        </w:tc>
      </w:tr>
      <w:tr w:rsidR="00BC30B7" w14:paraId="397E5B63" w14:textId="77777777" w:rsidTr="00AB668E">
        <w:tc>
          <w:tcPr>
            <w:tcW w:w="2750" w:type="dxa"/>
            <w:vAlign w:val="center"/>
          </w:tcPr>
          <w:p w14:paraId="116389E1" w14:textId="77777777" w:rsidR="00BC30B7" w:rsidRDefault="00BC30B7" w:rsidP="00F51716">
            <w:pPr>
              <w:pStyle w:val="Tabletext0"/>
            </w:pPr>
            <w:r>
              <w:t>ICT</w:t>
            </w:r>
          </w:p>
        </w:tc>
        <w:tc>
          <w:tcPr>
            <w:tcW w:w="5812" w:type="dxa"/>
            <w:vAlign w:val="center"/>
          </w:tcPr>
          <w:p w14:paraId="32AD32B0" w14:textId="77777777" w:rsidR="00BC30B7" w:rsidRDefault="00BC30B7" w:rsidP="00F51716">
            <w:pPr>
              <w:pStyle w:val="Tabletext0"/>
            </w:pPr>
            <w:r>
              <w:t>Information and Communications Technology</w:t>
            </w:r>
          </w:p>
        </w:tc>
      </w:tr>
      <w:tr w:rsidR="00BC30B7" w14:paraId="533A8FC7" w14:textId="77777777" w:rsidTr="00AB668E">
        <w:tc>
          <w:tcPr>
            <w:tcW w:w="2750" w:type="dxa"/>
            <w:vAlign w:val="center"/>
          </w:tcPr>
          <w:p w14:paraId="3F84A973" w14:textId="77777777" w:rsidR="00BC30B7" w:rsidRDefault="00BC30B7" w:rsidP="00F51716">
            <w:pPr>
              <w:pStyle w:val="Tabletext0"/>
            </w:pPr>
            <w:r>
              <w:t>IT</w:t>
            </w:r>
          </w:p>
        </w:tc>
        <w:tc>
          <w:tcPr>
            <w:tcW w:w="5812" w:type="dxa"/>
            <w:vAlign w:val="center"/>
          </w:tcPr>
          <w:p w14:paraId="5F657B5D" w14:textId="77777777" w:rsidR="00BC30B7" w:rsidRDefault="00BC30B7" w:rsidP="00F51716">
            <w:pPr>
              <w:pStyle w:val="Tabletext0"/>
            </w:pPr>
            <w:r>
              <w:t>Information Technology</w:t>
            </w:r>
          </w:p>
        </w:tc>
      </w:tr>
      <w:tr w:rsidR="00730D2B" w14:paraId="291C94DE" w14:textId="77777777" w:rsidTr="00AB668E">
        <w:tc>
          <w:tcPr>
            <w:tcW w:w="2750" w:type="dxa"/>
            <w:vAlign w:val="center"/>
          </w:tcPr>
          <w:p w14:paraId="59D305D4" w14:textId="57FF4648" w:rsidR="00730D2B" w:rsidRDefault="00730D2B" w:rsidP="00F51716">
            <w:pPr>
              <w:pStyle w:val="Tabletext0"/>
            </w:pPr>
            <w:r>
              <w:t>LFHW</w:t>
            </w:r>
          </w:p>
        </w:tc>
        <w:tc>
          <w:tcPr>
            <w:tcW w:w="5812" w:type="dxa"/>
            <w:vAlign w:val="center"/>
          </w:tcPr>
          <w:p w14:paraId="0F938330" w14:textId="3B9F0C08" w:rsidR="00730D2B" w:rsidRDefault="00730D2B" w:rsidP="00F51716">
            <w:pPr>
              <w:pStyle w:val="Tabletext0"/>
            </w:pPr>
            <w:r>
              <w:t>Love Food Hate Waste</w:t>
            </w:r>
          </w:p>
        </w:tc>
      </w:tr>
      <w:tr w:rsidR="00BC30B7" w14:paraId="76A4FF75" w14:textId="77777777" w:rsidTr="00AB668E">
        <w:tc>
          <w:tcPr>
            <w:tcW w:w="2750" w:type="dxa"/>
            <w:vAlign w:val="center"/>
          </w:tcPr>
          <w:p w14:paraId="56B9EABA" w14:textId="77777777" w:rsidR="00BC30B7" w:rsidRDefault="00BC30B7" w:rsidP="00F51716">
            <w:pPr>
              <w:pStyle w:val="Tabletext0"/>
            </w:pPr>
            <w:r>
              <w:t>NABERS</w:t>
            </w:r>
          </w:p>
        </w:tc>
        <w:tc>
          <w:tcPr>
            <w:tcW w:w="5812" w:type="dxa"/>
            <w:vAlign w:val="center"/>
          </w:tcPr>
          <w:p w14:paraId="356ECC6B" w14:textId="77777777" w:rsidR="00BC30B7" w:rsidRDefault="00BC30B7" w:rsidP="00F51716">
            <w:pPr>
              <w:pStyle w:val="Tabletext0"/>
            </w:pPr>
            <w:r w:rsidRPr="007A7D6C">
              <w:t>National Australian Built Environment Rating System</w:t>
            </w:r>
          </w:p>
        </w:tc>
      </w:tr>
      <w:tr w:rsidR="00BC30B7" w14:paraId="2761872F" w14:textId="77777777" w:rsidTr="00AB668E">
        <w:tc>
          <w:tcPr>
            <w:tcW w:w="2750" w:type="dxa"/>
            <w:vAlign w:val="center"/>
          </w:tcPr>
          <w:p w14:paraId="32E91C7F" w14:textId="77777777" w:rsidR="00BC30B7" w:rsidRDefault="00BC30B7" w:rsidP="00F51716">
            <w:pPr>
              <w:pStyle w:val="Tabletext0"/>
            </w:pPr>
            <w:r>
              <w:t>NGO</w:t>
            </w:r>
          </w:p>
        </w:tc>
        <w:tc>
          <w:tcPr>
            <w:tcW w:w="5812" w:type="dxa"/>
            <w:vAlign w:val="center"/>
          </w:tcPr>
          <w:p w14:paraId="33F70AAE" w14:textId="77777777" w:rsidR="00BC30B7" w:rsidRDefault="00BC30B7" w:rsidP="00F51716">
            <w:pPr>
              <w:pStyle w:val="Tabletext0"/>
            </w:pPr>
            <w:r>
              <w:t>Non-Government Organisation</w:t>
            </w:r>
          </w:p>
        </w:tc>
      </w:tr>
      <w:tr w:rsidR="00BC30B7" w14:paraId="7C41498F" w14:textId="77777777" w:rsidTr="00AB668E">
        <w:tc>
          <w:tcPr>
            <w:tcW w:w="2750" w:type="dxa"/>
            <w:vAlign w:val="center"/>
          </w:tcPr>
          <w:p w14:paraId="638BE4F9" w14:textId="77777777" w:rsidR="00BC30B7" w:rsidRDefault="00BC30B7" w:rsidP="00F51716">
            <w:pPr>
              <w:pStyle w:val="Tabletext0"/>
            </w:pPr>
            <w:r>
              <w:t>OH&amp;S</w:t>
            </w:r>
          </w:p>
        </w:tc>
        <w:tc>
          <w:tcPr>
            <w:tcW w:w="5812" w:type="dxa"/>
            <w:vAlign w:val="center"/>
          </w:tcPr>
          <w:p w14:paraId="08DC0891" w14:textId="77777777" w:rsidR="00BC30B7" w:rsidRDefault="00BC30B7" w:rsidP="00F51716">
            <w:pPr>
              <w:pStyle w:val="Tabletext0"/>
            </w:pPr>
            <w:r>
              <w:t>Occupational Health and Safety</w:t>
            </w:r>
          </w:p>
        </w:tc>
      </w:tr>
      <w:tr w:rsidR="00BC30B7" w14:paraId="7AD8801C" w14:textId="77777777" w:rsidTr="00AB668E">
        <w:tc>
          <w:tcPr>
            <w:tcW w:w="2750" w:type="dxa"/>
            <w:vAlign w:val="center"/>
          </w:tcPr>
          <w:p w14:paraId="6FAFFD90" w14:textId="77777777" w:rsidR="00BC30B7" w:rsidRDefault="00BC30B7" w:rsidP="00F51716">
            <w:pPr>
              <w:pStyle w:val="Tabletext0"/>
            </w:pPr>
            <w:r>
              <w:t>Opex</w:t>
            </w:r>
          </w:p>
        </w:tc>
        <w:tc>
          <w:tcPr>
            <w:tcW w:w="5812" w:type="dxa"/>
            <w:vAlign w:val="center"/>
          </w:tcPr>
          <w:p w14:paraId="4D9F7F03" w14:textId="77777777" w:rsidR="00BC30B7" w:rsidRDefault="00BC30B7" w:rsidP="00F51716">
            <w:pPr>
              <w:pStyle w:val="Tabletext0"/>
            </w:pPr>
            <w:r>
              <w:t>Operating Expenditure</w:t>
            </w:r>
          </w:p>
        </w:tc>
      </w:tr>
      <w:tr w:rsidR="00BC30B7" w14:paraId="056CC6CB" w14:textId="77777777" w:rsidTr="00AB668E">
        <w:tc>
          <w:tcPr>
            <w:tcW w:w="2750" w:type="dxa"/>
            <w:vAlign w:val="center"/>
          </w:tcPr>
          <w:p w14:paraId="5EB7B332" w14:textId="77777777" w:rsidR="00BC30B7" w:rsidRDefault="00BC30B7" w:rsidP="00F51716">
            <w:pPr>
              <w:pStyle w:val="Tabletext0"/>
            </w:pPr>
            <w:r>
              <w:t>OTLP</w:t>
            </w:r>
          </w:p>
        </w:tc>
        <w:tc>
          <w:tcPr>
            <w:tcW w:w="5812" w:type="dxa"/>
            <w:vAlign w:val="center"/>
          </w:tcPr>
          <w:p w14:paraId="48627D46" w14:textId="77777777" w:rsidR="00BC30B7" w:rsidRDefault="00BC30B7" w:rsidP="00F51716">
            <w:pPr>
              <w:pStyle w:val="Tabletext0"/>
            </w:pPr>
            <w:r>
              <w:t>Office tenant light and power</w:t>
            </w:r>
          </w:p>
        </w:tc>
      </w:tr>
      <w:tr w:rsidR="00730D2B" w14:paraId="52AFD60D" w14:textId="77777777" w:rsidTr="00AB668E">
        <w:tc>
          <w:tcPr>
            <w:tcW w:w="2750" w:type="dxa"/>
            <w:vAlign w:val="center"/>
          </w:tcPr>
          <w:p w14:paraId="2FBA4AEB" w14:textId="79E88D49" w:rsidR="00730D2B" w:rsidRDefault="00730D2B" w:rsidP="00F51716">
            <w:pPr>
              <w:pStyle w:val="Tabletext0"/>
            </w:pPr>
            <w:r>
              <w:t>OVIC</w:t>
            </w:r>
          </w:p>
        </w:tc>
        <w:tc>
          <w:tcPr>
            <w:tcW w:w="5812" w:type="dxa"/>
            <w:vAlign w:val="center"/>
          </w:tcPr>
          <w:p w14:paraId="18D8DD55" w14:textId="181B6739" w:rsidR="00730D2B" w:rsidRDefault="00730D2B" w:rsidP="00F51716">
            <w:pPr>
              <w:pStyle w:val="Tabletext0"/>
            </w:pPr>
            <w:r>
              <w:t>Office of the Victorian Information Commissioner</w:t>
            </w:r>
          </w:p>
        </w:tc>
      </w:tr>
      <w:tr w:rsidR="00730D2B" w14:paraId="1A44B2AC" w14:textId="77777777" w:rsidTr="00AB668E">
        <w:tc>
          <w:tcPr>
            <w:tcW w:w="2750" w:type="dxa"/>
            <w:vAlign w:val="center"/>
          </w:tcPr>
          <w:p w14:paraId="10E886AC" w14:textId="537242D2" w:rsidR="00730D2B" w:rsidRDefault="00730D2B" w:rsidP="00F51716">
            <w:pPr>
              <w:pStyle w:val="Tabletext0"/>
            </w:pPr>
            <w:r>
              <w:t>MPSG</w:t>
            </w:r>
          </w:p>
        </w:tc>
        <w:tc>
          <w:tcPr>
            <w:tcW w:w="5812" w:type="dxa"/>
            <w:vAlign w:val="center"/>
          </w:tcPr>
          <w:p w14:paraId="43832C3B" w14:textId="78C1C4F4" w:rsidR="00730D2B" w:rsidRDefault="00730D2B" w:rsidP="00F51716">
            <w:pPr>
              <w:pStyle w:val="Tabletext0"/>
            </w:pPr>
            <w:r>
              <w:t>Major Project Skills Guarantee</w:t>
            </w:r>
          </w:p>
        </w:tc>
      </w:tr>
      <w:tr w:rsidR="00BC30B7" w14:paraId="3B512697" w14:textId="77777777" w:rsidTr="00AB668E">
        <w:tc>
          <w:tcPr>
            <w:tcW w:w="2750" w:type="dxa"/>
            <w:vAlign w:val="center"/>
          </w:tcPr>
          <w:p w14:paraId="3912FD7D" w14:textId="75BA3B1E" w:rsidR="00BC30B7" w:rsidRDefault="00BC30B7" w:rsidP="00F51716">
            <w:pPr>
              <w:pStyle w:val="Tabletext0"/>
            </w:pPr>
            <w:r>
              <w:t>P</w:t>
            </w:r>
            <w:r w:rsidR="008A54B1">
              <w:t>I</w:t>
            </w:r>
            <w:r>
              <w:t>D</w:t>
            </w:r>
          </w:p>
        </w:tc>
        <w:tc>
          <w:tcPr>
            <w:tcW w:w="5812" w:type="dxa"/>
            <w:vAlign w:val="center"/>
          </w:tcPr>
          <w:p w14:paraId="2893708A" w14:textId="06F3BA31" w:rsidR="00BC30B7" w:rsidRDefault="008A54B1" w:rsidP="00F51716">
            <w:pPr>
              <w:pStyle w:val="Tabletext0"/>
            </w:pPr>
            <w:r>
              <w:t xml:space="preserve">Public Interest </w:t>
            </w:r>
            <w:r w:rsidR="00BC30B7">
              <w:t>Disclosure</w:t>
            </w:r>
          </w:p>
        </w:tc>
      </w:tr>
      <w:tr w:rsidR="00730D2B" w14:paraId="271C2554" w14:textId="77777777" w:rsidTr="00AB668E">
        <w:tc>
          <w:tcPr>
            <w:tcW w:w="2750" w:type="dxa"/>
            <w:vAlign w:val="center"/>
          </w:tcPr>
          <w:p w14:paraId="3EE27D41" w14:textId="34C2D5EB" w:rsidR="00730D2B" w:rsidRDefault="00730D2B" w:rsidP="00F51716">
            <w:pPr>
              <w:pStyle w:val="Tabletext0"/>
            </w:pPr>
            <w:r>
              <w:t>PV</w:t>
            </w:r>
          </w:p>
        </w:tc>
        <w:tc>
          <w:tcPr>
            <w:tcW w:w="5812" w:type="dxa"/>
            <w:vAlign w:val="center"/>
          </w:tcPr>
          <w:p w14:paraId="11EC08D9" w14:textId="660171CC" w:rsidR="00730D2B" w:rsidRDefault="00730D2B" w:rsidP="00F51716">
            <w:pPr>
              <w:pStyle w:val="Tabletext0"/>
            </w:pPr>
            <w:r>
              <w:t>Photovoltaic</w:t>
            </w:r>
          </w:p>
        </w:tc>
      </w:tr>
      <w:tr w:rsidR="00BC30B7" w14:paraId="324432F7" w14:textId="77777777" w:rsidTr="00AB668E">
        <w:tc>
          <w:tcPr>
            <w:tcW w:w="2750" w:type="dxa"/>
            <w:vAlign w:val="center"/>
          </w:tcPr>
          <w:p w14:paraId="1F2AE5AD" w14:textId="77777777" w:rsidR="00BC30B7" w:rsidRDefault="00BC30B7" w:rsidP="00F51716">
            <w:pPr>
              <w:pStyle w:val="Tabletext0"/>
            </w:pPr>
            <w:r>
              <w:t>PVC</w:t>
            </w:r>
          </w:p>
        </w:tc>
        <w:tc>
          <w:tcPr>
            <w:tcW w:w="5812" w:type="dxa"/>
            <w:vAlign w:val="center"/>
          </w:tcPr>
          <w:p w14:paraId="4BB9CEED" w14:textId="77777777" w:rsidR="00BC30B7" w:rsidRDefault="00BC30B7" w:rsidP="00F51716">
            <w:pPr>
              <w:pStyle w:val="Tabletext0"/>
            </w:pPr>
            <w:r>
              <w:t>P</w:t>
            </w:r>
            <w:r w:rsidRPr="00053E6C">
              <w:t xml:space="preserve">olyvinyl </w:t>
            </w:r>
            <w:r>
              <w:t>C</w:t>
            </w:r>
            <w:r w:rsidRPr="00053E6C">
              <w:t>hloride</w:t>
            </w:r>
          </w:p>
        </w:tc>
      </w:tr>
      <w:tr w:rsidR="00BC30B7" w14:paraId="455D1149" w14:textId="77777777" w:rsidTr="00AB668E">
        <w:tc>
          <w:tcPr>
            <w:tcW w:w="2750" w:type="dxa"/>
            <w:vAlign w:val="center"/>
          </w:tcPr>
          <w:p w14:paraId="56DCC26F" w14:textId="61DEF7EC" w:rsidR="00BC30B7" w:rsidRDefault="00BC30B7" w:rsidP="00F51716">
            <w:pPr>
              <w:pStyle w:val="Tabletext0"/>
            </w:pPr>
            <w:r>
              <w:t>RD&amp;D</w:t>
            </w:r>
          </w:p>
        </w:tc>
        <w:tc>
          <w:tcPr>
            <w:tcW w:w="5812" w:type="dxa"/>
            <w:vAlign w:val="center"/>
          </w:tcPr>
          <w:p w14:paraId="6E1C0E4A" w14:textId="5E553E13" w:rsidR="00BC30B7" w:rsidRDefault="00BC30B7" w:rsidP="00F51716">
            <w:pPr>
              <w:pStyle w:val="Tabletext0"/>
            </w:pPr>
            <w:r w:rsidRPr="00AF6B06">
              <w:t>Research Development &amp; Demonstration</w:t>
            </w:r>
            <w:r>
              <w:t xml:space="preserve"> </w:t>
            </w:r>
          </w:p>
        </w:tc>
      </w:tr>
      <w:tr w:rsidR="00BC30B7" w14:paraId="7A0E36A1" w14:textId="77777777" w:rsidTr="00AB668E">
        <w:tc>
          <w:tcPr>
            <w:tcW w:w="2750" w:type="dxa"/>
            <w:vAlign w:val="center"/>
          </w:tcPr>
          <w:p w14:paraId="2A100C0E" w14:textId="3CB8882A" w:rsidR="00BC30B7" w:rsidRDefault="00BC30B7" w:rsidP="00F51716">
            <w:pPr>
              <w:pStyle w:val="Tabletext0"/>
            </w:pPr>
            <w:r>
              <w:t>RISP</w:t>
            </w:r>
          </w:p>
        </w:tc>
        <w:tc>
          <w:tcPr>
            <w:tcW w:w="5812" w:type="dxa"/>
            <w:vAlign w:val="center"/>
          </w:tcPr>
          <w:p w14:paraId="44AB48A2" w14:textId="41D9F199" w:rsidR="00BC30B7" w:rsidRDefault="00BC30B7" w:rsidP="00F51716">
            <w:pPr>
              <w:pStyle w:val="Tabletext0"/>
            </w:pPr>
            <w:r>
              <w:t>Recycling Industry Strategic Plan</w:t>
            </w:r>
          </w:p>
        </w:tc>
      </w:tr>
      <w:tr w:rsidR="00BC30B7" w14:paraId="106194BC" w14:textId="77777777" w:rsidTr="00AB668E">
        <w:tc>
          <w:tcPr>
            <w:tcW w:w="2750" w:type="dxa"/>
            <w:vAlign w:val="center"/>
          </w:tcPr>
          <w:p w14:paraId="614DECBB" w14:textId="7E097AE3" w:rsidR="00BC30B7" w:rsidRDefault="00BC30B7" w:rsidP="00F51716">
            <w:pPr>
              <w:pStyle w:val="Tabletext0"/>
            </w:pPr>
            <w:r>
              <w:t>RRIF</w:t>
            </w:r>
          </w:p>
        </w:tc>
        <w:tc>
          <w:tcPr>
            <w:tcW w:w="5812" w:type="dxa"/>
            <w:vAlign w:val="center"/>
          </w:tcPr>
          <w:p w14:paraId="057FBC25" w14:textId="774127EE" w:rsidR="00BC30B7" w:rsidRDefault="00BC30B7" w:rsidP="00F51716">
            <w:pPr>
              <w:pStyle w:val="Tabletext0"/>
            </w:pPr>
            <w:r>
              <w:t>Resource Recovery Infrastructure Fund</w:t>
            </w:r>
          </w:p>
        </w:tc>
      </w:tr>
      <w:tr w:rsidR="00BC30B7" w14:paraId="7E05ACA6" w14:textId="77777777" w:rsidTr="00AB668E">
        <w:tc>
          <w:tcPr>
            <w:tcW w:w="2750" w:type="dxa"/>
            <w:vAlign w:val="center"/>
          </w:tcPr>
          <w:p w14:paraId="7D63F18A" w14:textId="77777777" w:rsidR="00BC30B7" w:rsidRDefault="00BC30B7" w:rsidP="00F51716">
            <w:pPr>
              <w:pStyle w:val="Tabletext0"/>
            </w:pPr>
            <w:r>
              <w:t>SME</w:t>
            </w:r>
          </w:p>
        </w:tc>
        <w:tc>
          <w:tcPr>
            <w:tcW w:w="5812" w:type="dxa"/>
            <w:vAlign w:val="center"/>
          </w:tcPr>
          <w:p w14:paraId="7E3623BB" w14:textId="77777777" w:rsidR="00BC30B7" w:rsidRDefault="00BC30B7" w:rsidP="00F51716">
            <w:pPr>
              <w:pStyle w:val="Tabletext0"/>
            </w:pPr>
            <w:r>
              <w:t>Small to Medium Enterprise</w:t>
            </w:r>
          </w:p>
        </w:tc>
      </w:tr>
      <w:tr w:rsidR="00BC30B7" w14:paraId="546FE8F5" w14:textId="77777777" w:rsidTr="00AB668E">
        <w:tc>
          <w:tcPr>
            <w:tcW w:w="2750" w:type="dxa"/>
            <w:vAlign w:val="center"/>
          </w:tcPr>
          <w:p w14:paraId="0F567231" w14:textId="77777777" w:rsidR="00BC30B7" w:rsidRDefault="00BC30B7" w:rsidP="00F51716">
            <w:pPr>
              <w:pStyle w:val="Tabletext0"/>
            </w:pPr>
            <w:r>
              <w:t>SV</w:t>
            </w:r>
          </w:p>
        </w:tc>
        <w:tc>
          <w:tcPr>
            <w:tcW w:w="5812" w:type="dxa"/>
            <w:vAlign w:val="center"/>
          </w:tcPr>
          <w:p w14:paraId="02676A91" w14:textId="77777777" w:rsidR="00BC30B7" w:rsidRDefault="00BC30B7" w:rsidP="00F51716">
            <w:pPr>
              <w:pStyle w:val="Tabletext0"/>
            </w:pPr>
            <w:r>
              <w:t>Sustainability Victoria</w:t>
            </w:r>
          </w:p>
        </w:tc>
      </w:tr>
      <w:tr w:rsidR="00BC30B7" w14:paraId="7AF4C931" w14:textId="77777777" w:rsidTr="00AB668E">
        <w:tc>
          <w:tcPr>
            <w:tcW w:w="2750" w:type="dxa"/>
            <w:vAlign w:val="center"/>
          </w:tcPr>
          <w:p w14:paraId="6448E641" w14:textId="77777777" w:rsidR="00BC30B7" w:rsidRDefault="00BC30B7" w:rsidP="00F51716">
            <w:pPr>
              <w:pStyle w:val="Tabletext0"/>
            </w:pPr>
            <w:r>
              <w:t>SWRRIP</w:t>
            </w:r>
          </w:p>
        </w:tc>
        <w:tc>
          <w:tcPr>
            <w:tcW w:w="5812" w:type="dxa"/>
            <w:vAlign w:val="center"/>
          </w:tcPr>
          <w:p w14:paraId="5BB647FE" w14:textId="77777777" w:rsidR="00BC30B7" w:rsidRDefault="00BC30B7" w:rsidP="00F51716">
            <w:pPr>
              <w:pStyle w:val="Tabletext0"/>
            </w:pPr>
            <w:r>
              <w:t>Statewide Resource and Recovery Infrastructure Plan</w:t>
            </w:r>
          </w:p>
        </w:tc>
      </w:tr>
      <w:tr w:rsidR="00BC30B7" w14:paraId="1BEC2BB7" w14:textId="77777777" w:rsidTr="00AB668E">
        <w:tc>
          <w:tcPr>
            <w:tcW w:w="2750" w:type="dxa"/>
            <w:vAlign w:val="center"/>
          </w:tcPr>
          <w:p w14:paraId="2E09210C" w14:textId="77777777" w:rsidR="00BC30B7" w:rsidRDefault="00BC30B7" w:rsidP="00F51716">
            <w:pPr>
              <w:pStyle w:val="Tabletext0"/>
            </w:pPr>
            <w:r>
              <w:t>THC</w:t>
            </w:r>
          </w:p>
        </w:tc>
        <w:tc>
          <w:tcPr>
            <w:tcW w:w="5812" w:type="dxa"/>
            <w:vAlign w:val="center"/>
          </w:tcPr>
          <w:p w14:paraId="2F459830" w14:textId="77777777" w:rsidR="00BC30B7" w:rsidRDefault="00BC30B7" w:rsidP="00F51716">
            <w:pPr>
              <w:pStyle w:val="Tabletext0"/>
            </w:pPr>
            <w:r>
              <w:t>Total Head Count</w:t>
            </w:r>
          </w:p>
        </w:tc>
      </w:tr>
      <w:tr w:rsidR="00BC30B7" w14:paraId="3761BA25" w14:textId="77777777" w:rsidTr="00AB668E">
        <w:tc>
          <w:tcPr>
            <w:tcW w:w="2750" w:type="dxa"/>
            <w:vAlign w:val="center"/>
          </w:tcPr>
          <w:p w14:paraId="0A69807E" w14:textId="77777777" w:rsidR="00BC30B7" w:rsidRDefault="00BC30B7" w:rsidP="00F51716">
            <w:pPr>
              <w:pStyle w:val="Tabletext0"/>
            </w:pPr>
            <w:r>
              <w:t>VIPP</w:t>
            </w:r>
          </w:p>
        </w:tc>
        <w:tc>
          <w:tcPr>
            <w:tcW w:w="5812" w:type="dxa"/>
            <w:vAlign w:val="center"/>
          </w:tcPr>
          <w:p w14:paraId="0C731E65" w14:textId="77777777" w:rsidR="00BC30B7" w:rsidRDefault="00BC30B7" w:rsidP="00F51716">
            <w:pPr>
              <w:pStyle w:val="Tabletext0"/>
            </w:pPr>
            <w:r>
              <w:t>Victorian Industry Participation Policy</w:t>
            </w:r>
          </w:p>
        </w:tc>
      </w:tr>
      <w:tr w:rsidR="00BC30B7" w14:paraId="08681447" w14:textId="77777777" w:rsidTr="00AB668E">
        <w:tc>
          <w:tcPr>
            <w:tcW w:w="2750" w:type="dxa"/>
            <w:vAlign w:val="center"/>
          </w:tcPr>
          <w:p w14:paraId="19BD83D8" w14:textId="77777777" w:rsidR="00BC30B7" w:rsidRDefault="00BC30B7" w:rsidP="00F51716">
            <w:pPr>
              <w:pStyle w:val="Tabletext0"/>
            </w:pPr>
            <w:r>
              <w:t>VPS</w:t>
            </w:r>
          </w:p>
        </w:tc>
        <w:tc>
          <w:tcPr>
            <w:tcW w:w="5812" w:type="dxa"/>
            <w:vAlign w:val="center"/>
          </w:tcPr>
          <w:p w14:paraId="1677AE58" w14:textId="77777777" w:rsidR="00BC30B7" w:rsidRDefault="00BC30B7" w:rsidP="00F51716">
            <w:pPr>
              <w:pStyle w:val="Tabletext0"/>
            </w:pPr>
            <w:r>
              <w:t>Victorian Public Sector</w:t>
            </w:r>
          </w:p>
        </w:tc>
      </w:tr>
      <w:tr w:rsidR="00BC30B7" w14:paraId="417B2CD6" w14:textId="77777777" w:rsidTr="00AB668E">
        <w:tc>
          <w:tcPr>
            <w:tcW w:w="2750" w:type="dxa"/>
            <w:vAlign w:val="center"/>
          </w:tcPr>
          <w:p w14:paraId="1BDEA503" w14:textId="77777777" w:rsidR="00BC30B7" w:rsidRDefault="00BC30B7" w:rsidP="00F51716">
            <w:pPr>
              <w:pStyle w:val="Tabletext0"/>
            </w:pPr>
            <w:r>
              <w:t>VPSC</w:t>
            </w:r>
          </w:p>
        </w:tc>
        <w:tc>
          <w:tcPr>
            <w:tcW w:w="5812" w:type="dxa"/>
            <w:vAlign w:val="center"/>
          </w:tcPr>
          <w:p w14:paraId="476D26ED" w14:textId="77777777" w:rsidR="00BC30B7" w:rsidRDefault="00BC30B7" w:rsidP="00F51716">
            <w:pPr>
              <w:pStyle w:val="Tabletext0"/>
            </w:pPr>
            <w:r>
              <w:t>Victoria Public Sector Commission</w:t>
            </w:r>
          </w:p>
        </w:tc>
      </w:tr>
      <w:tr w:rsidR="00BC30B7" w14:paraId="7D393467" w14:textId="77777777" w:rsidTr="00AB668E">
        <w:tc>
          <w:tcPr>
            <w:tcW w:w="2750" w:type="dxa"/>
            <w:vAlign w:val="center"/>
          </w:tcPr>
          <w:p w14:paraId="6A1AD610" w14:textId="77777777" w:rsidR="00BC30B7" w:rsidRDefault="00BC30B7" w:rsidP="00F51716">
            <w:pPr>
              <w:pStyle w:val="Tabletext0"/>
            </w:pPr>
            <w:r>
              <w:t>WRRG</w:t>
            </w:r>
          </w:p>
        </w:tc>
        <w:tc>
          <w:tcPr>
            <w:tcW w:w="5812" w:type="dxa"/>
            <w:vAlign w:val="center"/>
          </w:tcPr>
          <w:p w14:paraId="22930525" w14:textId="77777777" w:rsidR="00BC30B7" w:rsidRDefault="00BC30B7" w:rsidP="00F51716">
            <w:pPr>
              <w:pStyle w:val="Tabletext0"/>
            </w:pPr>
            <w:r>
              <w:t>Waste Resource Recovery Group</w:t>
            </w:r>
          </w:p>
        </w:tc>
      </w:tr>
      <w:tr w:rsidR="00730D2B" w14:paraId="47E9F01D" w14:textId="77777777" w:rsidTr="00AB668E">
        <w:tc>
          <w:tcPr>
            <w:tcW w:w="2750" w:type="dxa"/>
            <w:vAlign w:val="center"/>
          </w:tcPr>
          <w:p w14:paraId="56104F3D" w14:textId="2B993F75" w:rsidR="00730D2B" w:rsidRDefault="00730D2B" w:rsidP="00F51716">
            <w:pPr>
              <w:pStyle w:val="Tabletext0"/>
            </w:pPr>
            <w:r>
              <w:t>ZNC</w:t>
            </w:r>
          </w:p>
        </w:tc>
        <w:tc>
          <w:tcPr>
            <w:tcW w:w="5812" w:type="dxa"/>
            <w:vAlign w:val="center"/>
          </w:tcPr>
          <w:p w14:paraId="4ABCCBF9" w14:textId="71688B13" w:rsidR="00730D2B" w:rsidRDefault="00730D2B" w:rsidP="00F51716">
            <w:pPr>
              <w:pStyle w:val="Tabletext0"/>
            </w:pPr>
            <w:r>
              <w:t>Zero Net Carbon</w:t>
            </w:r>
          </w:p>
        </w:tc>
      </w:tr>
    </w:tbl>
    <w:p w14:paraId="7FBEF604" w14:textId="3062CA1C" w:rsidR="00A91C89" w:rsidRDefault="00A91C89" w:rsidP="00F51716">
      <w:pPr>
        <w:pStyle w:val="Tabletext0"/>
      </w:pPr>
    </w:p>
    <w:p w14:paraId="58F06146" w14:textId="77777777" w:rsidR="00A91C89" w:rsidRPr="00A91C89" w:rsidRDefault="00A91C89" w:rsidP="008C258D"/>
    <w:sectPr w:rsidR="00A91C89" w:rsidRPr="00A91C89" w:rsidSect="00846607">
      <w:footerReference w:type="first" r:id="rId41"/>
      <w:type w:val="continuous"/>
      <w:pgSz w:w="11906" w:h="16838" w:code="9"/>
      <w:pgMar w:top="1702" w:right="1440" w:bottom="993" w:left="1440" w:header="851"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2E8898" w14:textId="77777777" w:rsidR="004169A0" w:rsidRDefault="004169A0" w:rsidP="00F51716">
      <w:r>
        <w:separator/>
      </w:r>
    </w:p>
    <w:p w14:paraId="663B2DEC" w14:textId="77777777" w:rsidR="004169A0" w:rsidRDefault="004169A0" w:rsidP="00F51716"/>
  </w:endnote>
  <w:endnote w:type="continuationSeparator" w:id="0">
    <w:p w14:paraId="2C661EBB" w14:textId="77777777" w:rsidR="004169A0" w:rsidRDefault="004169A0" w:rsidP="00F51716">
      <w:r>
        <w:continuationSeparator/>
      </w:r>
    </w:p>
    <w:p w14:paraId="64B5AE8B" w14:textId="77777777" w:rsidR="004169A0" w:rsidRDefault="004169A0" w:rsidP="00F51716"/>
  </w:endnote>
  <w:endnote w:type="continuationNotice" w:id="1">
    <w:p w14:paraId="7F05C93A" w14:textId="77777777" w:rsidR="004169A0" w:rsidRDefault="004169A0" w:rsidP="00F517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SegoeUI">
    <w:altName w:val="Arial"/>
    <w:panose1 w:val="00000000000000000000"/>
    <w:charset w:val="B2"/>
    <w:family w:val="auto"/>
    <w:notTrueType/>
    <w:pitch w:val="default"/>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IN Next LT Pro">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DIN Next LT Pro Medium">
    <w:altName w:val="Calibri"/>
    <w:panose1 w:val="00000000000000000000"/>
    <w:charset w:val="00"/>
    <w:family w:val="swiss"/>
    <w:notTrueType/>
    <w:pitch w:val="variable"/>
    <w:sig w:usb0="A00000AF" w:usb1="5000205B" w:usb2="00000000" w:usb3="00000000" w:csb0="0000009B"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9985824"/>
      <w:docPartObj>
        <w:docPartGallery w:val="Page Numbers (Bottom of Page)"/>
        <w:docPartUnique/>
      </w:docPartObj>
    </w:sdtPr>
    <w:sdtEndPr>
      <w:rPr>
        <w:noProof/>
      </w:rPr>
    </w:sdtEndPr>
    <w:sdtContent>
      <w:p w14:paraId="26CCA909" w14:textId="517F1C7E" w:rsidR="005F5554" w:rsidRDefault="005F5554" w:rsidP="00F51716">
        <w:pPr>
          <w:pStyle w:val="Footer"/>
        </w:pPr>
        <w:r>
          <w:fldChar w:fldCharType="begin"/>
        </w:r>
        <w:r>
          <w:instrText xml:space="preserve"> PAGE   \* MERGEFORMAT </w:instrText>
        </w:r>
        <w:r>
          <w:fldChar w:fldCharType="separate"/>
        </w:r>
        <w:r>
          <w:rPr>
            <w:noProof/>
          </w:rPr>
          <w:t>76</w:t>
        </w:r>
        <w:r>
          <w:rPr>
            <w:noProof/>
          </w:rPr>
          <w:fldChar w:fldCharType="end"/>
        </w:r>
      </w:p>
    </w:sdtContent>
  </w:sdt>
  <w:p w14:paraId="79D4EBB4" w14:textId="77777777" w:rsidR="005F5554" w:rsidRDefault="005F5554" w:rsidP="00F517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407987"/>
      <w:docPartObj>
        <w:docPartGallery w:val="Page Numbers (Bottom of Page)"/>
        <w:docPartUnique/>
      </w:docPartObj>
    </w:sdtPr>
    <w:sdtEndPr>
      <w:rPr>
        <w:noProof/>
      </w:rPr>
    </w:sdtEndPr>
    <w:sdtContent>
      <w:p w14:paraId="3402AEEB" w14:textId="3FD59D79" w:rsidR="005F5554" w:rsidRDefault="005F5554" w:rsidP="00F51716">
        <w:pPr>
          <w:pStyle w:val="Footer"/>
        </w:pPr>
        <w:r>
          <w:fldChar w:fldCharType="begin"/>
        </w:r>
        <w:r>
          <w:instrText xml:space="preserve"> PAGE   \* MERGEFORMAT </w:instrText>
        </w:r>
        <w:r>
          <w:fldChar w:fldCharType="separate"/>
        </w:r>
        <w:r>
          <w:rPr>
            <w:noProof/>
          </w:rPr>
          <w:t>2</w:t>
        </w:r>
        <w:r>
          <w:rPr>
            <w:noProof/>
          </w:rPr>
          <w:fldChar w:fldCharType="end"/>
        </w:r>
      </w:p>
    </w:sdtContent>
  </w:sdt>
  <w:p w14:paraId="419E3C43" w14:textId="77777777" w:rsidR="005F5554" w:rsidRDefault="005F5554" w:rsidP="00F517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7471171"/>
      <w:docPartObj>
        <w:docPartGallery w:val="Page Numbers (Bottom of Page)"/>
        <w:docPartUnique/>
      </w:docPartObj>
    </w:sdtPr>
    <w:sdtEndPr>
      <w:rPr>
        <w:noProof/>
      </w:rPr>
    </w:sdtEndPr>
    <w:sdtContent>
      <w:p w14:paraId="03F1131F" w14:textId="64E043BB" w:rsidR="005F5554" w:rsidRDefault="005F5554" w:rsidP="00F51716">
        <w:pPr>
          <w:pStyle w:val="Footer"/>
        </w:pPr>
        <w:r>
          <w:fldChar w:fldCharType="begin"/>
        </w:r>
        <w:r>
          <w:instrText xml:space="preserve"> PAGE   \* MERGEFORMAT </w:instrText>
        </w:r>
        <w:r>
          <w:fldChar w:fldCharType="separate"/>
        </w:r>
        <w:r>
          <w:rPr>
            <w:noProof/>
          </w:rPr>
          <w:t>1</w:t>
        </w:r>
        <w:r>
          <w:rPr>
            <w:noProof/>
          </w:rPr>
          <w:fldChar w:fldCharType="end"/>
        </w:r>
      </w:p>
    </w:sdtContent>
  </w:sdt>
  <w:p w14:paraId="4D9B5D72" w14:textId="77777777" w:rsidR="005F5554" w:rsidRDefault="005F5554" w:rsidP="00F517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4344605"/>
      <w:docPartObj>
        <w:docPartGallery w:val="Page Numbers (Bottom of Page)"/>
        <w:docPartUnique/>
      </w:docPartObj>
    </w:sdtPr>
    <w:sdtEndPr>
      <w:rPr>
        <w:noProof/>
      </w:rPr>
    </w:sdtEndPr>
    <w:sdtContent>
      <w:p w14:paraId="02244EDA" w14:textId="77777777" w:rsidR="005F5554" w:rsidRDefault="005F5554" w:rsidP="00F51716">
        <w:pPr>
          <w:pStyle w:val="Footer"/>
        </w:pPr>
        <w:r>
          <w:fldChar w:fldCharType="begin"/>
        </w:r>
        <w:r>
          <w:instrText xml:space="preserve"> PAGE   \* MERGEFORMAT </w:instrText>
        </w:r>
        <w:r>
          <w:fldChar w:fldCharType="separate"/>
        </w:r>
        <w:r>
          <w:rPr>
            <w:noProof/>
          </w:rPr>
          <w:t>1</w:t>
        </w:r>
        <w:r>
          <w:rPr>
            <w:noProof/>
          </w:rPr>
          <w:fldChar w:fldCharType="end"/>
        </w:r>
      </w:p>
    </w:sdtContent>
  </w:sdt>
  <w:p w14:paraId="45F1B51F" w14:textId="77777777" w:rsidR="005F5554" w:rsidRDefault="005F5554" w:rsidP="00F5171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502010"/>
      <w:docPartObj>
        <w:docPartGallery w:val="Page Numbers (Bottom of Page)"/>
        <w:docPartUnique/>
      </w:docPartObj>
    </w:sdtPr>
    <w:sdtEndPr>
      <w:rPr>
        <w:noProof/>
      </w:rPr>
    </w:sdtEndPr>
    <w:sdtContent>
      <w:p w14:paraId="6025FA4F" w14:textId="77777777" w:rsidR="005F5554" w:rsidRDefault="005F5554" w:rsidP="00F51716">
        <w:pPr>
          <w:pStyle w:val="Footer"/>
        </w:pPr>
        <w:r>
          <w:fldChar w:fldCharType="begin"/>
        </w:r>
        <w:r>
          <w:instrText xml:space="preserve"> PAGE   \* MERGEFORMAT </w:instrText>
        </w:r>
        <w:r>
          <w:fldChar w:fldCharType="separate"/>
        </w:r>
        <w:r>
          <w:rPr>
            <w:noProof/>
          </w:rPr>
          <w:t>1</w:t>
        </w:r>
        <w:r>
          <w:rPr>
            <w:noProof/>
          </w:rPr>
          <w:fldChar w:fldCharType="end"/>
        </w:r>
      </w:p>
    </w:sdtContent>
  </w:sdt>
  <w:p w14:paraId="2C008277" w14:textId="77777777" w:rsidR="005F5554" w:rsidRDefault="005F5554" w:rsidP="00F51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33BF9A" w14:textId="77777777" w:rsidR="004169A0" w:rsidRPr="00837869" w:rsidRDefault="004169A0" w:rsidP="00F51716">
      <w:pPr>
        <w:pStyle w:val="FootnoteSpacer"/>
      </w:pPr>
    </w:p>
    <w:p w14:paraId="304A7041" w14:textId="77777777" w:rsidR="004169A0" w:rsidRDefault="004169A0" w:rsidP="00F51716"/>
  </w:footnote>
  <w:footnote w:type="continuationSeparator" w:id="0">
    <w:p w14:paraId="3C4F19C5" w14:textId="77777777" w:rsidR="004169A0" w:rsidRDefault="004169A0" w:rsidP="00F51716">
      <w:r>
        <w:continuationSeparator/>
      </w:r>
    </w:p>
    <w:p w14:paraId="419C6CB0" w14:textId="77777777" w:rsidR="004169A0" w:rsidRDefault="004169A0" w:rsidP="00F51716"/>
  </w:footnote>
  <w:footnote w:type="continuationNotice" w:id="1">
    <w:p w14:paraId="5EE01FCA" w14:textId="77777777" w:rsidR="004169A0" w:rsidRDefault="004169A0" w:rsidP="00F517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22763" w14:textId="1EF6DE89" w:rsidR="005F5554" w:rsidRDefault="004169A0" w:rsidP="00F51716">
    <w:pPr>
      <w:pStyle w:val="Header"/>
    </w:pPr>
    <w:sdt>
      <w:sdtPr>
        <w:id w:val="285095784"/>
        <w:docPartObj>
          <w:docPartGallery w:val="Page Numbers (Top of Page)"/>
          <w:docPartUnique/>
        </w:docPartObj>
      </w:sdtPr>
      <w:sdtEndPr>
        <w:rPr>
          <w:noProof/>
        </w:rPr>
      </w:sdtEndPr>
      <w:sdtContent>
        <w:r w:rsidR="005F5554" w:rsidRPr="00DE11BB">
          <w:t>Sustainability Victoria</w:t>
        </w:r>
        <w:r w:rsidR="005F5554">
          <w:t xml:space="preserve"> Annual Report 2019–20</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73024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D1A9F02"/>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D53E47A2"/>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21CACF3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01EAD00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91565E"/>
    <w:multiLevelType w:val="hybridMultilevel"/>
    <w:tmpl w:val="034849F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5025153"/>
    <w:multiLevelType w:val="multilevel"/>
    <w:tmpl w:val="E47E5714"/>
    <w:lvl w:ilvl="0">
      <w:start w:val="1"/>
      <w:numFmt w:val="decimal"/>
      <w:pStyle w:val="ListNumber"/>
      <w:lvlText w:val="%1."/>
      <w:lvlJc w:val="left"/>
      <w:pPr>
        <w:ind w:left="284" w:hanging="284"/>
      </w:pPr>
      <w:rPr>
        <w:rFonts w:hint="default"/>
      </w:rPr>
    </w:lvl>
    <w:lvl w:ilvl="1">
      <w:start w:val="1"/>
      <w:numFmt w:val="lowerLetter"/>
      <w:pStyle w:val="ListNumber2"/>
      <w:lvlText w:val="%2."/>
      <w:lvlJc w:val="left"/>
      <w:pPr>
        <w:ind w:left="568" w:hanging="284"/>
      </w:pPr>
      <w:rPr>
        <w:rFonts w:hint="default"/>
      </w:rPr>
    </w:lvl>
    <w:lvl w:ilvl="2">
      <w:start w:val="1"/>
      <w:numFmt w:val="lowerRoman"/>
      <w:pStyle w:val="ListNumber3"/>
      <w:lvlText w:val="%3."/>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7"/>
      <w:lvlJc w:val="left"/>
      <w:pPr>
        <w:ind w:left="1988" w:hanging="284"/>
      </w:pPr>
      <w:rPr>
        <w:rFonts w:hint="default"/>
      </w:rPr>
    </w:lvl>
    <w:lvl w:ilvl="7">
      <w:start w:val="1"/>
      <w:numFmt w:val="none"/>
      <w:lvlText w:val="%8"/>
      <w:lvlJc w:val="left"/>
      <w:pPr>
        <w:ind w:left="2272" w:hanging="284"/>
      </w:pPr>
      <w:rPr>
        <w:rFonts w:hint="default"/>
      </w:rPr>
    </w:lvl>
    <w:lvl w:ilvl="8">
      <w:start w:val="1"/>
      <w:numFmt w:val="none"/>
      <w:lvlText w:val="%9"/>
      <w:lvlJc w:val="left"/>
      <w:pPr>
        <w:ind w:left="2556" w:hanging="284"/>
      </w:pPr>
      <w:rPr>
        <w:rFonts w:hint="default"/>
      </w:rPr>
    </w:lvl>
  </w:abstractNum>
  <w:abstractNum w:abstractNumId="7" w15:restartNumberingAfterBreak="0">
    <w:nsid w:val="068B37FE"/>
    <w:multiLevelType w:val="multilevel"/>
    <w:tmpl w:val="A2EE2272"/>
    <w:lvl w:ilvl="0">
      <w:start w:val="1"/>
      <w:numFmt w:val="bullet"/>
      <w:lvlText w:val="•"/>
      <w:lvlJc w:val="left"/>
      <w:pPr>
        <w:tabs>
          <w:tab w:val="num" w:pos="340"/>
        </w:tabs>
        <w:ind w:left="340" w:hanging="170"/>
      </w:pPr>
      <w:rPr>
        <w:rFonts w:ascii="Times New Roman" w:hAnsi="Times New Roman" w:cs="Times New Roman" w:hint="default"/>
        <w:b w:val="0"/>
        <w:i w:val="0"/>
        <w:color w:val="000000" w:themeColor="text1"/>
        <w:position w:val="0"/>
        <w:sz w:val="20"/>
      </w:rPr>
    </w:lvl>
    <w:lvl w:ilvl="1">
      <w:start w:val="1"/>
      <w:numFmt w:val="bullet"/>
      <w:lvlText w:val="–"/>
      <w:lvlJc w:val="left"/>
      <w:pPr>
        <w:tabs>
          <w:tab w:val="num" w:pos="510"/>
        </w:tabs>
        <w:ind w:left="510" w:hanging="170"/>
      </w:pPr>
      <w:rPr>
        <w:rFonts w:asciiTheme="minorHAnsi" w:hAnsiTheme="minorHAnsi" w:hint="default"/>
        <w:b w:val="0"/>
        <w:i w:val="0"/>
        <w:color w:val="auto"/>
        <w:position w:val="2"/>
        <w:sz w:val="20"/>
      </w:rPr>
    </w:lvl>
    <w:lvl w:ilvl="2">
      <w:start w:val="1"/>
      <w:numFmt w:val="bullet"/>
      <w:lvlText w:val="&gt;"/>
      <w:lvlJc w:val="left"/>
      <w:pPr>
        <w:tabs>
          <w:tab w:val="num" w:pos="680"/>
        </w:tabs>
        <w:ind w:left="680" w:hanging="170"/>
      </w:pPr>
      <w:rPr>
        <w:rFonts w:ascii="Symbol" w:hAnsi="Symbol" w:hint="default"/>
        <w:b w:val="0"/>
        <w:i w:val="0"/>
        <w:color w:val="000000" w:themeColor="text1"/>
        <w:spacing w:val="0"/>
        <w:w w:val="100"/>
        <w:position w:val="3"/>
        <w:sz w:val="18"/>
        <w:szCs w:val="16"/>
      </w:rPr>
    </w:lvl>
    <w:lvl w:ilvl="3">
      <w:start w:val="1"/>
      <w:numFmt w:val="none"/>
      <w:lvlText w:val=""/>
      <w:lvlJc w:val="left"/>
      <w:pPr>
        <w:tabs>
          <w:tab w:val="num" w:pos="-31510"/>
        </w:tabs>
        <w:ind w:left="-32597" w:firstLine="0"/>
      </w:pPr>
      <w:rPr>
        <w:rFonts w:hint="default"/>
      </w:rPr>
    </w:lvl>
    <w:lvl w:ilvl="4">
      <w:start w:val="1"/>
      <w:numFmt w:val="none"/>
      <w:lvlText w:val=""/>
      <w:lvlJc w:val="left"/>
      <w:pPr>
        <w:tabs>
          <w:tab w:val="num" w:pos="-31510"/>
        </w:tabs>
        <w:ind w:left="-32597" w:firstLine="0"/>
      </w:pPr>
      <w:rPr>
        <w:rFonts w:hint="default"/>
      </w:rPr>
    </w:lvl>
    <w:lvl w:ilvl="5">
      <w:start w:val="1"/>
      <w:numFmt w:val="none"/>
      <w:lvlText w:val=""/>
      <w:lvlJc w:val="left"/>
      <w:pPr>
        <w:tabs>
          <w:tab w:val="num" w:pos="-31510"/>
        </w:tabs>
        <w:ind w:left="-32597" w:firstLine="0"/>
      </w:pPr>
      <w:rPr>
        <w:rFonts w:hint="default"/>
      </w:rPr>
    </w:lvl>
    <w:lvl w:ilvl="6">
      <w:start w:val="1"/>
      <w:numFmt w:val="none"/>
      <w:lvlText w:val=""/>
      <w:lvlJc w:val="left"/>
      <w:pPr>
        <w:tabs>
          <w:tab w:val="num" w:pos="-31510"/>
        </w:tabs>
        <w:ind w:left="-32597" w:firstLine="0"/>
      </w:pPr>
      <w:rPr>
        <w:rFonts w:hint="default"/>
      </w:rPr>
    </w:lvl>
    <w:lvl w:ilvl="7">
      <w:start w:val="1"/>
      <w:numFmt w:val="none"/>
      <w:lvlText w:val=""/>
      <w:lvlJc w:val="left"/>
      <w:pPr>
        <w:tabs>
          <w:tab w:val="num" w:pos="-31510"/>
        </w:tabs>
        <w:ind w:left="-32597" w:firstLine="0"/>
      </w:pPr>
      <w:rPr>
        <w:rFonts w:hint="default"/>
      </w:rPr>
    </w:lvl>
    <w:lvl w:ilvl="8">
      <w:start w:val="1"/>
      <w:numFmt w:val="none"/>
      <w:lvlText w:val=""/>
      <w:lvlJc w:val="left"/>
      <w:pPr>
        <w:tabs>
          <w:tab w:val="num" w:pos="-31510"/>
        </w:tabs>
        <w:ind w:left="-32597" w:firstLine="0"/>
      </w:pPr>
      <w:rPr>
        <w:rFonts w:hint="default"/>
      </w:rPr>
    </w:lvl>
  </w:abstractNum>
  <w:abstractNum w:abstractNumId="8" w15:restartNumberingAfterBreak="0">
    <w:nsid w:val="0C351215"/>
    <w:multiLevelType w:val="multilevel"/>
    <w:tmpl w:val="6C1270E4"/>
    <w:name w:val="DELWPHeadings"/>
    <w:lvl w:ilvl="0">
      <w:start w:val="1"/>
      <w:numFmt w:val="none"/>
      <w:lvlRestart w:val="0"/>
      <w:suff w:val="nothing"/>
      <w:lvlText w:val=""/>
      <w:lvlJc w:val="left"/>
      <w:pPr>
        <w:ind w:left="0" w:firstLine="0"/>
      </w:pPr>
      <w:rPr>
        <w:rFonts w:hint="default"/>
        <w:color w:val="BCBEC0" w:themeColor="text2"/>
        <w:sz w:val="4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9" w15:restartNumberingAfterBreak="0">
    <w:nsid w:val="0C3925AC"/>
    <w:multiLevelType w:val="multilevel"/>
    <w:tmpl w:val="9A8C6A78"/>
    <w:numStyleLink w:val="TableBulletList"/>
  </w:abstractNum>
  <w:abstractNum w:abstractNumId="10" w15:restartNumberingAfterBreak="0">
    <w:nsid w:val="1A317159"/>
    <w:multiLevelType w:val="multilevel"/>
    <w:tmpl w:val="9A8C6A78"/>
    <w:styleLink w:val="TableBulletList"/>
    <w:lvl w:ilvl="0">
      <w:start w:val="1"/>
      <w:numFmt w:val="bullet"/>
      <w:pStyle w:val="TableBullet"/>
      <w:lvlText w:val="»"/>
      <w:lvlJc w:val="left"/>
      <w:pPr>
        <w:ind w:left="227" w:hanging="227"/>
      </w:pPr>
      <w:rPr>
        <w:rFonts w:asciiTheme="minorHAnsi" w:hAnsiTheme="minorHAnsi" w:cs="Times New Roman" w:hint="default"/>
        <w:color w:val="82C341" w:themeColor="background1"/>
        <w:szCs w:val="10"/>
      </w:rPr>
    </w:lvl>
    <w:lvl w:ilvl="1">
      <w:start w:val="1"/>
      <w:numFmt w:val="bullet"/>
      <w:lvlText w:val=""/>
      <w:lvlJc w:val="left"/>
      <w:pPr>
        <w:ind w:left="454" w:hanging="227"/>
      </w:pPr>
      <w:rPr>
        <w:rFonts w:ascii="Symbol" w:hAnsi="Symbol" w:cs="Times New Roman" w:hint="default"/>
        <w:color w:val="000000" w:themeColor="text1"/>
      </w:rPr>
    </w:lvl>
    <w:lvl w:ilvl="2">
      <w:start w:val="1"/>
      <w:numFmt w:val="none"/>
      <w:lvlText w:val=""/>
      <w:lvlJc w:val="left"/>
      <w:pPr>
        <w:ind w:left="681" w:hanging="227"/>
      </w:pPr>
      <w:rPr>
        <w:rFonts w:hint="default"/>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11" w15:restartNumberingAfterBreak="0">
    <w:nsid w:val="1B9E3AD8"/>
    <w:multiLevelType w:val="hybridMultilevel"/>
    <w:tmpl w:val="D43EF2DE"/>
    <w:lvl w:ilvl="0" w:tplc="EBBC0C78">
      <w:start w:val="1"/>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33818"/>
    <w:multiLevelType w:val="multilevel"/>
    <w:tmpl w:val="9592712C"/>
    <w:styleLink w:val="ListNumbers"/>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7"/>
      <w:lvlJc w:val="left"/>
      <w:pPr>
        <w:ind w:left="1988" w:hanging="284"/>
      </w:pPr>
      <w:rPr>
        <w:rFonts w:hint="default"/>
      </w:rPr>
    </w:lvl>
    <w:lvl w:ilvl="7">
      <w:start w:val="1"/>
      <w:numFmt w:val="none"/>
      <w:lvlText w:val="%8"/>
      <w:lvlJc w:val="left"/>
      <w:pPr>
        <w:ind w:left="2272" w:hanging="284"/>
      </w:pPr>
      <w:rPr>
        <w:rFonts w:hint="default"/>
      </w:rPr>
    </w:lvl>
    <w:lvl w:ilvl="8">
      <w:start w:val="1"/>
      <w:numFmt w:val="none"/>
      <w:lvlText w:val="%9"/>
      <w:lvlJc w:val="left"/>
      <w:pPr>
        <w:ind w:left="2556" w:hanging="284"/>
      </w:pPr>
      <w:rPr>
        <w:rFonts w:hint="default"/>
      </w:rPr>
    </w:lvl>
  </w:abstractNum>
  <w:abstractNum w:abstractNumId="13" w15:restartNumberingAfterBreak="0">
    <w:nsid w:val="20690CD4"/>
    <w:multiLevelType w:val="multilevel"/>
    <w:tmpl w:val="14EAB5DA"/>
    <w:styleLink w:val="Bullets"/>
    <w:lvl w:ilvl="0">
      <w:start w:val="1"/>
      <w:numFmt w:val="bullet"/>
      <w:pStyle w:val="ListBullet"/>
      <w:lvlText w:val="»"/>
      <w:lvlJc w:val="left"/>
      <w:pPr>
        <w:ind w:left="227" w:hanging="227"/>
      </w:pPr>
      <w:rPr>
        <w:rFonts w:ascii="Times New Roman" w:hAnsi="Times New Roman" w:cs="Times New Roman" w:hint="default"/>
        <w:color w:val="82C341" w:themeColor="background1"/>
      </w:rPr>
    </w:lvl>
    <w:lvl w:ilvl="1">
      <w:start w:val="1"/>
      <w:numFmt w:val="bullet"/>
      <w:pStyle w:val="ListBullet2"/>
      <w:lvlText w:val="–"/>
      <w:lvlJc w:val="left"/>
      <w:pPr>
        <w:ind w:left="454" w:hanging="227"/>
      </w:pPr>
      <w:rPr>
        <w:rFonts w:ascii="Century Gothic" w:hAnsi="Century Gothic" w:cs="Times New Roman" w:hint="default"/>
      </w:rPr>
    </w:lvl>
    <w:lvl w:ilvl="2">
      <w:start w:val="1"/>
      <w:numFmt w:val="bullet"/>
      <w:pStyle w:val="ListBullet3"/>
      <w:lvlText w:val="–"/>
      <w:lvlJc w:val="left"/>
      <w:pPr>
        <w:ind w:left="681" w:hanging="227"/>
      </w:pPr>
      <w:rPr>
        <w:rFonts w:ascii="Century Gothic" w:hAnsi="Century Gothic" w:cs="Times New Roman" w:hint="default"/>
      </w:rPr>
    </w:lvl>
    <w:lvl w:ilvl="3">
      <w:start w:val="1"/>
      <w:numFmt w:val="none"/>
      <w:lvlText w:val=""/>
      <w:lvlJc w:val="left"/>
      <w:pPr>
        <w:tabs>
          <w:tab w:val="num" w:pos="2324"/>
        </w:tabs>
        <w:ind w:left="908" w:hanging="227"/>
      </w:pPr>
      <w:rPr>
        <w:rFonts w:hint="default"/>
      </w:rPr>
    </w:lvl>
    <w:lvl w:ilvl="4">
      <w:start w:val="1"/>
      <w:numFmt w:val="none"/>
      <w:lvlText w:val=""/>
      <w:lvlJc w:val="left"/>
      <w:pPr>
        <w:tabs>
          <w:tab w:val="num" w:pos="3004"/>
        </w:tabs>
        <w:ind w:left="1135" w:hanging="227"/>
      </w:pPr>
      <w:rPr>
        <w:rFonts w:hint="default"/>
      </w:rPr>
    </w:lvl>
    <w:lvl w:ilvl="5">
      <w:start w:val="1"/>
      <w:numFmt w:val="none"/>
      <w:lvlText w:val=""/>
      <w:lvlJc w:val="left"/>
      <w:pPr>
        <w:tabs>
          <w:tab w:val="num" w:pos="3684"/>
        </w:tabs>
        <w:ind w:left="1362" w:hanging="227"/>
      </w:pPr>
      <w:rPr>
        <w:rFonts w:hint="default"/>
      </w:rPr>
    </w:lvl>
    <w:lvl w:ilvl="6">
      <w:start w:val="1"/>
      <w:numFmt w:val="none"/>
      <w:lvlText w:val=""/>
      <w:lvlJc w:val="left"/>
      <w:pPr>
        <w:tabs>
          <w:tab w:val="num" w:pos="4364"/>
        </w:tabs>
        <w:ind w:left="1589" w:hanging="227"/>
      </w:pPr>
      <w:rPr>
        <w:rFonts w:hint="default"/>
      </w:rPr>
    </w:lvl>
    <w:lvl w:ilvl="7">
      <w:start w:val="1"/>
      <w:numFmt w:val="none"/>
      <w:lvlText w:val=""/>
      <w:lvlJc w:val="left"/>
      <w:pPr>
        <w:tabs>
          <w:tab w:val="num" w:pos="5044"/>
        </w:tabs>
        <w:ind w:left="1816" w:hanging="227"/>
      </w:pPr>
      <w:rPr>
        <w:rFonts w:hint="default"/>
      </w:rPr>
    </w:lvl>
    <w:lvl w:ilvl="8">
      <w:start w:val="1"/>
      <w:numFmt w:val="none"/>
      <w:lvlText w:val=""/>
      <w:lvlJc w:val="left"/>
      <w:pPr>
        <w:tabs>
          <w:tab w:val="num" w:pos="5724"/>
        </w:tabs>
        <w:ind w:left="2043" w:hanging="227"/>
      </w:pPr>
      <w:rPr>
        <w:rFonts w:hint="default"/>
      </w:rPr>
    </w:lvl>
  </w:abstractNum>
  <w:abstractNum w:abstractNumId="14" w15:restartNumberingAfterBreak="0">
    <w:nsid w:val="21987232"/>
    <w:multiLevelType w:val="multilevel"/>
    <w:tmpl w:val="837E0A84"/>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24505042"/>
    <w:multiLevelType w:val="hybridMultilevel"/>
    <w:tmpl w:val="37F0614C"/>
    <w:lvl w:ilvl="0" w:tplc="0C090001">
      <w:start w:val="1"/>
      <w:numFmt w:val="bullet"/>
      <w:lvlText w:val=""/>
      <w:lvlJc w:val="left"/>
      <w:pPr>
        <w:ind w:left="705" w:hanging="360"/>
      </w:pPr>
      <w:rPr>
        <w:rFonts w:ascii="Symbol" w:hAnsi="Symbol" w:hint="default"/>
      </w:rPr>
    </w:lvl>
    <w:lvl w:ilvl="1" w:tplc="0C090003" w:tentative="1">
      <w:start w:val="1"/>
      <w:numFmt w:val="bullet"/>
      <w:lvlText w:val="o"/>
      <w:lvlJc w:val="left"/>
      <w:pPr>
        <w:ind w:left="1425" w:hanging="360"/>
      </w:pPr>
      <w:rPr>
        <w:rFonts w:ascii="Courier New" w:hAnsi="Courier New" w:cs="Courier New" w:hint="default"/>
      </w:rPr>
    </w:lvl>
    <w:lvl w:ilvl="2" w:tplc="0C090005" w:tentative="1">
      <w:start w:val="1"/>
      <w:numFmt w:val="bullet"/>
      <w:lvlText w:val=""/>
      <w:lvlJc w:val="left"/>
      <w:pPr>
        <w:ind w:left="2145" w:hanging="360"/>
      </w:pPr>
      <w:rPr>
        <w:rFonts w:ascii="Wingdings" w:hAnsi="Wingdings" w:hint="default"/>
      </w:rPr>
    </w:lvl>
    <w:lvl w:ilvl="3" w:tplc="0C090001" w:tentative="1">
      <w:start w:val="1"/>
      <w:numFmt w:val="bullet"/>
      <w:lvlText w:val=""/>
      <w:lvlJc w:val="left"/>
      <w:pPr>
        <w:ind w:left="2865" w:hanging="360"/>
      </w:pPr>
      <w:rPr>
        <w:rFonts w:ascii="Symbol" w:hAnsi="Symbol" w:hint="default"/>
      </w:rPr>
    </w:lvl>
    <w:lvl w:ilvl="4" w:tplc="0C090003" w:tentative="1">
      <w:start w:val="1"/>
      <w:numFmt w:val="bullet"/>
      <w:lvlText w:val="o"/>
      <w:lvlJc w:val="left"/>
      <w:pPr>
        <w:ind w:left="3585" w:hanging="360"/>
      </w:pPr>
      <w:rPr>
        <w:rFonts w:ascii="Courier New" w:hAnsi="Courier New" w:cs="Courier New" w:hint="default"/>
      </w:rPr>
    </w:lvl>
    <w:lvl w:ilvl="5" w:tplc="0C090005" w:tentative="1">
      <w:start w:val="1"/>
      <w:numFmt w:val="bullet"/>
      <w:lvlText w:val=""/>
      <w:lvlJc w:val="left"/>
      <w:pPr>
        <w:ind w:left="4305" w:hanging="360"/>
      </w:pPr>
      <w:rPr>
        <w:rFonts w:ascii="Wingdings" w:hAnsi="Wingdings" w:hint="default"/>
      </w:rPr>
    </w:lvl>
    <w:lvl w:ilvl="6" w:tplc="0C090001" w:tentative="1">
      <w:start w:val="1"/>
      <w:numFmt w:val="bullet"/>
      <w:lvlText w:val=""/>
      <w:lvlJc w:val="left"/>
      <w:pPr>
        <w:ind w:left="5025" w:hanging="360"/>
      </w:pPr>
      <w:rPr>
        <w:rFonts w:ascii="Symbol" w:hAnsi="Symbol" w:hint="default"/>
      </w:rPr>
    </w:lvl>
    <w:lvl w:ilvl="7" w:tplc="0C090003" w:tentative="1">
      <w:start w:val="1"/>
      <w:numFmt w:val="bullet"/>
      <w:lvlText w:val="o"/>
      <w:lvlJc w:val="left"/>
      <w:pPr>
        <w:ind w:left="5745" w:hanging="360"/>
      </w:pPr>
      <w:rPr>
        <w:rFonts w:ascii="Courier New" w:hAnsi="Courier New" w:cs="Courier New" w:hint="default"/>
      </w:rPr>
    </w:lvl>
    <w:lvl w:ilvl="8" w:tplc="0C090005" w:tentative="1">
      <w:start w:val="1"/>
      <w:numFmt w:val="bullet"/>
      <w:lvlText w:val=""/>
      <w:lvlJc w:val="left"/>
      <w:pPr>
        <w:ind w:left="6465" w:hanging="360"/>
      </w:pPr>
      <w:rPr>
        <w:rFonts w:ascii="Wingdings" w:hAnsi="Wingdings" w:hint="default"/>
      </w:rPr>
    </w:lvl>
  </w:abstractNum>
  <w:abstractNum w:abstractNumId="16" w15:restartNumberingAfterBreak="0">
    <w:nsid w:val="31EB3DDE"/>
    <w:multiLevelType w:val="hybridMultilevel"/>
    <w:tmpl w:val="0A7A4178"/>
    <w:lvl w:ilvl="0" w:tplc="517EBE32">
      <w:start w:val="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A87759"/>
    <w:multiLevelType w:val="hybridMultilevel"/>
    <w:tmpl w:val="D8F4A3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BE56F3"/>
    <w:multiLevelType w:val="hybridMultilevel"/>
    <w:tmpl w:val="0C1A9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4B178B"/>
    <w:multiLevelType w:val="multilevel"/>
    <w:tmpl w:val="201A0670"/>
    <w:lvl w:ilvl="0">
      <w:start w:val="1"/>
      <w:numFmt w:val="bullet"/>
      <w:pStyle w:val="Bullet1"/>
      <w:lvlText w:val=""/>
      <w:lvlJc w:val="left"/>
      <w:pPr>
        <w:tabs>
          <w:tab w:val="num" w:pos="284"/>
        </w:tabs>
        <w:ind w:left="284" w:hanging="284"/>
      </w:pPr>
      <w:rPr>
        <w:rFonts w:ascii="Symbol" w:hAnsi="Symbol" w:hint="default"/>
        <w:color w:val="464749"/>
      </w:rPr>
    </w:lvl>
    <w:lvl w:ilvl="1">
      <w:start w:val="1"/>
      <w:numFmt w:val="bullet"/>
      <w:pStyle w:val="Bullet2"/>
      <w:lvlText w:val=""/>
      <w:lvlJc w:val="left"/>
      <w:pPr>
        <w:tabs>
          <w:tab w:val="num" w:pos="567"/>
        </w:tabs>
        <w:ind w:left="567" w:hanging="283"/>
      </w:pPr>
      <w:rPr>
        <w:rFonts w:ascii="Symbol" w:hAnsi="Symbol" w:hint="default"/>
        <w:color w:val="44546A"/>
      </w:rPr>
    </w:lvl>
    <w:lvl w:ilvl="2">
      <w:start w:val="1"/>
      <w:numFmt w:val="bullet"/>
      <w:pStyle w:val="Bullet3"/>
      <w:lvlText w:val=""/>
      <w:lvlJc w:val="left"/>
      <w:pPr>
        <w:tabs>
          <w:tab w:val="num" w:pos="851"/>
        </w:tabs>
        <w:ind w:left="851" w:hanging="284"/>
      </w:pPr>
      <w:rPr>
        <w:rFonts w:ascii="Symbol" w:hAnsi="Symbol" w:hint="default"/>
        <w:color w:val="44546A"/>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A244AD"/>
    <w:multiLevelType w:val="hybridMultilevel"/>
    <w:tmpl w:val="ADA62A06"/>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60E23A3"/>
    <w:multiLevelType w:val="hybridMultilevel"/>
    <w:tmpl w:val="B546C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DF75060"/>
    <w:multiLevelType w:val="hybridMultilevel"/>
    <w:tmpl w:val="35E070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4F31DA1"/>
    <w:multiLevelType w:val="hybridMultilevel"/>
    <w:tmpl w:val="1EFE3E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A90711D"/>
    <w:multiLevelType w:val="hybridMultilevel"/>
    <w:tmpl w:val="53823848"/>
    <w:lvl w:ilvl="0" w:tplc="4E86EF32">
      <w:start w:val="1"/>
      <w:numFmt w:val="bullet"/>
      <w:pStyle w:val="bulletSV"/>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D047181"/>
    <w:multiLevelType w:val="multilevel"/>
    <w:tmpl w:val="14EAB5DA"/>
    <w:numStyleLink w:val="Bullets"/>
  </w:abstractNum>
  <w:abstractNum w:abstractNumId="26" w15:restartNumberingAfterBreak="0">
    <w:nsid w:val="6F794441"/>
    <w:multiLevelType w:val="hybridMultilevel"/>
    <w:tmpl w:val="5B4C0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1FF0526"/>
    <w:multiLevelType w:val="multilevel"/>
    <w:tmpl w:val="1AC44A62"/>
    <w:styleLink w:val="NumberedHeadings"/>
    <w:lvl w:ilvl="0">
      <w:start w:val="1"/>
      <w:numFmt w:val="decimal"/>
      <w:lvlText w:val="%1"/>
      <w:lvlJc w:val="left"/>
      <w:pPr>
        <w:ind w:left="2041" w:hanging="2041"/>
      </w:pPr>
      <w:rPr>
        <w:rFonts w:asciiTheme="minorHAnsi" w:hAnsiTheme="minorHAnsi" w:hint="default"/>
        <w:b/>
        <w:i w:val="0"/>
        <w:color w:val="82C341" w:themeColor="background1"/>
        <w:sz w:val="72"/>
      </w:rPr>
    </w:lvl>
    <w:lvl w:ilvl="1">
      <w:start w:val="1"/>
      <w:numFmt w:val="decimal"/>
      <w:lvlText w:val="%1.%2"/>
      <w:lvlJc w:val="left"/>
      <w:pPr>
        <w:ind w:left="0" w:hanging="851"/>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none"/>
      <w:lvlText w:val=""/>
      <w:lvlJc w:val="left"/>
      <w:pPr>
        <w:ind w:left="2041" w:hanging="4082"/>
      </w:pPr>
      <w:rPr>
        <w:rFonts w:hint="default"/>
      </w:rPr>
    </w:lvl>
    <w:lvl w:ilvl="5">
      <w:start w:val="1"/>
      <w:numFmt w:val="none"/>
      <w:lvlText w:val=""/>
      <w:lvlJc w:val="left"/>
      <w:pPr>
        <w:ind w:left="2041" w:hanging="4082"/>
      </w:pPr>
      <w:rPr>
        <w:rFonts w:hint="default"/>
      </w:rPr>
    </w:lvl>
    <w:lvl w:ilvl="6">
      <w:start w:val="1"/>
      <w:numFmt w:val="none"/>
      <w:lvlText w:val=""/>
      <w:lvlJc w:val="left"/>
      <w:pPr>
        <w:ind w:left="2041" w:hanging="4082"/>
      </w:pPr>
      <w:rPr>
        <w:rFonts w:hint="default"/>
      </w:rPr>
    </w:lvl>
    <w:lvl w:ilvl="7">
      <w:start w:val="1"/>
      <w:numFmt w:val="none"/>
      <w:lvlText w:val=""/>
      <w:lvlJc w:val="left"/>
      <w:pPr>
        <w:ind w:left="2041" w:hanging="4082"/>
      </w:pPr>
      <w:rPr>
        <w:rFonts w:hint="default"/>
      </w:rPr>
    </w:lvl>
    <w:lvl w:ilvl="8">
      <w:start w:val="1"/>
      <w:numFmt w:val="none"/>
      <w:lvlText w:val=""/>
      <w:lvlJc w:val="left"/>
      <w:pPr>
        <w:ind w:left="2041" w:hanging="4082"/>
      </w:pPr>
      <w:rPr>
        <w:rFonts w:hint="default"/>
      </w:rPr>
    </w:lvl>
  </w:abstractNum>
  <w:abstractNum w:abstractNumId="28" w15:restartNumberingAfterBreak="0">
    <w:nsid w:val="71FF0823"/>
    <w:multiLevelType w:val="multilevel"/>
    <w:tmpl w:val="C204A7C8"/>
    <w:lvl w:ilvl="0">
      <w:start w:val="1"/>
      <w:numFmt w:val="decimal"/>
      <w:lvlText w:val="%1"/>
      <w:lvlJc w:val="left"/>
      <w:pPr>
        <w:ind w:left="2041" w:hanging="2041"/>
      </w:pPr>
      <w:rPr>
        <w:rFonts w:asciiTheme="minorHAnsi" w:hAnsiTheme="minorHAnsi" w:hint="default"/>
        <w:b/>
        <w:i w:val="0"/>
        <w:color w:val="82C341" w:themeColor="background1"/>
        <w:sz w:val="72"/>
      </w:rPr>
    </w:lvl>
    <w:lvl w:ilvl="1">
      <w:start w:val="1"/>
      <w:numFmt w:val="decimal"/>
      <w:pStyle w:val="Heading1Numbered"/>
      <w:lvlText w:val="%1.%2"/>
      <w:lvlJc w:val="left"/>
      <w:pPr>
        <w:ind w:left="0" w:hanging="851"/>
      </w:pPr>
      <w:rPr>
        <w:rFonts w:hint="default"/>
      </w:rPr>
    </w:lvl>
    <w:lvl w:ilvl="2">
      <w:start w:val="1"/>
      <w:numFmt w:val="decimal"/>
      <w:pStyle w:val="Heading2Numbered"/>
      <w:lvlText w:val="%1.%2.%3"/>
      <w:lvlJc w:val="left"/>
      <w:pPr>
        <w:ind w:left="567" w:hanging="567"/>
      </w:pPr>
      <w:rPr>
        <w:rFonts w:hint="default"/>
      </w:rPr>
    </w:lvl>
    <w:lvl w:ilvl="3">
      <w:start w:val="1"/>
      <w:numFmt w:val="decimal"/>
      <w:pStyle w:val="Heading3Numbered"/>
      <w:lvlText w:val="%1.%2.%3.%4"/>
      <w:lvlJc w:val="left"/>
      <w:pPr>
        <w:ind w:left="567" w:hanging="567"/>
      </w:pPr>
      <w:rPr>
        <w:rFonts w:hint="default"/>
      </w:rPr>
    </w:lvl>
    <w:lvl w:ilvl="4">
      <w:start w:val="1"/>
      <w:numFmt w:val="none"/>
      <w:lvlText w:val=""/>
      <w:lvlJc w:val="left"/>
      <w:pPr>
        <w:ind w:left="2041" w:hanging="4082"/>
      </w:pPr>
      <w:rPr>
        <w:rFonts w:hint="default"/>
      </w:rPr>
    </w:lvl>
    <w:lvl w:ilvl="5">
      <w:start w:val="1"/>
      <w:numFmt w:val="none"/>
      <w:lvlText w:val=""/>
      <w:lvlJc w:val="left"/>
      <w:pPr>
        <w:ind w:left="2041" w:hanging="4082"/>
      </w:pPr>
      <w:rPr>
        <w:rFonts w:hint="default"/>
      </w:rPr>
    </w:lvl>
    <w:lvl w:ilvl="6">
      <w:start w:val="1"/>
      <w:numFmt w:val="none"/>
      <w:lvlText w:val=""/>
      <w:lvlJc w:val="left"/>
      <w:pPr>
        <w:ind w:left="2041" w:hanging="4082"/>
      </w:pPr>
      <w:rPr>
        <w:rFonts w:hint="default"/>
      </w:rPr>
    </w:lvl>
    <w:lvl w:ilvl="7">
      <w:start w:val="1"/>
      <w:numFmt w:val="none"/>
      <w:lvlText w:val=""/>
      <w:lvlJc w:val="left"/>
      <w:pPr>
        <w:ind w:left="2041" w:hanging="4082"/>
      </w:pPr>
      <w:rPr>
        <w:rFonts w:hint="default"/>
      </w:rPr>
    </w:lvl>
    <w:lvl w:ilvl="8">
      <w:start w:val="1"/>
      <w:numFmt w:val="none"/>
      <w:lvlText w:val=""/>
      <w:lvlJc w:val="left"/>
      <w:pPr>
        <w:ind w:left="2041" w:hanging="4082"/>
      </w:pPr>
      <w:rPr>
        <w:rFonts w:hint="default"/>
      </w:rPr>
    </w:lvl>
  </w:abstractNum>
  <w:abstractNum w:abstractNumId="29" w15:restartNumberingAfterBreak="0">
    <w:nsid w:val="7839021E"/>
    <w:multiLevelType w:val="multilevel"/>
    <w:tmpl w:val="E0E09B5E"/>
    <w:name w:val="DEPIListNumbering"/>
    <w:lvl w:ilvl="0">
      <w:start w:val="1"/>
      <w:numFmt w:val="decimal"/>
      <w:lvlText w:val="%1."/>
      <w:lvlJc w:val="left"/>
      <w:pPr>
        <w:tabs>
          <w:tab w:val="num" w:pos="340"/>
        </w:tabs>
        <w:ind w:left="340" w:hanging="340"/>
      </w:pPr>
      <w:rPr>
        <w:rFonts w:hint="default"/>
        <w:color w:val="000000" w:themeColor="text1"/>
        <w:spacing w:val="0"/>
        <w:sz w:val="20"/>
      </w:rPr>
    </w:lvl>
    <w:lvl w:ilvl="1">
      <w:start w:val="1"/>
      <w:numFmt w:val="lowerLetter"/>
      <w:lvlText w:val="%2."/>
      <w:lvlJc w:val="left"/>
      <w:pPr>
        <w:tabs>
          <w:tab w:val="num" w:pos="680"/>
        </w:tabs>
        <w:ind w:left="680" w:hanging="340"/>
      </w:pPr>
      <w:rPr>
        <w:rFonts w:hint="default"/>
        <w:color w:val="000000" w:themeColor="text1"/>
        <w:spacing w:val="0"/>
        <w:sz w:val="20"/>
      </w:rPr>
    </w:lvl>
    <w:lvl w:ilvl="2">
      <w:start w:val="1"/>
      <w:numFmt w:val="lowerRoman"/>
      <w:lvlText w:val="%3."/>
      <w:lvlJc w:val="left"/>
      <w:pPr>
        <w:tabs>
          <w:tab w:val="num" w:pos="1049"/>
        </w:tabs>
        <w:ind w:left="1049" w:hanging="369"/>
      </w:pPr>
      <w:rPr>
        <w:rFonts w:hint="default"/>
        <w:color w:val="000000"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0" w15:restartNumberingAfterBreak="0">
    <w:nsid w:val="7AD21675"/>
    <w:multiLevelType w:val="hybridMultilevel"/>
    <w:tmpl w:val="8BA00BEE"/>
    <w:lvl w:ilvl="0" w:tplc="EED2963E">
      <w:start w:val="1"/>
      <w:numFmt w:val="decimal"/>
      <w:pStyle w:val="Numberedlist"/>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B16EE1"/>
    <w:multiLevelType w:val="hybridMultilevel"/>
    <w:tmpl w:val="4BDE03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13"/>
  </w:num>
  <w:num w:numId="6">
    <w:abstractNumId w:val="27"/>
  </w:num>
  <w:num w:numId="7">
    <w:abstractNumId w:val="12"/>
  </w:num>
  <w:num w:numId="8">
    <w:abstractNumId w:val="10"/>
  </w:num>
  <w:num w:numId="9">
    <w:abstractNumId w:val="14"/>
  </w:num>
  <w:num w:numId="10">
    <w:abstractNumId w:val="6"/>
  </w:num>
  <w:num w:numId="11">
    <w:abstractNumId w:val="25"/>
  </w:num>
  <w:num w:numId="12">
    <w:abstractNumId w:val="9"/>
  </w:num>
  <w:num w:numId="13">
    <w:abstractNumId w:val="28"/>
  </w:num>
  <w:num w:numId="14">
    <w:abstractNumId w:val="24"/>
  </w:num>
  <w:num w:numId="15">
    <w:abstractNumId w:val="30"/>
  </w:num>
  <w:num w:numId="16">
    <w:abstractNumId w:val="5"/>
  </w:num>
  <w:num w:numId="17">
    <w:abstractNumId w:val="19"/>
  </w:num>
  <w:num w:numId="18">
    <w:abstractNumId w:val="22"/>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0"/>
  </w:num>
  <w:num w:numId="24">
    <w:abstractNumId w:val="18"/>
  </w:num>
  <w:num w:numId="25">
    <w:abstractNumId w:val="17"/>
  </w:num>
  <w:num w:numId="26">
    <w:abstractNumId w:val="26"/>
  </w:num>
  <w:num w:numId="27">
    <w:abstractNumId w:val="23"/>
  </w:num>
  <w:num w:numId="28">
    <w:abstractNumId w:val="31"/>
  </w:num>
  <w:num w:numId="29">
    <w:abstractNumId w:val="21"/>
  </w:num>
  <w:num w:numId="30">
    <w:abstractNumId w:val="4"/>
  </w:num>
  <w:num w:numId="31">
    <w:abstractNumId w:val="16"/>
  </w:num>
  <w:num w:numId="32">
    <w:abstractNumId w:val="11"/>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6"/>
  </w:num>
  <w:num w:numId="36">
    <w:abstractNumId w:val="6"/>
  </w:num>
  <w:num w:numId="37">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OxsDAyMjAxMDE0NjZV0lEKTi0uzszPAykws6gFAMV8Uy8tAAAA"/>
  </w:docVars>
  <w:rsids>
    <w:rsidRoot w:val="00B97FF6"/>
    <w:rsid w:val="00000103"/>
    <w:rsid w:val="000004F9"/>
    <w:rsid w:val="0000368F"/>
    <w:rsid w:val="000042E3"/>
    <w:rsid w:val="00004663"/>
    <w:rsid w:val="0000628D"/>
    <w:rsid w:val="00007C2C"/>
    <w:rsid w:val="00010DAB"/>
    <w:rsid w:val="00011955"/>
    <w:rsid w:val="000128BB"/>
    <w:rsid w:val="00013150"/>
    <w:rsid w:val="00014F29"/>
    <w:rsid w:val="00014FF1"/>
    <w:rsid w:val="00016490"/>
    <w:rsid w:val="00016EE4"/>
    <w:rsid w:val="000170FC"/>
    <w:rsid w:val="00020F9A"/>
    <w:rsid w:val="00022479"/>
    <w:rsid w:val="000237D6"/>
    <w:rsid w:val="00023FB5"/>
    <w:rsid w:val="000245F7"/>
    <w:rsid w:val="00024CD9"/>
    <w:rsid w:val="00024D4D"/>
    <w:rsid w:val="000257EA"/>
    <w:rsid w:val="00025A68"/>
    <w:rsid w:val="0002656C"/>
    <w:rsid w:val="00027C6E"/>
    <w:rsid w:val="00030BA8"/>
    <w:rsid w:val="0003104A"/>
    <w:rsid w:val="00031468"/>
    <w:rsid w:val="00031DC1"/>
    <w:rsid w:val="00032022"/>
    <w:rsid w:val="000334BA"/>
    <w:rsid w:val="00033D66"/>
    <w:rsid w:val="000342C3"/>
    <w:rsid w:val="000350BF"/>
    <w:rsid w:val="00035622"/>
    <w:rsid w:val="00035D74"/>
    <w:rsid w:val="00037EE0"/>
    <w:rsid w:val="00041007"/>
    <w:rsid w:val="00041D65"/>
    <w:rsid w:val="000428B9"/>
    <w:rsid w:val="00042F5B"/>
    <w:rsid w:val="00042F88"/>
    <w:rsid w:val="0004300D"/>
    <w:rsid w:val="00043B1F"/>
    <w:rsid w:val="00043D56"/>
    <w:rsid w:val="00044460"/>
    <w:rsid w:val="000446AA"/>
    <w:rsid w:val="000457AA"/>
    <w:rsid w:val="00046386"/>
    <w:rsid w:val="00051EB4"/>
    <w:rsid w:val="000523DA"/>
    <w:rsid w:val="000535AD"/>
    <w:rsid w:val="00053F40"/>
    <w:rsid w:val="000548BD"/>
    <w:rsid w:val="0005557C"/>
    <w:rsid w:val="000558D9"/>
    <w:rsid w:val="000615C9"/>
    <w:rsid w:val="00061964"/>
    <w:rsid w:val="00061B5A"/>
    <w:rsid w:val="00061D61"/>
    <w:rsid w:val="000629F5"/>
    <w:rsid w:val="00062ACC"/>
    <w:rsid w:val="000653FE"/>
    <w:rsid w:val="00066082"/>
    <w:rsid w:val="000662CA"/>
    <w:rsid w:val="00066A6B"/>
    <w:rsid w:val="00066C94"/>
    <w:rsid w:val="00067772"/>
    <w:rsid w:val="00067F2E"/>
    <w:rsid w:val="00070D3D"/>
    <w:rsid w:val="00070EF8"/>
    <w:rsid w:val="00071900"/>
    <w:rsid w:val="000724A8"/>
    <w:rsid w:val="000729FA"/>
    <w:rsid w:val="000736B5"/>
    <w:rsid w:val="00073841"/>
    <w:rsid w:val="00074814"/>
    <w:rsid w:val="00074975"/>
    <w:rsid w:val="00075678"/>
    <w:rsid w:val="00075A8D"/>
    <w:rsid w:val="00075E0E"/>
    <w:rsid w:val="000762DC"/>
    <w:rsid w:val="00076E96"/>
    <w:rsid w:val="00077FA0"/>
    <w:rsid w:val="000803CD"/>
    <w:rsid w:val="00080513"/>
    <w:rsid w:val="00080C1F"/>
    <w:rsid w:val="000816AC"/>
    <w:rsid w:val="0008190F"/>
    <w:rsid w:val="000828BE"/>
    <w:rsid w:val="0008290A"/>
    <w:rsid w:val="00082C6D"/>
    <w:rsid w:val="00084507"/>
    <w:rsid w:val="00084A77"/>
    <w:rsid w:val="00084B28"/>
    <w:rsid w:val="00084F81"/>
    <w:rsid w:val="00086B23"/>
    <w:rsid w:val="000872B6"/>
    <w:rsid w:val="000909A1"/>
    <w:rsid w:val="0009122F"/>
    <w:rsid w:val="0009270C"/>
    <w:rsid w:val="00092889"/>
    <w:rsid w:val="0009342F"/>
    <w:rsid w:val="000935C5"/>
    <w:rsid w:val="00096835"/>
    <w:rsid w:val="00096BC8"/>
    <w:rsid w:val="0009703E"/>
    <w:rsid w:val="00097348"/>
    <w:rsid w:val="00097CCF"/>
    <w:rsid w:val="000A0783"/>
    <w:rsid w:val="000A133C"/>
    <w:rsid w:val="000A222A"/>
    <w:rsid w:val="000A2AD9"/>
    <w:rsid w:val="000A2FDA"/>
    <w:rsid w:val="000A3CD1"/>
    <w:rsid w:val="000A5AFC"/>
    <w:rsid w:val="000A638B"/>
    <w:rsid w:val="000A6F7B"/>
    <w:rsid w:val="000A7E9D"/>
    <w:rsid w:val="000A7FE8"/>
    <w:rsid w:val="000B0313"/>
    <w:rsid w:val="000B135A"/>
    <w:rsid w:val="000B1EFC"/>
    <w:rsid w:val="000B21AE"/>
    <w:rsid w:val="000B26F8"/>
    <w:rsid w:val="000B3727"/>
    <w:rsid w:val="000B69D8"/>
    <w:rsid w:val="000C0156"/>
    <w:rsid w:val="000C02B7"/>
    <w:rsid w:val="000C0E58"/>
    <w:rsid w:val="000C1CC2"/>
    <w:rsid w:val="000C241B"/>
    <w:rsid w:val="000C25F3"/>
    <w:rsid w:val="000C306A"/>
    <w:rsid w:val="000C35E8"/>
    <w:rsid w:val="000C3D28"/>
    <w:rsid w:val="000C5468"/>
    <w:rsid w:val="000C66EA"/>
    <w:rsid w:val="000C681A"/>
    <w:rsid w:val="000C745F"/>
    <w:rsid w:val="000C7C82"/>
    <w:rsid w:val="000C7D6D"/>
    <w:rsid w:val="000D0406"/>
    <w:rsid w:val="000D1F03"/>
    <w:rsid w:val="000D26B9"/>
    <w:rsid w:val="000D3BD4"/>
    <w:rsid w:val="000D58CF"/>
    <w:rsid w:val="000D6913"/>
    <w:rsid w:val="000D79EE"/>
    <w:rsid w:val="000E1236"/>
    <w:rsid w:val="000E2BD0"/>
    <w:rsid w:val="000E4C99"/>
    <w:rsid w:val="000E4EA0"/>
    <w:rsid w:val="000E5ACC"/>
    <w:rsid w:val="000E5BE8"/>
    <w:rsid w:val="000E6430"/>
    <w:rsid w:val="000E7187"/>
    <w:rsid w:val="000E7305"/>
    <w:rsid w:val="000E7968"/>
    <w:rsid w:val="000F2549"/>
    <w:rsid w:val="000F326D"/>
    <w:rsid w:val="000F3ED6"/>
    <w:rsid w:val="000F56D6"/>
    <w:rsid w:val="000F5DEC"/>
    <w:rsid w:val="000F629E"/>
    <w:rsid w:val="000F6806"/>
    <w:rsid w:val="000F69CB"/>
    <w:rsid w:val="000F6B43"/>
    <w:rsid w:val="00100665"/>
    <w:rsid w:val="0010183C"/>
    <w:rsid w:val="00101D61"/>
    <w:rsid w:val="001021DB"/>
    <w:rsid w:val="00102368"/>
    <w:rsid w:val="00103014"/>
    <w:rsid w:val="00103387"/>
    <w:rsid w:val="00103FF1"/>
    <w:rsid w:val="001045F9"/>
    <w:rsid w:val="00105AEC"/>
    <w:rsid w:val="00107C0D"/>
    <w:rsid w:val="00110DB9"/>
    <w:rsid w:val="00111749"/>
    <w:rsid w:val="00111FE6"/>
    <w:rsid w:val="0011289D"/>
    <w:rsid w:val="001129D6"/>
    <w:rsid w:val="00113324"/>
    <w:rsid w:val="00114BE9"/>
    <w:rsid w:val="00114C34"/>
    <w:rsid w:val="00114D04"/>
    <w:rsid w:val="00116D79"/>
    <w:rsid w:val="001174C3"/>
    <w:rsid w:val="00120B61"/>
    <w:rsid w:val="00121578"/>
    <w:rsid w:val="00123752"/>
    <w:rsid w:val="001255D6"/>
    <w:rsid w:val="00125601"/>
    <w:rsid w:val="001261CF"/>
    <w:rsid w:val="001270C6"/>
    <w:rsid w:val="001270F8"/>
    <w:rsid w:val="0013065E"/>
    <w:rsid w:val="00130666"/>
    <w:rsid w:val="00130AB4"/>
    <w:rsid w:val="00130BB8"/>
    <w:rsid w:val="0013368C"/>
    <w:rsid w:val="00136A6F"/>
    <w:rsid w:val="00140B50"/>
    <w:rsid w:val="00142451"/>
    <w:rsid w:val="0014423D"/>
    <w:rsid w:val="00144C82"/>
    <w:rsid w:val="00145539"/>
    <w:rsid w:val="001465CE"/>
    <w:rsid w:val="0014690B"/>
    <w:rsid w:val="00146998"/>
    <w:rsid w:val="00146E12"/>
    <w:rsid w:val="00146E96"/>
    <w:rsid w:val="00147BA5"/>
    <w:rsid w:val="00150E00"/>
    <w:rsid w:val="00150EA8"/>
    <w:rsid w:val="0015149A"/>
    <w:rsid w:val="0015162A"/>
    <w:rsid w:val="00151BC2"/>
    <w:rsid w:val="00154622"/>
    <w:rsid w:val="00154C4D"/>
    <w:rsid w:val="00154CBD"/>
    <w:rsid w:val="00155553"/>
    <w:rsid w:val="00157CA8"/>
    <w:rsid w:val="00157ED6"/>
    <w:rsid w:val="00160153"/>
    <w:rsid w:val="001609CD"/>
    <w:rsid w:val="00161B69"/>
    <w:rsid w:val="001626E9"/>
    <w:rsid w:val="00164525"/>
    <w:rsid w:val="00164C38"/>
    <w:rsid w:val="001664BB"/>
    <w:rsid w:val="0016744F"/>
    <w:rsid w:val="00167A3D"/>
    <w:rsid w:val="00167C77"/>
    <w:rsid w:val="001704F8"/>
    <w:rsid w:val="001705CF"/>
    <w:rsid w:val="00170F8F"/>
    <w:rsid w:val="0017162B"/>
    <w:rsid w:val="00171BB3"/>
    <w:rsid w:val="00172843"/>
    <w:rsid w:val="0017338D"/>
    <w:rsid w:val="00173405"/>
    <w:rsid w:val="001738B1"/>
    <w:rsid w:val="00174FE4"/>
    <w:rsid w:val="001761C8"/>
    <w:rsid w:val="001773DF"/>
    <w:rsid w:val="001800D7"/>
    <w:rsid w:val="00181ADC"/>
    <w:rsid w:val="0018225B"/>
    <w:rsid w:val="0018421D"/>
    <w:rsid w:val="00185366"/>
    <w:rsid w:val="00186FF5"/>
    <w:rsid w:val="00190648"/>
    <w:rsid w:val="00190898"/>
    <w:rsid w:val="00191121"/>
    <w:rsid w:val="00191907"/>
    <w:rsid w:val="001922BB"/>
    <w:rsid w:val="00192639"/>
    <w:rsid w:val="001940D3"/>
    <w:rsid w:val="00194115"/>
    <w:rsid w:val="00195D9D"/>
    <w:rsid w:val="0019616A"/>
    <w:rsid w:val="0019671B"/>
    <w:rsid w:val="001967C7"/>
    <w:rsid w:val="00196D4F"/>
    <w:rsid w:val="00196E95"/>
    <w:rsid w:val="0019761E"/>
    <w:rsid w:val="001A0253"/>
    <w:rsid w:val="001A260F"/>
    <w:rsid w:val="001A4B07"/>
    <w:rsid w:val="001A4D0D"/>
    <w:rsid w:val="001A55CB"/>
    <w:rsid w:val="001A6628"/>
    <w:rsid w:val="001B01F3"/>
    <w:rsid w:val="001B0E4E"/>
    <w:rsid w:val="001B2822"/>
    <w:rsid w:val="001B2987"/>
    <w:rsid w:val="001B3D04"/>
    <w:rsid w:val="001B43F4"/>
    <w:rsid w:val="001B5335"/>
    <w:rsid w:val="001B5FF9"/>
    <w:rsid w:val="001B6BDC"/>
    <w:rsid w:val="001B719C"/>
    <w:rsid w:val="001B77FA"/>
    <w:rsid w:val="001C12ED"/>
    <w:rsid w:val="001C15C2"/>
    <w:rsid w:val="001C1A60"/>
    <w:rsid w:val="001C1D27"/>
    <w:rsid w:val="001C1E01"/>
    <w:rsid w:val="001C21F7"/>
    <w:rsid w:val="001C3D17"/>
    <w:rsid w:val="001C41CA"/>
    <w:rsid w:val="001C57FA"/>
    <w:rsid w:val="001C67E9"/>
    <w:rsid w:val="001C7BBD"/>
    <w:rsid w:val="001D0A3B"/>
    <w:rsid w:val="001D32F4"/>
    <w:rsid w:val="001D5358"/>
    <w:rsid w:val="001D5776"/>
    <w:rsid w:val="001D587D"/>
    <w:rsid w:val="001D6F01"/>
    <w:rsid w:val="001D79CB"/>
    <w:rsid w:val="001E0606"/>
    <w:rsid w:val="001E0B0D"/>
    <w:rsid w:val="001E0B7D"/>
    <w:rsid w:val="001E17E9"/>
    <w:rsid w:val="001E1AE2"/>
    <w:rsid w:val="001E3A9F"/>
    <w:rsid w:val="001E4BD4"/>
    <w:rsid w:val="001E4E8F"/>
    <w:rsid w:val="001E5C54"/>
    <w:rsid w:val="001E68C8"/>
    <w:rsid w:val="001F0478"/>
    <w:rsid w:val="001F07FE"/>
    <w:rsid w:val="001F0C5C"/>
    <w:rsid w:val="001F1A07"/>
    <w:rsid w:val="001F20BD"/>
    <w:rsid w:val="001F21DC"/>
    <w:rsid w:val="001F3676"/>
    <w:rsid w:val="001F6978"/>
    <w:rsid w:val="00200941"/>
    <w:rsid w:val="00201762"/>
    <w:rsid w:val="002019D6"/>
    <w:rsid w:val="00201D73"/>
    <w:rsid w:val="00202218"/>
    <w:rsid w:val="002025EA"/>
    <w:rsid w:val="00203313"/>
    <w:rsid w:val="00203800"/>
    <w:rsid w:val="00203D4F"/>
    <w:rsid w:val="00203F61"/>
    <w:rsid w:val="00204068"/>
    <w:rsid w:val="0020418F"/>
    <w:rsid w:val="00204477"/>
    <w:rsid w:val="00204AC2"/>
    <w:rsid w:val="0020592A"/>
    <w:rsid w:val="00205952"/>
    <w:rsid w:val="00206DDD"/>
    <w:rsid w:val="0020727F"/>
    <w:rsid w:val="002075B8"/>
    <w:rsid w:val="00207AAD"/>
    <w:rsid w:val="00210A74"/>
    <w:rsid w:val="00210BB5"/>
    <w:rsid w:val="00212E43"/>
    <w:rsid w:val="00214926"/>
    <w:rsid w:val="00216F2C"/>
    <w:rsid w:val="002174A2"/>
    <w:rsid w:val="00220FD7"/>
    <w:rsid w:val="002211F4"/>
    <w:rsid w:val="00221487"/>
    <w:rsid w:val="00222D42"/>
    <w:rsid w:val="00223BB6"/>
    <w:rsid w:val="0022459D"/>
    <w:rsid w:val="00224A1F"/>
    <w:rsid w:val="002253CE"/>
    <w:rsid w:val="002255B2"/>
    <w:rsid w:val="00225E86"/>
    <w:rsid w:val="00225FF8"/>
    <w:rsid w:val="00226206"/>
    <w:rsid w:val="00226542"/>
    <w:rsid w:val="0022730A"/>
    <w:rsid w:val="00227ADC"/>
    <w:rsid w:val="00227B38"/>
    <w:rsid w:val="00230269"/>
    <w:rsid w:val="00231F5A"/>
    <w:rsid w:val="00234408"/>
    <w:rsid w:val="00235B47"/>
    <w:rsid w:val="0023649C"/>
    <w:rsid w:val="00237087"/>
    <w:rsid w:val="00237BBA"/>
    <w:rsid w:val="00237F37"/>
    <w:rsid w:val="00240079"/>
    <w:rsid w:val="0024021B"/>
    <w:rsid w:val="0024179A"/>
    <w:rsid w:val="00241F93"/>
    <w:rsid w:val="0024289D"/>
    <w:rsid w:val="00243723"/>
    <w:rsid w:val="00243763"/>
    <w:rsid w:val="00243BCE"/>
    <w:rsid w:val="00244526"/>
    <w:rsid w:val="00246A79"/>
    <w:rsid w:val="0024784F"/>
    <w:rsid w:val="0025043E"/>
    <w:rsid w:val="0025058C"/>
    <w:rsid w:val="00250911"/>
    <w:rsid w:val="00251A30"/>
    <w:rsid w:val="00251F7B"/>
    <w:rsid w:val="00251FEB"/>
    <w:rsid w:val="00252312"/>
    <w:rsid w:val="0025276B"/>
    <w:rsid w:val="002547FA"/>
    <w:rsid w:val="002566EE"/>
    <w:rsid w:val="002608B4"/>
    <w:rsid w:val="00260C54"/>
    <w:rsid w:val="00263340"/>
    <w:rsid w:val="002633AB"/>
    <w:rsid w:val="00263484"/>
    <w:rsid w:val="00263653"/>
    <w:rsid w:val="00263D15"/>
    <w:rsid w:val="00264034"/>
    <w:rsid w:val="002643B1"/>
    <w:rsid w:val="002649F2"/>
    <w:rsid w:val="00265EE2"/>
    <w:rsid w:val="002662F1"/>
    <w:rsid w:val="0026681D"/>
    <w:rsid w:val="002671B2"/>
    <w:rsid w:val="00267612"/>
    <w:rsid w:val="00267892"/>
    <w:rsid w:val="002679FB"/>
    <w:rsid w:val="00271428"/>
    <w:rsid w:val="00271B6C"/>
    <w:rsid w:val="00272852"/>
    <w:rsid w:val="002739D9"/>
    <w:rsid w:val="00273DE0"/>
    <w:rsid w:val="00275002"/>
    <w:rsid w:val="002766FF"/>
    <w:rsid w:val="0027681C"/>
    <w:rsid w:val="00276DC8"/>
    <w:rsid w:val="00277FA7"/>
    <w:rsid w:val="00281012"/>
    <w:rsid w:val="0028153E"/>
    <w:rsid w:val="00281D71"/>
    <w:rsid w:val="002854A4"/>
    <w:rsid w:val="0028567E"/>
    <w:rsid w:val="00285938"/>
    <w:rsid w:val="00285CB1"/>
    <w:rsid w:val="0028610B"/>
    <w:rsid w:val="0028719A"/>
    <w:rsid w:val="002879E7"/>
    <w:rsid w:val="0029258F"/>
    <w:rsid w:val="002938B6"/>
    <w:rsid w:val="00294DE7"/>
    <w:rsid w:val="00295707"/>
    <w:rsid w:val="002957A6"/>
    <w:rsid w:val="00295B01"/>
    <w:rsid w:val="002A0B1C"/>
    <w:rsid w:val="002A1766"/>
    <w:rsid w:val="002A23D4"/>
    <w:rsid w:val="002A2535"/>
    <w:rsid w:val="002A278B"/>
    <w:rsid w:val="002A4D1A"/>
    <w:rsid w:val="002A5C96"/>
    <w:rsid w:val="002A5D4A"/>
    <w:rsid w:val="002A7A10"/>
    <w:rsid w:val="002A7EB0"/>
    <w:rsid w:val="002B13A1"/>
    <w:rsid w:val="002B2B9F"/>
    <w:rsid w:val="002B4D4D"/>
    <w:rsid w:val="002B4F0A"/>
    <w:rsid w:val="002B518A"/>
    <w:rsid w:val="002B5DFB"/>
    <w:rsid w:val="002B6DE1"/>
    <w:rsid w:val="002B75E6"/>
    <w:rsid w:val="002B7B29"/>
    <w:rsid w:val="002B7CB6"/>
    <w:rsid w:val="002C0079"/>
    <w:rsid w:val="002C091F"/>
    <w:rsid w:val="002C0EC6"/>
    <w:rsid w:val="002C1573"/>
    <w:rsid w:val="002C1697"/>
    <w:rsid w:val="002C1BA7"/>
    <w:rsid w:val="002C310B"/>
    <w:rsid w:val="002C4E2D"/>
    <w:rsid w:val="002C5201"/>
    <w:rsid w:val="002C5472"/>
    <w:rsid w:val="002C5513"/>
    <w:rsid w:val="002C5B4A"/>
    <w:rsid w:val="002C6684"/>
    <w:rsid w:val="002C71B9"/>
    <w:rsid w:val="002C7869"/>
    <w:rsid w:val="002D1587"/>
    <w:rsid w:val="002D1766"/>
    <w:rsid w:val="002D180E"/>
    <w:rsid w:val="002D3464"/>
    <w:rsid w:val="002D4B7F"/>
    <w:rsid w:val="002D5654"/>
    <w:rsid w:val="002D6FE8"/>
    <w:rsid w:val="002D70FB"/>
    <w:rsid w:val="002D72B0"/>
    <w:rsid w:val="002D7C77"/>
    <w:rsid w:val="002E0B3B"/>
    <w:rsid w:val="002E0B98"/>
    <w:rsid w:val="002E1351"/>
    <w:rsid w:val="002E259B"/>
    <w:rsid w:val="002E2A72"/>
    <w:rsid w:val="002E30EE"/>
    <w:rsid w:val="002E4157"/>
    <w:rsid w:val="002E4C0D"/>
    <w:rsid w:val="002E4C9D"/>
    <w:rsid w:val="002E5385"/>
    <w:rsid w:val="002E5F17"/>
    <w:rsid w:val="002E667B"/>
    <w:rsid w:val="002E72DD"/>
    <w:rsid w:val="002E72E9"/>
    <w:rsid w:val="002F0CEA"/>
    <w:rsid w:val="002F2318"/>
    <w:rsid w:val="002F31EE"/>
    <w:rsid w:val="002F3B9A"/>
    <w:rsid w:val="002F6153"/>
    <w:rsid w:val="002F6390"/>
    <w:rsid w:val="002F6C13"/>
    <w:rsid w:val="00300C34"/>
    <w:rsid w:val="003018F9"/>
    <w:rsid w:val="0030192E"/>
    <w:rsid w:val="00301960"/>
    <w:rsid w:val="003029DE"/>
    <w:rsid w:val="00302C86"/>
    <w:rsid w:val="003032F8"/>
    <w:rsid w:val="00303DF1"/>
    <w:rsid w:val="0030419E"/>
    <w:rsid w:val="0030495D"/>
    <w:rsid w:val="00304E2B"/>
    <w:rsid w:val="00304F91"/>
    <w:rsid w:val="00305D15"/>
    <w:rsid w:val="00306340"/>
    <w:rsid w:val="00306EEA"/>
    <w:rsid w:val="003072B8"/>
    <w:rsid w:val="00310262"/>
    <w:rsid w:val="003104D8"/>
    <w:rsid w:val="003111A2"/>
    <w:rsid w:val="00312C04"/>
    <w:rsid w:val="00315957"/>
    <w:rsid w:val="00315F1A"/>
    <w:rsid w:val="0031656B"/>
    <w:rsid w:val="00316B75"/>
    <w:rsid w:val="00316BBC"/>
    <w:rsid w:val="00316C1B"/>
    <w:rsid w:val="0031719B"/>
    <w:rsid w:val="00320108"/>
    <w:rsid w:val="003213B8"/>
    <w:rsid w:val="00321545"/>
    <w:rsid w:val="0032289C"/>
    <w:rsid w:val="00322F68"/>
    <w:rsid w:val="003243E0"/>
    <w:rsid w:val="0032460C"/>
    <w:rsid w:val="00324CC8"/>
    <w:rsid w:val="00325C06"/>
    <w:rsid w:val="003304F7"/>
    <w:rsid w:val="00331D83"/>
    <w:rsid w:val="00331F1E"/>
    <w:rsid w:val="00332AC2"/>
    <w:rsid w:val="00332D07"/>
    <w:rsid w:val="00333325"/>
    <w:rsid w:val="003363DD"/>
    <w:rsid w:val="00336FAA"/>
    <w:rsid w:val="00337BE2"/>
    <w:rsid w:val="0034004D"/>
    <w:rsid w:val="00342778"/>
    <w:rsid w:val="00342A05"/>
    <w:rsid w:val="00342A48"/>
    <w:rsid w:val="00342D0E"/>
    <w:rsid w:val="003434B3"/>
    <w:rsid w:val="00343F5C"/>
    <w:rsid w:val="00345F2E"/>
    <w:rsid w:val="003473F5"/>
    <w:rsid w:val="00351765"/>
    <w:rsid w:val="003527ED"/>
    <w:rsid w:val="00352DD1"/>
    <w:rsid w:val="00352E92"/>
    <w:rsid w:val="00353DD3"/>
    <w:rsid w:val="00355778"/>
    <w:rsid w:val="00355BF7"/>
    <w:rsid w:val="00355D61"/>
    <w:rsid w:val="00356B6F"/>
    <w:rsid w:val="00357B8E"/>
    <w:rsid w:val="00360BA8"/>
    <w:rsid w:val="00360F5F"/>
    <w:rsid w:val="003618C0"/>
    <w:rsid w:val="00362522"/>
    <w:rsid w:val="00362E17"/>
    <w:rsid w:val="00363785"/>
    <w:rsid w:val="0036448C"/>
    <w:rsid w:val="00365E4F"/>
    <w:rsid w:val="00366343"/>
    <w:rsid w:val="003671A6"/>
    <w:rsid w:val="003706B7"/>
    <w:rsid w:val="00370D7E"/>
    <w:rsid w:val="00370FC1"/>
    <w:rsid w:val="00371F13"/>
    <w:rsid w:val="003722F3"/>
    <w:rsid w:val="003730D9"/>
    <w:rsid w:val="0037370F"/>
    <w:rsid w:val="00373F48"/>
    <w:rsid w:val="00376089"/>
    <w:rsid w:val="00376FB4"/>
    <w:rsid w:val="00377793"/>
    <w:rsid w:val="0038079A"/>
    <w:rsid w:val="003807CC"/>
    <w:rsid w:val="00380986"/>
    <w:rsid w:val="0038159E"/>
    <w:rsid w:val="0038199D"/>
    <w:rsid w:val="00381BD6"/>
    <w:rsid w:val="003849F3"/>
    <w:rsid w:val="00384DFD"/>
    <w:rsid w:val="003855B5"/>
    <w:rsid w:val="00385E7C"/>
    <w:rsid w:val="00386CA8"/>
    <w:rsid w:val="00386EF6"/>
    <w:rsid w:val="0039266E"/>
    <w:rsid w:val="00392CD9"/>
    <w:rsid w:val="00394610"/>
    <w:rsid w:val="00395787"/>
    <w:rsid w:val="00396F6A"/>
    <w:rsid w:val="003974CA"/>
    <w:rsid w:val="003A003B"/>
    <w:rsid w:val="003A12BF"/>
    <w:rsid w:val="003A1515"/>
    <w:rsid w:val="003A1CCD"/>
    <w:rsid w:val="003A2096"/>
    <w:rsid w:val="003A2E29"/>
    <w:rsid w:val="003A329A"/>
    <w:rsid w:val="003A3B35"/>
    <w:rsid w:val="003A44AB"/>
    <w:rsid w:val="003A5BC6"/>
    <w:rsid w:val="003A7560"/>
    <w:rsid w:val="003A761A"/>
    <w:rsid w:val="003A78C8"/>
    <w:rsid w:val="003A7A1B"/>
    <w:rsid w:val="003A7C37"/>
    <w:rsid w:val="003B07B7"/>
    <w:rsid w:val="003B32D3"/>
    <w:rsid w:val="003B39C1"/>
    <w:rsid w:val="003B3FC9"/>
    <w:rsid w:val="003B7F4B"/>
    <w:rsid w:val="003C2596"/>
    <w:rsid w:val="003C29B5"/>
    <w:rsid w:val="003C2D7D"/>
    <w:rsid w:val="003C35A6"/>
    <w:rsid w:val="003C5779"/>
    <w:rsid w:val="003C5FDB"/>
    <w:rsid w:val="003C6CCA"/>
    <w:rsid w:val="003C7FBE"/>
    <w:rsid w:val="003D185D"/>
    <w:rsid w:val="003D201E"/>
    <w:rsid w:val="003D2C51"/>
    <w:rsid w:val="003D3D21"/>
    <w:rsid w:val="003D5C04"/>
    <w:rsid w:val="003D664B"/>
    <w:rsid w:val="003D70D5"/>
    <w:rsid w:val="003E071A"/>
    <w:rsid w:val="003E2121"/>
    <w:rsid w:val="003E4007"/>
    <w:rsid w:val="003E407B"/>
    <w:rsid w:val="003E518E"/>
    <w:rsid w:val="003E5515"/>
    <w:rsid w:val="003E5A24"/>
    <w:rsid w:val="003E6177"/>
    <w:rsid w:val="003F014F"/>
    <w:rsid w:val="003F09FB"/>
    <w:rsid w:val="003F0A63"/>
    <w:rsid w:val="003F15CC"/>
    <w:rsid w:val="003F15E3"/>
    <w:rsid w:val="003F15EF"/>
    <w:rsid w:val="003F161D"/>
    <w:rsid w:val="003F1670"/>
    <w:rsid w:val="003F2EA2"/>
    <w:rsid w:val="003F36F8"/>
    <w:rsid w:val="003F3912"/>
    <w:rsid w:val="003F5F40"/>
    <w:rsid w:val="003F602E"/>
    <w:rsid w:val="003F640E"/>
    <w:rsid w:val="003F6609"/>
    <w:rsid w:val="003F7590"/>
    <w:rsid w:val="003F76A8"/>
    <w:rsid w:val="0040013F"/>
    <w:rsid w:val="00400495"/>
    <w:rsid w:val="00401121"/>
    <w:rsid w:val="0040137B"/>
    <w:rsid w:val="00401BD2"/>
    <w:rsid w:val="004029F6"/>
    <w:rsid w:val="00405906"/>
    <w:rsid w:val="00405B4E"/>
    <w:rsid w:val="0040663C"/>
    <w:rsid w:val="0040754F"/>
    <w:rsid w:val="0041259B"/>
    <w:rsid w:val="00412CE0"/>
    <w:rsid w:val="00413545"/>
    <w:rsid w:val="004169A0"/>
    <w:rsid w:val="004204BB"/>
    <w:rsid w:val="00421616"/>
    <w:rsid w:val="00421813"/>
    <w:rsid w:val="00423915"/>
    <w:rsid w:val="00423D73"/>
    <w:rsid w:val="00425449"/>
    <w:rsid w:val="00425AAF"/>
    <w:rsid w:val="004260C2"/>
    <w:rsid w:val="00426789"/>
    <w:rsid w:val="004276FA"/>
    <w:rsid w:val="004277B7"/>
    <w:rsid w:val="00430426"/>
    <w:rsid w:val="00430B88"/>
    <w:rsid w:val="00433C24"/>
    <w:rsid w:val="004358B6"/>
    <w:rsid w:val="00435EBE"/>
    <w:rsid w:val="00435EDC"/>
    <w:rsid w:val="00436744"/>
    <w:rsid w:val="0043792C"/>
    <w:rsid w:val="004406E8"/>
    <w:rsid w:val="0044342D"/>
    <w:rsid w:val="00443437"/>
    <w:rsid w:val="00444EF0"/>
    <w:rsid w:val="0044521E"/>
    <w:rsid w:val="004458ED"/>
    <w:rsid w:val="00445B7E"/>
    <w:rsid w:val="00445DB8"/>
    <w:rsid w:val="00447736"/>
    <w:rsid w:val="00447BEB"/>
    <w:rsid w:val="0045012C"/>
    <w:rsid w:val="0045125A"/>
    <w:rsid w:val="004525C8"/>
    <w:rsid w:val="0045279F"/>
    <w:rsid w:val="004538C0"/>
    <w:rsid w:val="00453919"/>
    <w:rsid w:val="00454AC1"/>
    <w:rsid w:val="00454D31"/>
    <w:rsid w:val="00455DD4"/>
    <w:rsid w:val="00456498"/>
    <w:rsid w:val="0045665B"/>
    <w:rsid w:val="004567D3"/>
    <w:rsid w:val="0045749D"/>
    <w:rsid w:val="004574C4"/>
    <w:rsid w:val="00457B9F"/>
    <w:rsid w:val="004602A9"/>
    <w:rsid w:val="00461A18"/>
    <w:rsid w:val="004620EE"/>
    <w:rsid w:val="00463413"/>
    <w:rsid w:val="00464172"/>
    <w:rsid w:val="00464A33"/>
    <w:rsid w:val="00466EC6"/>
    <w:rsid w:val="0046763E"/>
    <w:rsid w:val="00471062"/>
    <w:rsid w:val="0047146C"/>
    <w:rsid w:val="00474364"/>
    <w:rsid w:val="004755BE"/>
    <w:rsid w:val="00475927"/>
    <w:rsid w:val="00476203"/>
    <w:rsid w:val="00477F36"/>
    <w:rsid w:val="00481548"/>
    <w:rsid w:val="004830EE"/>
    <w:rsid w:val="0048380A"/>
    <w:rsid w:val="00484BD3"/>
    <w:rsid w:val="0048526A"/>
    <w:rsid w:val="00485FBA"/>
    <w:rsid w:val="0048763C"/>
    <w:rsid w:val="00487E73"/>
    <w:rsid w:val="004904F0"/>
    <w:rsid w:val="004931E2"/>
    <w:rsid w:val="00493A58"/>
    <w:rsid w:val="00493D80"/>
    <w:rsid w:val="00493F9F"/>
    <w:rsid w:val="004950C7"/>
    <w:rsid w:val="00496056"/>
    <w:rsid w:val="004972BF"/>
    <w:rsid w:val="004978C3"/>
    <w:rsid w:val="004A031F"/>
    <w:rsid w:val="004A041D"/>
    <w:rsid w:val="004A0ADE"/>
    <w:rsid w:val="004A0D83"/>
    <w:rsid w:val="004A1409"/>
    <w:rsid w:val="004A171C"/>
    <w:rsid w:val="004A1722"/>
    <w:rsid w:val="004A177D"/>
    <w:rsid w:val="004A20D2"/>
    <w:rsid w:val="004A275A"/>
    <w:rsid w:val="004A2D0D"/>
    <w:rsid w:val="004A2F9F"/>
    <w:rsid w:val="004A3919"/>
    <w:rsid w:val="004A44A4"/>
    <w:rsid w:val="004A5B35"/>
    <w:rsid w:val="004A5BB8"/>
    <w:rsid w:val="004A6270"/>
    <w:rsid w:val="004A6FC5"/>
    <w:rsid w:val="004A7C9F"/>
    <w:rsid w:val="004B0021"/>
    <w:rsid w:val="004B007B"/>
    <w:rsid w:val="004B1CCE"/>
    <w:rsid w:val="004B2FDD"/>
    <w:rsid w:val="004B3074"/>
    <w:rsid w:val="004B318D"/>
    <w:rsid w:val="004B31AD"/>
    <w:rsid w:val="004B38A1"/>
    <w:rsid w:val="004B48AF"/>
    <w:rsid w:val="004B4B09"/>
    <w:rsid w:val="004B4ED4"/>
    <w:rsid w:val="004B576D"/>
    <w:rsid w:val="004B6CCB"/>
    <w:rsid w:val="004C023A"/>
    <w:rsid w:val="004C051B"/>
    <w:rsid w:val="004C164B"/>
    <w:rsid w:val="004C1BAC"/>
    <w:rsid w:val="004C1F03"/>
    <w:rsid w:val="004C3919"/>
    <w:rsid w:val="004C5297"/>
    <w:rsid w:val="004C6227"/>
    <w:rsid w:val="004C6E21"/>
    <w:rsid w:val="004C74E5"/>
    <w:rsid w:val="004D007A"/>
    <w:rsid w:val="004D07BA"/>
    <w:rsid w:val="004D18DE"/>
    <w:rsid w:val="004D2B6D"/>
    <w:rsid w:val="004D30C4"/>
    <w:rsid w:val="004D3D6C"/>
    <w:rsid w:val="004D4015"/>
    <w:rsid w:val="004D6933"/>
    <w:rsid w:val="004D764A"/>
    <w:rsid w:val="004E072E"/>
    <w:rsid w:val="004E0CEB"/>
    <w:rsid w:val="004E0EFC"/>
    <w:rsid w:val="004E15A5"/>
    <w:rsid w:val="004E15B3"/>
    <w:rsid w:val="004E210B"/>
    <w:rsid w:val="004E215D"/>
    <w:rsid w:val="004E348D"/>
    <w:rsid w:val="004E4D23"/>
    <w:rsid w:val="004E5647"/>
    <w:rsid w:val="004E75D0"/>
    <w:rsid w:val="004F01DD"/>
    <w:rsid w:val="004F133C"/>
    <w:rsid w:val="004F2C0D"/>
    <w:rsid w:val="004F4045"/>
    <w:rsid w:val="004F40A6"/>
    <w:rsid w:val="004F5E46"/>
    <w:rsid w:val="004F6656"/>
    <w:rsid w:val="004F700D"/>
    <w:rsid w:val="0050047C"/>
    <w:rsid w:val="0050214A"/>
    <w:rsid w:val="005026F0"/>
    <w:rsid w:val="00502AF9"/>
    <w:rsid w:val="00502E33"/>
    <w:rsid w:val="00503AB6"/>
    <w:rsid w:val="00503B00"/>
    <w:rsid w:val="0050506F"/>
    <w:rsid w:val="005055BA"/>
    <w:rsid w:val="005061B2"/>
    <w:rsid w:val="0050643F"/>
    <w:rsid w:val="00506B88"/>
    <w:rsid w:val="00507CE1"/>
    <w:rsid w:val="00507E6B"/>
    <w:rsid w:val="00512A72"/>
    <w:rsid w:val="0051322E"/>
    <w:rsid w:val="005140AC"/>
    <w:rsid w:val="005146E2"/>
    <w:rsid w:val="00514A92"/>
    <w:rsid w:val="00514EE9"/>
    <w:rsid w:val="0051535D"/>
    <w:rsid w:val="00515715"/>
    <w:rsid w:val="00515CC2"/>
    <w:rsid w:val="00515EC5"/>
    <w:rsid w:val="00517754"/>
    <w:rsid w:val="00517A65"/>
    <w:rsid w:val="00520A1F"/>
    <w:rsid w:val="00520B14"/>
    <w:rsid w:val="00520BC5"/>
    <w:rsid w:val="00521535"/>
    <w:rsid w:val="005218DC"/>
    <w:rsid w:val="005221FC"/>
    <w:rsid w:val="0052316F"/>
    <w:rsid w:val="00523610"/>
    <w:rsid w:val="00524022"/>
    <w:rsid w:val="00524901"/>
    <w:rsid w:val="0052520E"/>
    <w:rsid w:val="005255A4"/>
    <w:rsid w:val="00525972"/>
    <w:rsid w:val="005279E6"/>
    <w:rsid w:val="00530644"/>
    <w:rsid w:val="005306AC"/>
    <w:rsid w:val="00530D76"/>
    <w:rsid w:val="005312DC"/>
    <w:rsid w:val="00531637"/>
    <w:rsid w:val="00531859"/>
    <w:rsid w:val="00531C5D"/>
    <w:rsid w:val="00531EB8"/>
    <w:rsid w:val="00531FB7"/>
    <w:rsid w:val="0053215E"/>
    <w:rsid w:val="00532C86"/>
    <w:rsid w:val="00532E6B"/>
    <w:rsid w:val="00533254"/>
    <w:rsid w:val="00533F13"/>
    <w:rsid w:val="00533F53"/>
    <w:rsid w:val="005340DB"/>
    <w:rsid w:val="00534897"/>
    <w:rsid w:val="00534E20"/>
    <w:rsid w:val="00535B23"/>
    <w:rsid w:val="00535DF2"/>
    <w:rsid w:val="00536EFE"/>
    <w:rsid w:val="00537474"/>
    <w:rsid w:val="005404C3"/>
    <w:rsid w:val="00540751"/>
    <w:rsid w:val="005408A6"/>
    <w:rsid w:val="0054218F"/>
    <w:rsid w:val="00542CF3"/>
    <w:rsid w:val="00542D82"/>
    <w:rsid w:val="00543122"/>
    <w:rsid w:val="00543FA6"/>
    <w:rsid w:val="00544829"/>
    <w:rsid w:val="005449F0"/>
    <w:rsid w:val="00546CDA"/>
    <w:rsid w:val="0054706E"/>
    <w:rsid w:val="00550512"/>
    <w:rsid w:val="00550AD4"/>
    <w:rsid w:val="00550AEE"/>
    <w:rsid w:val="00551746"/>
    <w:rsid w:val="005519E4"/>
    <w:rsid w:val="0055303D"/>
    <w:rsid w:val="00556B24"/>
    <w:rsid w:val="00556EDC"/>
    <w:rsid w:val="005600E2"/>
    <w:rsid w:val="00560702"/>
    <w:rsid w:val="00561730"/>
    <w:rsid w:val="00561922"/>
    <w:rsid w:val="00563882"/>
    <w:rsid w:val="00565D48"/>
    <w:rsid w:val="00566CBB"/>
    <w:rsid w:val="00566F71"/>
    <w:rsid w:val="00567577"/>
    <w:rsid w:val="005678B9"/>
    <w:rsid w:val="00567A68"/>
    <w:rsid w:val="00567B30"/>
    <w:rsid w:val="00567B81"/>
    <w:rsid w:val="00567FCB"/>
    <w:rsid w:val="005724C4"/>
    <w:rsid w:val="00572746"/>
    <w:rsid w:val="00572CB8"/>
    <w:rsid w:val="00574167"/>
    <w:rsid w:val="00574FB8"/>
    <w:rsid w:val="00575012"/>
    <w:rsid w:val="00575B8C"/>
    <w:rsid w:val="00575D5D"/>
    <w:rsid w:val="005769E2"/>
    <w:rsid w:val="005779D1"/>
    <w:rsid w:val="005779FF"/>
    <w:rsid w:val="005833C2"/>
    <w:rsid w:val="00583BAF"/>
    <w:rsid w:val="00584213"/>
    <w:rsid w:val="0058430E"/>
    <w:rsid w:val="00584484"/>
    <w:rsid w:val="005844EA"/>
    <w:rsid w:val="0058660E"/>
    <w:rsid w:val="00586860"/>
    <w:rsid w:val="00586D62"/>
    <w:rsid w:val="00586EE1"/>
    <w:rsid w:val="00587025"/>
    <w:rsid w:val="00587722"/>
    <w:rsid w:val="0058774F"/>
    <w:rsid w:val="0059090A"/>
    <w:rsid w:val="00593AE8"/>
    <w:rsid w:val="00595B96"/>
    <w:rsid w:val="00596DBD"/>
    <w:rsid w:val="00597BAB"/>
    <w:rsid w:val="005A240A"/>
    <w:rsid w:val="005A32DE"/>
    <w:rsid w:val="005A3487"/>
    <w:rsid w:val="005A6273"/>
    <w:rsid w:val="005A634B"/>
    <w:rsid w:val="005A680C"/>
    <w:rsid w:val="005A681D"/>
    <w:rsid w:val="005A7702"/>
    <w:rsid w:val="005B01E9"/>
    <w:rsid w:val="005B0985"/>
    <w:rsid w:val="005B0F62"/>
    <w:rsid w:val="005B111C"/>
    <w:rsid w:val="005B222E"/>
    <w:rsid w:val="005B3049"/>
    <w:rsid w:val="005B312F"/>
    <w:rsid w:val="005B3289"/>
    <w:rsid w:val="005B6C4D"/>
    <w:rsid w:val="005B736F"/>
    <w:rsid w:val="005B7EAD"/>
    <w:rsid w:val="005C03FC"/>
    <w:rsid w:val="005C1172"/>
    <w:rsid w:val="005C2778"/>
    <w:rsid w:val="005C2A61"/>
    <w:rsid w:val="005C3293"/>
    <w:rsid w:val="005C4B25"/>
    <w:rsid w:val="005C5FCD"/>
    <w:rsid w:val="005C6A4C"/>
    <w:rsid w:val="005C6A8D"/>
    <w:rsid w:val="005C73CC"/>
    <w:rsid w:val="005C7ED6"/>
    <w:rsid w:val="005D2780"/>
    <w:rsid w:val="005D577D"/>
    <w:rsid w:val="005D5DBE"/>
    <w:rsid w:val="005D62B7"/>
    <w:rsid w:val="005D7458"/>
    <w:rsid w:val="005E038D"/>
    <w:rsid w:val="005E05CD"/>
    <w:rsid w:val="005E0761"/>
    <w:rsid w:val="005E0D1E"/>
    <w:rsid w:val="005E14E5"/>
    <w:rsid w:val="005E17ED"/>
    <w:rsid w:val="005E2432"/>
    <w:rsid w:val="005E2C76"/>
    <w:rsid w:val="005E3E26"/>
    <w:rsid w:val="005E4019"/>
    <w:rsid w:val="005E479F"/>
    <w:rsid w:val="005E50E0"/>
    <w:rsid w:val="005E637C"/>
    <w:rsid w:val="005E6BBB"/>
    <w:rsid w:val="005E71C6"/>
    <w:rsid w:val="005E734F"/>
    <w:rsid w:val="005F0052"/>
    <w:rsid w:val="005F03A8"/>
    <w:rsid w:val="005F08CF"/>
    <w:rsid w:val="005F1DE9"/>
    <w:rsid w:val="005F254B"/>
    <w:rsid w:val="005F353C"/>
    <w:rsid w:val="005F3D1B"/>
    <w:rsid w:val="005F4F57"/>
    <w:rsid w:val="005F5554"/>
    <w:rsid w:val="005F5822"/>
    <w:rsid w:val="006004ED"/>
    <w:rsid w:val="006007F4"/>
    <w:rsid w:val="00600AF7"/>
    <w:rsid w:val="00600B43"/>
    <w:rsid w:val="00601159"/>
    <w:rsid w:val="00601564"/>
    <w:rsid w:val="00601F25"/>
    <w:rsid w:val="0060470F"/>
    <w:rsid w:val="00604731"/>
    <w:rsid w:val="0060478E"/>
    <w:rsid w:val="006056FC"/>
    <w:rsid w:val="00606638"/>
    <w:rsid w:val="00606898"/>
    <w:rsid w:val="006069DF"/>
    <w:rsid w:val="00611A79"/>
    <w:rsid w:val="00611E95"/>
    <w:rsid w:val="00613A37"/>
    <w:rsid w:val="00613CBF"/>
    <w:rsid w:val="0061433E"/>
    <w:rsid w:val="00614450"/>
    <w:rsid w:val="00615DD5"/>
    <w:rsid w:val="00616DC2"/>
    <w:rsid w:val="0061726D"/>
    <w:rsid w:val="006173F9"/>
    <w:rsid w:val="00617BA3"/>
    <w:rsid w:val="006201C6"/>
    <w:rsid w:val="00620868"/>
    <w:rsid w:val="00625051"/>
    <w:rsid w:val="006253A9"/>
    <w:rsid w:val="00626E55"/>
    <w:rsid w:val="00627461"/>
    <w:rsid w:val="00627572"/>
    <w:rsid w:val="00627BFF"/>
    <w:rsid w:val="006338CF"/>
    <w:rsid w:val="006343E8"/>
    <w:rsid w:val="006344AF"/>
    <w:rsid w:val="00634527"/>
    <w:rsid w:val="00634B31"/>
    <w:rsid w:val="00634C3E"/>
    <w:rsid w:val="00635434"/>
    <w:rsid w:val="00635D9A"/>
    <w:rsid w:val="006405A5"/>
    <w:rsid w:val="00640C2A"/>
    <w:rsid w:val="006410DE"/>
    <w:rsid w:val="00642E2C"/>
    <w:rsid w:val="00643532"/>
    <w:rsid w:val="00643BDF"/>
    <w:rsid w:val="00643E99"/>
    <w:rsid w:val="006444EA"/>
    <w:rsid w:val="0064627E"/>
    <w:rsid w:val="00646AD5"/>
    <w:rsid w:val="006471E3"/>
    <w:rsid w:val="00647203"/>
    <w:rsid w:val="00647CEB"/>
    <w:rsid w:val="00647D3C"/>
    <w:rsid w:val="00650E61"/>
    <w:rsid w:val="006515A7"/>
    <w:rsid w:val="00651B00"/>
    <w:rsid w:val="00652620"/>
    <w:rsid w:val="00653327"/>
    <w:rsid w:val="006539C3"/>
    <w:rsid w:val="00653AB9"/>
    <w:rsid w:val="00654AF6"/>
    <w:rsid w:val="006557C5"/>
    <w:rsid w:val="00655852"/>
    <w:rsid w:val="00657265"/>
    <w:rsid w:val="00657CEA"/>
    <w:rsid w:val="00660178"/>
    <w:rsid w:val="00660283"/>
    <w:rsid w:val="00661161"/>
    <w:rsid w:val="006614D4"/>
    <w:rsid w:val="0066227E"/>
    <w:rsid w:val="0066286F"/>
    <w:rsid w:val="006630D0"/>
    <w:rsid w:val="00663199"/>
    <w:rsid w:val="00664133"/>
    <w:rsid w:val="00664854"/>
    <w:rsid w:val="00665DF7"/>
    <w:rsid w:val="00665EFA"/>
    <w:rsid w:val="0066600F"/>
    <w:rsid w:val="00666C9D"/>
    <w:rsid w:val="00667471"/>
    <w:rsid w:val="00670B4B"/>
    <w:rsid w:val="006711CD"/>
    <w:rsid w:val="00671EAD"/>
    <w:rsid w:val="00672B24"/>
    <w:rsid w:val="0067465E"/>
    <w:rsid w:val="00675D7E"/>
    <w:rsid w:val="0068035F"/>
    <w:rsid w:val="00684FC4"/>
    <w:rsid w:val="00685074"/>
    <w:rsid w:val="0068532D"/>
    <w:rsid w:val="0068582A"/>
    <w:rsid w:val="006860C0"/>
    <w:rsid w:val="006860FB"/>
    <w:rsid w:val="0069065C"/>
    <w:rsid w:val="00690CAC"/>
    <w:rsid w:val="00690DF0"/>
    <w:rsid w:val="00690F0B"/>
    <w:rsid w:val="0069188A"/>
    <w:rsid w:val="00691C20"/>
    <w:rsid w:val="00692ACC"/>
    <w:rsid w:val="006938FB"/>
    <w:rsid w:val="00693DC4"/>
    <w:rsid w:val="00693FCE"/>
    <w:rsid w:val="00695E43"/>
    <w:rsid w:val="006960EF"/>
    <w:rsid w:val="00696EB4"/>
    <w:rsid w:val="00697FB2"/>
    <w:rsid w:val="006A0BC7"/>
    <w:rsid w:val="006A1BE3"/>
    <w:rsid w:val="006A1FA9"/>
    <w:rsid w:val="006A25CD"/>
    <w:rsid w:val="006A29A9"/>
    <w:rsid w:val="006A39E2"/>
    <w:rsid w:val="006A49E5"/>
    <w:rsid w:val="006A4E66"/>
    <w:rsid w:val="006A501B"/>
    <w:rsid w:val="006A5432"/>
    <w:rsid w:val="006A555D"/>
    <w:rsid w:val="006A6757"/>
    <w:rsid w:val="006B0D7B"/>
    <w:rsid w:val="006B16AC"/>
    <w:rsid w:val="006B1A07"/>
    <w:rsid w:val="006B1B78"/>
    <w:rsid w:val="006B3A3D"/>
    <w:rsid w:val="006B41CF"/>
    <w:rsid w:val="006B4938"/>
    <w:rsid w:val="006B4D9D"/>
    <w:rsid w:val="006B5858"/>
    <w:rsid w:val="006C078D"/>
    <w:rsid w:val="006C1321"/>
    <w:rsid w:val="006C2056"/>
    <w:rsid w:val="006C2FB1"/>
    <w:rsid w:val="006C38BE"/>
    <w:rsid w:val="006C466E"/>
    <w:rsid w:val="006C5493"/>
    <w:rsid w:val="006C5A82"/>
    <w:rsid w:val="006C77B2"/>
    <w:rsid w:val="006D0F40"/>
    <w:rsid w:val="006D152E"/>
    <w:rsid w:val="006D2078"/>
    <w:rsid w:val="006D2602"/>
    <w:rsid w:val="006D4C3C"/>
    <w:rsid w:val="006D52F4"/>
    <w:rsid w:val="006D54CC"/>
    <w:rsid w:val="006D5547"/>
    <w:rsid w:val="006D63EA"/>
    <w:rsid w:val="006D7EAD"/>
    <w:rsid w:val="006E018C"/>
    <w:rsid w:val="006E1230"/>
    <w:rsid w:val="006E14AE"/>
    <w:rsid w:val="006E1FEF"/>
    <w:rsid w:val="006E2200"/>
    <w:rsid w:val="006E31EC"/>
    <w:rsid w:val="006E372B"/>
    <w:rsid w:val="006E3C30"/>
    <w:rsid w:val="006E3F4C"/>
    <w:rsid w:val="006E54C0"/>
    <w:rsid w:val="006E581B"/>
    <w:rsid w:val="006E5CBD"/>
    <w:rsid w:val="006E5DE9"/>
    <w:rsid w:val="006E76F7"/>
    <w:rsid w:val="006E7E8D"/>
    <w:rsid w:val="006F0287"/>
    <w:rsid w:val="006F038A"/>
    <w:rsid w:val="006F0612"/>
    <w:rsid w:val="006F10EC"/>
    <w:rsid w:val="006F1622"/>
    <w:rsid w:val="006F43E5"/>
    <w:rsid w:val="006F5413"/>
    <w:rsid w:val="006F55C3"/>
    <w:rsid w:val="006F5994"/>
    <w:rsid w:val="006F6B9C"/>
    <w:rsid w:val="006F7608"/>
    <w:rsid w:val="006F7B47"/>
    <w:rsid w:val="006F7E30"/>
    <w:rsid w:val="006F7F28"/>
    <w:rsid w:val="006F7F2D"/>
    <w:rsid w:val="007013B9"/>
    <w:rsid w:val="0070381F"/>
    <w:rsid w:val="0070473F"/>
    <w:rsid w:val="0070551C"/>
    <w:rsid w:val="007058E9"/>
    <w:rsid w:val="00706AB1"/>
    <w:rsid w:val="007071D2"/>
    <w:rsid w:val="00710901"/>
    <w:rsid w:val="007112D5"/>
    <w:rsid w:val="00711726"/>
    <w:rsid w:val="007117DB"/>
    <w:rsid w:val="00711CBC"/>
    <w:rsid w:val="0071335D"/>
    <w:rsid w:val="00713915"/>
    <w:rsid w:val="00714974"/>
    <w:rsid w:val="00714F96"/>
    <w:rsid w:val="00715120"/>
    <w:rsid w:val="00715D9B"/>
    <w:rsid w:val="00715E79"/>
    <w:rsid w:val="00716683"/>
    <w:rsid w:val="007166FD"/>
    <w:rsid w:val="00716E3B"/>
    <w:rsid w:val="0071736D"/>
    <w:rsid w:val="0071737A"/>
    <w:rsid w:val="00720288"/>
    <w:rsid w:val="00721868"/>
    <w:rsid w:val="00721CA8"/>
    <w:rsid w:val="00723193"/>
    <w:rsid w:val="007236B8"/>
    <w:rsid w:val="00723892"/>
    <w:rsid w:val="00723CED"/>
    <w:rsid w:val="00726133"/>
    <w:rsid w:val="00726558"/>
    <w:rsid w:val="00726738"/>
    <w:rsid w:val="007269D6"/>
    <w:rsid w:val="007272DA"/>
    <w:rsid w:val="0072742A"/>
    <w:rsid w:val="00727C78"/>
    <w:rsid w:val="00730D2B"/>
    <w:rsid w:val="00731E1B"/>
    <w:rsid w:val="00732AD7"/>
    <w:rsid w:val="00732CDE"/>
    <w:rsid w:val="00733EFC"/>
    <w:rsid w:val="00734127"/>
    <w:rsid w:val="00734296"/>
    <w:rsid w:val="007346B7"/>
    <w:rsid w:val="00737453"/>
    <w:rsid w:val="00737CD9"/>
    <w:rsid w:val="00740B07"/>
    <w:rsid w:val="0074131E"/>
    <w:rsid w:val="00743AB7"/>
    <w:rsid w:val="007445C1"/>
    <w:rsid w:val="007449F1"/>
    <w:rsid w:val="00746B1C"/>
    <w:rsid w:val="00746F34"/>
    <w:rsid w:val="0075013C"/>
    <w:rsid w:val="007515E6"/>
    <w:rsid w:val="00751D39"/>
    <w:rsid w:val="00751F16"/>
    <w:rsid w:val="0075286E"/>
    <w:rsid w:val="00752DC2"/>
    <w:rsid w:val="007531AE"/>
    <w:rsid w:val="007536F1"/>
    <w:rsid w:val="00754930"/>
    <w:rsid w:val="00755AC8"/>
    <w:rsid w:val="0075656B"/>
    <w:rsid w:val="00756A39"/>
    <w:rsid w:val="007571CA"/>
    <w:rsid w:val="00757882"/>
    <w:rsid w:val="0076032E"/>
    <w:rsid w:val="007612C2"/>
    <w:rsid w:val="00761FE1"/>
    <w:rsid w:val="0076295D"/>
    <w:rsid w:val="0076424F"/>
    <w:rsid w:val="0076441C"/>
    <w:rsid w:val="00764E83"/>
    <w:rsid w:val="007727A3"/>
    <w:rsid w:val="007735DF"/>
    <w:rsid w:val="00773ED8"/>
    <w:rsid w:val="00774556"/>
    <w:rsid w:val="00774E5F"/>
    <w:rsid w:val="0077560D"/>
    <w:rsid w:val="0077589D"/>
    <w:rsid w:val="00775A0F"/>
    <w:rsid w:val="007762FA"/>
    <w:rsid w:val="00777A87"/>
    <w:rsid w:val="0078166D"/>
    <w:rsid w:val="0078231D"/>
    <w:rsid w:val="0078250E"/>
    <w:rsid w:val="00782A20"/>
    <w:rsid w:val="00782D89"/>
    <w:rsid w:val="007831E3"/>
    <w:rsid w:val="00783779"/>
    <w:rsid w:val="007839CE"/>
    <w:rsid w:val="00783A98"/>
    <w:rsid w:val="00783E50"/>
    <w:rsid w:val="00784E31"/>
    <w:rsid w:val="00787311"/>
    <w:rsid w:val="007905C5"/>
    <w:rsid w:val="00790889"/>
    <w:rsid w:val="00790893"/>
    <w:rsid w:val="00791B9D"/>
    <w:rsid w:val="00791C84"/>
    <w:rsid w:val="00791FAE"/>
    <w:rsid w:val="007929AD"/>
    <w:rsid w:val="00793056"/>
    <w:rsid w:val="00793C1C"/>
    <w:rsid w:val="0079488E"/>
    <w:rsid w:val="007951C1"/>
    <w:rsid w:val="00796430"/>
    <w:rsid w:val="007964F2"/>
    <w:rsid w:val="007965EA"/>
    <w:rsid w:val="007A05F6"/>
    <w:rsid w:val="007A0720"/>
    <w:rsid w:val="007A0A0F"/>
    <w:rsid w:val="007A16F1"/>
    <w:rsid w:val="007A1A12"/>
    <w:rsid w:val="007A1A66"/>
    <w:rsid w:val="007A218E"/>
    <w:rsid w:val="007A2CA7"/>
    <w:rsid w:val="007A2EAD"/>
    <w:rsid w:val="007A47E0"/>
    <w:rsid w:val="007A59C7"/>
    <w:rsid w:val="007A6061"/>
    <w:rsid w:val="007A7750"/>
    <w:rsid w:val="007B0800"/>
    <w:rsid w:val="007B080E"/>
    <w:rsid w:val="007B1DD8"/>
    <w:rsid w:val="007B2077"/>
    <w:rsid w:val="007B29B9"/>
    <w:rsid w:val="007B2FFA"/>
    <w:rsid w:val="007B3EBC"/>
    <w:rsid w:val="007B4B1F"/>
    <w:rsid w:val="007B4BC4"/>
    <w:rsid w:val="007B68A4"/>
    <w:rsid w:val="007B6D13"/>
    <w:rsid w:val="007B6E1C"/>
    <w:rsid w:val="007B776E"/>
    <w:rsid w:val="007C0204"/>
    <w:rsid w:val="007C03B8"/>
    <w:rsid w:val="007C0594"/>
    <w:rsid w:val="007C0D26"/>
    <w:rsid w:val="007C17EA"/>
    <w:rsid w:val="007C1A4C"/>
    <w:rsid w:val="007C1CB2"/>
    <w:rsid w:val="007C2C19"/>
    <w:rsid w:val="007C2E7C"/>
    <w:rsid w:val="007C3096"/>
    <w:rsid w:val="007C4566"/>
    <w:rsid w:val="007C514A"/>
    <w:rsid w:val="007C5AC0"/>
    <w:rsid w:val="007C6600"/>
    <w:rsid w:val="007C74CB"/>
    <w:rsid w:val="007C796D"/>
    <w:rsid w:val="007D09AA"/>
    <w:rsid w:val="007D0F65"/>
    <w:rsid w:val="007D18B7"/>
    <w:rsid w:val="007D1F30"/>
    <w:rsid w:val="007D2118"/>
    <w:rsid w:val="007D23D0"/>
    <w:rsid w:val="007D23FE"/>
    <w:rsid w:val="007D2E76"/>
    <w:rsid w:val="007D2F88"/>
    <w:rsid w:val="007D3482"/>
    <w:rsid w:val="007D3D09"/>
    <w:rsid w:val="007D4696"/>
    <w:rsid w:val="007D4E18"/>
    <w:rsid w:val="007D4F71"/>
    <w:rsid w:val="007D57D4"/>
    <w:rsid w:val="007D5F34"/>
    <w:rsid w:val="007D7A36"/>
    <w:rsid w:val="007E0F5F"/>
    <w:rsid w:val="007E112D"/>
    <w:rsid w:val="007E1989"/>
    <w:rsid w:val="007E249F"/>
    <w:rsid w:val="007E3D9A"/>
    <w:rsid w:val="007E523C"/>
    <w:rsid w:val="007E5E6C"/>
    <w:rsid w:val="007E6705"/>
    <w:rsid w:val="007E7375"/>
    <w:rsid w:val="007E75B9"/>
    <w:rsid w:val="007F019E"/>
    <w:rsid w:val="007F03BC"/>
    <w:rsid w:val="007F0DA7"/>
    <w:rsid w:val="007F1645"/>
    <w:rsid w:val="007F1880"/>
    <w:rsid w:val="007F2128"/>
    <w:rsid w:val="007F310B"/>
    <w:rsid w:val="007F347F"/>
    <w:rsid w:val="007F56B5"/>
    <w:rsid w:val="007F5C2A"/>
    <w:rsid w:val="007F6CB4"/>
    <w:rsid w:val="007F6DF7"/>
    <w:rsid w:val="007F6FDA"/>
    <w:rsid w:val="007F75E8"/>
    <w:rsid w:val="007F75F5"/>
    <w:rsid w:val="007F7B25"/>
    <w:rsid w:val="0080013F"/>
    <w:rsid w:val="00800438"/>
    <w:rsid w:val="00800444"/>
    <w:rsid w:val="00800E4F"/>
    <w:rsid w:val="008013D5"/>
    <w:rsid w:val="008017FF"/>
    <w:rsid w:val="00801DD3"/>
    <w:rsid w:val="00802A4A"/>
    <w:rsid w:val="00802B4A"/>
    <w:rsid w:val="008033A9"/>
    <w:rsid w:val="0080374F"/>
    <w:rsid w:val="00804751"/>
    <w:rsid w:val="008048BC"/>
    <w:rsid w:val="00805E22"/>
    <w:rsid w:val="0080602C"/>
    <w:rsid w:val="00806452"/>
    <w:rsid w:val="008074CF"/>
    <w:rsid w:val="00807B89"/>
    <w:rsid w:val="00807D31"/>
    <w:rsid w:val="008106CC"/>
    <w:rsid w:val="00810968"/>
    <w:rsid w:val="00810D8E"/>
    <w:rsid w:val="0081105D"/>
    <w:rsid w:val="0081120C"/>
    <w:rsid w:val="00812F5A"/>
    <w:rsid w:val="008133BC"/>
    <w:rsid w:val="008139E2"/>
    <w:rsid w:val="00813CE6"/>
    <w:rsid w:val="008147A4"/>
    <w:rsid w:val="008149F9"/>
    <w:rsid w:val="00814C74"/>
    <w:rsid w:val="00814DDB"/>
    <w:rsid w:val="00816737"/>
    <w:rsid w:val="008173C3"/>
    <w:rsid w:val="0082001A"/>
    <w:rsid w:val="00823125"/>
    <w:rsid w:val="008236D2"/>
    <w:rsid w:val="008244EA"/>
    <w:rsid w:val="0082498A"/>
    <w:rsid w:val="00825FE3"/>
    <w:rsid w:val="0082643A"/>
    <w:rsid w:val="00826B51"/>
    <w:rsid w:val="00830181"/>
    <w:rsid w:val="0083076E"/>
    <w:rsid w:val="008309C5"/>
    <w:rsid w:val="00830D75"/>
    <w:rsid w:val="008321A5"/>
    <w:rsid w:val="00832B32"/>
    <w:rsid w:val="00834296"/>
    <w:rsid w:val="00835084"/>
    <w:rsid w:val="00835151"/>
    <w:rsid w:val="0083569E"/>
    <w:rsid w:val="008357C0"/>
    <w:rsid w:val="00835943"/>
    <w:rsid w:val="0083595F"/>
    <w:rsid w:val="008363B0"/>
    <w:rsid w:val="008370A0"/>
    <w:rsid w:val="00837140"/>
    <w:rsid w:val="008373B9"/>
    <w:rsid w:val="00837450"/>
    <w:rsid w:val="00837463"/>
    <w:rsid w:val="008376AC"/>
    <w:rsid w:val="00837869"/>
    <w:rsid w:val="00840A50"/>
    <w:rsid w:val="00841B40"/>
    <w:rsid w:val="00841C48"/>
    <w:rsid w:val="00843069"/>
    <w:rsid w:val="00844964"/>
    <w:rsid w:val="00844B6E"/>
    <w:rsid w:val="00844C1F"/>
    <w:rsid w:val="0084574B"/>
    <w:rsid w:val="00845D28"/>
    <w:rsid w:val="008465B8"/>
    <w:rsid w:val="00846607"/>
    <w:rsid w:val="0084771A"/>
    <w:rsid w:val="00852112"/>
    <w:rsid w:val="008528E0"/>
    <w:rsid w:val="0085449D"/>
    <w:rsid w:val="00854B62"/>
    <w:rsid w:val="008551D3"/>
    <w:rsid w:val="00855482"/>
    <w:rsid w:val="008564BB"/>
    <w:rsid w:val="00857E54"/>
    <w:rsid w:val="00860B00"/>
    <w:rsid w:val="0086157E"/>
    <w:rsid w:val="00861AB7"/>
    <w:rsid w:val="00862063"/>
    <w:rsid w:val="00863706"/>
    <w:rsid w:val="00864458"/>
    <w:rsid w:val="0086585D"/>
    <w:rsid w:val="008660E9"/>
    <w:rsid w:val="008721C0"/>
    <w:rsid w:val="0087372E"/>
    <w:rsid w:val="00873C5C"/>
    <w:rsid w:val="00873EDE"/>
    <w:rsid w:val="0087471B"/>
    <w:rsid w:val="0087526C"/>
    <w:rsid w:val="00875739"/>
    <w:rsid w:val="0087711F"/>
    <w:rsid w:val="00880547"/>
    <w:rsid w:val="00880A6D"/>
    <w:rsid w:val="008815EA"/>
    <w:rsid w:val="00882F6F"/>
    <w:rsid w:val="0088461F"/>
    <w:rsid w:val="00886591"/>
    <w:rsid w:val="00886743"/>
    <w:rsid w:val="008874AE"/>
    <w:rsid w:val="0089081B"/>
    <w:rsid w:val="008910F6"/>
    <w:rsid w:val="008919EA"/>
    <w:rsid w:val="00891BBE"/>
    <w:rsid w:val="00891D3B"/>
    <w:rsid w:val="00891F43"/>
    <w:rsid w:val="00892831"/>
    <w:rsid w:val="0089375B"/>
    <w:rsid w:val="0089510E"/>
    <w:rsid w:val="008954BC"/>
    <w:rsid w:val="00895D60"/>
    <w:rsid w:val="0089614A"/>
    <w:rsid w:val="008966D1"/>
    <w:rsid w:val="0089670E"/>
    <w:rsid w:val="00896955"/>
    <w:rsid w:val="008A02E3"/>
    <w:rsid w:val="008A0FDF"/>
    <w:rsid w:val="008A1D8B"/>
    <w:rsid w:val="008A2A44"/>
    <w:rsid w:val="008A54B1"/>
    <w:rsid w:val="008A55D1"/>
    <w:rsid w:val="008A5D5F"/>
    <w:rsid w:val="008A5D6D"/>
    <w:rsid w:val="008A6FCB"/>
    <w:rsid w:val="008A7E11"/>
    <w:rsid w:val="008B0531"/>
    <w:rsid w:val="008B06B9"/>
    <w:rsid w:val="008B0B33"/>
    <w:rsid w:val="008B2B62"/>
    <w:rsid w:val="008B3567"/>
    <w:rsid w:val="008B574A"/>
    <w:rsid w:val="008C1F0B"/>
    <w:rsid w:val="008C258D"/>
    <w:rsid w:val="008C285C"/>
    <w:rsid w:val="008C3A0B"/>
    <w:rsid w:val="008C3AA7"/>
    <w:rsid w:val="008C5135"/>
    <w:rsid w:val="008C52B2"/>
    <w:rsid w:val="008C53A4"/>
    <w:rsid w:val="008C6CDA"/>
    <w:rsid w:val="008C6F6E"/>
    <w:rsid w:val="008C7E8B"/>
    <w:rsid w:val="008D0CDD"/>
    <w:rsid w:val="008D2656"/>
    <w:rsid w:val="008D2DA0"/>
    <w:rsid w:val="008D2FB6"/>
    <w:rsid w:val="008D5A42"/>
    <w:rsid w:val="008D77CE"/>
    <w:rsid w:val="008E0354"/>
    <w:rsid w:val="008E0A66"/>
    <w:rsid w:val="008E0D68"/>
    <w:rsid w:val="008E0E19"/>
    <w:rsid w:val="008E0F30"/>
    <w:rsid w:val="008E11A0"/>
    <w:rsid w:val="008E2A7B"/>
    <w:rsid w:val="008E3DB1"/>
    <w:rsid w:val="008E4704"/>
    <w:rsid w:val="008E4B67"/>
    <w:rsid w:val="008E4FC6"/>
    <w:rsid w:val="008E7F2B"/>
    <w:rsid w:val="008F0CB1"/>
    <w:rsid w:val="008F0FDF"/>
    <w:rsid w:val="008F122E"/>
    <w:rsid w:val="008F1596"/>
    <w:rsid w:val="008F1B69"/>
    <w:rsid w:val="008F24DF"/>
    <w:rsid w:val="008F25A4"/>
    <w:rsid w:val="008F40B0"/>
    <w:rsid w:val="008F4B71"/>
    <w:rsid w:val="008F52B6"/>
    <w:rsid w:val="008F5598"/>
    <w:rsid w:val="008F5B84"/>
    <w:rsid w:val="008F5CA8"/>
    <w:rsid w:val="008F7375"/>
    <w:rsid w:val="008F7BC7"/>
    <w:rsid w:val="008F7D06"/>
    <w:rsid w:val="00901A8C"/>
    <w:rsid w:val="0090239A"/>
    <w:rsid w:val="00903D22"/>
    <w:rsid w:val="009042F6"/>
    <w:rsid w:val="00904B4B"/>
    <w:rsid w:val="00906300"/>
    <w:rsid w:val="00906AB2"/>
    <w:rsid w:val="00907633"/>
    <w:rsid w:val="00907B08"/>
    <w:rsid w:val="00907D54"/>
    <w:rsid w:val="00910026"/>
    <w:rsid w:val="00910561"/>
    <w:rsid w:val="009109E8"/>
    <w:rsid w:val="00912489"/>
    <w:rsid w:val="009125C1"/>
    <w:rsid w:val="00913BE1"/>
    <w:rsid w:val="00914148"/>
    <w:rsid w:val="00914AF8"/>
    <w:rsid w:val="00915FFD"/>
    <w:rsid w:val="00915FFF"/>
    <w:rsid w:val="009214A6"/>
    <w:rsid w:val="00922542"/>
    <w:rsid w:val="009229C9"/>
    <w:rsid w:val="00922C1B"/>
    <w:rsid w:val="009238D1"/>
    <w:rsid w:val="00923A19"/>
    <w:rsid w:val="009243B4"/>
    <w:rsid w:val="009244B2"/>
    <w:rsid w:val="0092469E"/>
    <w:rsid w:val="009260AB"/>
    <w:rsid w:val="009267A2"/>
    <w:rsid w:val="00926A8F"/>
    <w:rsid w:val="00927600"/>
    <w:rsid w:val="00927E12"/>
    <w:rsid w:val="00930342"/>
    <w:rsid w:val="00930A19"/>
    <w:rsid w:val="00930E51"/>
    <w:rsid w:val="009313F9"/>
    <w:rsid w:val="00932148"/>
    <w:rsid w:val="00932C6C"/>
    <w:rsid w:val="00933ECA"/>
    <w:rsid w:val="00934BFF"/>
    <w:rsid w:val="00936BB6"/>
    <w:rsid w:val="009377EE"/>
    <w:rsid w:val="00940394"/>
    <w:rsid w:val="00940BDC"/>
    <w:rsid w:val="0094120B"/>
    <w:rsid w:val="009415BB"/>
    <w:rsid w:val="009415C8"/>
    <w:rsid w:val="00941879"/>
    <w:rsid w:val="00942013"/>
    <w:rsid w:val="0094212B"/>
    <w:rsid w:val="00942D7C"/>
    <w:rsid w:val="009449F1"/>
    <w:rsid w:val="00947245"/>
    <w:rsid w:val="00947D74"/>
    <w:rsid w:val="00950042"/>
    <w:rsid w:val="009501B9"/>
    <w:rsid w:val="00951C33"/>
    <w:rsid w:val="00952705"/>
    <w:rsid w:val="00952953"/>
    <w:rsid w:val="00953493"/>
    <w:rsid w:val="0095389C"/>
    <w:rsid w:val="00957310"/>
    <w:rsid w:val="00957A05"/>
    <w:rsid w:val="0095F62A"/>
    <w:rsid w:val="00961AC5"/>
    <w:rsid w:val="0096319F"/>
    <w:rsid w:val="00964D6D"/>
    <w:rsid w:val="009668B5"/>
    <w:rsid w:val="0097073B"/>
    <w:rsid w:val="0097133C"/>
    <w:rsid w:val="00971379"/>
    <w:rsid w:val="009719EA"/>
    <w:rsid w:val="00972ADA"/>
    <w:rsid w:val="00972E77"/>
    <w:rsid w:val="00973D5E"/>
    <w:rsid w:val="009745A5"/>
    <w:rsid w:val="00974915"/>
    <w:rsid w:val="0097508B"/>
    <w:rsid w:val="00975C1C"/>
    <w:rsid w:val="009761E2"/>
    <w:rsid w:val="00976245"/>
    <w:rsid w:val="009763DB"/>
    <w:rsid w:val="00980138"/>
    <w:rsid w:val="0098030E"/>
    <w:rsid w:val="00980424"/>
    <w:rsid w:val="00980E76"/>
    <w:rsid w:val="00983306"/>
    <w:rsid w:val="00985BF5"/>
    <w:rsid w:val="00987059"/>
    <w:rsid w:val="00987E92"/>
    <w:rsid w:val="00990711"/>
    <w:rsid w:val="00991945"/>
    <w:rsid w:val="00991FA7"/>
    <w:rsid w:val="00992E9C"/>
    <w:rsid w:val="00993146"/>
    <w:rsid w:val="009940E4"/>
    <w:rsid w:val="00994B65"/>
    <w:rsid w:val="00996AAF"/>
    <w:rsid w:val="00997482"/>
    <w:rsid w:val="0099784A"/>
    <w:rsid w:val="00997E7B"/>
    <w:rsid w:val="009A0705"/>
    <w:rsid w:val="009A1DA3"/>
    <w:rsid w:val="009A225C"/>
    <w:rsid w:val="009A39AC"/>
    <w:rsid w:val="009A3E62"/>
    <w:rsid w:val="009A569B"/>
    <w:rsid w:val="009A5F73"/>
    <w:rsid w:val="009A7188"/>
    <w:rsid w:val="009A75E9"/>
    <w:rsid w:val="009B0A26"/>
    <w:rsid w:val="009B0B32"/>
    <w:rsid w:val="009B29C3"/>
    <w:rsid w:val="009B2D4D"/>
    <w:rsid w:val="009B38FE"/>
    <w:rsid w:val="009B3B6F"/>
    <w:rsid w:val="009B3B9F"/>
    <w:rsid w:val="009B3FDA"/>
    <w:rsid w:val="009B41A3"/>
    <w:rsid w:val="009B57EC"/>
    <w:rsid w:val="009B5CB5"/>
    <w:rsid w:val="009B5D71"/>
    <w:rsid w:val="009B5E85"/>
    <w:rsid w:val="009B634F"/>
    <w:rsid w:val="009B6E53"/>
    <w:rsid w:val="009B7D1A"/>
    <w:rsid w:val="009B7D39"/>
    <w:rsid w:val="009C0026"/>
    <w:rsid w:val="009C0BF1"/>
    <w:rsid w:val="009C157F"/>
    <w:rsid w:val="009C1CC1"/>
    <w:rsid w:val="009C1EFF"/>
    <w:rsid w:val="009C2611"/>
    <w:rsid w:val="009C2A7E"/>
    <w:rsid w:val="009C2DA5"/>
    <w:rsid w:val="009C30B9"/>
    <w:rsid w:val="009C312A"/>
    <w:rsid w:val="009C4A23"/>
    <w:rsid w:val="009C527B"/>
    <w:rsid w:val="009C6B06"/>
    <w:rsid w:val="009C7236"/>
    <w:rsid w:val="009D0490"/>
    <w:rsid w:val="009D174A"/>
    <w:rsid w:val="009D1C14"/>
    <w:rsid w:val="009D1D3C"/>
    <w:rsid w:val="009D2669"/>
    <w:rsid w:val="009D4C9E"/>
    <w:rsid w:val="009D5527"/>
    <w:rsid w:val="009D6013"/>
    <w:rsid w:val="009D7A36"/>
    <w:rsid w:val="009E0419"/>
    <w:rsid w:val="009E25DD"/>
    <w:rsid w:val="009E2FE0"/>
    <w:rsid w:val="009E303D"/>
    <w:rsid w:val="009E3948"/>
    <w:rsid w:val="009E4136"/>
    <w:rsid w:val="009E41C6"/>
    <w:rsid w:val="009E52BE"/>
    <w:rsid w:val="009E675D"/>
    <w:rsid w:val="009E6B1E"/>
    <w:rsid w:val="009E7014"/>
    <w:rsid w:val="009F10BE"/>
    <w:rsid w:val="009F17EE"/>
    <w:rsid w:val="009F7266"/>
    <w:rsid w:val="009F7FDA"/>
    <w:rsid w:val="00A00583"/>
    <w:rsid w:val="00A0231E"/>
    <w:rsid w:val="00A0280E"/>
    <w:rsid w:val="00A052FC"/>
    <w:rsid w:val="00A0561A"/>
    <w:rsid w:val="00A060E0"/>
    <w:rsid w:val="00A0730A"/>
    <w:rsid w:val="00A10C7E"/>
    <w:rsid w:val="00A1231E"/>
    <w:rsid w:val="00A12531"/>
    <w:rsid w:val="00A12ED8"/>
    <w:rsid w:val="00A12FC7"/>
    <w:rsid w:val="00A133BE"/>
    <w:rsid w:val="00A13721"/>
    <w:rsid w:val="00A13ED9"/>
    <w:rsid w:val="00A15670"/>
    <w:rsid w:val="00A15C47"/>
    <w:rsid w:val="00A15ED3"/>
    <w:rsid w:val="00A16F22"/>
    <w:rsid w:val="00A17736"/>
    <w:rsid w:val="00A17918"/>
    <w:rsid w:val="00A20134"/>
    <w:rsid w:val="00A2076B"/>
    <w:rsid w:val="00A23BD7"/>
    <w:rsid w:val="00A249B8"/>
    <w:rsid w:val="00A24C65"/>
    <w:rsid w:val="00A26318"/>
    <w:rsid w:val="00A265FD"/>
    <w:rsid w:val="00A26862"/>
    <w:rsid w:val="00A276C1"/>
    <w:rsid w:val="00A3141D"/>
    <w:rsid w:val="00A3143C"/>
    <w:rsid w:val="00A32725"/>
    <w:rsid w:val="00A3329E"/>
    <w:rsid w:val="00A338C8"/>
    <w:rsid w:val="00A34549"/>
    <w:rsid w:val="00A35C0D"/>
    <w:rsid w:val="00A3614F"/>
    <w:rsid w:val="00A36343"/>
    <w:rsid w:val="00A37A1A"/>
    <w:rsid w:val="00A37A87"/>
    <w:rsid w:val="00A40793"/>
    <w:rsid w:val="00A42530"/>
    <w:rsid w:val="00A432E0"/>
    <w:rsid w:val="00A43DFC"/>
    <w:rsid w:val="00A43E12"/>
    <w:rsid w:val="00A45012"/>
    <w:rsid w:val="00A4513C"/>
    <w:rsid w:val="00A45A21"/>
    <w:rsid w:val="00A46220"/>
    <w:rsid w:val="00A462C3"/>
    <w:rsid w:val="00A51D98"/>
    <w:rsid w:val="00A52C9C"/>
    <w:rsid w:val="00A53045"/>
    <w:rsid w:val="00A5376D"/>
    <w:rsid w:val="00A5432B"/>
    <w:rsid w:val="00A546D8"/>
    <w:rsid w:val="00A54B6D"/>
    <w:rsid w:val="00A55127"/>
    <w:rsid w:val="00A55F38"/>
    <w:rsid w:val="00A55F9A"/>
    <w:rsid w:val="00A55FE5"/>
    <w:rsid w:val="00A56577"/>
    <w:rsid w:val="00A56A8C"/>
    <w:rsid w:val="00A604CB"/>
    <w:rsid w:val="00A610B8"/>
    <w:rsid w:val="00A61FD4"/>
    <w:rsid w:val="00A620A0"/>
    <w:rsid w:val="00A621B1"/>
    <w:rsid w:val="00A637B4"/>
    <w:rsid w:val="00A637F1"/>
    <w:rsid w:val="00A63B15"/>
    <w:rsid w:val="00A64EA8"/>
    <w:rsid w:val="00A659DB"/>
    <w:rsid w:val="00A66633"/>
    <w:rsid w:val="00A66C31"/>
    <w:rsid w:val="00A66D85"/>
    <w:rsid w:val="00A67D3A"/>
    <w:rsid w:val="00A708A7"/>
    <w:rsid w:val="00A70CC4"/>
    <w:rsid w:val="00A720A9"/>
    <w:rsid w:val="00A72E8E"/>
    <w:rsid w:val="00A733F4"/>
    <w:rsid w:val="00A739D8"/>
    <w:rsid w:val="00A743FC"/>
    <w:rsid w:val="00A779ED"/>
    <w:rsid w:val="00A80805"/>
    <w:rsid w:val="00A82A54"/>
    <w:rsid w:val="00A84C16"/>
    <w:rsid w:val="00A857EF"/>
    <w:rsid w:val="00A85C4A"/>
    <w:rsid w:val="00A86A58"/>
    <w:rsid w:val="00A86BCE"/>
    <w:rsid w:val="00A874C8"/>
    <w:rsid w:val="00A87534"/>
    <w:rsid w:val="00A87557"/>
    <w:rsid w:val="00A90711"/>
    <w:rsid w:val="00A90E3A"/>
    <w:rsid w:val="00A90E6F"/>
    <w:rsid w:val="00A91732"/>
    <w:rsid w:val="00A91C89"/>
    <w:rsid w:val="00A92225"/>
    <w:rsid w:val="00A926B8"/>
    <w:rsid w:val="00A92A76"/>
    <w:rsid w:val="00A92DC0"/>
    <w:rsid w:val="00A92EFD"/>
    <w:rsid w:val="00A94354"/>
    <w:rsid w:val="00A94875"/>
    <w:rsid w:val="00A952ED"/>
    <w:rsid w:val="00A957D7"/>
    <w:rsid w:val="00A95B6B"/>
    <w:rsid w:val="00A97C8F"/>
    <w:rsid w:val="00A97CF5"/>
    <w:rsid w:val="00AA099E"/>
    <w:rsid w:val="00AA09CD"/>
    <w:rsid w:val="00AA1A03"/>
    <w:rsid w:val="00AA26B3"/>
    <w:rsid w:val="00AA43E0"/>
    <w:rsid w:val="00AA4AED"/>
    <w:rsid w:val="00AA5D1A"/>
    <w:rsid w:val="00AA6896"/>
    <w:rsid w:val="00AA6F43"/>
    <w:rsid w:val="00AA7021"/>
    <w:rsid w:val="00AA716B"/>
    <w:rsid w:val="00AA76B4"/>
    <w:rsid w:val="00AA78C2"/>
    <w:rsid w:val="00AB2325"/>
    <w:rsid w:val="00AB2BB7"/>
    <w:rsid w:val="00AB2FAA"/>
    <w:rsid w:val="00AB3DAE"/>
    <w:rsid w:val="00AB467D"/>
    <w:rsid w:val="00AB49AF"/>
    <w:rsid w:val="00AB4C3F"/>
    <w:rsid w:val="00AB4E8F"/>
    <w:rsid w:val="00AB62EB"/>
    <w:rsid w:val="00AB668E"/>
    <w:rsid w:val="00AB7A8A"/>
    <w:rsid w:val="00AC050C"/>
    <w:rsid w:val="00AC06AD"/>
    <w:rsid w:val="00AC0D9A"/>
    <w:rsid w:val="00AC123F"/>
    <w:rsid w:val="00AC2703"/>
    <w:rsid w:val="00AC2A84"/>
    <w:rsid w:val="00AC35F6"/>
    <w:rsid w:val="00AC3854"/>
    <w:rsid w:val="00AC3D70"/>
    <w:rsid w:val="00AC4763"/>
    <w:rsid w:val="00AC500B"/>
    <w:rsid w:val="00AC5720"/>
    <w:rsid w:val="00AC5B04"/>
    <w:rsid w:val="00AC7273"/>
    <w:rsid w:val="00AD089C"/>
    <w:rsid w:val="00AD08CB"/>
    <w:rsid w:val="00AD08E9"/>
    <w:rsid w:val="00AD202E"/>
    <w:rsid w:val="00AD222B"/>
    <w:rsid w:val="00AD2263"/>
    <w:rsid w:val="00AD3010"/>
    <w:rsid w:val="00AD351B"/>
    <w:rsid w:val="00AD3801"/>
    <w:rsid w:val="00AD40B5"/>
    <w:rsid w:val="00AD42A5"/>
    <w:rsid w:val="00AD44B6"/>
    <w:rsid w:val="00AD6044"/>
    <w:rsid w:val="00AD67D1"/>
    <w:rsid w:val="00AD6F28"/>
    <w:rsid w:val="00AD7874"/>
    <w:rsid w:val="00AD7E18"/>
    <w:rsid w:val="00AD7F6B"/>
    <w:rsid w:val="00AE03AC"/>
    <w:rsid w:val="00AE096F"/>
    <w:rsid w:val="00AE21B0"/>
    <w:rsid w:val="00AE2A0A"/>
    <w:rsid w:val="00AE330D"/>
    <w:rsid w:val="00AE40F5"/>
    <w:rsid w:val="00AE4AC9"/>
    <w:rsid w:val="00AE4C08"/>
    <w:rsid w:val="00AE50E3"/>
    <w:rsid w:val="00AE6055"/>
    <w:rsid w:val="00AE6137"/>
    <w:rsid w:val="00AE6C3C"/>
    <w:rsid w:val="00AF02C2"/>
    <w:rsid w:val="00AF6085"/>
    <w:rsid w:val="00AF629E"/>
    <w:rsid w:val="00AF6B06"/>
    <w:rsid w:val="00AF76E1"/>
    <w:rsid w:val="00AF76E8"/>
    <w:rsid w:val="00AF7D62"/>
    <w:rsid w:val="00AF7E27"/>
    <w:rsid w:val="00B0045C"/>
    <w:rsid w:val="00B00711"/>
    <w:rsid w:val="00B00777"/>
    <w:rsid w:val="00B00B7A"/>
    <w:rsid w:val="00B00D51"/>
    <w:rsid w:val="00B02B22"/>
    <w:rsid w:val="00B03236"/>
    <w:rsid w:val="00B03FFC"/>
    <w:rsid w:val="00B04FBC"/>
    <w:rsid w:val="00B05452"/>
    <w:rsid w:val="00B0653A"/>
    <w:rsid w:val="00B10008"/>
    <w:rsid w:val="00B10E5A"/>
    <w:rsid w:val="00B11D27"/>
    <w:rsid w:val="00B12616"/>
    <w:rsid w:val="00B138BA"/>
    <w:rsid w:val="00B13BFA"/>
    <w:rsid w:val="00B15D43"/>
    <w:rsid w:val="00B16344"/>
    <w:rsid w:val="00B163FA"/>
    <w:rsid w:val="00B16A1E"/>
    <w:rsid w:val="00B16D52"/>
    <w:rsid w:val="00B20671"/>
    <w:rsid w:val="00B20883"/>
    <w:rsid w:val="00B20891"/>
    <w:rsid w:val="00B21486"/>
    <w:rsid w:val="00B21D6D"/>
    <w:rsid w:val="00B22B51"/>
    <w:rsid w:val="00B22C5B"/>
    <w:rsid w:val="00B241A9"/>
    <w:rsid w:val="00B25373"/>
    <w:rsid w:val="00B26E06"/>
    <w:rsid w:val="00B279CA"/>
    <w:rsid w:val="00B30617"/>
    <w:rsid w:val="00B30771"/>
    <w:rsid w:val="00B317E3"/>
    <w:rsid w:val="00B31E6B"/>
    <w:rsid w:val="00B32829"/>
    <w:rsid w:val="00B33912"/>
    <w:rsid w:val="00B34936"/>
    <w:rsid w:val="00B35085"/>
    <w:rsid w:val="00B354E4"/>
    <w:rsid w:val="00B357A3"/>
    <w:rsid w:val="00B35C26"/>
    <w:rsid w:val="00B35C2B"/>
    <w:rsid w:val="00B35CB7"/>
    <w:rsid w:val="00B36011"/>
    <w:rsid w:val="00B36B4D"/>
    <w:rsid w:val="00B375A8"/>
    <w:rsid w:val="00B4018A"/>
    <w:rsid w:val="00B412F3"/>
    <w:rsid w:val="00B42860"/>
    <w:rsid w:val="00B44289"/>
    <w:rsid w:val="00B44B39"/>
    <w:rsid w:val="00B4592F"/>
    <w:rsid w:val="00B4781F"/>
    <w:rsid w:val="00B504C8"/>
    <w:rsid w:val="00B504F8"/>
    <w:rsid w:val="00B50531"/>
    <w:rsid w:val="00B5253A"/>
    <w:rsid w:val="00B52BDC"/>
    <w:rsid w:val="00B53A47"/>
    <w:rsid w:val="00B555CD"/>
    <w:rsid w:val="00B57049"/>
    <w:rsid w:val="00B5704D"/>
    <w:rsid w:val="00B60611"/>
    <w:rsid w:val="00B60FD5"/>
    <w:rsid w:val="00B62322"/>
    <w:rsid w:val="00B63C94"/>
    <w:rsid w:val="00B643E8"/>
    <w:rsid w:val="00B64BFA"/>
    <w:rsid w:val="00B64EA3"/>
    <w:rsid w:val="00B656CC"/>
    <w:rsid w:val="00B662B7"/>
    <w:rsid w:val="00B6684C"/>
    <w:rsid w:val="00B66891"/>
    <w:rsid w:val="00B67483"/>
    <w:rsid w:val="00B677CB"/>
    <w:rsid w:val="00B714CF"/>
    <w:rsid w:val="00B718B8"/>
    <w:rsid w:val="00B7232A"/>
    <w:rsid w:val="00B723E0"/>
    <w:rsid w:val="00B728D0"/>
    <w:rsid w:val="00B72968"/>
    <w:rsid w:val="00B7347B"/>
    <w:rsid w:val="00B73CF1"/>
    <w:rsid w:val="00B761C3"/>
    <w:rsid w:val="00B76856"/>
    <w:rsid w:val="00B76D99"/>
    <w:rsid w:val="00B77AA4"/>
    <w:rsid w:val="00B81218"/>
    <w:rsid w:val="00B82A7F"/>
    <w:rsid w:val="00B82CBC"/>
    <w:rsid w:val="00B83159"/>
    <w:rsid w:val="00B84115"/>
    <w:rsid w:val="00B84973"/>
    <w:rsid w:val="00B852D6"/>
    <w:rsid w:val="00B85ED0"/>
    <w:rsid w:val="00B86744"/>
    <w:rsid w:val="00B91C2F"/>
    <w:rsid w:val="00B921F5"/>
    <w:rsid w:val="00B934A9"/>
    <w:rsid w:val="00B941CB"/>
    <w:rsid w:val="00B949D5"/>
    <w:rsid w:val="00B95CAF"/>
    <w:rsid w:val="00B95EBA"/>
    <w:rsid w:val="00B974D5"/>
    <w:rsid w:val="00B97934"/>
    <w:rsid w:val="00B97FCE"/>
    <w:rsid w:val="00B97FF6"/>
    <w:rsid w:val="00BA052D"/>
    <w:rsid w:val="00BA1111"/>
    <w:rsid w:val="00BA16BA"/>
    <w:rsid w:val="00BA1733"/>
    <w:rsid w:val="00BA1878"/>
    <w:rsid w:val="00BA2DB9"/>
    <w:rsid w:val="00BA335A"/>
    <w:rsid w:val="00BA46B2"/>
    <w:rsid w:val="00BA4B83"/>
    <w:rsid w:val="00BA4F00"/>
    <w:rsid w:val="00BA661A"/>
    <w:rsid w:val="00BA69C7"/>
    <w:rsid w:val="00BA6C55"/>
    <w:rsid w:val="00BB015A"/>
    <w:rsid w:val="00BB0319"/>
    <w:rsid w:val="00BB0CFD"/>
    <w:rsid w:val="00BB1865"/>
    <w:rsid w:val="00BB2D66"/>
    <w:rsid w:val="00BB353D"/>
    <w:rsid w:val="00BB5738"/>
    <w:rsid w:val="00BB64AE"/>
    <w:rsid w:val="00BB7478"/>
    <w:rsid w:val="00BB7763"/>
    <w:rsid w:val="00BC055C"/>
    <w:rsid w:val="00BC18DE"/>
    <w:rsid w:val="00BC1BE0"/>
    <w:rsid w:val="00BC30B7"/>
    <w:rsid w:val="00BC357B"/>
    <w:rsid w:val="00BC3B10"/>
    <w:rsid w:val="00BC4502"/>
    <w:rsid w:val="00BC4664"/>
    <w:rsid w:val="00BC47DC"/>
    <w:rsid w:val="00BC4837"/>
    <w:rsid w:val="00BC4BFB"/>
    <w:rsid w:val="00BC4E04"/>
    <w:rsid w:val="00BC4F47"/>
    <w:rsid w:val="00BC52BC"/>
    <w:rsid w:val="00BC625F"/>
    <w:rsid w:val="00BC6379"/>
    <w:rsid w:val="00BC6E64"/>
    <w:rsid w:val="00BC795D"/>
    <w:rsid w:val="00BD011D"/>
    <w:rsid w:val="00BD0CA2"/>
    <w:rsid w:val="00BD1CD4"/>
    <w:rsid w:val="00BD301B"/>
    <w:rsid w:val="00BD340D"/>
    <w:rsid w:val="00BD70D2"/>
    <w:rsid w:val="00BD7F92"/>
    <w:rsid w:val="00BE191D"/>
    <w:rsid w:val="00BE58AF"/>
    <w:rsid w:val="00BE5E62"/>
    <w:rsid w:val="00BE692E"/>
    <w:rsid w:val="00BE6A6C"/>
    <w:rsid w:val="00BE6ABD"/>
    <w:rsid w:val="00BE6C48"/>
    <w:rsid w:val="00BE75A8"/>
    <w:rsid w:val="00BE7F60"/>
    <w:rsid w:val="00BF3160"/>
    <w:rsid w:val="00BF32C6"/>
    <w:rsid w:val="00BF4643"/>
    <w:rsid w:val="00BF4A4C"/>
    <w:rsid w:val="00BF4CC7"/>
    <w:rsid w:val="00BF5039"/>
    <w:rsid w:val="00BF529D"/>
    <w:rsid w:val="00BF588F"/>
    <w:rsid w:val="00BF5B23"/>
    <w:rsid w:val="00BF79DF"/>
    <w:rsid w:val="00BF7A5A"/>
    <w:rsid w:val="00C022BF"/>
    <w:rsid w:val="00C02A3E"/>
    <w:rsid w:val="00C03210"/>
    <w:rsid w:val="00C0333E"/>
    <w:rsid w:val="00C03C0F"/>
    <w:rsid w:val="00C0412A"/>
    <w:rsid w:val="00C04C53"/>
    <w:rsid w:val="00C05780"/>
    <w:rsid w:val="00C0637E"/>
    <w:rsid w:val="00C06653"/>
    <w:rsid w:val="00C07541"/>
    <w:rsid w:val="00C105DF"/>
    <w:rsid w:val="00C1098D"/>
    <w:rsid w:val="00C11674"/>
    <w:rsid w:val="00C11F6B"/>
    <w:rsid w:val="00C13341"/>
    <w:rsid w:val="00C133ED"/>
    <w:rsid w:val="00C13A4D"/>
    <w:rsid w:val="00C13AF5"/>
    <w:rsid w:val="00C13C30"/>
    <w:rsid w:val="00C160CE"/>
    <w:rsid w:val="00C1719D"/>
    <w:rsid w:val="00C1BE3E"/>
    <w:rsid w:val="00C209FB"/>
    <w:rsid w:val="00C20AA9"/>
    <w:rsid w:val="00C23193"/>
    <w:rsid w:val="00C232C3"/>
    <w:rsid w:val="00C2353C"/>
    <w:rsid w:val="00C23686"/>
    <w:rsid w:val="00C236F4"/>
    <w:rsid w:val="00C23742"/>
    <w:rsid w:val="00C24856"/>
    <w:rsid w:val="00C25661"/>
    <w:rsid w:val="00C264B6"/>
    <w:rsid w:val="00C27680"/>
    <w:rsid w:val="00C276A3"/>
    <w:rsid w:val="00C30461"/>
    <w:rsid w:val="00C3172C"/>
    <w:rsid w:val="00C31F1C"/>
    <w:rsid w:val="00C3312F"/>
    <w:rsid w:val="00C3459E"/>
    <w:rsid w:val="00C34610"/>
    <w:rsid w:val="00C348AD"/>
    <w:rsid w:val="00C34D72"/>
    <w:rsid w:val="00C34EF2"/>
    <w:rsid w:val="00C35AE5"/>
    <w:rsid w:val="00C35FD3"/>
    <w:rsid w:val="00C366B3"/>
    <w:rsid w:val="00C374CC"/>
    <w:rsid w:val="00C37BE9"/>
    <w:rsid w:val="00C40664"/>
    <w:rsid w:val="00C40D80"/>
    <w:rsid w:val="00C42113"/>
    <w:rsid w:val="00C42167"/>
    <w:rsid w:val="00C4257A"/>
    <w:rsid w:val="00C4351E"/>
    <w:rsid w:val="00C44016"/>
    <w:rsid w:val="00C44339"/>
    <w:rsid w:val="00C45228"/>
    <w:rsid w:val="00C46B91"/>
    <w:rsid w:val="00C46EDD"/>
    <w:rsid w:val="00C47B81"/>
    <w:rsid w:val="00C51681"/>
    <w:rsid w:val="00C5258F"/>
    <w:rsid w:val="00C5341B"/>
    <w:rsid w:val="00C53E71"/>
    <w:rsid w:val="00C57343"/>
    <w:rsid w:val="00C57F0A"/>
    <w:rsid w:val="00C61645"/>
    <w:rsid w:val="00C61E4E"/>
    <w:rsid w:val="00C62BCD"/>
    <w:rsid w:val="00C644E4"/>
    <w:rsid w:val="00C64789"/>
    <w:rsid w:val="00C64EB9"/>
    <w:rsid w:val="00C64EC9"/>
    <w:rsid w:val="00C659D6"/>
    <w:rsid w:val="00C65C26"/>
    <w:rsid w:val="00C65D97"/>
    <w:rsid w:val="00C6747B"/>
    <w:rsid w:val="00C70FDF"/>
    <w:rsid w:val="00C712BD"/>
    <w:rsid w:val="00C719F3"/>
    <w:rsid w:val="00C71A4B"/>
    <w:rsid w:val="00C71B3D"/>
    <w:rsid w:val="00C71F78"/>
    <w:rsid w:val="00C73B06"/>
    <w:rsid w:val="00C7434A"/>
    <w:rsid w:val="00C744DB"/>
    <w:rsid w:val="00C7472C"/>
    <w:rsid w:val="00C76C21"/>
    <w:rsid w:val="00C7777B"/>
    <w:rsid w:val="00C809A3"/>
    <w:rsid w:val="00C8155F"/>
    <w:rsid w:val="00C81B8F"/>
    <w:rsid w:val="00C825B6"/>
    <w:rsid w:val="00C82633"/>
    <w:rsid w:val="00C82AD2"/>
    <w:rsid w:val="00C8355A"/>
    <w:rsid w:val="00C8365D"/>
    <w:rsid w:val="00C83749"/>
    <w:rsid w:val="00C83D72"/>
    <w:rsid w:val="00C84668"/>
    <w:rsid w:val="00C849AE"/>
    <w:rsid w:val="00C84D92"/>
    <w:rsid w:val="00C84F48"/>
    <w:rsid w:val="00C860A7"/>
    <w:rsid w:val="00C86556"/>
    <w:rsid w:val="00C865EE"/>
    <w:rsid w:val="00C86704"/>
    <w:rsid w:val="00C86A20"/>
    <w:rsid w:val="00C87446"/>
    <w:rsid w:val="00C90B23"/>
    <w:rsid w:val="00C9256F"/>
    <w:rsid w:val="00C93B4D"/>
    <w:rsid w:val="00C9414C"/>
    <w:rsid w:val="00C9453B"/>
    <w:rsid w:val="00C9473A"/>
    <w:rsid w:val="00C9539B"/>
    <w:rsid w:val="00C958A5"/>
    <w:rsid w:val="00C9672D"/>
    <w:rsid w:val="00C96D40"/>
    <w:rsid w:val="00C97538"/>
    <w:rsid w:val="00C97F92"/>
    <w:rsid w:val="00CA01B9"/>
    <w:rsid w:val="00CA0317"/>
    <w:rsid w:val="00CA0CA0"/>
    <w:rsid w:val="00CA1A0D"/>
    <w:rsid w:val="00CA1B7C"/>
    <w:rsid w:val="00CA1C6A"/>
    <w:rsid w:val="00CA1E86"/>
    <w:rsid w:val="00CA2ED5"/>
    <w:rsid w:val="00CA30EE"/>
    <w:rsid w:val="00CA351E"/>
    <w:rsid w:val="00CA3DF9"/>
    <w:rsid w:val="00CA49E4"/>
    <w:rsid w:val="00CA5A5F"/>
    <w:rsid w:val="00CA6860"/>
    <w:rsid w:val="00CA78D1"/>
    <w:rsid w:val="00CB0F0E"/>
    <w:rsid w:val="00CB17E3"/>
    <w:rsid w:val="00CB1C70"/>
    <w:rsid w:val="00CB24BC"/>
    <w:rsid w:val="00CB28C3"/>
    <w:rsid w:val="00CB38D1"/>
    <w:rsid w:val="00CB49C6"/>
    <w:rsid w:val="00CB502B"/>
    <w:rsid w:val="00CB517E"/>
    <w:rsid w:val="00CB5A53"/>
    <w:rsid w:val="00CB7842"/>
    <w:rsid w:val="00CC0B77"/>
    <w:rsid w:val="00CC125D"/>
    <w:rsid w:val="00CC2C28"/>
    <w:rsid w:val="00CC351D"/>
    <w:rsid w:val="00CC3749"/>
    <w:rsid w:val="00CC389F"/>
    <w:rsid w:val="00CC41E6"/>
    <w:rsid w:val="00CC4BB1"/>
    <w:rsid w:val="00CC6981"/>
    <w:rsid w:val="00CC77AF"/>
    <w:rsid w:val="00CC78EB"/>
    <w:rsid w:val="00CC7ABD"/>
    <w:rsid w:val="00CC7FCC"/>
    <w:rsid w:val="00CD0110"/>
    <w:rsid w:val="00CD1A89"/>
    <w:rsid w:val="00CD2186"/>
    <w:rsid w:val="00CD3714"/>
    <w:rsid w:val="00CD3766"/>
    <w:rsid w:val="00CD3E30"/>
    <w:rsid w:val="00CD71C8"/>
    <w:rsid w:val="00CE09FC"/>
    <w:rsid w:val="00CE1AFD"/>
    <w:rsid w:val="00CE2280"/>
    <w:rsid w:val="00CE2975"/>
    <w:rsid w:val="00CE5411"/>
    <w:rsid w:val="00CE61D7"/>
    <w:rsid w:val="00CE6AE5"/>
    <w:rsid w:val="00CE7042"/>
    <w:rsid w:val="00CE7DAD"/>
    <w:rsid w:val="00CF10AA"/>
    <w:rsid w:val="00CF154E"/>
    <w:rsid w:val="00CF187E"/>
    <w:rsid w:val="00CF1C39"/>
    <w:rsid w:val="00CF21E1"/>
    <w:rsid w:val="00CF22D4"/>
    <w:rsid w:val="00CF264E"/>
    <w:rsid w:val="00CF2D03"/>
    <w:rsid w:val="00CF2DA1"/>
    <w:rsid w:val="00CF2DE2"/>
    <w:rsid w:val="00CF359E"/>
    <w:rsid w:val="00CF3851"/>
    <w:rsid w:val="00CF4CDE"/>
    <w:rsid w:val="00D009B9"/>
    <w:rsid w:val="00D00EC9"/>
    <w:rsid w:val="00D01232"/>
    <w:rsid w:val="00D014AA"/>
    <w:rsid w:val="00D02497"/>
    <w:rsid w:val="00D02593"/>
    <w:rsid w:val="00D03099"/>
    <w:rsid w:val="00D037CC"/>
    <w:rsid w:val="00D03E86"/>
    <w:rsid w:val="00D04B92"/>
    <w:rsid w:val="00D04CB4"/>
    <w:rsid w:val="00D04ED1"/>
    <w:rsid w:val="00D050D9"/>
    <w:rsid w:val="00D060B4"/>
    <w:rsid w:val="00D061C6"/>
    <w:rsid w:val="00D06D5E"/>
    <w:rsid w:val="00D07BDF"/>
    <w:rsid w:val="00D1096A"/>
    <w:rsid w:val="00D115D3"/>
    <w:rsid w:val="00D11C90"/>
    <w:rsid w:val="00D1237D"/>
    <w:rsid w:val="00D1250E"/>
    <w:rsid w:val="00D12825"/>
    <w:rsid w:val="00D12A9C"/>
    <w:rsid w:val="00D12B8A"/>
    <w:rsid w:val="00D1350B"/>
    <w:rsid w:val="00D13B3E"/>
    <w:rsid w:val="00D14ADC"/>
    <w:rsid w:val="00D15596"/>
    <w:rsid w:val="00D16531"/>
    <w:rsid w:val="00D1778E"/>
    <w:rsid w:val="00D2270E"/>
    <w:rsid w:val="00D22D58"/>
    <w:rsid w:val="00D23AEA"/>
    <w:rsid w:val="00D247B4"/>
    <w:rsid w:val="00D25D6C"/>
    <w:rsid w:val="00D26F38"/>
    <w:rsid w:val="00D27EBC"/>
    <w:rsid w:val="00D27F7F"/>
    <w:rsid w:val="00D319C5"/>
    <w:rsid w:val="00D31C9C"/>
    <w:rsid w:val="00D327A4"/>
    <w:rsid w:val="00D328A2"/>
    <w:rsid w:val="00D33E2B"/>
    <w:rsid w:val="00D347A0"/>
    <w:rsid w:val="00D359FA"/>
    <w:rsid w:val="00D36967"/>
    <w:rsid w:val="00D369BB"/>
    <w:rsid w:val="00D36F94"/>
    <w:rsid w:val="00D3768F"/>
    <w:rsid w:val="00D40461"/>
    <w:rsid w:val="00D405A0"/>
    <w:rsid w:val="00D41315"/>
    <w:rsid w:val="00D4236E"/>
    <w:rsid w:val="00D425AF"/>
    <w:rsid w:val="00D4273B"/>
    <w:rsid w:val="00D43669"/>
    <w:rsid w:val="00D4454C"/>
    <w:rsid w:val="00D44571"/>
    <w:rsid w:val="00D4687E"/>
    <w:rsid w:val="00D46BB7"/>
    <w:rsid w:val="00D47A89"/>
    <w:rsid w:val="00D51A25"/>
    <w:rsid w:val="00D53241"/>
    <w:rsid w:val="00D55C8F"/>
    <w:rsid w:val="00D565F5"/>
    <w:rsid w:val="00D574DB"/>
    <w:rsid w:val="00D6151A"/>
    <w:rsid w:val="00D62AF2"/>
    <w:rsid w:val="00D644E9"/>
    <w:rsid w:val="00D67F01"/>
    <w:rsid w:val="00D702E8"/>
    <w:rsid w:val="00D72182"/>
    <w:rsid w:val="00D7238C"/>
    <w:rsid w:val="00D726C8"/>
    <w:rsid w:val="00D72BDA"/>
    <w:rsid w:val="00D72D9E"/>
    <w:rsid w:val="00D73D6B"/>
    <w:rsid w:val="00D73F49"/>
    <w:rsid w:val="00D74CD9"/>
    <w:rsid w:val="00D7533D"/>
    <w:rsid w:val="00D75AA2"/>
    <w:rsid w:val="00D75C1F"/>
    <w:rsid w:val="00D75D80"/>
    <w:rsid w:val="00D76265"/>
    <w:rsid w:val="00D76600"/>
    <w:rsid w:val="00D76F3E"/>
    <w:rsid w:val="00D771E9"/>
    <w:rsid w:val="00D772C0"/>
    <w:rsid w:val="00D778AB"/>
    <w:rsid w:val="00D80242"/>
    <w:rsid w:val="00D813F3"/>
    <w:rsid w:val="00D81471"/>
    <w:rsid w:val="00D828DD"/>
    <w:rsid w:val="00D8338F"/>
    <w:rsid w:val="00D8359E"/>
    <w:rsid w:val="00D85614"/>
    <w:rsid w:val="00D85F54"/>
    <w:rsid w:val="00D86BCF"/>
    <w:rsid w:val="00D86C68"/>
    <w:rsid w:val="00D86DAE"/>
    <w:rsid w:val="00D912E9"/>
    <w:rsid w:val="00D91E52"/>
    <w:rsid w:val="00D92714"/>
    <w:rsid w:val="00D92941"/>
    <w:rsid w:val="00D931DA"/>
    <w:rsid w:val="00D9321D"/>
    <w:rsid w:val="00D94115"/>
    <w:rsid w:val="00D96384"/>
    <w:rsid w:val="00D96B75"/>
    <w:rsid w:val="00D97CBF"/>
    <w:rsid w:val="00DA09C7"/>
    <w:rsid w:val="00DA129E"/>
    <w:rsid w:val="00DA15B6"/>
    <w:rsid w:val="00DA1A82"/>
    <w:rsid w:val="00DA2256"/>
    <w:rsid w:val="00DA35FA"/>
    <w:rsid w:val="00DA42EE"/>
    <w:rsid w:val="00DA4493"/>
    <w:rsid w:val="00DA54F8"/>
    <w:rsid w:val="00DA7B19"/>
    <w:rsid w:val="00DB0956"/>
    <w:rsid w:val="00DB1E8E"/>
    <w:rsid w:val="00DB31C1"/>
    <w:rsid w:val="00DB3433"/>
    <w:rsid w:val="00DB394A"/>
    <w:rsid w:val="00DB3A6B"/>
    <w:rsid w:val="00DB45FB"/>
    <w:rsid w:val="00DB48D5"/>
    <w:rsid w:val="00DB525E"/>
    <w:rsid w:val="00DB57A1"/>
    <w:rsid w:val="00DB58BB"/>
    <w:rsid w:val="00DB5E64"/>
    <w:rsid w:val="00DB6CD4"/>
    <w:rsid w:val="00DC156F"/>
    <w:rsid w:val="00DC162F"/>
    <w:rsid w:val="00DC1FCD"/>
    <w:rsid w:val="00DC21B6"/>
    <w:rsid w:val="00DC2554"/>
    <w:rsid w:val="00DC28D8"/>
    <w:rsid w:val="00DC3A47"/>
    <w:rsid w:val="00DC3B6C"/>
    <w:rsid w:val="00DC4A1A"/>
    <w:rsid w:val="00DC69B1"/>
    <w:rsid w:val="00DC70B4"/>
    <w:rsid w:val="00DD086B"/>
    <w:rsid w:val="00DD1386"/>
    <w:rsid w:val="00DD1800"/>
    <w:rsid w:val="00DD1FD7"/>
    <w:rsid w:val="00DD2B9C"/>
    <w:rsid w:val="00DD3753"/>
    <w:rsid w:val="00DD3802"/>
    <w:rsid w:val="00DD3D85"/>
    <w:rsid w:val="00DD459E"/>
    <w:rsid w:val="00DD48BE"/>
    <w:rsid w:val="00DD50D7"/>
    <w:rsid w:val="00DD78C3"/>
    <w:rsid w:val="00DE11B4"/>
    <w:rsid w:val="00DE11BB"/>
    <w:rsid w:val="00DE16D8"/>
    <w:rsid w:val="00DE18FF"/>
    <w:rsid w:val="00DE2D48"/>
    <w:rsid w:val="00DE3036"/>
    <w:rsid w:val="00DE43AC"/>
    <w:rsid w:val="00DE4A58"/>
    <w:rsid w:val="00DE50D1"/>
    <w:rsid w:val="00DE54C6"/>
    <w:rsid w:val="00DE5B84"/>
    <w:rsid w:val="00DE5F8C"/>
    <w:rsid w:val="00DE635E"/>
    <w:rsid w:val="00DE7C87"/>
    <w:rsid w:val="00DE7E7A"/>
    <w:rsid w:val="00DF0284"/>
    <w:rsid w:val="00DF040E"/>
    <w:rsid w:val="00DF1705"/>
    <w:rsid w:val="00DF2656"/>
    <w:rsid w:val="00DF4B6B"/>
    <w:rsid w:val="00DF5359"/>
    <w:rsid w:val="00DF5C27"/>
    <w:rsid w:val="00DF67B2"/>
    <w:rsid w:val="00DF6AC0"/>
    <w:rsid w:val="00DF716C"/>
    <w:rsid w:val="00E000A8"/>
    <w:rsid w:val="00E0248A"/>
    <w:rsid w:val="00E02ABD"/>
    <w:rsid w:val="00E02EA4"/>
    <w:rsid w:val="00E04133"/>
    <w:rsid w:val="00E04B75"/>
    <w:rsid w:val="00E05214"/>
    <w:rsid w:val="00E05728"/>
    <w:rsid w:val="00E059BD"/>
    <w:rsid w:val="00E05C54"/>
    <w:rsid w:val="00E05CF3"/>
    <w:rsid w:val="00E06CA0"/>
    <w:rsid w:val="00E06E82"/>
    <w:rsid w:val="00E07ACD"/>
    <w:rsid w:val="00E07F0A"/>
    <w:rsid w:val="00E10B6D"/>
    <w:rsid w:val="00E10E55"/>
    <w:rsid w:val="00E110C9"/>
    <w:rsid w:val="00E1115B"/>
    <w:rsid w:val="00E111A5"/>
    <w:rsid w:val="00E11637"/>
    <w:rsid w:val="00E12902"/>
    <w:rsid w:val="00E1393E"/>
    <w:rsid w:val="00E139C4"/>
    <w:rsid w:val="00E13C5E"/>
    <w:rsid w:val="00E14BE7"/>
    <w:rsid w:val="00E1579D"/>
    <w:rsid w:val="00E158BD"/>
    <w:rsid w:val="00E16F1C"/>
    <w:rsid w:val="00E17282"/>
    <w:rsid w:val="00E232AE"/>
    <w:rsid w:val="00E23BDE"/>
    <w:rsid w:val="00E24959"/>
    <w:rsid w:val="00E261E9"/>
    <w:rsid w:val="00E266A3"/>
    <w:rsid w:val="00E26CAC"/>
    <w:rsid w:val="00E26CE5"/>
    <w:rsid w:val="00E27102"/>
    <w:rsid w:val="00E279EB"/>
    <w:rsid w:val="00E30D8B"/>
    <w:rsid w:val="00E314FD"/>
    <w:rsid w:val="00E31B4E"/>
    <w:rsid w:val="00E31D4B"/>
    <w:rsid w:val="00E325C1"/>
    <w:rsid w:val="00E32DBA"/>
    <w:rsid w:val="00E33D51"/>
    <w:rsid w:val="00E34C58"/>
    <w:rsid w:val="00E35C6B"/>
    <w:rsid w:val="00E369F1"/>
    <w:rsid w:val="00E37B3A"/>
    <w:rsid w:val="00E37D74"/>
    <w:rsid w:val="00E407A6"/>
    <w:rsid w:val="00E40A88"/>
    <w:rsid w:val="00E40B96"/>
    <w:rsid w:val="00E40D2C"/>
    <w:rsid w:val="00E427DE"/>
    <w:rsid w:val="00E44A84"/>
    <w:rsid w:val="00E46BAB"/>
    <w:rsid w:val="00E47F33"/>
    <w:rsid w:val="00E50519"/>
    <w:rsid w:val="00E520A5"/>
    <w:rsid w:val="00E53823"/>
    <w:rsid w:val="00E5602D"/>
    <w:rsid w:val="00E561A0"/>
    <w:rsid w:val="00E56531"/>
    <w:rsid w:val="00E57496"/>
    <w:rsid w:val="00E579C4"/>
    <w:rsid w:val="00E60DD3"/>
    <w:rsid w:val="00E618CB"/>
    <w:rsid w:val="00E636C2"/>
    <w:rsid w:val="00E654DD"/>
    <w:rsid w:val="00E65994"/>
    <w:rsid w:val="00E66650"/>
    <w:rsid w:val="00E66D67"/>
    <w:rsid w:val="00E70102"/>
    <w:rsid w:val="00E702F2"/>
    <w:rsid w:val="00E709A5"/>
    <w:rsid w:val="00E72E4A"/>
    <w:rsid w:val="00E7304D"/>
    <w:rsid w:val="00E73248"/>
    <w:rsid w:val="00E73CF3"/>
    <w:rsid w:val="00E746E7"/>
    <w:rsid w:val="00E755D2"/>
    <w:rsid w:val="00E75DCC"/>
    <w:rsid w:val="00E77BC8"/>
    <w:rsid w:val="00E812DC"/>
    <w:rsid w:val="00E82EB5"/>
    <w:rsid w:val="00E82F15"/>
    <w:rsid w:val="00E83C2D"/>
    <w:rsid w:val="00E84DC3"/>
    <w:rsid w:val="00E85CF3"/>
    <w:rsid w:val="00E867DB"/>
    <w:rsid w:val="00E90CA2"/>
    <w:rsid w:val="00E92F8B"/>
    <w:rsid w:val="00E93375"/>
    <w:rsid w:val="00E93846"/>
    <w:rsid w:val="00E94CF8"/>
    <w:rsid w:val="00E96AA9"/>
    <w:rsid w:val="00E96CA7"/>
    <w:rsid w:val="00EA1576"/>
    <w:rsid w:val="00EA15FA"/>
    <w:rsid w:val="00EA44C6"/>
    <w:rsid w:val="00EA6975"/>
    <w:rsid w:val="00EA6B9F"/>
    <w:rsid w:val="00EA754E"/>
    <w:rsid w:val="00EA7678"/>
    <w:rsid w:val="00EB0129"/>
    <w:rsid w:val="00EB0346"/>
    <w:rsid w:val="00EB181A"/>
    <w:rsid w:val="00EB2787"/>
    <w:rsid w:val="00EB2877"/>
    <w:rsid w:val="00EB29A5"/>
    <w:rsid w:val="00EB5525"/>
    <w:rsid w:val="00EB5F19"/>
    <w:rsid w:val="00EB7475"/>
    <w:rsid w:val="00EB74AB"/>
    <w:rsid w:val="00EC03A4"/>
    <w:rsid w:val="00EC118F"/>
    <w:rsid w:val="00EC2D7C"/>
    <w:rsid w:val="00EC4BCE"/>
    <w:rsid w:val="00EC5C34"/>
    <w:rsid w:val="00EC674D"/>
    <w:rsid w:val="00EC67B6"/>
    <w:rsid w:val="00ED000C"/>
    <w:rsid w:val="00ED0FC0"/>
    <w:rsid w:val="00ED12E5"/>
    <w:rsid w:val="00ED1663"/>
    <w:rsid w:val="00ED2044"/>
    <w:rsid w:val="00ED2165"/>
    <w:rsid w:val="00ED220A"/>
    <w:rsid w:val="00ED22DA"/>
    <w:rsid w:val="00ED406E"/>
    <w:rsid w:val="00ED44F2"/>
    <w:rsid w:val="00ED46AD"/>
    <w:rsid w:val="00ED4ED8"/>
    <w:rsid w:val="00ED571B"/>
    <w:rsid w:val="00ED671E"/>
    <w:rsid w:val="00ED7056"/>
    <w:rsid w:val="00ED7B56"/>
    <w:rsid w:val="00EE0498"/>
    <w:rsid w:val="00EE0564"/>
    <w:rsid w:val="00EE1755"/>
    <w:rsid w:val="00EE4E1E"/>
    <w:rsid w:val="00EE559A"/>
    <w:rsid w:val="00EE5C27"/>
    <w:rsid w:val="00EE6034"/>
    <w:rsid w:val="00EE6679"/>
    <w:rsid w:val="00EE6A18"/>
    <w:rsid w:val="00EE6A48"/>
    <w:rsid w:val="00EF0B08"/>
    <w:rsid w:val="00EF11B6"/>
    <w:rsid w:val="00EF2AC5"/>
    <w:rsid w:val="00EF2FA1"/>
    <w:rsid w:val="00EF64E5"/>
    <w:rsid w:val="00EF6CB8"/>
    <w:rsid w:val="00EF74A1"/>
    <w:rsid w:val="00EF7BAF"/>
    <w:rsid w:val="00F00C9E"/>
    <w:rsid w:val="00F01B80"/>
    <w:rsid w:val="00F02995"/>
    <w:rsid w:val="00F030F0"/>
    <w:rsid w:val="00F05101"/>
    <w:rsid w:val="00F051AF"/>
    <w:rsid w:val="00F057B8"/>
    <w:rsid w:val="00F059DE"/>
    <w:rsid w:val="00F06464"/>
    <w:rsid w:val="00F07040"/>
    <w:rsid w:val="00F075BE"/>
    <w:rsid w:val="00F07894"/>
    <w:rsid w:val="00F10C39"/>
    <w:rsid w:val="00F11935"/>
    <w:rsid w:val="00F11B7A"/>
    <w:rsid w:val="00F13D11"/>
    <w:rsid w:val="00F16198"/>
    <w:rsid w:val="00F1713B"/>
    <w:rsid w:val="00F17B62"/>
    <w:rsid w:val="00F205EF"/>
    <w:rsid w:val="00F2177D"/>
    <w:rsid w:val="00F21DF9"/>
    <w:rsid w:val="00F21E7A"/>
    <w:rsid w:val="00F220D2"/>
    <w:rsid w:val="00F22FDA"/>
    <w:rsid w:val="00F2541D"/>
    <w:rsid w:val="00F2547F"/>
    <w:rsid w:val="00F255A5"/>
    <w:rsid w:val="00F2568F"/>
    <w:rsid w:val="00F25FDE"/>
    <w:rsid w:val="00F26A03"/>
    <w:rsid w:val="00F27572"/>
    <w:rsid w:val="00F27F8E"/>
    <w:rsid w:val="00F3018E"/>
    <w:rsid w:val="00F317AE"/>
    <w:rsid w:val="00F31E50"/>
    <w:rsid w:val="00F31F96"/>
    <w:rsid w:val="00F32D1F"/>
    <w:rsid w:val="00F330A8"/>
    <w:rsid w:val="00F337C6"/>
    <w:rsid w:val="00F369A1"/>
    <w:rsid w:val="00F3727C"/>
    <w:rsid w:val="00F374C1"/>
    <w:rsid w:val="00F3784F"/>
    <w:rsid w:val="00F4147C"/>
    <w:rsid w:val="00F4165A"/>
    <w:rsid w:val="00F43A08"/>
    <w:rsid w:val="00F44745"/>
    <w:rsid w:val="00F4554C"/>
    <w:rsid w:val="00F464AA"/>
    <w:rsid w:val="00F46EB1"/>
    <w:rsid w:val="00F4747D"/>
    <w:rsid w:val="00F47EA8"/>
    <w:rsid w:val="00F50C64"/>
    <w:rsid w:val="00F51716"/>
    <w:rsid w:val="00F519A9"/>
    <w:rsid w:val="00F522FD"/>
    <w:rsid w:val="00F5230B"/>
    <w:rsid w:val="00F530E9"/>
    <w:rsid w:val="00F53FEB"/>
    <w:rsid w:val="00F5463F"/>
    <w:rsid w:val="00F54C59"/>
    <w:rsid w:val="00F5537C"/>
    <w:rsid w:val="00F55570"/>
    <w:rsid w:val="00F5654C"/>
    <w:rsid w:val="00F573DC"/>
    <w:rsid w:val="00F57769"/>
    <w:rsid w:val="00F57783"/>
    <w:rsid w:val="00F6087D"/>
    <w:rsid w:val="00F635E6"/>
    <w:rsid w:val="00F64786"/>
    <w:rsid w:val="00F64A28"/>
    <w:rsid w:val="00F64E7C"/>
    <w:rsid w:val="00F65EBA"/>
    <w:rsid w:val="00F66272"/>
    <w:rsid w:val="00F6785B"/>
    <w:rsid w:val="00F67BC0"/>
    <w:rsid w:val="00F70A1B"/>
    <w:rsid w:val="00F70FBC"/>
    <w:rsid w:val="00F725E6"/>
    <w:rsid w:val="00F7549A"/>
    <w:rsid w:val="00F756AE"/>
    <w:rsid w:val="00F757B8"/>
    <w:rsid w:val="00F76918"/>
    <w:rsid w:val="00F76E5C"/>
    <w:rsid w:val="00F80A21"/>
    <w:rsid w:val="00F81C2D"/>
    <w:rsid w:val="00F82116"/>
    <w:rsid w:val="00F82E3D"/>
    <w:rsid w:val="00F82E65"/>
    <w:rsid w:val="00F83485"/>
    <w:rsid w:val="00F84958"/>
    <w:rsid w:val="00F84FF4"/>
    <w:rsid w:val="00F853B1"/>
    <w:rsid w:val="00F90D1C"/>
    <w:rsid w:val="00F91F11"/>
    <w:rsid w:val="00F92298"/>
    <w:rsid w:val="00F93C4A"/>
    <w:rsid w:val="00F95E78"/>
    <w:rsid w:val="00F96419"/>
    <w:rsid w:val="00F97651"/>
    <w:rsid w:val="00FA060E"/>
    <w:rsid w:val="00FA1499"/>
    <w:rsid w:val="00FA2E98"/>
    <w:rsid w:val="00FA3F93"/>
    <w:rsid w:val="00FA4C09"/>
    <w:rsid w:val="00FA50CD"/>
    <w:rsid w:val="00FA58AA"/>
    <w:rsid w:val="00FA60B8"/>
    <w:rsid w:val="00FA67CF"/>
    <w:rsid w:val="00FA7118"/>
    <w:rsid w:val="00FA74AE"/>
    <w:rsid w:val="00FA76F6"/>
    <w:rsid w:val="00FA7BCB"/>
    <w:rsid w:val="00FA7F13"/>
    <w:rsid w:val="00FB02F8"/>
    <w:rsid w:val="00FB18C0"/>
    <w:rsid w:val="00FB2384"/>
    <w:rsid w:val="00FB27AF"/>
    <w:rsid w:val="00FB2C29"/>
    <w:rsid w:val="00FB34C6"/>
    <w:rsid w:val="00FB40F1"/>
    <w:rsid w:val="00FB4CC6"/>
    <w:rsid w:val="00FB5267"/>
    <w:rsid w:val="00FB577F"/>
    <w:rsid w:val="00FB5C23"/>
    <w:rsid w:val="00FB6889"/>
    <w:rsid w:val="00FB78B8"/>
    <w:rsid w:val="00FB7B27"/>
    <w:rsid w:val="00FC17C6"/>
    <w:rsid w:val="00FC237F"/>
    <w:rsid w:val="00FC3243"/>
    <w:rsid w:val="00FC3C61"/>
    <w:rsid w:val="00FC6191"/>
    <w:rsid w:val="00FC6F89"/>
    <w:rsid w:val="00FC7116"/>
    <w:rsid w:val="00FC71C2"/>
    <w:rsid w:val="00FC7237"/>
    <w:rsid w:val="00FC74EB"/>
    <w:rsid w:val="00FD196C"/>
    <w:rsid w:val="00FD1F96"/>
    <w:rsid w:val="00FD22F9"/>
    <w:rsid w:val="00FD25BC"/>
    <w:rsid w:val="00FD3BB7"/>
    <w:rsid w:val="00FD4AB7"/>
    <w:rsid w:val="00FD4F36"/>
    <w:rsid w:val="00FD5168"/>
    <w:rsid w:val="00FD5239"/>
    <w:rsid w:val="00FD6602"/>
    <w:rsid w:val="00FE0BE9"/>
    <w:rsid w:val="00FE0C68"/>
    <w:rsid w:val="00FE1ED7"/>
    <w:rsid w:val="00FE2797"/>
    <w:rsid w:val="00FE45A9"/>
    <w:rsid w:val="00FE483F"/>
    <w:rsid w:val="00FE4CF6"/>
    <w:rsid w:val="00FE60FD"/>
    <w:rsid w:val="00FE67AF"/>
    <w:rsid w:val="00FE70F4"/>
    <w:rsid w:val="00FE7AAF"/>
    <w:rsid w:val="00FE7DD3"/>
    <w:rsid w:val="00FF037C"/>
    <w:rsid w:val="00FF0912"/>
    <w:rsid w:val="00FF14AA"/>
    <w:rsid w:val="00FF14F4"/>
    <w:rsid w:val="00FF32A8"/>
    <w:rsid w:val="00FF33F2"/>
    <w:rsid w:val="00FF484C"/>
    <w:rsid w:val="00FF4F8E"/>
    <w:rsid w:val="00FF68F9"/>
    <w:rsid w:val="00FF6F30"/>
    <w:rsid w:val="00FF7796"/>
    <w:rsid w:val="0E6FE37A"/>
    <w:rsid w:val="112160EB"/>
    <w:rsid w:val="18B8217A"/>
    <w:rsid w:val="21E70B98"/>
    <w:rsid w:val="4D57E63D"/>
    <w:rsid w:val="595D7776"/>
    <w:rsid w:val="600F159B"/>
    <w:rsid w:val="633F9DB8"/>
    <w:rsid w:val="7066782C"/>
    <w:rsid w:val="74AEBB6B"/>
    <w:rsid w:val="7B2DFE3E"/>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2D6442"/>
  <w15:docId w15:val="{866F8040-1209-48C2-B32E-A9EF4322D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4"/>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iPriority="0"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semiHidden="1" w:uiPriority="0"/>
    <w:lsdException w:name="List Bullet 4" w:semiHidden="1" w:unhideWhenUsed="1"/>
    <w:lsdException w:name="List Bullet 5" w:semiHidden="1" w:unhideWhenUsed="1"/>
    <w:lsdException w:name="List Number 2" w:uiPriority="0" w:qFormat="1"/>
    <w:lsdException w:name="List Number 3" w:semiHidden="1"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716"/>
    <w:pPr>
      <w:spacing w:line="259" w:lineRule="auto"/>
    </w:pPr>
    <w:rPr>
      <w:sz w:val="22"/>
      <w:szCs w:val="22"/>
    </w:rPr>
  </w:style>
  <w:style w:type="paragraph" w:styleId="Heading1">
    <w:name w:val="heading 1"/>
    <w:basedOn w:val="Normal"/>
    <w:next w:val="Normal"/>
    <w:link w:val="Heading1Char"/>
    <w:uiPriority w:val="9"/>
    <w:qFormat/>
    <w:rsid w:val="00F51716"/>
    <w:pPr>
      <w:keepNext/>
      <w:keepLines/>
      <w:spacing w:before="320" w:after="300" w:line="240" w:lineRule="auto"/>
      <w:outlineLvl w:val="0"/>
    </w:pPr>
    <w:rPr>
      <w:rFonts w:asciiTheme="majorHAnsi" w:eastAsiaTheme="majorEastAsia" w:hAnsiTheme="majorHAnsi" w:cstheme="majorBidi"/>
      <w:b/>
      <w:color w:val="82C341" w:themeColor="accent1"/>
      <w:sz w:val="48"/>
      <w:szCs w:val="48"/>
    </w:rPr>
  </w:style>
  <w:style w:type="paragraph" w:styleId="Heading2">
    <w:name w:val="heading 2"/>
    <w:basedOn w:val="Heading1"/>
    <w:next w:val="Normal"/>
    <w:link w:val="Heading2Char"/>
    <w:uiPriority w:val="9"/>
    <w:unhideWhenUsed/>
    <w:qFormat/>
    <w:rsid w:val="00F51716"/>
    <w:pPr>
      <w:spacing w:before="360" w:after="100"/>
      <w:outlineLvl w:val="1"/>
    </w:pPr>
    <w:rPr>
      <w:b w:val="0"/>
      <w:color w:val="4F7928" w:themeColor="accent4" w:themeShade="BF"/>
      <w:sz w:val="32"/>
      <w:szCs w:val="32"/>
    </w:rPr>
  </w:style>
  <w:style w:type="paragraph" w:styleId="Heading3">
    <w:name w:val="heading 3"/>
    <w:basedOn w:val="Normal"/>
    <w:next w:val="Normal"/>
    <w:link w:val="Heading3Char"/>
    <w:uiPriority w:val="9"/>
    <w:unhideWhenUsed/>
    <w:qFormat/>
    <w:rsid w:val="009C0026"/>
    <w:pPr>
      <w:keepNext/>
      <w:keepLines/>
      <w:spacing w:before="300" w:after="60" w:line="240" w:lineRule="auto"/>
      <w:outlineLvl w:val="2"/>
    </w:pPr>
    <w:rPr>
      <w:rFonts w:asciiTheme="majorHAnsi" w:eastAsiaTheme="majorEastAsia" w:hAnsiTheme="majorHAnsi" w:cstheme="majorBidi"/>
      <w:color w:val="595959" w:themeColor="accent2" w:themeTint="A6"/>
      <w:sz w:val="28"/>
      <w:szCs w:val="28"/>
    </w:rPr>
  </w:style>
  <w:style w:type="paragraph" w:styleId="Heading4">
    <w:name w:val="heading 4"/>
    <w:basedOn w:val="Heading3"/>
    <w:next w:val="Normal"/>
    <w:link w:val="Heading4Char"/>
    <w:uiPriority w:val="9"/>
    <w:unhideWhenUsed/>
    <w:qFormat/>
    <w:rsid w:val="00F51716"/>
    <w:pPr>
      <w:spacing w:before="240"/>
      <w:outlineLvl w:val="3"/>
    </w:pPr>
    <w:rPr>
      <w:b/>
      <w:bCs/>
      <w:color w:val="000000"/>
      <w:sz w:val="24"/>
      <w:szCs w:val="24"/>
      <w14:textFill>
        <w14:solidFill>
          <w14:srgbClr w14:val="000000">
            <w14:lumMod w14:val="65000"/>
            <w14:lumOff w14:val="35000"/>
          </w14:srgbClr>
        </w14:solidFill>
      </w14:textFill>
    </w:rPr>
  </w:style>
  <w:style w:type="paragraph" w:styleId="Heading5">
    <w:name w:val="heading 5"/>
    <w:basedOn w:val="Normal"/>
    <w:next w:val="Normal"/>
    <w:link w:val="Heading5Char"/>
    <w:uiPriority w:val="9"/>
    <w:unhideWhenUsed/>
    <w:qFormat/>
    <w:rsid w:val="009940E4"/>
    <w:pPr>
      <w:keepNext/>
      <w:keepLines/>
      <w:spacing w:before="200" w:after="40"/>
      <w:outlineLvl w:val="4"/>
    </w:pPr>
    <w:rPr>
      <w:rFonts w:ascii="SegoeUI" w:eastAsiaTheme="majorEastAsia" w:hAnsiTheme="majorHAnsi" w:cs="SegoeUI"/>
      <w:b/>
      <w:bCs/>
      <w:color w:val="595959" w:themeColor="text1" w:themeTint="A6"/>
    </w:rPr>
  </w:style>
  <w:style w:type="paragraph" w:styleId="Heading6">
    <w:name w:val="heading 6"/>
    <w:basedOn w:val="Normal"/>
    <w:next w:val="Normal"/>
    <w:link w:val="Heading6Char"/>
    <w:uiPriority w:val="9"/>
    <w:unhideWhenUsed/>
    <w:qFormat/>
    <w:rsid w:val="000E2BD0"/>
    <w:pPr>
      <w:keepNext/>
      <w:keepLines/>
      <w:spacing w:after="0"/>
      <w:outlineLvl w:val="5"/>
    </w:pPr>
    <w:rPr>
      <w:rFonts w:asciiTheme="majorHAnsi" w:eastAsiaTheme="majorEastAsia" w:hAnsiTheme="majorHAnsi" w:cstheme="majorBidi"/>
      <w:i/>
      <w:iCs/>
      <w:color w:val="8A8E91" w:themeColor="text2" w:themeShade="BF"/>
    </w:rPr>
  </w:style>
  <w:style w:type="paragraph" w:styleId="Heading7">
    <w:name w:val="heading 7"/>
    <w:basedOn w:val="Normal"/>
    <w:next w:val="Normal"/>
    <w:link w:val="Heading7Char"/>
    <w:uiPriority w:val="9"/>
    <w:unhideWhenUsed/>
    <w:qFormat/>
    <w:rsid w:val="000F326D"/>
    <w:pPr>
      <w:keepNext/>
      <w:keepLines/>
      <w:spacing w:after="0"/>
      <w:outlineLvl w:val="6"/>
    </w:pPr>
    <w:rPr>
      <w:rFonts w:asciiTheme="majorHAnsi" w:eastAsiaTheme="majorEastAsia" w:hAnsiTheme="majorHAnsi" w:cstheme="majorBidi"/>
      <w:i/>
      <w:iCs/>
      <w:color w:val="41631F" w:themeColor="accent1" w:themeShade="80"/>
      <w:sz w:val="21"/>
      <w:szCs w:val="21"/>
    </w:rPr>
  </w:style>
  <w:style w:type="paragraph" w:styleId="Heading8">
    <w:name w:val="heading 8"/>
    <w:basedOn w:val="Normal"/>
    <w:next w:val="Normal"/>
    <w:link w:val="Heading8Char"/>
    <w:uiPriority w:val="9"/>
    <w:semiHidden/>
    <w:unhideWhenUsed/>
    <w:qFormat/>
    <w:rsid w:val="000F326D"/>
    <w:pPr>
      <w:keepNext/>
      <w:keepLines/>
      <w:spacing w:after="0"/>
      <w:outlineLvl w:val="7"/>
    </w:pPr>
    <w:rPr>
      <w:rFonts w:asciiTheme="majorHAnsi" w:eastAsiaTheme="majorEastAsia" w:hAnsiTheme="majorHAnsi" w:cstheme="majorBidi"/>
      <w:b/>
      <w:bCs/>
      <w:color w:val="BCBEC0" w:themeColor="text2"/>
    </w:rPr>
  </w:style>
  <w:style w:type="paragraph" w:styleId="Heading9">
    <w:name w:val="heading 9"/>
    <w:basedOn w:val="Normal"/>
    <w:next w:val="Normal"/>
    <w:link w:val="Heading9Char"/>
    <w:uiPriority w:val="9"/>
    <w:semiHidden/>
    <w:unhideWhenUsed/>
    <w:qFormat/>
    <w:rsid w:val="000F326D"/>
    <w:pPr>
      <w:keepNext/>
      <w:keepLines/>
      <w:spacing w:after="0"/>
      <w:outlineLvl w:val="8"/>
    </w:pPr>
    <w:rPr>
      <w:rFonts w:asciiTheme="majorHAnsi" w:eastAsiaTheme="majorEastAsia" w:hAnsiTheme="majorHAnsi" w:cstheme="majorBidi"/>
      <w:b/>
      <w:bCs/>
      <w:i/>
      <w:iCs/>
      <w:color w:val="BCBEC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716"/>
    <w:rPr>
      <w:rFonts w:asciiTheme="majorHAnsi" w:eastAsiaTheme="majorEastAsia" w:hAnsiTheme="majorHAnsi" w:cstheme="majorBidi"/>
      <w:b/>
      <w:color w:val="82C341" w:themeColor="accent1"/>
      <w:sz w:val="48"/>
      <w:szCs w:val="48"/>
    </w:rPr>
  </w:style>
  <w:style w:type="character" w:customStyle="1" w:styleId="Heading2Char">
    <w:name w:val="Heading 2 Char"/>
    <w:basedOn w:val="DefaultParagraphFont"/>
    <w:link w:val="Heading2"/>
    <w:uiPriority w:val="9"/>
    <w:rsid w:val="00F51716"/>
    <w:rPr>
      <w:rFonts w:asciiTheme="majorHAnsi" w:eastAsiaTheme="majorEastAsia" w:hAnsiTheme="majorHAnsi" w:cstheme="majorBidi"/>
      <w:color w:val="4F7928" w:themeColor="accent4" w:themeShade="BF"/>
      <w:sz w:val="32"/>
      <w:szCs w:val="32"/>
    </w:rPr>
  </w:style>
  <w:style w:type="character" w:customStyle="1" w:styleId="Heading3Char">
    <w:name w:val="Heading 3 Char"/>
    <w:basedOn w:val="DefaultParagraphFont"/>
    <w:link w:val="Heading3"/>
    <w:uiPriority w:val="9"/>
    <w:rsid w:val="009C0026"/>
    <w:rPr>
      <w:rFonts w:asciiTheme="majorHAnsi" w:eastAsiaTheme="majorEastAsia" w:hAnsiTheme="majorHAnsi" w:cstheme="majorBidi"/>
      <w:color w:val="595959" w:themeColor="accent2" w:themeTint="A6"/>
      <w:sz w:val="28"/>
      <w:szCs w:val="28"/>
    </w:rPr>
  </w:style>
  <w:style w:type="paragraph" w:styleId="FootnoteText">
    <w:name w:val="footnote text"/>
    <w:basedOn w:val="Normal"/>
    <w:link w:val="FootnoteTextChar"/>
    <w:uiPriority w:val="4"/>
    <w:rsid w:val="00D12825"/>
    <w:pPr>
      <w:tabs>
        <w:tab w:val="left" w:pos="113"/>
      </w:tabs>
      <w:spacing w:after="40" w:line="180" w:lineRule="atLeast"/>
      <w:ind w:left="96" w:hanging="96"/>
      <w:contextualSpacing/>
    </w:pPr>
    <w:rPr>
      <w:sz w:val="15"/>
    </w:rPr>
  </w:style>
  <w:style w:type="character" w:customStyle="1" w:styleId="FootnoteTextChar">
    <w:name w:val="Footnote Text Char"/>
    <w:basedOn w:val="DefaultParagraphFont"/>
    <w:link w:val="FootnoteText"/>
    <w:uiPriority w:val="4"/>
    <w:rsid w:val="00D12825"/>
    <w:rPr>
      <w:rFonts w:asciiTheme="minorHAnsi" w:hAnsiTheme="minorHAnsi"/>
      <w:color w:val="000000" w:themeColor="text1"/>
      <w:sz w:val="15"/>
    </w:rPr>
  </w:style>
  <w:style w:type="character" w:styleId="FootnoteReference">
    <w:name w:val="footnote reference"/>
    <w:basedOn w:val="DefaultParagraphFont"/>
    <w:rsid w:val="00DD459E"/>
    <w:rPr>
      <w:rFonts w:asciiTheme="minorHAnsi" w:hAnsiTheme="minorHAnsi"/>
      <w:sz w:val="14"/>
      <w:vertAlign w:val="superscript"/>
    </w:rPr>
  </w:style>
  <w:style w:type="numbering" w:customStyle="1" w:styleId="Bullets">
    <w:name w:val="Bullets"/>
    <w:uiPriority w:val="99"/>
    <w:rsid w:val="00D12825"/>
    <w:pPr>
      <w:numPr>
        <w:numId w:val="5"/>
      </w:numPr>
    </w:pPr>
  </w:style>
  <w:style w:type="paragraph" w:customStyle="1" w:styleId="Heading1Numbered">
    <w:name w:val="Heading 1 Numbered"/>
    <w:basedOn w:val="Heading1"/>
    <w:next w:val="Normal"/>
    <w:autoRedefine/>
    <w:rsid w:val="00161B69"/>
    <w:pPr>
      <w:numPr>
        <w:ilvl w:val="1"/>
        <w:numId w:val="13"/>
      </w:numPr>
      <w:tabs>
        <w:tab w:val="left" w:pos="0"/>
      </w:tabs>
      <w:ind w:left="284" w:hanging="284"/>
    </w:pPr>
  </w:style>
  <w:style w:type="paragraph" w:styleId="ListBullet">
    <w:name w:val="List Bullet"/>
    <w:basedOn w:val="Normal"/>
    <w:uiPriority w:val="1"/>
    <w:rsid w:val="00D12825"/>
    <w:pPr>
      <w:numPr>
        <w:numId w:val="11"/>
      </w:numPr>
      <w:contextualSpacing/>
    </w:pPr>
  </w:style>
  <w:style w:type="paragraph" w:styleId="ListBullet2">
    <w:name w:val="List Bullet 2"/>
    <w:basedOn w:val="Normal"/>
    <w:uiPriority w:val="1"/>
    <w:rsid w:val="00D12825"/>
    <w:pPr>
      <w:numPr>
        <w:ilvl w:val="1"/>
        <w:numId w:val="11"/>
      </w:numPr>
      <w:contextualSpacing/>
    </w:pPr>
  </w:style>
  <w:style w:type="paragraph" w:customStyle="1" w:styleId="Heading2Numbered">
    <w:name w:val="Heading 2 Numbered"/>
    <w:basedOn w:val="Heading2"/>
    <w:next w:val="Normal"/>
    <w:rsid w:val="00CC389F"/>
    <w:pPr>
      <w:numPr>
        <w:ilvl w:val="2"/>
        <w:numId w:val="13"/>
      </w:numPr>
    </w:pPr>
  </w:style>
  <w:style w:type="paragraph" w:customStyle="1" w:styleId="Heading3Numbered">
    <w:name w:val="Heading 3 Numbered"/>
    <w:basedOn w:val="Heading3"/>
    <w:next w:val="Normal"/>
    <w:rsid w:val="00CC389F"/>
    <w:pPr>
      <w:numPr>
        <w:ilvl w:val="3"/>
        <w:numId w:val="13"/>
      </w:numPr>
    </w:pPr>
  </w:style>
  <w:style w:type="numbering" w:customStyle="1" w:styleId="NumberedHeadings">
    <w:name w:val="Numbered Headings"/>
    <w:uiPriority w:val="99"/>
    <w:rsid w:val="00CC389F"/>
    <w:pPr>
      <w:numPr>
        <w:numId w:val="6"/>
      </w:numPr>
    </w:pPr>
  </w:style>
  <w:style w:type="numbering" w:customStyle="1" w:styleId="ListNumbers">
    <w:name w:val="List Numbers"/>
    <w:uiPriority w:val="99"/>
    <w:rsid w:val="00B11D27"/>
    <w:pPr>
      <w:numPr>
        <w:numId w:val="7"/>
      </w:numPr>
    </w:pPr>
  </w:style>
  <w:style w:type="paragraph" w:styleId="ListNumber">
    <w:name w:val="List Number"/>
    <w:basedOn w:val="Normal"/>
    <w:link w:val="ListNumberChar"/>
    <w:qFormat/>
    <w:rsid w:val="0099784A"/>
    <w:pPr>
      <w:numPr>
        <w:numId w:val="10"/>
      </w:numPr>
      <w:contextualSpacing/>
    </w:pPr>
  </w:style>
  <w:style w:type="paragraph" w:styleId="ListNumber2">
    <w:name w:val="List Number 2"/>
    <w:basedOn w:val="Normal"/>
    <w:qFormat/>
    <w:rsid w:val="0099784A"/>
    <w:pPr>
      <w:numPr>
        <w:ilvl w:val="1"/>
        <w:numId w:val="10"/>
      </w:numPr>
      <w:contextualSpacing/>
    </w:pPr>
  </w:style>
  <w:style w:type="paragraph" w:styleId="Header">
    <w:name w:val="header"/>
    <w:basedOn w:val="Normal"/>
    <w:link w:val="HeaderChar"/>
    <w:uiPriority w:val="99"/>
    <w:rsid w:val="00AD2263"/>
    <w:pPr>
      <w:spacing w:after="0" w:line="240" w:lineRule="auto"/>
    </w:pPr>
    <w:rPr>
      <w:sz w:val="14"/>
    </w:rPr>
  </w:style>
  <w:style w:type="character" w:customStyle="1" w:styleId="HeaderChar">
    <w:name w:val="Header Char"/>
    <w:basedOn w:val="DefaultParagraphFont"/>
    <w:link w:val="Header"/>
    <w:uiPriority w:val="99"/>
    <w:rsid w:val="0099784A"/>
    <w:rPr>
      <w:rFonts w:asciiTheme="minorHAnsi" w:hAnsiTheme="minorHAnsi"/>
      <w:color w:val="000000" w:themeColor="text1"/>
      <w:sz w:val="14"/>
    </w:rPr>
  </w:style>
  <w:style w:type="paragraph" w:styleId="Footer">
    <w:name w:val="footer"/>
    <w:basedOn w:val="Normal"/>
    <w:link w:val="FooterChar"/>
    <w:uiPriority w:val="99"/>
    <w:rsid w:val="00807D31"/>
    <w:pPr>
      <w:spacing w:after="0" w:line="240" w:lineRule="auto"/>
    </w:pPr>
    <w:rPr>
      <w:sz w:val="14"/>
    </w:rPr>
  </w:style>
  <w:style w:type="character" w:customStyle="1" w:styleId="FooterChar">
    <w:name w:val="Footer Char"/>
    <w:basedOn w:val="DefaultParagraphFont"/>
    <w:link w:val="Footer"/>
    <w:uiPriority w:val="99"/>
    <w:rsid w:val="00807D31"/>
    <w:rPr>
      <w:rFonts w:asciiTheme="minorHAnsi" w:hAnsiTheme="minorHAnsi"/>
      <w:color w:val="000000" w:themeColor="text1"/>
      <w:sz w:val="14"/>
    </w:rPr>
  </w:style>
  <w:style w:type="paragraph" w:styleId="BalloonText">
    <w:name w:val="Balloon Text"/>
    <w:basedOn w:val="Normal"/>
    <w:link w:val="BalloonTextChar"/>
    <w:uiPriority w:val="99"/>
    <w:semiHidden/>
    <w:unhideWhenUsed/>
    <w:rsid w:val="00AD2263"/>
    <w:rPr>
      <w:rFonts w:ascii="Tahoma" w:hAnsi="Tahoma" w:cs="Tahoma"/>
      <w:sz w:val="16"/>
      <w:szCs w:val="16"/>
    </w:rPr>
  </w:style>
  <w:style w:type="character" w:customStyle="1" w:styleId="BalloonTextChar">
    <w:name w:val="Balloon Text Char"/>
    <w:basedOn w:val="DefaultParagraphFont"/>
    <w:link w:val="BalloonText"/>
    <w:uiPriority w:val="99"/>
    <w:semiHidden/>
    <w:rsid w:val="00AD2263"/>
    <w:rPr>
      <w:rFonts w:ascii="Tahoma" w:hAnsi="Tahoma" w:cs="Tahoma"/>
      <w:color w:val="FFFFFF" w:themeColor="background2"/>
      <w:sz w:val="16"/>
      <w:szCs w:val="16"/>
    </w:rPr>
  </w:style>
  <w:style w:type="table" w:styleId="TableGrid">
    <w:name w:val="Table Grid"/>
    <w:basedOn w:val="TableNormal"/>
    <w:uiPriority w:val="59"/>
    <w:rsid w:val="00AD2263"/>
    <w:rPr>
      <w:rFonts w:ascii="Arial" w:hAnsi="Arial"/>
      <w:sz w:val="18"/>
    </w:rPr>
    <w:tblPr>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style>
  <w:style w:type="character" w:customStyle="1" w:styleId="Heading4Char">
    <w:name w:val="Heading 4 Char"/>
    <w:basedOn w:val="DefaultParagraphFont"/>
    <w:link w:val="Heading4"/>
    <w:uiPriority w:val="9"/>
    <w:rsid w:val="00F51716"/>
    <w:rPr>
      <w:rFonts w:asciiTheme="majorHAnsi" w:eastAsiaTheme="majorEastAsia" w:hAnsiTheme="majorHAnsi" w:cstheme="majorBidi"/>
      <w:b/>
      <w:bCs/>
      <w:sz w:val="24"/>
      <w:szCs w:val="24"/>
    </w:rPr>
  </w:style>
  <w:style w:type="paragraph" w:customStyle="1" w:styleId="Heading4Numbered">
    <w:name w:val="Heading 4 Numbered"/>
    <w:basedOn w:val="Heading4"/>
    <w:next w:val="Normal"/>
    <w:semiHidden/>
    <w:rsid w:val="00F07894"/>
  </w:style>
  <w:style w:type="paragraph" w:styleId="TOC1">
    <w:name w:val="toc 1"/>
    <w:basedOn w:val="Normal"/>
    <w:next w:val="Normal"/>
    <w:uiPriority w:val="39"/>
    <w:unhideWhenUsed/>
    <w:rsid w:val="00C24856"/>
    <w:pPr>
      <w:pBdr>
        <w:top w:val="single" w:sz="8" w:space="5" w:color="82C341" w:themeColor="background1"/>
      </w:pBdr>
      <w:tabs>
        <w:tab w:val="left" w:pos="567"/>
        <w:tab w:val="right" w:pos="8931"/>
      </w:tabs>
      <w:spacing w:before="150" w:after="57"/>
      <w:ind w:hanging="567"/>
    </w:pPr>
    <w:rPr>
      <w:rFonts w:asciiTheme="majorHAnsi" w:hAnsiTheme="majorHAnsi"/>
      <w:b/>
      <w:noProof/>
    </w:rPr>
  </w:style>
  <w:style w:type="paragraph" w:styleId="TOC2">
    <w:name w:val="toc 2"/>
    <w:basedOn w:val="Normal"/>
    <w:next w:val="Normal"/>
    <w:uiPriority w:val="39"/>
    <w:unhideWhenUsed/>
    <w:rsid w:val="00C24856"/>
    <w:pPr>
      <w:tabs>
        <w:tab w:val="left" w:pos="567"/>
        <w:tab w:val="right" w:pos="8931"/>
      </w:tabs>
      <w:spacing w:after="28"/>
      <w:ind w:hanging="567"/>
    </w:pPr>
    <w:rPr>
      <w:rFonts w:asciiTheme="majorHAnsi" w:hAnsiTheme="majorHAnsi"/>
      <w:noProof/>
      <w:color w:val="231F20"/>
    </w:rPr>
  </w:style>
  <w:style w:type="paragraph" w:customStyle="1" w:styleId="TableHeading">
    <w:name w:val="Table Heading"/>
    <w:basedOn w:val="Normal"/>
    <w:link w:val="TableHeadingChar"/>
    <w:rsid w:val="00FE1ED7"/>
    <w:pPr>
      <w:spacing w:before="80" w:after="80" w:line="220" w:lineRule="atLeast"/>
    </w:pPr>
    <w:rPr>
      <w:rFonts w:asciiTheme="majorHAnsi" w:hAnsiTheme="majorHAnsi"/>
      <w:b/>
      <w:bCs/>
      <w:color w:val="000000" w:themeColor="accent2"/>
      <w:lang w:eastAsia="en-AU"/>
    </w:rPr>
  </w:style>
  <w:style w:type="paragraph" w:customStyle="1" w:styleId="TableText">
    <w:name w:val="Table Text"/>
    <w:basedOn w:val="TableHeading"/>
    <w:uiPriority w:val="8"/>
    <w:rsid w:val="002C1573"/>
    <w:pPr>
      <w:spacing w:before="70" w:after="70"/>
    </w:pPr>
    <w:rPr>
      <w:rFonts w:asciiTheme="minorHAnsi" w:hAnsiTheme="minorHAnsi"/>
      <w:color w:val="000000" w:themeColor="text1"/>
    </w:rPr>
  </w:style>
  <w:style w:type="table" w:styleId="LightList">
    <w:name w:val="Light List"/>
    <w:basedOn w:val="TableNormal"/>
    <w:uiPriority w:val="61"/>
    <w:rsid w:val="00AD2263"/>
    <w:rPr>
      <w:rFonts w:ascii="Arial" w:hAnsi="Arial"/>
      <w:sz w:val="18"/>
    </w:rPr>
    <w:tblPr>
      <w:tblStyleRowBandSize w:val="1"/>
      <w:tblStyleColBandSize w:val="1"/>
      <w:tblInd w:w="85"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85" w:type="dxa"/>
        <w:left w:w="85" w:type="dxa"/>
        <w:bottom w:w="85" w:type="dxa"/>
        <w:right w:w="85" w:type="dxa"/>
      </w:tblCellMar>
    </w:tblPr>
    <w:tblStylePr w:type="firstRow">
      <w:pPr>
        <w:spacing w:before="0" w:after="0" w:line="240" w:lineRule="auto"/>
      </w:pPr>
      <w:rPr>
        <w:b/>
        <w:bCs/>
        <w:color w:val="82C341"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AD2263"/>
    <w:rPr>
      <w:rFonts w:ascii="Arial" w:hAnsi="Arial"/>
      <w:sz w:val="18"/>
    </w:rPr>
    <w:tblPr>
      <w:tblStyleRowBandSize w:val="1"/>
      <w:tblStyleColBandSize w:val="1"/>
      <w:tblInd w:w="85" w:type="dxa"/>
      <w:tblBorders>
        <w:top w:val="single" w:sz="8" w:space="0" w:color="82C341" w:themeColor="accent1"/>
        <w:left w:val="single" w:sz="8" w:space="0" w:color="82C341" w:themeColor="accent1"/>
        <w:bottom w:val="single" w:sz="8" w:space="0" w:color="82C341" w:themeColor="accent1"/>
        <w:right w:val="single" w:sz="8" w:space="0" w:color="82C341" w:themeColor="accent1"/>
      </w:tblBorders>
      <w:tblCellMar>
        <w:top w:w="85" w:type="dxa"/>
        <w:left w:w="85" w:type="dxa"/>
        <w:bottom w:w="85" w:type="dxa"/>
        <w:right w:w="85" w:type="dxa"/>
      </w:tblCellMar>
    </w:tblPr>
    <w:tblStylePr w:type="firstRow">
      <w:pPr>
        <w:spacing w:before="0" w:after="0" w:line="240" w:lineRule="auto"/>
      </w:pPr>
      <w:rPr>
        <w:b/>
        <w:bCs/>
        <w:color w:val="000000" w:themeColor="text1"/>
      </w:rPr>
      <w:tblPr/>
      <w:tcPr>
        <w:shd w:val="clear" w:color="auto" w:fill="82C341" w:themeFill="accent1"/>
      </w:tcPr>
    </w:tblStylePr>
    <w:tblStylePr w:type="lastRow">
      <w:pPr>
        <w:spacing w:before="0" w:after="0" w:line="240" w:lineRule="auto"/>
      </w:pPr>
      <w:rPr>
        <w:b/>
        <w:bCs/>
      </w:rPr>
      <w:tblPr/>
      <w:tcPr>
        <w:tcBorders>
          <w:top w:val="double" w:sz="6" w:space="0" w:color="82C341" w:themeColor="accent1"/>
          <w:left w:val="single" w:sz="8" w:space="0" w:color="82C341" w:themeColor="accent1"/>
          <w:bottom w:val="single" w:sz="8" w:space="0" w:color="82C341" w:themeColor="accent1"/>
          <w:right w:val="single" w:sz="8" w:space="0" w:color="82C341" w:themeColor="accent1"/>
        </w:tcBorders>
      </w:tcPr>
    </w:tblStylePr>
    <w:tblStylePr w:type="firstCol">
      <w:rPr>
        <w:b/>
        <w:bCs/>
      </w:rPr>
    </w:tblStylePr>
    <w:tblStylePr w:type="lastCol">
      <w:rPr>
        <w:b/>
        <w:bCs/>
      </w:rPr>
    </w:tblStylePr>
    <w:tblStylePr w:type="band1Vert">
      <w:tblPr/>
      <w:tcPr>
        <w:tcBorders>
          <w:top w:val="single" w:sz="8" w:space="0" w:color="82C341" w:themeColor="accent1"/>
          <w:left w:val="single" w:sz="8" w:space="0" w:color="82C341" w:themeColor="accent1"/>
          <w:bottom w:val="single" w:sz="8" w:space="0" w:color="82C341" w:themeColor="accent1"/>
          <w:right w:val="single" w:sz="8" w:space="0" w:color="82C341" w:themeColor="accent1"/>
        </w:tcBorders>
      </w:tcPr>
    </w:tblStylePr>
    <w:tblStylePr w:type="band1Horz">
      <w:tblPr/>
      <w:tcPr>
        <w:tcBorders>
          <w:top w:val="single" w:sz="8" w:space="0" w:color="82C341" w:themeColor="accent1"/>
          <w:left w:val="single" w:sz="8" w:space="0" w:color="82C341" w:themeColor="accent1"/>
          <w:bottom w:val="single" w:sz="8" w:space="0" w:color="82C341" w:themeColor="accent1"/>
          <w:right w:val="single" w:sz="8" w:space="0" w:color="82C341" w:themeColor="accent1"/>
        </w:tcBorders>
      </w:tcPr>
    </w:tblStylePr>
  </w:style>
  <w:style w:type="table" w:styleId="LightList-Accent2">
    <w:name w:val="Light List Accent 2"/>
    <w:basedOn w:val="TableNormal"/>
    <w:uiPriority w:val="61"/>
    <w:rsid w:val="00AD2263"/>
    <w:rPr>
      <w:rFonts w:ascii="Arial" w:hAnsi="Arial"/>
      <w:sz w:val="18"/>
    </w:rPr>
    <w:tblPr>
      <w:tblStyleRowBandSize w:val="1"/>
      <w:tblStyleColBandSize w:val="1"/>
      <w:tblInd w:w="85" w:type="dxa"/>
      <w:tblBorders>
        <w:top w:val="single" w:sz="8" w:space="0" w:color="FFFFFF" w:themeColor="background2" w:themeTint="BF"/>
        <w:left w:val="single" w:sz="8" w:space="0" w:color="FFFFFF" w:themeColor="background2" w:themeTint="BF"/>
        <w:bottom w:val="single" w:sz="8" w:space="0" w:color="FFFFFF" w:themeColor="background2" w:themeTint="BF"/>
        <w:right w:val="single" w:sz="8" w:space="0" w:color="FFFFFF" w:themeColor="background2" w:themeTint="BF"/>
        <w:insideH w:val="single" w:sz="8" w:space="0" w:color="FFFFFF" w:themeColor="background2" w:themeTint="BF"/>
      </w:tblBorders>
      <w:tblCellMar>
        <w:top w:w="85" w:type="dxa"/>
        <w:left w:w="85" w:type="dxa"/>
        <w:bottom w:w="85" w:type="dxa"/>
        <w:right w:w="85" w:type="dxa"/>
      </w:tblCellMar>
    </w:tblPr>
    <w:tblStylePr w:type="firstRow">
      <w:pPr>
        <w:spacing w:before="0" w:after="0" w:line="240" w:lineRule="auto"/>
      </w:pPr>
      <w:rPr>
        <w:b/>
        <w:bCs/>
        <w:color w:val="82C341" w:themeColor="background1"/>
      </w:rPr>
      <w:tblPr/>
      <w:tcPr>
        <w:shd w:val="clear" w:color="auto" w:fill="FFFFFF" w:themeFill="background2" w:themeFillTint="BF"/>
      </w:tcPr>
    </w:tblStylePr>
    <w:tblStylePr w:type="lastRow">
      <w:pPr>
        <w:spacing w:before="0" w:after="0" w:line="240" w:lineRule="auto"/>
      </w:pPr>
      <w:rPr>
        <w:b/>
        <w:bCs/>
      </w:rPr>
      <w:tblPr/>
      <w:tcPr>
        <w:tcBorders>
          <w:top w:val="double" w:sz="6" w:space="0" w:color="000000" w:themeColor="accent2"/>
          <w:left w:val="single" w:sz="8" w:space="0" w:color="000000" w:themeColor="accent2"/>
          <w:bottom w:val="single" w:sz="8" w:space="0" w:color="000000" w:themeColor="accent2"/>
          <w:right w:val="single" w:sz="8" w:space="0" w:color="000000" w:themeColor="accent2"/>
        </w:tcBorders>
      </w:tcPr>
    </w:tblStylePr>
    <w:tblStylePr w:type="firstCol">
      <w:rPr>
        <w:b/>
        <w:bCs/>
      </w:rPr>
    </w:tblStylePr>
    <w:tblStylePr w:type="lastCol">
      <w:rPr>
        <w:b/>
        <w:bCs/>
      </w:rPr>
    </w:tblStylePr>
    <w:tblStylePr w:type="band1Vert">
      <w:tblPr/>
      <w:tcPr>
        <w:tcBorders>
          <w:top w:val="single" w:sz="8" w:space="0" w:color="000000" w:themeColor="accent2"/>
          <w:left w:val="single" w:sz="8" w:space="0" w:color="000000" w:themeColor="accent2"/>
          <w:bottom w:val="single" w:sz="8" w:space="0" w:color="000000" w:themeColor="accent2"/>
          <w:right w:val="single" w:sz="8" w:space="0" w:color="000000" w:themeColor="accent2"/>
        </w:tcBorders>
      </w:tcPr>
    </w:tblStylePr>
    <w:tblStylePr w:type="band1Horz">
      <w:tblPr/>
      <w:tcPr>
        <w:tcBorders>
          <w:top w:val="single" w:sz="8" w:space="0" w:color="FFFFFF" w:themeColor="background2" w:themeTint="BF"/>
          <w:left w:val="single" w:sz="8" w:space="0" w:color="FFFFFF" w:themeColor="background2" w:themeTint="BF"/>
          <w:bottom w:val="single" w:sz="8" w:space="0" w:color="FFFFFF" w:themeColor="background2" w:themeTint="BF"/>
          <w:right w:val="single" w:sz="8" w:space="0" w:color="FFFFFF" w:themeColor="background2" w:themeTint="BF"/>
          <w:insideH w:val="nil"/>
          <w:insideV w:val="nil"/>
          <w:tl2br w:val="nil"/>
          <w:tr2bl w:val="nil"/>
        </w:tcBorders>
      </w:tcPr>
    </w:tblStylePr>
  </w:style>
  <w:style w:type="table" w:styleId="LightList-Accent3">
    <w:name w:val="Light List Accent 3"/>
    <w:basedOn w:val="TableNormal"/>
    <w:uiPriority w:val="61"/>
    <w:rsid w:val="00AD2263"/>
    <w:rPr>
      <w:rFonts w:ascii="Arial" w:hAnsi="Arial"/>
      <w:sz w:val="18"/>
    </w:rPr>
    <w:tblPr>
      <w:tblStyleRowBandSize w:val="1"/>
      <w:tblStyleColBandSize w:val="1"/>
      <w:tblInd w:w="85" w:type="dxa"/>
      <w:tblBorders>
        <w:top w:val="single" w:sz="8" w:space="0" w:color="BCBEC0" w:themeColor="accent3"/>
        <w:left w:val="single" w:sz="8" w:space="0" w:color="BCBEC0" w:themeColor="accent3"/>
        <w:bottom w:val="single" w:sz="8" w:space="0" w:color="BCBEC0" w:themeColor="accent3"/>
        <w:right w:val="single" w:sz="8" w:space="0" w:color="BCBEC0" w:themeColor="accent3"/>
      </w:tblBorders>
      <w:tblCellMar>
        <w:top w:w="85" w:type="dxa"/>
        <w:left w:w="85" w:type="dxa"/>
        <w:bottom w:w="85" w:type="dxa"/>
        <w:right w:w="85" w:type="dxa"/>
      </w:tblCellMar>
    </w:tblPr>
    <w:tblStylePr w:type="firstRow">
      <w:pPr>
        <w:spacing w:before="0" w:after="0" w:line="240" w:lineRule="auto"/>
      </w:pPr>
      <w:rPr>
        <w:b/>
        <w:bCs/>
        <w:color w:val="82C341" w:themeColor="background1"/>
      </w:rPr>
      <w:tblPr/>
      <w:tcPr>
        <w:shd w:val="clear" w:color="auto" w:fill="BCBEC0" w:themeFill="accent3"/>
      </w:tcPr>
    </w:tblStylePr>
    <w:tblStylePr w:type="lastRow">
      <w:pPr>
        <w:spacing w:before="0" w:after="0" w:line="240" w:lineRule="auto"/>
      </w:pPr>
      <w:rPr>
        <w:b/>
        <w:bCs/>
      </w:rPr>
      <w:tblPr/>
      <w:tcPr>
        <w:tcBorders>
          <w:top w:val="double" w:sz="6" w:space="0" w:color="BCBEC0" w:themeColor="accent3"/>
          <w:left w:val="single" w:sz="8" w:space="0" w:color="BCBEC0" w:themeColor="accent3"/>
          <w:bottom w:val="single" w:sz="8" w:space="0" w:color="BCBEC0" w:themeColor="accent3"/>
          <w:right w:val="single" w:sz="8" w:space="0" w:color="BCBEC0" w:themeColor="accent3"/>
        </w:tcBorders>
      </w:tcPr>
    </w:tblStylePr>
    <w:tblStylePr w:type="firstCol">
      <w:rPr>
        <w:b/>
        <w:bCs/>
      </w:rPr>
    </w:tblStylePr>
    <w:tblStylePr w:type="lastCol">
      <w:rPr>
        <w:b/>
        <w:bCs/>
      </w:rPr>
    </w:tblStylePr>
    <w:tblStylePr w:type="band1Vert">
      <w:tblPr/>
      <w:tcPr>
        <w:tcBorders>
          <w:top w:val="single" w:sz="8" w:space="0" w:color="BCBEC0" w:themeColor="accent3"/>
          <w:left w:val="single" w:sz="8" w:space="0" w:color="BCBEC0" w:themeColor="accent3"/>
          <w:bottom w:val="single" w:sz="8" w:space="0" w:color="BCBEC0" w:themeColor="accent3"/>
          <w:right w:val="single" w:sz="8" w:space="0" w:color="BCBEC0" w:themeColor="accent3"/>
        </w:tcBorders>
      </w:tcPr>
    </w:tblStylePr>
    <w:tblStylePr w:type="band1Horz">
      <w:tblPr/>
      <w:tcPr>
        <w:tcBorders>
          <w:top w:val="single" w:sz="8" w:space="0" w:color="BCBEC0" w:themeColor="accent3"/>
          <w:left w:val="single" w:sz="8" w:space="0" w:color="BCBEC0" w:themeColor="accent3"/>
          <w:bottom w:val="single" w:sz="8" w:space="0" w:color="BCBEC0" w:themeColor="accent3"/>
          <w:right w:val="single" w:sz="8" w:space="0" w:color="BCBEC0" w:themeColor="accent3"/>
        </w:tcBorders>
      </w:tcPr>
    </w:tblStylePr>
  </w:style>
  <w:style w:type="table" w:styleId="LightList-Accent4">
    <w:name w:val="Light List Accent 4"/>
    <w:basedOn w:val="TableNormal"/>
    <w:uiPriority w:val="61"/>
    <w:rsid w:val="00AD2263"/>
    <w:rPr>
      <w:rFonts w:ascii="Arial" w:hAnsi="Arial"/>
      <w:sz w:val="18"/>
    </w:rPr>
    <w:tblPr>
      <w:tblStyleRowBandSize w:val="1"/>
      <w:tblStyleColBandSize w:val="1"/>
      <w:tblInd w:w="85" w:type="dxa"/>
      <w:tblBorders>
        <w:top w:val="single" w:sz="8" w:space="0" w:color="6AA336" w:themeColor="accent4"/>
        <w:left w:val="single" w:sz="8" w:space="0" w:color="6AA336" w:themeColor="accent4"/>
        <w:bottom w:val="single" w:sz="8" w:space="0" w:color="6AA336" w:themeColor="accent4"/>
        <w:right w:val="single" w:sz="8" w:space="0" w:color="6AA336" w:themeColor="accent4"/>
      </w:tblBorders>
      <w:tblCellMar>
        <w:top w:w="85" w:type="dxa"/>
        <w:left w:w="85" w:type="dxa"/>
        <w:bottom w:w="85" w:type="dxa"/>
        <w:right w:w="85" w:type="dxa"/>
      </w:tblCellMar>
    </w:tblPr>
    <w:tblStylePr w:type="firstRow">
      <w:pPr>
        <w:spacing w:before="0" w:after="0" w:line="240" w:lineRule="auto"/>
      </w:pPr>
      <w:rPr>
        <w:b/>
        <w:bCs/>
        <w:color w:val="82C341" w:themeColor="background1"/>
      </w:rPr>
      <w:tblPr/>
      <w:tcPr>
        <w:shd w:val="clear" w:color="auto" w:fill="6AA336" w:themeFill="accent4"/>
      </w:tcPr>
    </w:tblStylePr>
    <w:tblStylePr w:type="lastRow">
      <w:pPr>
        <w:spacing w:before="0" w:after="0" w:line="240" w:lineRule="auto"/>
      </w:pPr>
      <w:rPr>
        <w:b/>
        <w:bCs/>
      </w:rPr>
      <w:tblPr/>
      <w:tcPr>
        <w:tcBorders>
          <w:top w:val="double" w:sz="6" w:space="0" w:color="6AA336" w:themeColor="accent4"/>
          <w:left w:val="single" w:sz="8" w:space="0" w:color="6AA336" w:themeColor="accent4"/>
          <w:bottom w:val="single" w:sz="8" w:space="0" w:color="6AA336" w:themeColor="accent4"/>
          <w:right w:val="single" w:sz="8" w:space="0" w:color="6AA336" w:themeColor="accent4"/>
        </w:tcBorders>
      </w:tcPr>
    </w:tblStylePr>
    <w:tblStylePr w:type="firstCol">
      <w:rPr>
        <w:b/>
        <w:bCs/>
      </w:rPr>
    </w:tblStylePr>
    <w:tblStylePr w:type="lastCol">
      <w:rPr>
        <w:b/>
        <w:bCs/>
      </w:rPr>
    </w:tblStylePr>
    <w:tblStylePr w:type="band1Vert">
      <w:tblPr/>
      <w:tcPr>
        <w:tcBorders>
          <w:top w:val="single" w:sz="8" w:space="0" w:color="6AA336" w:themeColor="accent4"/>
          <w:left w:val="single" w:sz="8" w:space="0" w:color="6AA336" w:themeColor="accent4"/>
          <w:bottom w:val="single" w:sz="8" w:space="0" w:color="6AA336" w:themeColor="accent4"/>
          <w:right w:val="single" w:sz="8" w:space="0" w:color="6AA336" w:themeColor="accent4"/>
        </w:tcBorders>
      </w:tcPr>
    </w:tblStylePr>
    <w:tblStylePr w:type="band1Horz">
      <w:tblPr/>
      <w:tcPr>
        <w:tcBorders>
          <w:top w:val="single" w:sz="8" w:space="0" w:color="6AA336" w:themeColor="accent4"/>
          <w:left w:val="single" w:sz="8" w:space="0" w:color="6AA336" w:themeColor="accent4"/>
          <w:bottom w:val="single" w:sz="8" w:space="0" w:color="6AA336" w:themeColor="accent4"/>
          <w:right w:val="single" w:sz="8" w:space="0" w:color="6AA336" w:themeColor="accent4"/>
        </w:tcBorders>
      </w:tcPr>
    </w:tblStylePr>
  </w:style>
  <w:style w:type="table" w:styleId="LightList-Accent5">
    <w:name w:val="Light List Accent 5"/>
    <w:basedOn w:val="TableNormal"/>
    <w:uiPriority w:val="61"/>
    <w:rsid w:val="00AD2263"/>
    <w:rPr>
      <w:rFonts w:ascii="Arial" w:hAnsi="Arial"/>
      <w:sz w:val="18"/>
    </w:rPr>
    <w:tblPr>
      <w:tblStyleRowBandSize w:val="1"/>
      <w:tblStyleColBandSize w:val="1"/>
      <w:tblInd w:w="85" w:type="dxa"/>
      <w:tblBorders>
        <w:top w:val="single" w:sz="8" w:space="0" w:color="A7D278" w:themeColor="accent5"/>
        <w:left w:val="single" w:sz="8" w:space="0" w:color="A7D278" w:themeColor="accent5"/>
        <w:bottom w:val="single" w:sz="8" w:space="0" w:color="A7D278" w:themeColor="accent5"/>
        <w:right w:val="single" w:sz="8" w:space="0" w:color="A7D278" w:themeColor="accent5"/>
      </w:tblBorders>
      <w:tblCellMar>
        <w:top w:w="85" w:type="dxa"/>
        <w:left w:w="85" w:type="dxa"/>
        <w:bottom w:w="85" w:type="dxa"/>
        <w:right w:w="85" w:type="dxa"/>
      </w:tblCellMar>
    </w:tblPr>
    <w:tblStylePr w:type="firstRow">
      <w:pPr>
        <w:spacing w:before="0" w:after="0" w:line="240" w:lineRule="auto"/>
      </w:pPr>
      <w:rPr>
        <w:b/>
        <w:bCs/>
        <w:color w:val="82C341" w:themeColor="background1"/>
      </w:rPr>
      <w:tblPr/>
      <w:tcPr>
        <w:shd w:val="clear" w:color="auto" w:fill="A7D278" w:themeFill="accent5"/>
      </w:tcPr>
    </w:tblStylePr>
    <w:tblStylePr w:type="lastRow">
      <w:pPr>
        <w:spacing w:before="0" w:after="0" w:line="240" w:lineRule="auto"/>
      </w:pPr>
      <w:rPr>
        <w:b/>
        <w:bCs/>
      </w:rPr>
      <w:tblPr/>
      <w:tcPr>
        <w:tcBorders>
          <w:top w:val="double" w:sz="6" w:space="0" w:color="A7D278" w:themeColor="accent5"/>
          <w:left w:val="single" w:sz="8" w:space="0" w:color="A7D278" w:themeColor="accent5"/>
          <w:bottom w:val="single" w:sz="8" w:space="0" w:color="A7D278" w:themeColor="accent5"/>
          <w:right w:val="single" w:sz="8" w:space="0" w:color="A7D278" w:themeColor="accent5"/>
        </w:tcBorders>
      </w:tcPr>
    </w:tblStylePr>
    <w:tblStylePr w:type="firstCol">
      <w:rPr>
        <w:b/>
        <w:bCs/>
      </w:rPr>
    </w:tblStylePr>
    <w:tblStylePr w:type="lastCol">
      <w:rPr>
        <w:b/>
        <w:bCs/>
      </w:rPr>
    </w:tblStylePr>
    <w:tblStylePr w:type="band1Vert">
      <w:tblPr/>
      <w:tcPr>
        <w:tcBorders>
          <w:top w:val="single" w:sz="8" w:space="0" w:color="A7D278" w:themeColor="accent5"/>
          <w:left w:val="single" w:sz="8" w:space="0" w:color="A7D278" w:themeColor="accent5"/>
          <w:bottom w:val="single" w:sz="8" w:space="0" w:color="A7D278" w:themeColor="accent5"/>
          <w:right w:val="single" w:sz="8" w:space="0" w:color="A7D278" w:themeColor="accent5"/>
        </w:tcBorders>
      </w:tcPr>
    </w:tblStylePr>
    <w:tblStylePr w:type="band1Horz">
      <w:tblPr/>
      <w:tcPr>
        <w:tcBorders>
          <w:top w:val="single" w:sz="8" w:space="0" w:color="A7D278" w:themeColor="accent5"/>
          <w:left w:val="single" w:sz="8" w:space="0" w:color="A7D278" w:themeColor="accent5"/>
          <w:bottom w:val="single" w:sz="8" w:space="0" w:color="A7D278" w:themeColor="accent5"/>
          <w:right w:val="single" w:sz="8" w:space="0" w:color="A7D278" w:themeColor="accent5"/>
        </w:tcBorders>
      </w:tcPr>
    </w:tblStylePr>
  </w:style>
  <w:style w:type="table" w:styleId="MediumShading1-Accent1">
    <w:name w:val="Medium Shading 1 Accent 1"/>
    <w:basedOn w:val="TableNormal"/>
    <w:uiPriority w:val="63"/>
    <w:rsid w:val="00AD2263"/>
    <w:rPr>
      <w:rFonts w:ascii="Arial" w:hAnsi="Arial"/>
      <w:sz w:val="18"/>
    </w:rPr>
    <w:tblPr>
      <w:tblStyleRowBandSize w:val="1"/>
      <w:tblStyleColBandSize w:val="1"/>
      <w:tblInd w:w="85" w:type="dxa"/>
      <w:tblCellMar>
        <w:top w:w="85" w:type="dxa"/>
        <w:left w:w="85" w:type="dxa"/>
        <w:bottom w:w="85" w:type="dxa"/>
        <w:right w:w="85" w:type="dxa"/>
      </w:tblCellMar>
    </w:tblPr>
    <w:tblStylePr w:type="firstRow">
      <w:pPr>
        <w:spacing w:before="0" w:after="0" w:line="240" w:lineRule="auto"/>
      </w:pPr>
      <w:rPr>
        <w:b/>
        <w:bCs/>
        <w:color w:val="000000" w:themeColor="text1"/>
      </w:rPr>
      <w:tblPr/>
      <w:tcPr>
        <w:tcBorders>
          <w:top w:val="nil"/>
          <w:left w:val="nil"/>
          <w:bottom w:val="nil"/>
          <w:right w:val="nil"/>
          <w:insideH w:val="nil"/>
          <w:insideV w:val="nil"/>
        </w:tcBorders>
        <w:shd w:val="clear" w:color="auto" w:fill="82C341" w:themeFill="accent1"/>
      </w:tcPr>
    </w:tblStylePr>
    <w:tblStylePr w:type="lastRow">
      <w:pPr>
        <w:spacing w:before="0" w:after="0" w:line="240" w:lineRule="auto"/>
      </w:pPr>
      <w:rPr>
        <w:b/>
        <w:bCs/>
      </w:rPr>
      <w:tblPr/>
      <w:tcPr>
        <w:tcBorders>
          <w:top w:val="double" w:sz="6" w:space="0" w:color="A1D270" w:themeColor="accent1" w:themeTint="BF"/>
          <w:left w:val="single" w:sz="8" w:space="0" w:color="A1D270" w:themeColor="accent1" w:themeTint="BF"/>
          <w:bottom w:val="single" w:sz="8" w:space="0" w:color="A1D270" w:themeColor="accent1" w:themeTint="BF"/>
          <w:right w:val="single" w:sz="8" w:space="0" w:color="A1D270"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F0CF" w:themeFill="accent1" w:themeFillTint="3F"/>
      </w:tcPr>
    </w:tblStylePr>
    <w:tblStylePr w:type="band1Horz">
      <w:tblPr/>
      <w:tcPr>
        <w:tcBorders>
          <w:insideH w:val="nil"/>
          <w:insideV w:val="nil"/>
        </w:tcBorders>
        <w:shd w:val="clear" w:color="auto" w:fill="DFF0CF" w:themeFill="accent1" w:themeFillTint="3F"/>
      </w:tcPr>
    </w:tblStylePr>
    <w:tblStylePr w:type="band2Horz">
      <w:tblPr/>
      <w:tcPr>
        <w:tcBorders>
          <w:insideH w:val="nil"/>
          <w:insideV w:val="nil"/>
        </w:tcBorders>
      </w:tcPr>
    </w:tblStylePr>
  </w:style>
  <w:style w:type="table" w:styleId="LightList-Accent6">
    <w:name w:val="Light List Accent 6"/>
    <w:basedOn w:val="TableNormal"/>
    <w:uiPriority w:val="61"/>
    <w:rsid w:val="00AD2263"/>
    <w:rPr>
      <w:rFonts w:ascii="Arial" w:hAnsi="Arial"/>
      <w:sz w:val="18"/>
    </w:rPr>
    <w:tblPr>
      <w:tblStyleRowBandSize w:val="1"/>
      <w:tblStyleColBandSize w:val="1"/>
      <w:tblInd w:w="85" w:type="dxa"/>
      <w:tblBorders>
        <w:top w:val="single" w:sz="8" w:space="0" w:color="CBE3AE" w:themeColor="accent6"/>
        <w:left w:val="single" w:sz="8" w:space="0" w:color="CBE3AE" w:themeColor="accent6"/>
        <w:bottom w:val="single" w:sz="8" w:space="0" w:color="CBE3AE" w:themeColor="accent6"/>
        <w:right w:val="single" w:sz="8" w:space="0" w:color="CBE3AE" w:themeColor="accent6"/>
      </w:tblBorders>
      <w:tblCellMar>
        <w:top w:w="85" w:type="dxa"/>
        <w:left w:w="85" w:type="dxa"/>
        <w:bottom w:w="85" w:type="dxa"/>
        <w:right w:w="85" w:type="dxa"/>
      </w:tblCellMar>
    </w:tblPr>
    <w:tblStylePr w:type="firstRow">
      <w:pPr>
        <w:spacing w:before="0" w:after="0" w:line="240" w:lineRule="auto"/>
      </w:pPr>
      <w:rPr>
        <w:b/>
        <w:bCs/>
        <w:color w:val="FFFFFF" w:themeColor="background2"/>
      </w:rPr>
      <w:tblPr/>
      <w:tcPr>
        <w:shd w:val="clear" w:color="auto" w:fill="CBE3AE" w:themeFill="accent6"/>
      </w:tcPr>
    </w:tblStylePr>
    <w:tblStylePr w:type="lastRow">
      <w:pPr>
        <w:spacing w:before="0" w:after="0" w:line="240" w:lineRule="auto"/>
      </w:pPr>
      <w:rPr>
        <w:b/>
        <w:bCs/>
      </w:rPr>
      <w:tblPr/>
      <w:tcPr>
        <w:tcBorders>
          <w:top w:val="double" w:sz="6" w:space="0" w:color="CBE3AE" w:themeColor="accent6"/>
          <w:left w:val="single" w:sz="8" w:space="0" w:color="CBE3AE" w:themeColor="accent6"/>
          <w:bottom w:val="single" w:sz="8" w:space="0" w:color="CBE3AE" w:themeColor="accent6"/>
          <w:right w:val="single" w:sz="8" w:space="0" w:color="CBE3AE" w:themeColor="accent6"/>
        </w:tcBorders>
      </w:tcPr>
    </w:tblStylePr>
    <w:tblStylePr w:type="firstCol">
      <w:rPr>
        <w:b/>
        <w:bCs/>
      </w:rPr>
    </w:tblStylePr>
    <w:tblStylePr w:type="lastCol">
      <w:rPr>
        <w:b/>
        <w:bCs/>
      </w:rPr>
    </w:tblStylePr>
    <w:tblStylePr w:type="band1Vert">
      <w:tblPr/>
      <w:tcPr>
        <w:tcBorders>
          <w:top w:val="single" w:sz="8" w:space="0" w:color="CBE3AE" w:themeColor="accent6"/>
          <w:left w:val="single" w:sz="8" w:space="0" w:color="CBE3AE" w:themeColor="accent6"/>
          <w:bottom w:val="single" w:sz="8" w:space="0" w:color="CBE3AE" w:themeColor="accent6"/>
          <w:right w:val="single" w:sz="8" w:space="0" w:color="CBE3AE" w:themeColor="accent6"/>
        </w:tcBorders>
      </w:tcPr>
    </w:tblStylePr>
    <w:tblStylePr w:type="band1Horz">
      <w:tblPr/>
      <w:tcPr>
        <w:tcBorders>
          <w:top w:val="single" w:sz="8" w:space="0" w:color="CBE3AE" w:themeColor="accent6"/>
          <w:left w:val="single" w:sz="8" w:space="0" w:color="CBE3AE" w:themeColor="accent6"/>
          <w:bottom w:val="single" w:sz="8" w:space="0" w:color="CBE3AE" w:themeColor="accent6"/>
          <w:right w:val="single" w:sz="8" w:space="0" w:color="CBE3AE" w:themeColor="accent6"/>
        </w:tcBorders>
      </w:tcPr>
    </w:tblStylePr>
  </w:style>
  <w:style w:type="table" w:styleId="MediumGrid2-Accent1">
    <w:name w:val="Medium Grid 2 Accent 1"/>
    <w:basedOn w:val="TableNormal"/>
    <w:uiPriority w:val="68"/>
    <w:rsid w:val="00AD2263"/>
    <w:rPr>
      <w:rFonts w:ascii="Arial" w:eastAsiaTheme="majorEastAsia" w:hAnsi="Arial" w:cstheme="majorBidi"/>
      <w:color w:val="000000" w:themeColor="text1"/>
      <w:sz w:val="18"/>
    </w:rPr>
    <w:tblPr>
      <w:tblStyleRowBandSize w:val="1"/>
      <w:tblStyleColBandSize w:val="1"/>
      <w:tblBorders>
        <w:top w:val="single" w:sz="8" w:space="0" w:color="82C341" w:themeColor="accent1"/>
        <w:left w:val="single" w:sz="8" w:space="0" w:color="82C341" w:themeColor="accent1"/>
        <w:bottom w:val="single" w:sz="8" w:space="0" w:color="82C341" w:themeColor="accent1"/>
        <w:right w:val="single" w:sz="8" w:space="0" w:color="82C341" w:themeColor="accent1"/>
        <w:insideH w:val="single" w:sz="8" w:space="0" w:color="82C341" w:themeColor="accent1"/>
        <w:insideV w:val="single" w:sz="8" w:space="0" w:color="82C341" w:themeColor="accent1"/>
      </w:tblBorders>
    </w:tblPr>
    <w:tcPr>
      <w:shd w:val="clear" w:color="auto" w:fill="DFF0CF" w:themeFill="accent1" w:themeFillTint="3F"/>
    </w:tcPr>
    <w:tblStylePr w:type="firstRow">
      <w:rPr>
        <w:b/>
        <w:bCs/>
        <w:color w:val="000000" w:themeColor="text1"/>
      </w:rPr>
      <w:tblPr/>
      <w:tcPr>
        <w:shd w:val="clear" w:color="auto" w:fill="F2F9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82C341" w:themeFill="background1"/>
      </w:tcPr>
    </w:tblStylePr>
    <w:tblStylePr w:type="firstCol">
      <w:rPr>
        <w:b/>
        <w:bCs/>
        <w:color w:val="000000" w:themeColor="text1"/>
      </w:rPr>
      <w:tblPr/>
      <w:tcPr>
        <w:tcBorders>
          <w:top w:val="nil"/>
          <w:left w:val="nil"/>
          <w:bottom w:val="nil"/>
          <w:right w:val="nil"/>
          <w:insideH w:val="nil"/>
          <w:insideV w:val="nil"/>
        </w:tcBorders>
        <w:shd w:val="clear" w:color="auto" w:fill="82C341"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F3D9" w:themeFill="accent1" w:themeFillTint="33"/>
      </w:tcPr>
    </w:tblStylePr>
    <w:tblStylePr w:type="band1Vert">
      <w:tblPr/>
      <w:tcPr>
        <w:shd w:val="clear" w:color="auto" w:fill="C0E1A0" w:themeFill="accent1" w:themeFillTint="7F"/>
      </w:tcPr>
    </w:tblStylePr>
    <w:tblStylePr w:type="band1Horz">
      <w:tblPr/>
      <w:tcPr>
        <w:shd w:val="clear" w:color="auto" w:fill="A8ABAE" w:themeFill="text2" w:themeFillShade="E6"/>
      </w:tcPr>
    </w:tblStylePr>
    <w:tblStylePr w:type="band2Horz">
      <w:tblPr/>
      <w:tcPr>
        <w:shd w:val="clear" w:color="auto" w:fill="BCBEC0" w:themeFill="text2"/>
      </w:tcPr>
    </w:tblStylePr>
    <w:tblStylePr w:type="nwCell">
      <w:tblPr/>
      <w:tcPr>
        <w:shd w:val="clear" w:color="auto" w:fill="82C341" w:themeFill="background1"/>
      </w:tcPr>
    </w:tblStylePr>
  </w:style>
  <w:style w:type="paragraph" w:styleId="Quote">
    <w:name w:val="Quote"/>
    <w:basedOn w:val="Normal"/>
    <w:next w:val="Normal"/>
    <w:link w:val="QuoteChar"/>
    <w:uiPriority w:val="29"/>
    <w:qFormat/>
    <w:rsid w:val="00E325C1"/>
    <w:pPr>
      <w:spacing w:before="300" w:after="300"/>
      <w:ind w:left="567" w:right="521"/>
    </w:pPr>
    <w:rPr>
      <w:b/>
      <w:bCs/>
      <w:color w:val="404040" w:themeColor="text1" w:themeTint="BF"/>
      <w:sz w:val="28"/>
      <w:szCs w:val="28"/>
    </w:rPr>
  </w:style>
  <w:style w:type="character" w:customStyle="1" w:styleId="QuoteChar">
    <w:name w:val="Quote Char"/>
    <w:basedOn w:val="DefaultParagraphFont"/>
    <w:link w:val="Quote"/>
    <w:uiPriority w:val="29"/>
    <w:rsid w:val="00E325C1"/>
    <w:rPr>
      <w:b/>
      <w:bCs/>
      <w:color w:val="404040" w:themeColor="text1" w:themeTint="BF"/>
      <w:sz w:val="28"/>
      <w:szCs w:val="28"/>
    </w:rPr>
  </w:style>
  <w:style w:type="table" w:customStyle="1" w:styleId="LayoutGrid">
    <w:name w:val="Layout Grid"/>
    <w:basedOn w:val="TableNormal"/>
    <w:uiPriority w:val="99"/>
    <w:rsid w:val="00586D62"/>
    <w:rPr>
      <w:sz w:val="18"/>
    </w:rPr>
    <w:tblPr>
      <w:tblCellMar>
        <w:left w:w="0" w:type="dxa"/>
        <w:right w:w="0" w:type="dxa"/>
      </w:tblCellMar>
    </w:tblPr>
  </w:style>
  <w:style w:type="character" w:styleId="PlaceholderText">
    <w:name w:val="Placeholder Text"/>
    <w:basedOn w:val="DefaultParagraphFont"/>
    <w:uiPriority w:val="99"/>
    <w:semiHidden/>
    <w:rsid w:val="0045125A"/>
    <w:rPr>
      <w:color w:val="808080"/>
    </w:rPr>
  </w:style>
  <w:style w:type="paragraph" w:customStyle="1" w:styleId="TableBullet">
    <w:name w:val="Table Bullet"/>
    <w:basedOn w:val="TableText"/>
    <w:rsid w:val="00D12825"/>
    <w:pPr>
      <w:numPr>
        <w:numId w:val="12"/>
      </w:numPr>
    </w:pPr>
  </w:style>
  <w:style w:type="numbering" w:customStyle="1" w:styleId="TableBulletList">
    <w:name w:val="TableBullet List"/>
    <w:uiPriority w:val="99"/>
    <w:rsid w:val="00D12825"/>
    <w:pPr>
      <w:numPr>
        <w:numId w:val="8"/>
      </w:numPr>
    </w:pPr>
  </w:style>
  <w:style w:type="paragraph" w:customStyle="1" w:styleId="FooterDetails">
    <w:name w:val="Footer Details"/>
    <w:basedOn w:val="Normal"/>
    <w:rsid w:val="00807D31"/>
    <w:pPr>
      <w:spacing w:after="0" w:line="240" w:lineRule="auto"/>
    </w:pPr>
    <w:rPr>
      <w:rFonts w:asciiTheme="majorHAnsi" w:hAnsiTheme="majorHAnsi"/>
      <w:sz w:val="15"/>
    </w:rPr>
  </w:style>
  <w:style w:type="paragraph" w:styleId="TOCHeading">
    <w:name w:val="TOC Heading"/>
    <w:basedOn w:val="Heading1"/>
    <w:next w:val="Normal"/>
    <w:uiPriority w:val="39"/>
    <w:unhideWhenUsed/>
    <w:qFormat/>
    <w:rsid w:val="000F326D"/>
    <w:pPr>
      <w:outlineLvl w:val="9"/>
    </w:pPr>
  </w:style>
  <w:style w:type="character" w:customStyle="1" w:styleId="Heading5Char">
    <w:name w:val="Heading 5 Char"/>
    <w:basedOn w:val="DefaultParagraphFont"/>
    <w:link w:val="Heading5"/>
    <w:uiPriority w:val="9"/>
    <w:rsid w:val="009940E4"/>
    <w:rPr>
      <w:rFonts w:ascii="SegoeUI" w:eastAsiaTheme="majorEastAsia" w:hAnsiTheme="majorHAnsi" w:cs="SegoeUI"/>
      <w:b/>
      <w:bCs/>
      <w:color w:val="595959" w:themeColor="text1" w:themeTint="A6"/>
      <w:sz w:val="22"/>
      <w:szCs w:val="22"/>
    </w:rPr>
  </w:style>
  <w:style w:type="character" w:customStyle="1" w:styleId="Heading6Char">
    <w:name w:val="Heading 6 Char"/>
    <w:basedOn w:val="DefaultParagraphFont"/>
    <w:link w:val="Heading6"/>
    <w:uiPriority w:val="9"/>
    <w:rsid w:val="000E2BD0"/>
    <w:rPr>
      <w:rFonts w:asciiTheme="majorHAnsi" w:eastAsiaTheme="majorEastAsia" w:hAnsiTheme="majorHAnsi" w:cstheme="majorBidi"/>
      <w:i/>
      <w:iCs/>
      <w:color w:val="8A8E91" w:themeColor="text2" w:themeShade="BF"/>
      <w:sz w:val="22"/>
      <w:szCs w:val="22"/>
    </w:rPr>
  </w:style>
  <w:style w:type="character" w:customStyle="1" w:styleId="Heading7Char">
    <w:name w:val="Heading 7 Char"/>
    <w:basedOn w:val="DefaultParagraphFont"/>
    <w:link w:val="Heading7"/>
    <w:uiPriority w:val="9"/>
    <w:rsid w:val="000F326D"/>
    <w:rPr>
      <w:rFonts w:asciiTheme="majorHAnsi" w:eastAsiaTheme="majorEastAsia" w:hAnsiTheme="majorHAnsi" w:cstheme="majorBidi"/>
      <w:i/>
      <w:iCs/>
      <w:color w:val="41631F" w:themeColor="accent1" w:themeShade="80"/>
      <w:sz w:val="21"/>
      <w:szCs w:val="21"/>
    </w:rPr>
  </w:style>
  <w:style w:type="character" w:customStyle="1" w:styleId="Heading8Char">
    <w:name w:val="Heading 8 Char"/>
    <w:basedOn w:val="DefaultParagraphFont"/>
    <w:link w:val="Heading8"/>
    <w:uiPriority w:val="9"/>
    <w:semiHidden/>
    <w:rsid w:val="000F326D"/>
    <w:rPr>
      <w:rFonts w:asciiTheme="majorHAnsi" w:eastAsiaTheme="majorEastAsia" w:hAnsiTheme="majorHAnsi" w:cstheme="majorBidi"/>
      <w:b/>
      <w:bCs/>
      <w:color w:val="BCBEC0" w:themeColor="text2"/>
    </w:rPr>
  </w:style>
  <w:style w:type="character" w:customStyle="1" w:styleId="Heading9Char">
    <w:name w:val="Heading 9 Char"/>
    <w:basedOn w:val="DefaultParagraphFont"/>
    <w:link w:val="Heading9"/>
    <w:uiPriority w:val="9"/>
    <w:semiHidden/>
    <w:rsid w:val="000F326D"/>
    <w:rPr>
      <w:rFonts w:asciiTheme="majorHAnsi" w:eastAsiaTheme="majorEastAsia" w:hAnsiTheme="majorHAnsi" w:cstheme="majorBidi"/>
      <w:b/>
      <w:bCs/>
      <w:i/>
      <w:iCs/>
      <w:color w:val="BCBEC0" w:themeColor="text2"/>
    </w:rPr>
  </w:style>
  <w:style w:type="paragraph" w:styleId="Index1">
    <w:name w:val="index 1"/>
    <w:basedOn w:val="Normal"/>
    <w:next w:val="Normal"/>
    <w:autoRedefine/>
    <w:uiPriority w:val="99"/>
    <w:semiHidden/>
    <w:unhideWhenUsed/>
    <w:rsid w:val="00AD2263"/>
    <w:pPr>
      <w:spacing w:after="0"/>
      <w:ind w:left="200" w:hanging="200"/>
    </w:pPr>
  </w:style>
  <w:style w:type="paragraph" w:styleId="Index2">
    <w:name w:val="index 2"/>
    <w:basedOn w:val="Normal"/>
    <w:next w:val="Normal"/>
    <w:autoRedefine/>
    <w:uiPriority w:val="99"/>
    <w:semiHidden/>
    <w:unhideWhenUsed/>
    <w:rsid w:val="00AD2263"/>
    <w:pPr>
      <w:spacing w:after="0"/>
      <w:ind w:left="400" w:hanging="200"/>
    </w:pPr>
  </w:style>
  <w:style w:type="paragraph" w:styleId="Index3">
    <w:name w:val="index 3"/>
    <w:basedOn w:val="Normal"/>
    <w:next w:val="Normal"/>
    <w:autoRedefine/>
    <w:uiPriority w:val="99"/>
    <w:semiHidden/>
    <w:unhideWhenUsed/>
    <w:rsid w:val="00AD2263"/>
    <w:pPr>
      <w:spacing w:after="0"/>
      <w:ind w:left="600" w:hanging="200"/>
    </w:pPr>
  </w:style>
  <w:style w:type="paragraph" w:styleId="Index4">
    <w:name w:val="index 4"/>
    <w:basedOn w:val="Normal"/>
    <w:next w:val="Normal"/>
    <w:autoRedefine/>
    <w:uiPriority w:val="99"/>
    <w:semiHidden/>
    <w:unhideWhenUsed/>
    <w:rsid w:val="00AD2263"/>
    <w:pPr>
      <w:spacing w:after="0"/>
      <w:ind w:left="800" w:hanging="200"/>
    </w:pPr>
  </w:style>
  <w:style w:type="paragraph" w:styleId="Index5">
    <w:name w:val="index 5"/>
    <w:basedOn w:val="Normal"/>
    <w:next w:val="Normal"/>
    <w:autoRedefine/>
    <w:uiPriority w:val="99"/>
    <w:semiHidden/>
    <w:unhideWhenUsed/>
    <w:rsid w:val="00AD2263"/>
    <w:pPr>
      <w:spacing w:after="0"/>
      <w:ind w:left="1000" w:hanging="200"/>
    </w:pPr>
  </w:style>
  <w:style w:type="paragraph" w:styleId="Index6">
    <w:name w:val="index 6"/>
    <w:basedOn w:val="Normal"/>
    <w:next w:val="Normal"/>
    <w:autoRedefine/>
    <w:uiPriority w:val="99"/>
    <w:semiHidden/>
    <w:unhideWhenUsed/>
    <w:rsid w:val="00AD2263"/>
    <w:pPr>
      <w:spacing w:after="0"/>
      <w:ind w:left="1200" w:hanging="200"/>
    </w:pPr>
  </w:style>
  <w:style w:type="paragraph" w:styleId="Index7">
    <w:name w:val="index 7"/>
    <w:basedOn w:val="Normal"/>
    <w:next w:val="Normal"/>
    <w:autoRedefine/>
    <w:uiPriority w:val="99"/>
    <w:semiHidden/>
    <w:unhideWhenUsed/>
    <w:rsid w:val="00AD2263"/>
    <w:pPr>
      <w:spacing w:after="0"/>
      <w:ind w:left="1400" w:hanging="200"/>
    </w:pPr>
  </w:style>
  <w:style w:type="paragraph" w:styleId="Index8">
    <w:name w:val="index 8"/>
    <w:basedOn w:val="Normal"/>
    <w:next w:val="Normal"/>
    <w:autoRedefine/>
    <w:uiPriority w:val="99"/>
    <w:semiHidden/>
    <w:unhideWhenUsed/>
    <w:rsid w:val="00AD2263"/>
    <w:pPr>
      <w:spacing w:after="0"/>
      <w:ind w:left="1600" w:hanging="200"/>
    </w:pPr>
  </w:style>
  <w:style w:type="paragraph" w:styleId="Index9">
    <w:name w:val="index 9"/>
    <w:basedOn w:val="Normal"/>
    <w:next w:val="Normal"/>
    <w:autoRedefine/>
    <w:uiPriority w:val="99"/>
    <w:semiHidden/>
    <w:unhideWhenUsed/>
    <w:rsid w:val="00AD2263"/>
    <w:pPr>
      <w:spacing w:after="0"/>
      <w:ind w:left="1800" w:hanging="200"/>
    </w:pPr>
  </w:style>
  <w:style w:type="paragraph" w:styleId="TOC4">
    <w:name w:val="toc 4"/>
    <w:basedOn w:val="Normal"/>
    <w:next w:val="Normal"/>
    <w:autoRedefine/>
    <w:uiPriority w:val="39"/>
    <w:unhideWhenUsed/>
    <w:rsid w:val="00AD2263"/>
    <w:pPr>
      <w:spacing w:after="100"/>
      <w:ind w:left="540"/>
    </w:pPr>
  </w:style>
  <w:style w:type="paragraph" w:styleId="TOC5">
    <w:name w:val="toc 5"/>
    <w:basedOn w:val="Normal"/>
    <w:next w:val="Normal"/>
    <w:autoRedefine/>
    <w:uiPriority w:val="39"/>
    <w:unhideWhenUsed/>
    <w:rsid w:val="00AD2263"/>
    <w:pPr>
      <w:spacing w:after="100"/>
      <w:ind w:left="720"/>
    </w:pPr>
  </w:style>
  <w:style w:type="paragraph" w:styleId="TOC6">
    <w:name w:val="toc 6"/>
    <w:basedOn w:val="Normal"/>
    <w:next w:val="Normal"/>
    <w:autoRedefine/>
    <w:uiPriority w:val="39"/>
    <w:unhideWhenUsed/>
    <w:rsid w:val="00AD2263"/>
    <w:pPr>
      <w:spacing w:after="100"/>
      <w:ind w:left="900"/>
    </w:pPr>
  </w:style>
  <w:style w:type="paragraph" w:styleId="TOC7">
    <w:name w:val="toc 7"/>
    <w:basedOn w:val="Normal"/>
    <w:next w:val="Normal"/>
    <w:autoRedefine/>
    <w:uiPriority w:val="39"/>
    <w:unhideWhenUsed/>
    <w:rsid w:val="00AD2263"/>
    <w:pPr>
      <w:spacing w:after="100"/>
      <w:ind w:left="1080"/>
    </w:pPr>
  </w:style>
  <w:style w:type="paragraph" w:styleId="TOC8">
    <w:name w:val="toc 8"/>
    <w:basedOn w:val="Normal"/>
    <w:next w:val="Normal"/>
    <w:autoRedefine/>
    <w:uiPriority w:val="39"/>
    <w:unhideWhenUsed/>
    <w:rsid w:val="00AD2263"/>
    <w:pPr>
      <w:spacing w:after="100"/>
      <w:ind w:left="1260"/>
    </w:pPr>
  </w:style>
  <w:style w:type="paragraph" w:styleId="TOC9">
    <w:name w:val="toc 9"/>
    <w:basedOn w:val="Normal"/>
    <w:next w:val="Normal"/>
    <w:autoRedefine/>
    <w:uiPriority w:val="39"/>
    <w:unhideWhenUsed/>
    <w:rsid w:val="00AD2263"/>
    <w:pPr>
      <w:spacing w:after="100"/>
      <w:ind w:left="1440"/>
    </w:pPr>
  </w:style>
  <w:style w:type="paragraph" w:styleId="NormalIndent">
    <w:name w:val="Normal Indent"/>
    <w:basedOn w:val="Normal"/>
    <w:uiPriority w:val="99"/>
    <w:semiHidden/>
    <w:unhideWhenUsed/>
    <w:rsid w:val="00AD2263"/>
    <w:pPr>
      <w:ind w:left="720"/>
    </w:pPr>
  </w:style>
  <w:style w:type="paragraph" w:styleId="IndexHeading">
    <w:name w:val="index heading"/>
    <w:basedOn w:val="Normal"/>
    <w:next w:val="Index1"/>
    <w:uiPriority w:val="99"/>
    <w:semiHidden/>
    <w:unhideWhenUsed/>
    <w:rsid w:val="00AD2263"/>
    <w:rPr>
      <w:rFonts w:asciiTheme="majorHAnsi" w:eastAsiaTheme="majorEastAsia" w:hAnsiTheme="majorHAnsi" w:cstheme="majorBidi"/>
      <w:b/>
      <w:bCs/>
    </w:rPr>
  </w:style>
  <w:style w:type="paragraph" w:styleId="TableofFigures">
    <w:name w:val="table of figures"/>
    <w:basedOn w:val="Normal"/>
    <w:next w:val="Normal"/>
    <w:link w:val="TableofFiguresChar"/>
    <w:unhideWhenUsed/>
    <w:rsid w:val="00AD2263"/>
    <w:pPr>
      <w:spacing w:after="0"/>
    </w:pPr>
  </w:style>
  <w:style w:type="paragraph" w:styleId="EnvelopeAddress">
    <w:name w:val="envelope address"/>
    <w:basedOn w:val="Normal"/>
    <w:uiPriority w:val="99"/>
    <w:semiHidden/>
    <w:unhideWhenUsed/>
    <w:rsid w:val="00AD2263"/>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D2263"/>
    <w:pPr>
      <w:spacing w:after="0"/>
    </w:pPr>
    <w:rPr>
      <w:rFonts w:asciiTheme="majorHAnsi" w:eastAsiaTheme="majorEastAsia" w:hAnsiTheme="majorHAnsi" w:cstheme="majorBidi"/>
    </w:rPr>
  </w:style>
  <w:style w:type="character" w:styleId="EndnoteReference">
    <w:name w:val="endnote reference"/>
    <w:basedOn w:val="DefaultParagraphFont"/>
    <w:uiPriority w:val="99"/>
    <w:semiHidden/>
    <w:unhideWhenUsed/>
    <w:rsid w:val="00AD2263"/>
    <w:rPr>
      <w:vertAlign w:val="superscript"/>
    </w:rPr>
  </w:style>
  <w:style w:type="paragraph" w:styleId="EndnoteText">
    <w:name w:val="endnote text"/>
    <w:basedOn w:val="Normal"/>
    <w:link w:val="EndnoteTextChar"/>
    <w:uiPriority w:val="99"/>
    <w:semiHidden/>
    <w:unhideWhenUsed/>
    <w:rsid w:val="00AD2263"/>
    <w:pPr>
      <w:spacing w:after="0"/>
    </w:pPr>
  </w:style>
  <w:style w:type="character" w:customStyle="1" w:styleId="EndnoteTextChar">
    <w:name w:val="Endnote Text Char"/>
    <w:basedOn w:val="DefaultParagraphFont"/>
    <w:link w:val="EndnoteText"/>
    <w:uiPriority w:val="99"/>
    <w:semiHidden/>
    <w:rsid w:val="00AD2263"/>
    <w:rPr>
      <w:rFonts w:asciiTheme="minorHAnsi" w:hAnsiTheme="minorHAnsi"/>
      <w:color w:val="FFFFFF" w:themeColor="background2"/>
      <w:sz w:val="18"/>
    </w:rPr>
  </w:style>
  <w:style w:type="paragraph" w:styleId="TableofAuthorities">
    <w:name w:val="table of authorities"/>
    <w:basedOn w:val="Normal"/>
    <w:next w:val="Normal"/>
    <w:uiPriority w:val="99"/>
    <w:semiHidden/>
    <w:unhideWhenUsed/>
    <w:rsid w:val="00AD2263"/>
    <w:pPr>
      <w:spacing w:after="0"/>
      <w:ind w:left="200" w:hanging="200"/>
    </w:pPr>
  </w:style>
  <w:style w:type="paragraph" w:styleId="MacroText">
    <w:name w:val="macro"/>
    <w:link w:val="MacroTextChar"/>
    <w:uiPriority w:val="99"/>
    <w:semiHidden/>
    <w:unhideWhenUsed/>
    <w:rsid w:val="00AD2263"/>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18"/>
      <w:szCs w:val="18"/>
    </w:rPr>
  </w:style>
  <w:style w:type="character" w:customStyle="1" w:styleId="MacroTextChar">
    <w:name w:val="Macro Text Char"/>
    <w:basedOn w:val="DefaultParagraphFont"/>
    <w:link w:val="MacroText"/>
    <w:uiPriority w:val="99"/>
    <w:semiHidden/>
    <w:rsid w:val="00AD2263"/>
    <w:rPr>
      <w:rFonts w:ascii="Consolas" w:hAnsi="Consolas" w:cs="Consolas"/>
      <w:sz w:val="18"/>
      <w:szCs w:val="18"/>
    </w:rPr>
  </w:style>
  <w:style w:type="paragraph" w:styleId="TOAHeading">
    <w:name w:val="toa heading"/>
    <w:basedOn w:val="Normal"/>
    <w:next w:val="Normal"/>
    <w:uiPriority w:val="99"/>
    <w:semiHidden/>
    <w:unhideWhenUsed/>
    <w:rsid w:val="00AD2263"/>
    <w:pPr>
      <w:spacing w:before="120"/>
    </w:pPr>
    <w:rPr>
      <w:rFonts w:asciiTheme="majorHAnsi" w:eastAsiaTheme="majorEastAsia" w:hAnsiTheme="majorHAnsi" w:cstheme="majorBidi"/>
      <w:b/>
      <w:bCs/>
      <w:sz w:val="24"/>
      <w:szCs w:val="24"/>
    </w:rPr>
  </w:style>
  <w:style w:type="paragraph" w:styleId="List">
    <w:name w:val="List"/>
    <w:basedOn w:val="Normal"/>
    <w:uiPriority w:val="99"/>
    <w:semiHidden/>
    <w:rsid w:val="00B86744"/>
    <w:pPr>
      <w:numPr>
        <w:numId w:val="9"/>
      </w:numPr>
      <w:contextualSpacing/>
    </w:pPr>
  </w:style>
  <w:style w:type="paragraph" w:styleId="List3">
    <w:name w:val="List 3"/>
    <w:basedOn w:val="Normal"/>
    <w:uiPriority w:val="99"/>
    <w:semiHidden/>
    <w:unhideWhenUsed/>
    <w:rsid w:val="00AD2263"/>
    <w:pPr>
      <w:ind w:left="849" w:hanging="283"/>
      <w:contextualSpacing/>
    </w:pPr>
  </w:style>
  <w:style w:type="paragraph" w:styleId="List4">
    <w:name w:val="List 4"/>
    <w:basedOn w:val="Normal"/>
    <w:uiPriority w:val="99"/>
    <w:semiHidden/>
    <w:unhideWhenUsed/>
    <w:rsid w:val="00AD2263"/>
    <w:pPr>
      <w:ind w:left="1132" w:hanging="283"/>
      <w:contextualSpacing/>
    </w:pPr>
  </w:style>
  <w:style w:type="paragraph" w:styleId="List5">
    <w:name w:val="List 5"/>
    <w:basedOn w:val="Normal"/>
    <w:uiPriority w:val="99"/>
    <w:semiHidden/>
    <w:unhideWhenUsed/>
    <w:rsid w:val="00AD2263"/>
    <w:pPr>
      <w:ind w:left="1415" w:hanging="283"/>
      <w:contextualSpacing/>
    </w:pPr>
  </w:style>
  <w:style w:type="paragraph" w:styleId="ListBullet4">
    <w:name w:val="List Bullet 4"/>
    <w:basedOn w:val="Normal"/>
    <w:uiPriority w:val="99"/>
    <w:semiHidden/>
    <w:unhideWhenUsed/>
    <w:rsid w:val="00AD2263"/>
    <w:pPr>
      <w:numPr>
        <w:numId w:val="1"/>
      </w:numPr>
      <w:contextualSpacing/>
    </w:pPr>
  </w:style>
  <w:style w:type="paragraph" w:styleId="ListBullet5">
    <w:name w:val="List Bullet 5"/>
    <w:basedOn w:val="Normal"/>
    <w:uiPriority w:val="99"/>
    <w:semiHidden/>
    <w:unhideWhenUsed/>
    <w:rsid w:val="00AD2263"/>
    <w:pPr>
      <w:numPr>
        <w:numId w:val="2"/>
      </w:numPr>
      <w:contextualSpacing/>
    </w:pPr>
  </w:style>
  <w:style w:type="paragraph" w:styleId="ListNumber4">
    <w:name w:val="List Number 4"/>
    <w:basedOn w:val="Normal"/>
    <w:uiPriority w:val="99"/>
    <w:semiHidden/>
    <w:unhideWhenUsed/>
    <w:rsid w:val="00AD2263"/>
    <w:pPr>
      <w:numPr>
        <w:numId w:val="3"/>
      </w:numPr>
      <w:contextualSpacing/>
    </w:pPr>
  </w:style>
  <w:style w:type="paragraph" w:styleId="ListNumber5">
    <w:name w:val="List Number 5"/>
    <w:basedOn w:val="Normal"/>
    <w:uiPriority w:val="99"/>
    <w:semiHidden/>
    <w:unhideWhenUsed/>
    <w:rsid w:val="00AD2263"/>
    <w:pPr>
      <w:numPr>
        <w:numId w:val="4"/>
      </w:numPr>
      <w:contextualSpacing/>
    </w:pPr>
  </w:style>
  <w:style w:type="paragraph" w:styleId="Title">
    <w:name w:val="Title"/>
    <w:basedOn w:val="Heading1"/>
    <w:next w:val="Normal"/>
    <w:link w:val="TitleChar"/>
    <w:uiPriority w:val="10"/>
    <w:qFormat/>
    <w:rsid w:val="000F326D"/>
    <w:pPr>
      <w:contextualSpacing/>
    </w:pPr>
    <w:rPr>
      <w:spacing w:val="-10"/>
      <w:sz w:val="56"/>
      <w:szCs w:val="56"/>
    </w:rPr>
  </w:style>
  <w:style w:type="character" w:customStyle="1" w:styleId="TitleChar">
    <w:name w:val="Title Char"/>
    <w:basedOn w:val="DefaultParagraphFont"/>
    <w:link w:val="Title"/>
    <w:uiPriority w:val="10"/>
    <w:rsid w:val="000257EA"/>
    <w:rPr>
      <w:rFonts w:asciiTheme="majorHAnsi" w:eastAsiaTheme="majorEastAsia" w:hAnsiTheme="majorHAnsi" w:cstheme="majorBidi"/>
      <w:color w:val="82C341" w:themeColor="accent1"/>
      <w:spacing w:val="-10"/>
      <w:sz w:val="56"/>
      <w:szCs w:val="56"/>
    </w:rPr>
  </w:style>
  <w:style w:type="paragraph" w:styleId="Closing">
    <w:name w:val="Closing"/>
    <w:basedOn w:val="Normal"/>
    <w:link w:val="ClosingChar"/>
    <w:uiPriority w:val="99"/>
    <w:semiHidden/>
    <w:unhideWhenUsed/>
    <w:rsid w:val="00AD2263"/>
    <w:pPr>
      <w:spacing w:after="0"/>
      <w:ind w:left="4252"/>
    </w:pPr>
  </w:style>
  <w:style w:type="character" w:customStyle="1" w:styleId="ClosingChar">
    <w:name w:val="Closing Char"/>
    <w:basedOn w:val="DefaultParagraphFont"/>
    <w:link w:val="Closing"/>
    <w:uiPriority w:val="99"/>
    <w:semiHidden/>
    <w:rsid w:val="00AD2263"/>
    <w:rPr>
      <w:rFonts w:asciiTheme="minorHAnsi" w:hAnsiTheme="minorHAnsi"/>
      <w:color w:val="FFFFFF" w:themeColor="background2"/>
      <w:sz w:val="18"/>
    </w:rPr>
  </w:style>
  <w:style w:type="paragraph" w:styleId="Signature">
    <w:name w:val="Signature"/>
    <w:basedOn w:val="Normal"/>
    <w:link w:val="SignatureChar"/>
    <w:uiPriority w:val="99"/>
    <w:semiHidden/>
    <w:unhideWhenUsed/>
    <w:rsid w:val="00AD2263"/>
    <w:pPr>
      <w:spacing w:after="0"/>
      <w:ind w:left="4252"/>
    </w:pPr>
  </w:style>
  <w:style w:type="character" w:customStyle="1" w:styleId="SignatureChar">
    <w:name w:val="Signature Char"/>
    <w:basedOn w:val="DefaultParagraphFont"/>
    <w:link w:val="Signature"/>
    <w:uiPriority w:val="99"/>
    <w:semiHidden/>
    <w:rsid w:val="00AD2263"/>
    <w:rPr>
      <w:rFonts w:asciiTheme="minorHAnsi" w:hAnsiTheme="minorHAnsi"/>
      <w:color w:val="FFFFFF" w:themeColor="background2"/>
      <w:sz w:val="18"/>
    </w:rPr>
  </w:style>
  <w:style w:type="paragraph" w:styleId="BodyTextIndent">
    <w:name w:val="Body Text Indent"/>
    <w:basedOn w:val="Normal"/>
    <w:link w:val="BodyTextIndentChar"/>
    <w:uiPriority w:val="99"/>
    <w:semiHidden/>
    <w:unhideWhenUsed/>
    <w:rsid w:val="00AD2263"/>
    <w:pPr>
      <w:ind w:left="283"/>
    </w:pPr>
  </w:style>
  <w:style w:type="character" w:customStyle="1" w:styleId="BodyTextIndentChar">
    <w:name w:val="Body Text Indent Char"/>
    <w:basedOn w:val="DefaultParagraphFont"/>
    <w:link w:val="BodyTextIndent"/>
    <w:uiPriority w:val="99"/>
    <w:semiHidden/>
    <w:rsid w:val="00AD2263"/>
    <w:rPr>
      <w:rFonts w:asciiTheme="minorHAnsi" w:hAnsiTheme="minorHAnsi"/>
      <w:color w:val="FFFFFF" w:themeColor="background2"/>
      <w:sz w:val="18"/>
    </w:rPr>
  </w:style>
  <w:style w:type="paragraph" w:styleId="ListContinue">
    <w:name w:val="List Continue"/>
    <w:basedOn w:val="Normal"/>
    <w:uiPriority w:val="99"/>
    <w:semiHidden/>
    <w:unhideWhenUsed/>
    <w:rsid w:val="00AD2263"/>
    <w:pPr>
      <w:ind w:left="283"/>
      <w:contextualSpacing/>
    </w:pPr>
  </w:style>
  <w:style w:type="paragraph" w:styleId="ListContinue2">
    <w:name w:val="List Continue 2"/>
    <w:basedOn w:val="Normal"/>
    <w:uiPriority w:val="99"/>
    <w:semiHidden/>
    <w:unhideWhenUsed/>
    <w:rsid w:val="00AD2263"/>
    <w:pPr>
      <w:ind w:left="566"/>
      <w:contextualSpacing/>
    </w:pPr>
  </w:style>
  <w:style w:type="paragraph" w:styleId="ListContinue3">
    <w:name w:val="List Continue 3"/>
    <w:basedOn w:val="Normal"/>
    <w:uiPriority w:val="99"/>
    <w:semiHidden/>
    <w:unhideWhenUsed/>
    <w:rsid w:val="00AD2263"/>
    <w:pPr>
      <w:ind w:left="849"/>
      <w:contextualSpacing/>
    </w:pPr>
  </w:style>
  <w:style w:type="paragraph" w:styleId="ListContinue4">
    <w:name w:val="List Continue 4"/>
    <w:basedOn w:val="Normal"/>
    <w:uiPriority w:val="99"/>
    <w:semiHidden/>
    <w:unhideWhenUsed/>
    <w:rsid w:val="00AD2263"/>
    <w:pPr>
      <w:ind w:left="1132"/>
      <w:contextualSpacing/>
    </w:pPr>
  </w:style>
  <w:style w:type="paragraph" w:styleId="ListContinue5">
    <w:name w:val="List Continue 5"/>
    <w:basedOn w:val="Normal"/>
    <w:uiPriority w:val="99"/>
    <w:semiHidden/>
    <w:unhideWhenUsed/>
    <w:rsid w:val="00AD2263"/>
    <w:pPr>
      <w:ind w:left="1415"/>
      <w:contextualSpacing/>
    </w:pPr>
  </w:style>
  <w:style w:type="paragraph" w:styleId="MessageHeader">
    <w:name w:val="Message Header"/>
    <w:basedOn w:val="Normal"/>
    <w:link w:val="MessageHeaderChar"/>
    <w:uiPriority w:val="99"/>
    <w:semiHidden/>
    <w:unhideWhenUsed/>
    <w:rsid w:val="00AD226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D2263"/>
    <w:rPr>
      <w:rFonts w:asciiTheme="majorHAnsi" w:eastAsiaTheme="majorEastAsia" w:hAnsiTheme="majorHAnsi" w:cstheme="majorBidi"/>
      <w:color w:val="FFFFFF" w:themeColor="background2"/>
      <w:sz w:val="24"/>
      <w:szCs w:val="24"/>
      <w:shd w:val="pct20" w:color="auto" w:fill="auto"/>
    </w:rPr>
  </w:style>
  <w:style w:type="paragraph" w:styleId="Subtitle">
    <w:name w:val="Subtitle"/>
    <w:basedOn w:val="Normal"/>
    <w:next w:val="Normal"/>
    <w:link w:val="SubtitleChar"/>
    <w:uiPriority w:val="11"/>
    <w:qFormat/>
    <w:rsid w:val="000F326D"/>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F326D"/>
    <w:rPr>
      <w:rFonts w:asciiTheme="majorHAnsi" w:eastAsiaTheme="majorEastAsia" w:hAnsiTheme="majorHAnsi" w:cstheme="majorBidi"/>
      <w:sz w:val="24"/>
      <w:szCs w:val="24"/>
    </w:rPr>
  </w:style>
  <w:style w:type="paragraph" w:styleId="Salutation">
    <w:name w:val="Salutation"/>
    <w:basedOn w:val="Normal"/>
    <w:next w:val="Normal"/>
    <w:link w:val="SalutationChar"/>
    <w:uiPriority w:val="99"/>
    <w:semiHidden/>
    <w:unhideWhenUsed/>
    <w:rsid w:val="00AD2263"/>
  </w:style>
  <w:style w:type="character" w:customStyle="1" w:styleId="SalutationChar">
    <w:name w:val="Salutation Char"/>
    <w:basedOn w:val="DefaultParagraphFont"/>
    <w:link w:val="Salutation"/>
    <w:uiPriority w:val="99"/>
    <w:semiHidden/>
    <w:rsid w:val="00AD2263"/>
    <w:rPr>
      <w:rFonts w:asciiTheme="minorHAnsi" w:hAnsiTheme="minorHAnsi"/>
      <w:color w:val="FFFFFF" w:themeColor="background2"/>
      <w:sz w:val="18"/>
    </w:rPr>
  </w:style>
  <w:style w:type="paragraph" w:styleId="Date">
    <w:name w:val="Date"/>
    <w:basedOn w:val="Normal"/>
    <w:next w:val="Normal"/>
    <w:link w:val="DateChar"/>
    <w:uiPriority w:val="99"/>
    <w:semiHidden/>
    <w:unhideWhenUsed/>
    <w:rsid w:val="00AD2263"/>
  </w:style>
  <w:style w:type="character" w:customStyle="1" w:styleId="DateChar">
    <w:name w:val="Date Char"/>
    <w:basedOn w:val="DefaultParagraphFont"/>
    <w:link w:val="Date"/>
    <w:uiPriority w:val="99"/>
    <w:semiHidden/>
    <w:rsid w:val="00AD2263"/>
    <w:rPr>
      <w:rFonts w:asciiTheme="minorHAnsi" w:hAnsiTheme="minorHAnsi"/>
      <w:color w:val="FFFFFF" w:themeColor="background2"/>
      <w:sz w:val="18"/>
    </w:rPr>
  </w:style>
  <w:style w:type="paragraph" w:styleId="BodyTextFirstIndent">
    <w:name w:val="Body Text First Indent"/>
    <w:basedOn w:val="Normal"/>
    <w:link w:val="BodyTextFirstIndentChar"/>
    <w:uiPriority w:val="99"/>
    <w:semiHidden/>
    <w:unhideWhenUsed/>
    <w:rsid w:val="008A02E3"/>
    <w:pPr>
      <w:ind w:firstLine="360"/>
    </w:pPr>
  </w:style>
  <w:style w:type="character" w:customStyle="1" w:styleId="BodyTextFirstIndentChar">
    <w:name w:val="Body Text First Indent Char"/>
    <w:basedOn w:val="DefaultParagraphFont"/>
    <w:link w:val="BodyTextFirstIndent"/>
    <w:uiPriority w:val="99"/>
    <w:semiHidden/>
    <w:rsid w:val="008A02E3"/>
    <w:rPr>
      <w:rFonts w:asciiTheme="minorHAnsi" w:hAnsiTheme="minorHAnsi"/>
      <w:color w:val="FFFFFF" w:themeColor="background2"/>
      <w:sz w:val="18"/>
    </w:rPr>
  </w:style>
  <w:style w:type="paragraph" w:styleId="BodyTextFirstIndent2">
    <w:name w:val="Body Text First Indent 2"/>
    <w:basedOn w:val="BodyTextIndent"/>
    <w:link w:val="BodyTextFirstIndent2Char"/>
    <w:uiPriority w:val="99"/>
    <w:semiHidden/>
    <w:unhideWhenUsed/>
    <w:rsid w:val="00AD2263"/>
    <w:pPr>
      <w:ind w:left="360" w:firstLine="360"/>
    </w:pPr>
  </w:style>
  <w:style w:type="character" w:customStyle="1" w:styleId="BodyTextFirstIndent2Char">
    <w:name w:val="Body Text First Indent 2 Char"/>
    <w:basedOn w:val="BodyTextIndentChar"/>
    <w:link w:val="BodyTextFirstIndent2"/>
    <w:uiPriority w:val="99"/>
    <w:semiHidden/>
    <w:rsid w:val="00AD2263"/>
    <w:rPr>
      <w:rFonts w:asciiTheme="minorHAnsi" w:hAnsiTheme="minorHAnsi"/>
      <w:color w:val="FFFFFF" w:themeColor="background2"/>
      <w:sz w:val="18"/>
    </w:rPr>
  </w:style>
  <w:style w:type="paragraph" w:styleId="BodyText2">
    <w:name w:val="Body Text 2"/>
    <w:basedOn w:val="Normal"/>
    <w:link w:val="BodyText2Char"/>
    <w:uiPriority w:val="99"/>
    <w:semiHidden/>
    <w:unhideWhenUsed/>
    <w:rsid w:val="00AD2263"/>
    <w:pPr>
      <w:spacing w:line="480" w:lineRule="auto"/>
    </w:pPr>
  </w:style>
  <w:style w:type="character" w:customStyle="1" w:styleId="BodyText2Char">
    <w:name w:val="Body Text 2 Char"/>
    <w:basedOn w:val="DefaultParagraphFont"/>
    <w:link w:val="BodyText2"/>
    <w:uiPriority w:val="99"/>
    <w:semiHidden/>
    <w:rsid w:val="00AD2263"/>
    <w:rPr>
      <w:rFonts w:asciiTheme="minorHAnsi" w:hAnsiTheme="minorHAnsi"/>
      <w:color w:val="FFFFFF" w:themeColor="background2"/>
      <w:sz w:val="18"/>
    </w:rPr>
  </w:style>
  <w:style w:type="paragraph" w:styleId="BodyText3">
    <w:name w:val="Body Text 3"/>
    <w:basedOn w:val="Normal"/>
    <w:link w:val="BodyText3Char"/>
    <w:uiPriority w:val="99"/>
    <w:semiHidden/>
    <w:unhideWhenUsed/>
    <w:rsid w:val="00AD2263"/>
    <w:rPr>
      <w:sz w:val="16"/>
      <w:szCs w:val="16"/>
    </w:rPr>
  </w:style>
  <w:style w:type="character" w:customStyle="1" w:styleId="BodyText3Char">
    <w:name w:val="Body Text 3 Char"/>
    <w:basedOn w:val="DefaultParagraphFont"/>
    <w:link w:val="BodyText3"/>
    <w:uiPriority w:val="99"/>
    <w:semiHidden/>
    <w:rsid w:val="00AD2263"/>
    <w:rPr>
      <w:rFonts w:asciiTheme="minorHAnsi" w:hAnsiTheme="minorHAnsi"/>
      <w:color w:val="FFFFFF" w:themeColor="background2"/>
      <w:sz w:val="16"/>
      <w:szCs w:val="16"/>
    </w:rPr>
  </w:style>
  <w:style w:type="paragraph" w:styleId="BodyTextIndent2">
    <w:name w:val="Body Text Indent 2"/>
    <w:basedOn w:val="Normal"/>
    <w:link w:val="BodyTextIndent2Char"/>
    <w:uiPriority w:val="99"/>
    <w:semiHidden/>
    <w:unhideWhenUsed/>
    <w:rsid w:val="00AD2263"/>
    <w:pPr>
      <w:spacing w:line="480" w:lineRule="auto"/>
      <w:ind w:left="283"/>
    </w:pPr>
  </w:style>
  <w:style w:type="character" w:customStyle="1" w:styleId="BodyTextIndent2Char">
    <w:name w:val="Body Text Indent 2 Char"/>
    <w:basedOn w:val="DefaultParagraphFont"/>
    <w:link w:val="BodyTextIndent2"/>
    <w:uiPriority w:val="99"/>
    <w:semiHidden/>
    <w:rsid w:val="00AD2263"/>
    <w:rPr>
      <w:rFonts w:asciiTheme="minorHAnsi" w:hAnsiTheme="minorHAnsi"/>
      <w:color w:val="FFFFFF" w:themeColor="background2"/>
      <w:sz w:val="18"/>
    </w:rPr>
  </w:style>
  <w:style w:type="paragraph" w:styleId="BodyTextIndent3">
    <w:name w:val="Body Text Indent 3"/>
    <w:basedOn w:val="Normal"/>
    <w:link w:val="BodyTextIndent3Char"/>
    <w:uiPriority w:val="99"/>
    <w:semiHidden/>
    <w:unhideWhenUsed/>
    <w:rsid w:val="00AD2263"/>
    <w:pPr>
      <w:ind w:left="283"/>
    </w:pPr>
    <w:rPr>
      <w:sz w:val="16"/>
      <w:szCs w:val="16"/>
    </w:rPr>
  </w:style>
  <w:style w:type="character" w:customStyle="1" w:styleId="BodyTextIndent3Char">
    <w:name w:val="Body Text Indent 3 Char"/>
    <w:basedOn w:val="DefaultParagraphFont"/>
    <w:link w:val="BodyTextIndent3"/>
    <w:uiPriority w:val="99"/>
    <w:semiHidden/>
    <w:rsid w:val="00AD2263"/>
    <w:rPr>
      <w:rFonts w:asciiTheme="minorHAnsi" w:hAnsiTheme="minorHAnsi"/>
      <w:color w:val="FFFFFF" w:themeColor="background2"/>
      <w:sz w:val="16"/>
      <w:szCs w:val="16"/>
    </w:rPr>
  </w:style>
  <w:style w:type="paragraph" w:styleId="BlockText">
    <w:name w:val="Block Text"/>
    <w:basedOn w:val="Normal"/>
    <w:uiPriority w:val="99"/>
    <w:semiHidden/>
    <w:unhideWhenUsed/>
    <w:rsid w:val="00AD2263"/>
    <w:pPr>
      <w:pBdr>
        <w:top w:val="single" w:sz="2" w:space="10" w:color="82C341" w:themeColor="accent1" w:shadow="1" w:frame="1"/>
        <w:left w:val="single" w:sz="2" w:space="10" w:color="82C341" w:themeColor="accent1" w:shadow="1" w:frame="1"/>
        <w:bottom w:val="single" w:sz="2" w:space="10" w:color="82C341" w:themeColor="accent1" w:shadow="1" w:frame="1"/>
        <w:right w:val="single" w:sz="2" w:space="10" w:color="82C341" w:themeColor="accent1" w:shadow="1" w:frame="1"/>
      </w:pBdr>
      <w:ind w:left="1152" w:right="1152"/>
    </w:pPr>
    <w:rPr>
      <w:i/>
      <w:iCs/>
      <w:color w:val="82C341" w:themeColor="accent1"/>
    </w:rPr>
  </w:style>
  <w:style w:type="paragraph" w:styleId="DocumentMap">
    <w:name w:val="Document Map"/>
    <w:basedOn w:val="Normal"/>
    <w:link w:val="DocumentMapChar"/>
    <w:semiHidden/>
    <w:rsid w:val="00AD2263"/>
    <w:pPr>
      <w:shd w:val="clear" w:color="auto" w:fill="000080"/>
      <w:spacing w:after="0"/>
    </w:pPr>
    <w:rPr>
      <w:rFonts w:ascii="Tahoma" w:eastAsia="Times New Roman" w:hAnsi="Tahoma" w:cs="Tahoma"/>
      <w:sz w:val="24"/>
      <w:szCs w:val="24"/>
      <w:lang w:eastAsia="en-AU"/>
    </w:rPr>
  </w:style>
  <w:style w:type="character" w:customStyle="1" w:styleId="DocumentMapChar">
    <w:name w:val="Document Map Char"/>
    <w:basedOn w:val="DefaultParagraphFont"/>
    <w:link w:val="DocumentMap"/>
    <w:semiHidden/>
    <w:rsid w:val="00AD2263"/>
    <w:rPr>
      <w:rFonts w:ascii="Tahoma" w:eastAsia="Times New Roman" w:hAnsi="Tahoma" w:cs="Tahoma"/>
      <w:color w:val="FFFFFF" w:themeColor="background2"/>
      <w:sz w:val="24"/>
      <w:szCs w:val="24"/>
      <w:shd w:val="clear" w:color="auto" w:fill="000080"/>
      <w:lang w:eastAsia="en-AU"/>
    </w:rPr>
  </w:style>
  <w:style w:type="paragraph" w:styleId="E-mailSignature">
    <w:name w:val="E-mail Signature"/>
    <w:basedOn w:val="Normal"/>
    <w:link w:val="E-mailSignatureChar"/>
    <w:uiPriority w:val="99"/>
    <w:semiHidden/>
    <w:unhideWhenUsed/>
    <w:rsid w:val="00AD2263"/>
    <w:pPr>
      <w:spacing w:after="0"/>
    </w:pPr>
  </w:style>
  <w:style w:type="character" w:customStyle="1" w:styleId="E-mailSignatureChar">
    <w:name w:val="E-mail Signature Char"/>
    <w:basedOn w:val="DefaultParagraphFont"/>
    <w:link w:val="E-mailSignature"/>
    <w:uiPriority w:val="99"/>
    <w:semiHidden/>
    <w:rsid w:val="00AD2263"/>
    <w:rPr>
      <w:rFonts w:asciiTheme="minorHAnsi" w:hAnsiTheme="minorHAnsi"/>
      <w:color w:val="FFFFFF" w:themeColor="background2"/>
      <w:sz w:val="18"/>
    </w:rPr>
  </w:style>
  <w:style w:type="paragraph" w:styleId="HTMLAddress">
    <w:name w:val="HTML Address"/>
    <w:basedOn w:val="Normal"/>
    <w:link w:val="HTMLAddressChar"/>
    <w:uiPriority w:val="99"/>
    <w:semiHidden/>
    <w:unhideWhenUsed/>
    <w:rsid w:val="00AD2263"/>
    <w:pPr>
      <w:spacing w:after="0"/>
    </w:pPr>
    <w:rPr>
      <w:i/>
      <w:iCs/>
    </w:rPr>
  </w:style>
  <w:style w:type="character" w:customStyle="1" w:styleId="HTMLAddressChar">
    <w:name w:val="HTML Address Char"/>
    <w:basedOn w:val="DefaultParagraphFont"/>
    <w:link w:val="HTMLAddress"/>
    <w:uiPriority w:val="99"/>
    <w:semiHidden/>
    <w:rsid w:val="00AD2263"/>
    <w:rPr>
      <w:rFonts w:asciiTheme="minorHAnsi" w:hAnsiTheme="minorHAnsi"/>
      <w:i/>
      <w:iCs/>
      <w:color w:val="FFFFFF" w:themeColor="background2"/>
      <w:sz w:val="18"/>
    </w:rPr>
  </w:style>
  <w:style w:type="paragraph" w:styleId="HTMLPreformatted">
    <w:name w:val="HTML Preformatted"/>
    <w:basedOn w:val="Normal"/>
    <w:link w:val="HTMLPreformattedChar"/>
    <w:uiPriority w:val="99"/>
    <w:semiHidden/>
    <w:unhideWhenUsed/>
    <w:rsid w:val="00AD2263"/>
    <w:pPr>
      <w:spacing w:after="0"/>
    </w:pPr>
    <w:rPr>
      <w:rFonts w:ascii="Consolas" w:hAnsi="Consolas" w:cs="Consolas"/>
    </w:rPr>
  </w:style>
  <w:style w:type="character" w:customStyle="1" w:styleId="HTMLPreformattedChar">
    <w:name w:val="HTML Preformatted Char"/>
    <w:basedOn w:val="DefaultParagraphFont"/>
    <w:link w:val="HTMLPreformatted"/>
    <w:uiPriority w:val="99"/>
    <w:semiHidden/>
    <w:rsid w:val="00AD2263"/>
    <w:rPr>
      <w:rFonts w:ascii="Consolas" w:hAnsi="Consolas" w:cs="Consolas"/>
      <w:color w:val="FFFFFF" w:themeColor="background2"/>
      <w:sz w:val="18"/>
    </w:rPr>
  </w:style>
  <w:style w:type="paragraph" w:styleId="CommentSubject">
    <w:name w:val="annotation subject"/>
    <w:basedOn w:val="Normal"/>
    <w:next w:val="Normal"/>
    <w:link w:val="CommentSubjectChar"/>
    <w:uiPriority w:val="99"/>
    <w:semiHidden/>
    <w:unhideWhenUsed/>
    <w:rsid w:val="00171BB3"/>
    <w:rPr>
      <w:rFonts w:ascii="Arial" w:eastAsia="Times New Roman" w:hAnsi="Arial"/>
      <w:b/>
      <w:bCs/>
      <w:lang w:eastAsia="en-AU"/>
    </w:rPr>
  </w:style>
  <w:style w:type="character" w:customStyle="1" w:styleId="CommentSubjectChar">
    <w:name w:val="Comment Subject Char"/>
    <w:basedOn w:val="DefaultParagraphFont"/>
    <w:link w:val="CommentSubject"/>
    <w:uiPriority w:val="99"/>
    <w:semiHidden/>
    <w:rsid w:val="00171BB3"/>
    <w:rPr>
      <w:rFonts w:ascii="Arial" w:eastAsia="Times New Roman" w:hAnsi="Arial"/>
      <w:b/>
      <w:bCs/>
      <w:color w:val="FFFFFF" w:themeColor="background2"/>
      <w:sz w:val="18"/>
      <w:lang w:eastAsia="en-AU"/>
    </w:rPr>
  </w:style>
  <w:style w:type="paragraph" w:styleId="IntenseQuote">
    <w:name w:val="Intense Quote"/>
    <w:basedOn w:val="Normal"/>
    <w:next w:val="Normal"/>
    <w:link w:val="IntenseQuoteChar"/>
    <w:uiPriority w:val="30"/>
    <w:qFormat/>
    <w:rsid w:val="000F326D"/>
    <w:pPr>
      <w:pBdr>
        <w:left w:val="single" w:sz="18" w:space="12" w:color="82C341" w:themeColor="accent1"/>
      </w:pBdr>
      <w:spacing w:before="100" w:beforeAutospacing="1" w:line="300" w:lineRule="auto"/>
      <w:ind w:left="1224" w:right="1224"/>
    </w:pPr>
    <w:rPr>
      <w:rFonts w:asciiTheme="majorHAnsi" w:eastAsiaTheme="majorEastAsia" w:hAnsiTheme="majorHAnsi" w:cstheme="majorBidi"/>
      <w:color w:val="82C341" w:themeColor="accent1"/>
      <w:sz w:val="28"/>
      <w:szCs w:val="28"/>
    </w:rPr>
  </w:style>
  <w:style w:type="character" w:customStyle="1" w:styleId="IntenseQuoteChar">
    <w:name w:val="Intense Quote Char"/>
    <w:basedOn w:val="DefaultParagraphFont"/>
    <w:link w:val="IntenseQuote"/>
    <w:uiPriority w:val="30"/>
    <w:rsid w:val="000F326D"/>
    <w:rPr>
      <w:rFonts w:asciiTheme="majorHAnsi" w:eastAsiaTheme="majorEastAsia" w:hAnsiTheme="majorHAnsi" w:cstheme="majorBidi"/>
      <w:color w:val="82C341" w:themeColor="accent1"/>
      <w:sz w:val="28"/>
      <w:szCs w:val="28"/>
    </w:rPr>
  </w:style>
  <w:style w:type="paragraph" w:styleId="Bibliography">
    <w:name w:val="Bibliography"/>
    <w:basedOn w:val="Normal"/>
    <w:next w:val="Normal"/>
    <w:uiPriority w:val="37"/>
    <w:semiHidden/>
    <w:unhideWhenUsed/>
    <w:rsid w:val="00AD2263"/>
  </w:style>
  <w:style w:type="paragraph" w:customStyle="1" w:styleId="SectionDividerTitle">
    <w:name w:val="Section Divider Title"/>
    <w:basedOn w:val="Heading1"/>
    <w:next w:val="Normal"/>
    <w:rsid w:val="00C24856"/>
    <w:pPr>
      <w:framePr w:w="9639" w:h="2835" w:hRule="exact" w:wrap="around" w:vAnchor="page" w:hAnchor="page" w:x="1135" w:y="1135" w:anchorLock="1"/>
      <w:spacing w:after="2960" w:line="480" w:lineRule="atLeast"/>
      <w:ind w:left="284"/>
      <w:contextualSpacing/>
    </w:pPr>
    <w:rPr>
      <w:sz w:val="60"/>
      <w:szCs w:val="60"/>
    </w:rPr>
  </w:style>
  <w:style w:type="paragraph" w:customStyle="1" w:styleId="FootnoteSpacer">
    <w:name w:val="Footnote Spacer"/>
    <w:basedOn w:val="Footer"/>
    <w:semiHidden/>
    <w:rsid w:val="00301960"/>
    <w:pPr>
      <w:pBdr>
        <w:bottom w:val="single" w:sz="6" w:space="1" w:color="000000" w:themeColor="text1"/>
      </w:pBdr>
      <w:spacing w:after="80"/>
    </w:pPr>
  </w:style>
  <w:style w:type="paragraph" w:customStyle="1" w:styleId="TableText-Numbers">
    <w:name w:val="Table Text - Numbers"/>
    <w:basedOn w:val="TableText"/>
    <w:semiHidden/>
    <w:rsid w:val="008528E0"/>
    <w:pPr>
      <w:ind w:right="17"/>
      <w:jc w:val="right"/>
    </w:pPr>
  </w:style>
  <w:style w:type="paragraph" w:customStyle="1" w:styleId="TableText-NumbersNeg">
    <w:name w:val="Table Text - Numbers Neg"/>
    <w:basedOn w:val="TableText"/>
    <w:semiHidden/>
    <w:rsid w:val="008528E0"/>
    <w:pPr>
      <w:ind w:right="-40"/>
      <w:jc w:val="right"/>
    </w:pPr>
  </w:style>
  <w:style w:type="paragraph" w:customStyle="1" w:styleId="TableHeading-Numbers">
    <w:name w:val="Table Heading - Numbers"/>
    <w:basedOn w:val="TableHeading"/>
    <w:semiHidden/>
    <w:rsid w:val="008528E0"/>
    <w:pPr>
      <w:ind w:right="17"/>
      <w:jc w:val="right"/>
    </w:pPr>
  </w:style>
  <w:style w:type="paragraph" w:styleId="List2">
    <w:name w:val="List 2"/>
    <w:basedOn w:val="Normal"/>
    <w:uiPriority w:val="99"/>
    <w:semiHidden/>
    <w:rsid w:val="00B86744"/>
    <w:pPr>
      <w:numPr>
        <w:ilvl w:val="1"/>
        <w:numId w:val="9"/>
      </w:numPr>
      <w:contextualSpacing/>
    </w:pPr>
  </w:style>
  <w:style w:type="paragraph" w:customStyle="1" w:styleId="TableText-NumbersBold">
    <w:name w:val="Table Text - NumbersBold"/>
    <w:basedOn w:val="TableText-Numbers"/>
    <w:semiHidden/>
    <w:rsid w:val="0084771A"/>
    <w:pPr>
      <w:ind w:right="0"/>
    </w:pPr>
    <w:rPr>
      <w:b w:val="0"/>
    </w:rPr>
  </w:style>
  <w:style w:type="paragraph" w:customStyle="1" w:styleId="TableText-NumbersBoldNeg">
    <w:name w:val="Table Text - NumbersBoldNeg"/>
    <w:basedOn w:val="TableText-NumbersBold"/>
    <w:semiHidden/>
    <w:rsid w:val="008528E0"/>
    <w:pPr>
      <w:ind w:right="-57"/>
    </w:pPr>
  </w:style>
  <w:style w:type="paragraph" w:customStyle="1" w:styleId="FooterDetailsEven">
    <w:name w:val="Footer Details Even"/>
    <w:basedOn w:val="FooterDetails"/>
    <w:rsid w:val="00807D31"/>
    <w:rPr>
      <w:b/>
    </w:rPr>
  </w:style>
  <w:style w:type="character" w:styleId="PageNumber">
    <w:name w:val="page number"/>
    <w:basedOn w:val="DefaultParagraphFont"/>
    <w:uiPriority w:val="99"/>
    <w:semiHidden/>
    <w:rsid w:val="00807D31"/>
    <w:rPr>
      <w:rFonts w:asciiTheme="majorHAnsi" w:hAnsiTheme="majorHAnsi"/>
      <w:b/>
      <w:color w:val="000000" w:themeColor="text1"/>
    </w:rPr>
  </w:style>
  <w:style w:type="paragraph" w:customStyle="1" w:styleId="IntroCopy">
    <w:name w:val="IntroCopy"/>
    <w:basedOn w:val="Normal"/>
    <w:next w:val="Normal"/>
    <w:rsid w:val="00BC52BC"/>
    <w:pPr>
      <w:spacing w:after="170" w:line="300" w:lineRule="atLeast"/>
    </w:pPr>
    <w:rPr>
      <w:rFonts w:asciiTheme="majorHAnsi" w:hAnsiTheme="majorHAnsi"/>
      <w:sz w:val="24"/>
    </w:rPr>
  </w:style>
  <w:style w:type="paragraph" w:styleId="ListBullet3">
    <w:name w:val="List Bullet 3"/>
    <w:basedOn w:val="Normal"/>
    <w:rsid w:val="00D12825"/>
    <w:pPr>
      <w:numPr>
        <w:ilvl w:val="2"/>
        <w:numId w:val="11"/>
      </w:numPr>
      <w:contextualSpacing/>
    </w:pPr>
  </w:style>
  <w:style w:type="paragraph" w:styleId="ListNumber3">
    <w:name w:val="List Number 3"/>
    <w:basedOn w:val="Normal"/>
    <w:qFormat/>
    <w:rsid w:val="00B11D27"/>
    <w:pPr>
      <w:numPr>
        <w:ilvl w:val="2"/>
        <w:numId w:val="10"/>
      </w:numPr>
      <w:contextualSpacing/>
    </w:pPr>
  </w:style>
  <w:style w:type="table" w:styleId="TableGridLight">
    <w:name w:val="Grid Table Light"/>
    <w:basedOn w:val="TableNormal"/>
    <w:uiPriority w:val="40"/>
    <w:rsid w:val="002C1573"/>
    <w:tblPr>
      <w:tblBorders>
        <w:top w:val="single" w:sz="4" w:space="0" w:color="61932E" w:themeColor="background1" w:themeShade="BF"/>
        <w:left w:val="single" w:sz="4" w:space="0" w:color="61932E" w:themeColor="background1" w:themeShade="BF"/>
        <w:bottom w:val="single" w:sz="4" w:space="0" w:color="61932E" w:themeColor="background1" w:themeShade="BF"/>
        <w:right w:val="single" w:sz="4" w:space="0" w:color="61932E" w:themeColor="background1" w:themeShade="BF"/>
        <w:insideH w:val="single" w:sz="4" w:space="0" w:color="61932E" w:themeColor="background1" w:themeShade="BF"/>
        <w:insideV w:val="single" w:sz="4" w:space="0" w:color="61932E" w:themeColor="background1" w:themeShade="BF"/>
      </w:tblBorders>
    </w:tblPr>
  </w:style>
  <w:style w:type="paragraph" w:styleId="BodyText">
    <w:name w:val="Body Text"/>
    <w:basedOn w:val="Normal"/>
    <w:link w:val="BodyTextChar"/>
    <w:unhideWhenUsed/>
    <w:rsid w:val="00906AB2"/>
  </w:style>
  <w:style w:type="character" w:customStyle="1" w:styleId="BodyTextChar">
    <w:name w:val="Body Text Char"/>
    <w:basedOn w:val="DefaultParagraphFont"/>
    <w:link w:val="BodyText"/>
    <w:rsid w:val="00906AB2"/>
    <w:rPr>
      <w:rFonts w:asciiTheme="minorHAnsi" w:hAnsiTheme="minorHAnsi"/>
      <w:color w:val="000000" w:themeColor="text1"/>
      <w:sz w:val="18"/>
    </w:rPr>
  </w:style>
  <w:style w:type="paragraph" w:styleId="CommentText">
    <w:name w:val="annotation text"/>
    <w:basedOn w:val="Normal"/>
    <w:link w:val="CommentTextChar"/>
    <w:uiPriority w:val="99"/>
    <w:unhideWhenUsed/>
    <w:rsid w:val="00906AB2"/>
    <w:pPr>
      <w:spacing w:line="240" w:lineRule="auto"/>
    </w:pPr>
  </w:style>
  <w:style w:type="character" w:customStyle="1" w:styleId="CommentTextChar">
    <w:name w:val="Comment Text Char"/>
    <w:basedOn w:val="DefaultParagraphFont"/>
    <w:link w:val="CommentText"/>
    <w:uiPriority w:val="99"/>
    <w:rsid w:val="00906AB2"/>
    <w:rPr>
      <w:rFonts w:asciiTheme="minorHAnsi" w:hAnsiTheme="minorHAnsi"/>
      <w:color w:val="000000" w:themeColor="text1"/>
    </w:rPr>
  </w:style>
  <w:style w:type="paragraph" w:styleId="ListParagraph">
    <w:name w:val="List Paragraph"/>
    <w:aliases w:val="Bullet List,Tier 1 Bullet,ADB List Paragraph,FooterText,Paragraphe de liste1,List Paragraph1,numbered,Bulletr List Paragraph,列出段落,列出段落1,List Paragraph2,List Paragraph21,Parágrafo da Lista1,List Paragraph11,Listeafsnit1,Párrafo de lista1,L"/>
    <w:basedOn w:val="Normal"/>
    <w:link w:val="ListParagraphChar"/>
    <w:uiPriority w:val="34"/>
    <w:qFormat/>
    <w:rsid w:val="00906AB2"/>
    <w:pPr>
      <w:ind w:left="720"/>
      <w:contextualSpacing/>
    </w:pPr>
  </w:style>
  <w:style w:type="paragraph" w:styleId="NormalWeb">
    <w:name w:val="Normal (Web)"/>
    <w:basedOn w:val="Normal"/>
    <w:uiPriority w:val="99"/>
    <w:unhideWhenUsed/>
    <w:rsid w:val="00906AB2"/>
    <w:rPr>
      <w:rFonts w:ascii="Times New Roman" w:hAnsi="Times New Roman"/>
      <w:sz w:val="24"/>
      <w:szCs w:val="24"/>
    </w:rPr>
  </w:style>
  <w:style w:type="paragraph" w:styleId="NoteHeading">
    <w:name w:val="Note Heading"/>
    <w:basedOn w:val="Normal"/>
    <w:next w:val="Normal"/>
    <w:link w:val="NoteHeadingChar"/>
    <w:uiPriority w:val="99"/>
    <w:semiHidden/>
    <w:unhideWhenUsed/>
    <w:rsid w:val="00906AB2"/>
    <w:pPr>
      <w:spacing w:after="0" w:line="240" w:lineRule="auto"/>
    </w:pPr>
  </w:style>
  <w:style w:type="character" w:customStyle="1" w:styleId="NoteHeadingChar">
    <w:name w:val="Note Heading Char"/>
    <w:basedOn w:val="DefaultParagraphFont"/>
    <w:link w:val="NoteHeading"/>
    <w:uiPriority w:val="99"/>
    <w:semiHidden/>
    <w:rsid w:val="00906AB2"/>
    <w:rPr>
      <w:rFonts w:asciiTheme="minorHAnsi" w:hAnsiTheme="minorHAnsi"/>
      <w:color w:val="000000" w:themeColor="text1"/>
      <w:sz w:val="18"/>
    </w:rPr>
  </w:style>
  <w:style w:type="paragraph" w:styleId="PlainText">
    <w:name w:val="Plain Text"/>
    <w:basedOn w:val="Normal"/>
    <w:link w:val="PlainTextChar"/>
    <w:uiPriority w:val="99"/>
    <w:semiHidden/>
    <w:unhideWhenUsed/>
    <w:rsid w:val="00906AB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06AB2"/>
    <w:rPr>
      <w:rFonts w:ascii="Consolas" w:hAnsi="Consolas"/>
      <w:color w:val="000000" w:themeColor="text1"/>
      <w:sz w:val="21"/>
      <w:szCs w:val="21"/>
    </w:rPr>
  </w:style>
  <w:style w:type="paragraph" w:styleId="TOC3">
    <w:name w:val="toc 3"/>
    <w:basedOn w:val="Normal"/>
    <w:next w:val="Normal"/>
    <w:autoRedefine/>
    <w:uiPriority w:val="39"/>
    <w:unhideWhenUsed/>
    <w:rsid w:val="00C24856"/>
    <w:pPr>
      <w:tabs>
        <w:tab w:val="right" w:pos="8931"/>
      </w:tabs>
      <w:spacing w:after="100"/>
      <w:ind w:left="360"/>
    </w:pPr>
  </w:style>
  <w:style w:type="table" w:customStyle="1" w:styleId="SVTable">
    <w:name w:val="SV Table"/>
    <w:basedOn w:val="TableNormal"/>
    <w:uiPriority w:val="99"/>
    <w:rsid w:val="00BF5B23"/>
    <w:tblPr>
      <w:tblBorders>
        <w:top w:val="single" w:sz="2" w:space="0" w:color="82C341" w:themeColor="background1"/>
        <w:bottom w:val="single" w:sz="2" w:space="0" w:color="82C341" w:themeColor="background1"/>
        <w:insideH w:val="single" w:sz="4" w:space="0" w:color="82C341" w:themeColor="background1"/>
      </w:tblBorders>
    </w:tblPr>
    <w:tblStylePr w:type="firstRow">
      <w:rPr>
        <w:color w:val="FFFFFF"/>
      </w:rPr>
      <w:tblPr/>
      <w:trPr>
        <w:tblHeader/>
      </w:trPr>
      <w:tcPr>
        <w:shd w:val="clear" w:color="auto" w:fill="82C341" w:themeFill="background1"/>
      </w:tcPr>
    </w:tblStylePr>
    <w:tblStylePr w:type="lastRow">
      <w:rPr>
        <w:b/>
      </w:rPr>
      <w:tblPr/>
      <w:tcPr>
        <w:tcBorders>
          <w:top w:val="single" w:sz="2" w:space="0" w:color="82C341" w:themeColor="background1"/>
          <w:left w:val="nil"/>
          <w:bottom w:val="single" w:sz="6" w:space="0" w:color="82C341" w:themeColor="background1"/>
          <w:right w:val="nil"/>
          <w:insideH w:val="nil"/>
          <w:insideV w:val="nil"/>
          <w:tl2br w:val="nil"/>
          <w:tr2bl w:val="nil"/>
        </w:tcBorders>
        <w:shd w:val="clear" w:color="auto" w:fill="F0F5E4"/>
      </w:tcPr>
    </w:tblStylePr>
  </w:style>
  <w:style w:type="paragraph" w:customStyle="1" w:styleId="TableCaption">
    <w:name w:val="Table Caption"/>
    <w:basedOn w:val="Normal"/>
    <w:next w:val="Normal"/>
    <w:rsid w:val="00B357A3"/>
    <w:pPr>
      <w:pBdr>
        <w:top w:val="single" w:sz="2" w:space="5" w:color="82C341" w:themeColor="background1"/>
      </w:pBdr>
      <w:spacing w:before="200"/>
    </w:pPr>
    <w:rPr>
      <w:color w:val="82C341" w:themeColor="background1"/>
    </w:rPr>
  </w:style>
  <w:style w:type="paragraph" w:customStyle="1" w:styleId="FigureCaption">
    <w:name w:val="Figure Caption"/>
    <w:basedOn w:val="Normal"/>
    <w:next w:val="Normal"/>
    <w:rsid w:val="00B357A3"/>
    <w:pPr>
      <w:pBdr>
        <w:top w:val="single" w:sz="2" w:space="5" w:color="82C341" w:themeColor="background1"/>
      </w:pBdr>
      <w:spacing w:before="200"/>
    </w:pPr>
    <w:rPr>
      <w:color w:val="82C341" w:themeColor="background1"/>
    </w:rPr>
  </w:style>
  <w:style w:type="paragraph" w:customStyle="1" w:styleId="TableCaptionWide">
    <w:name w:val="Table Caption Wide"/>
    <w:basedOn w:val="TableCaption"/>
    <w:next w:val="Normal"/>
    <w:rsid w:val="00B357A3"/>
    <w:pPr>
      <w:ind w:left="-1985"/>
    </w:pPr>
  </w:style>
  <w:style w:type="paragraph" w:customStyle="1" w:styleId="CoverHeading">
    <w:name w:val="Cover Heading"/>
    <w:basedOn w:val="Normal"/>
    <w:next w:val="Normal"/>
    <w:rsid w:val="004F01DD"/>
    <w:pPr>
      <w:spacing w:after="340" w:line="216" w:lineRule="auto"/>
      <w:contextualSpacing/>
    </w:pPr>
    <w:rPr>
      <w:b/>
      <w:color w:val="6AA336" w:themeColor="accent4"/>
      <w:sz w:val="52"/>
    </w:rPr>
  </w:style>
  <w:style w:type="paragraph" w:customStyle="1" w:styleId="CoverSubheading">
    <w:name w:val="Cover Subheading"/>
    <w:basedOn w:val="Normal"/>
    <w:next w:val="Normal"/>
    <w:rsid w:val="00FC6F89"/>
    <w:pPr>
      <w:spacing w:line="320" w:lineRule="atLeast"/>
      <w:contextualSpacing/>
    </w:pPr>
    <w:rPr>
      <w:color w:val="FFFFFF"/>
      <w:sz w:val="26"/>
    </w:rPr>
  </w:style>
  <w:style w:type="paragraph" w:customStyle="1" w:styleId="CoverDetails">
    <w:name w:val="Cover Details"/>
    <w:basedOn w:val="Normal"/>
    <w:rsid w:val="00FC6F89"/>
    <w:pPr>
      <w:spacing w:after="0"/>
    </w:pPr>
  </w:style>
  <w:style w:type="paragraph" w:customStyle="1" w:styleId="BackPageDetails">
    <w:name w:val="BackPage Details"/>
    <w:basedOn w:val="Normal"/>
    <w:rsid w:val="00496056"/>
    <w:pPr>
      <w:spacing w:before="85" w:after="20" w:line="210" w:lineRule="atLeast"/>
    </w:pPr>
    <w:rPr>
      <w:sz w:val="17"/>
    </w:rPr>
  </w:style>
  <w:style w:type="paragraph" w:customStyle="1" w:styleId="Default">
    <w:name w:val="Default"/>
    <w:rsid w:val="009313F9"/>
    <w:pPr>
      <w:autoSpaceDE w:val="0"/>
      <w:autoSpaceDN w:val="0"/>
      <w:adjustRightInd w:val="0"/>
    </w:pPr>
    <w:rPr>
      <w:rFonts w:ascii="DIN Next LT Pro" w:hAnsi="DIN Next LT Pro" w:cs="DIN Next LT Pro"/>
      <w:color w:val="000000"/>
      <w:sz w:val="24"/>
      <w:szCs w:val="24"/>
    </w:rPr>
  </w:style>
  <w:style w:type="character" w:styleId="Hyperlink">
    <w:name w:val="Hyperlink"/>
    <w:uiPriority w:val="99"/>
    <w:rsid w:val="009B7D39"/>
    <w:rPr>
      <w:rFonts w:cs="Times New Roman"/>
      <w:color w:val="0000FF"/>
      <w:u w:val="single"/>
    </w:rPr>
  </w:style>
  <w:style w:type="paragraph" w:customStyle="1" w:styleId="bulletSV">
    <w:name w:val="bullet SV"/>
    <w:basedOn w:val="Normal"/>
    <w:link w:val="bulletSVChar"/>
    <w:rsid w:val="009B7D39"/>
    <w:pPr>
      <w:numPr>
        <w:numId w:val="14"/>
      </w:numPr>
      <w:spacing w:before="120" w:after="0" w:line="240" w:lineRule="auto"/>
      <w:ind w:left="426" w:right="4" w:hanging="426"/>
    </w:pPr>
    <w:rPr>
      <w:rFonts w:ascii="Arial" w:eastAsia="Times New Roman" w:hAnsi="Arial" w:cs="Arial"/>
      <w:bCs/>
    </w:rPr>
  </w:style>
  <w:style w:type="character" w:customStyle="1" w:styleId="bulletSVChar">
    <w:name w:val="bullet SV Char"/>
    <w:link w:val="bulletSV"/>
    <w:rsid w:val="009B7D39"/>
    <w:rPr>
      <w:rFonts w:ascii="Arial" w:eastAsia="Times New Roman" w:hAnsi="Arial" w:cs="Arial"/>
      <w:bCs/>
      <w:sz w:val="22"/>
      <w:szCs w:val="22"/>
    </w:rPr>
  </w:style>
  <w:style w:type="character" w:customStyle="1" w:styleId="ListParagraphChar">
    <w:name w:val="List Paragraph Char"/>
    <w:aliases w:val="Bullet List Char,Tier 1 Bullet Char,ADB List Paragraph Char,FooterText Char,Paragraphe de liste1 Char,List Paragraph1 Char,numbered Char,Bulletr List Paragraph Char,列出段落 Char,列出段落1 Char,List Paragraph2 Char,List Paragraph21 Char"/>
    <w:link w:val="ListParagraph"/>
    <w:uiPriority w:val="34"/>
    <w:locked/>
    <w:rsid w:val="009B7D39"/>
  </w:style>
  <w:style w:type="character" w:styleId="CommentReference">
    <w:name w:val="annotation reference"/>
    <w:uiPriority w:val="99"/>
    <w:rsid w:val="009B7D39"/>
    <w:rPr>
      <w:rFonts w:cs="Times New Roman"/>
      <w:sz w:val="16"/>
    </w:rPr>
  </w:style>
  <w:style w:type="table" w:customStyle="1" w:styleId="LightList-Accent311">
    <w:name w:val="Light List - Accent 311"/>
    <w:basedOn w:val="TableNormal"/>
    <w:uiPriority w:val="61"/>
    <w:rsid w:val="009B7D39"/>
    <w:rPr>
      <w:rFonts w:ascii="Arial" w:eastAsia="Times New Roman" w:hAnsi="Arial"/>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NumberedlistChar">
    <w:name w:val="Numbered list Char"/>
    <w:link w:val="Numberedlist"/>
    <w:locked/>
    <w:rsid w:val="009B7D39"/>
    <w:rPr>
      <w:rFonts w:ascii="Arial" w:eastAsia="Times New Roman" w:hAnsi="Arial" w:cs="Arial"/>
      <w:sz w:val="22"/>
      <w:szCs w:val="22"/>
    </w:rPr>
  </w:style>
  <w:style w:type="paragraph" w:customStyle="1" w:styleId="Numberedlist">
    <w:name w:val="Numbered list"/>
    <w:basedOn w:val="ListParagraph"/>
    <w:link w:val="NumberedlistChar"/>
    <w:rsid w:val="009B7D39"/>
    <w:pPr>
      <w:numPr>
        <w:numId w:val="15"/>
      </w:numPr>
      <w:spacing w:before="120" w:after="0" w:line="240" w:lineRule="auto"/>
      <w:ind w:left="426" w:hanging="426"/>
      <w:contextualSpacing w:val="0"/>
    </w:pPr>
    <w:rPr>
      <w:rFonts w:ascii="Arial" w:eastAsia="Times New Roman" w:hAnsi="Arial" w:cs="Arial"/>
    </w:rPr>
  </w:style>
  <w:style w:type="character" w:customStyle="1" w:styleId="TabletextChar">
    <w:name w:val="Table text Char"/>
    <w:basedOn w:val="DefaultParagraphFont"/>
    <w:link w:val="Tabletext0"/>
    <w:uiPriority w:val="9"/>
    <w:locked/>
    <w:rsid w:val="00FE1ED7"/>
    <w:rPr>
      <w:rFonts w:ascii="Arial" w:hAnsi="Arial" w:cs="Arial"/>
      <w:lang w:eastAsia="en-AU"/>
    </w:rPr>
  </w:style>
  <w:style w:type="paragraph" w:customStyle="1" w:styleId="Tabletext0">
    <w:name w:val="Table text"/>
    <w:basedOn w:val="Normal"/>
    <w:link w:val="TabletextChar"/>
    <w:uiPriority w:val="9"/>
    <w:rsid w:val="00FE1ED7"/>
    <w:pPr>
      <w:widowControl w:val="0"/>
      <w:spacing w:before="20" w:after="20" w:line="260" w:lineRule="atLeast"/>
    </w:pPr>
    <w:rPr>
      <w:rFonts w:ascii="Arial" w:hAnsi="Arial" w:cs="Arial"/>
      <w:sz w:val="20"/>
      <w:szCs w:val="20"/>
      <w:lang w:eastAsia="en-AU"/>
    </w:rPr>
  </w:style>
  <w:style w:type="table" w:styleId="PlainTable2">
    <w:name w:val="Plain Table 2"/>
    <w:basedOn w:val="TableNormal"/>
    <w:uiPriority w:val="42"/>
    <w:rsid w:val="009B7D39"/>
    <w:rPr>
      <w:rFonts w:eastAsia="Times New Roman"/>
      <w:lang w:eastAsia="en-AU"/>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itle2">
    <w:name w:val="Title2"/>
    <w:basedOn w:val="Heading1"/>
    <w:link w:val="Title2Char"/>
    <w:rsid w:val="00204477"/>
    <w:rPr>
      <w:b w:val="0"/>
      <w:bCs/>
      <w:szCs w:val="40"/>
    </w:rPr>
  </w:style>
  <w:style w:type="character" w:customStyle="1" w:styleId="Title2Char">
    <w:name w:val="Title2 Char"/>
    <w:basedOn w:val="DefaultParagraphFont"/>
    <w:link w:val="Title2"/>
    <w:rsid w:val="00204477"/>
    <w:rPr>
      <w:rFonts w:asciiTheme="majorHAnsi" w:eastAsiaTheme="majorEastAsia" w:hAnsiTheme="majorHAnsi" w:cstheme="majorBidi"/>
      <w:b/>
      <w:bCs/>
      <w:color w:val="82C341" w:themeColor="accent1"/>
      <w:sz w:val="36"/>
      <w:szCs w:val="40"/>
    </w:rPr>
  </w:style>
  <w:style w:type="table" w:customStyle="1" w:styleId="TableGrid0">
    <w:name w:val="TableGrid"/>
    <w:rsid w:val="007A6061"/>
    <w:rPr>
      <w:sz w:val="22"/>
      <w:szCs w:val="22"/>
      <w:lang w:eastAsia="en-AU"/>
    </w:rPr>
    <w:tblPr>
      <w:tblCellMar>
        <w:top w:w="0" w:type="dxa"/>
        <w:left w:w="0" w:type="dxa"/>
        <w:bottom w:w="0" w:type="dxa"/>
        <w:right w:w="0" w:type="dxa"/>
      </w:tblCellMar>
    </w:tblPr>
  </w:style>
  <w:style w:type="paragraph" w:styleId="NoSpacing">
    <w:name w:val="No Spacing"/>
    <w:uiPriority w:val="1"/>
    <w:qFormat/>
    <w:rsid w:val="00CF3851"/>
    <w:pPr>
      <w:spacing w:after="0" w:line="240" w:lineRule="auto"/>
    </w:pPr>
    <w:rPr>
      <w:sz w:val="22"/>
      <w:szCs w:val="22"/>
    </w:rPr>
  </w:style>
  <w:style w:type="character" w:customStyle="1" w:styleId="BodyTextManualChar">
    <w:name w:val="Body Text Manual Char"/>
    <w:basedOn w:val="DefaultParagraphFont"/>
    <w:link w:val="BodyTextManual"/>
    <w:locked/>
    <w:rsid w:val="0026681D"/>
    <w:rPr>
      <w:rFonts w:ascii="Tahoma" w:hAnsi="Tahoma" w:cs="Tahoma"/>
      <w:lang w:eastAsia="x-none"/>
    </w:rPr>
  </w:style>
  <w:style w:type="paragraph" w:customStyle="1" w:styleId="BodyTextManual">
    <w:name w:val="Body Text Manual"/>
    <w:basedOn w:val="Normal"/>
    <w:link w:val="BodyTextManualChar"/>
    <w:rsid w:val="0026681D"/>
    <w:pPr>
      <w:spacing w:after="0" w:line="240" w:lineRule="auto"/>
    </w:pPr>
    <w:rPr>
      <w:rFonts w:ascii="Tahoma" w:hAnsi="Tahoma" w:cs="Tahoma"/>
      <w:lang w:eastAsia="x-none"/>
    </w:rPr>
  </w:style>
  <w:style w:type="character" w:customStyle="1" w:styleId="Style4">
    <w:name w:val="Style4"/>
    <w:basedOn w:val="DefaultParagraphFont"/>
    <w:uiPriority w:val="1"/>
    <w:rsid w:val="0026681D"/>
    <w:rPr>
      <w:rFonts w:ascii="Calibri" w:hAnsi="Calibri" w:cs="Calibri" w:hint="default"/>
    </w:rPr>
  </w:style>
  <w:style w:type="table" w:customStyle="1" w:styleId="TableGrid1">
    <w:name w:val="Table Grid1"/>
    <w:basedOn w:val="TableNormal"/>
    <w:next w:val="TableGrid"/>
    <w:uiPriority w:val="59"/>
    <w:rsid w:val="002D7C7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eyboardfocusclass">
    <w:name w:val="keyboardfocusclass"/>
    <w:basedOn w:val="DefaultParagraphFont"/>
    <w:rsid w:val="001B3D04"/>
  </w:style>
  <w:style w:type="paragraph" w:customStyle="1" w:styleId="Subheading">
    <w:name w:val="Subheading"/>
    <w:basedOn w:val="Normal"/>
    <w:next w:val="Normal"/>
    <w:uiPriority w:val="49"/>
    <w:rsid w:val="00DE43AC"/>
    <w:pPr>
      <w:keepNext/>
      <w:tabs>
        <w:tab w:val="right" w:pos="9582"/>
      </w:tabs>
      <w:spacing w:before="200" w:line="240" w:lineRule="auto"/>
    </w:pPr>
    <w:rPr>
      <w:rFonts w:asciiTheme="majorHAnsi" w:hAnsiTheme="majorHAnsi"/>
      <w:b/>
      <w:spacing w:val="-2"/>
      <w:sz w:val="18"/>
    </w:rPr>
  </w:style>
  <w:style w:type="paragraph" w:customStyle="1" w:styleId="Tabletextbold">
    <w:name w:val="Table text bold"/>
    <w:rsid w:val="00DE43AC"/>
    <w:pPr>
      <w:spacing w:before="120" w:after="20" w:line="276" w:lineRule="auto"/>
    </w:pPr>
    <w:rPr>
      <w:rFonts w:ascii="Arial" w:hAnsi="Arial"/>
      <w:b/>
      <w:spacing w:val="6"/>
      <w:sz w:val="16"/>
      <w:szCs w:val="16"/>
    </w:rPr>
  </w:style>
  <w:style w:type="table" w:customStyle="1" w:styleId="DTFFinancialTable">
    <w:name w:val="DTF Financial Table"/>
    <w:basedOn w:val="TableNormal"/>
    <w:uiPriority w:val="99"/>
    <w:rsid w:val="00DE43AC"/>
    <w:pPr>
      <w:spacing w:before="20" w:after="20"/>
    </w:pPr>
    <w:rPr>
      <w:rFonts w:ascii="Arial" w:hAnsi="Arial"/>
      <w:spacing w:val="2"/>
      <w:sz w:val="16"/>
    </w:rPr>
    <w:tblPr>
      <w:tblStyleRowBandSize w:val="1"/>
      <w:tblStyleColBandSize w:val="1"/>
      <w:tblInd w:w="28" w:type="dxa"/>
      <w:tblBorders>
        <w:bottom w:val="single" w:sz="12" w:space="0" w:color="auto"/>
      </w:tblBorders>
      <w:tblCellMar>
        <w:left w:w="57" w:type="dxa"/>
        <w:right w:w="57" w:type="dxa"/>
      </w:tblCellMar>
    </w:tblPr>
    <w:trPr>
      <w:cantSplit/>
    </w:trPr>
    <w:tblStylePr w:type="firstRow">
      <w:pPr>
        <w:wordWrap/>
        <w:spacing w:beforeLines="0" w:before="60" w:beforeAutospacing="0" w:afterLines="0" w:after="60" w:afterAutospacing="0" w:line="240" w:lineRule="auto"/>
      </w:pPr>
      <w:rPr>
        <w:b w:val="0"/>
        <w:i w:val="0"/>
        <w:color w:val="82C341" w:themeColor="background1"/>
        <w:sz w:val="16"/>
      </w:rPr>
      <w:tblPr/>
      <w:trPr>
        <w:cantSplit w:val="0"/>
      </w:trPr>
      <w:tcPr>
        <w:shd w:val="clear" w:color="auto" w:fill="000000"/>
        <w:vAlign w:val="bottom"/>
      </w:tcPr>
    </w:tblStylePr>
    <w:tblStylePr w:type="lastRow">
      <w:rPr>
        <w:b w:val="0"/>
      </w:rPr>
      <w:tblPr/>
      <w:tcPr>
        <w:tcBorders>
          <w:top w:val="single" w:sz="6" w:space="0" w:color="000000"/>
          <w:left w:val="nil"/>
          <w:bottom w:val="single" w:sz="12" w:space="0" w:color="000000"/>
          <w:right w:val="nil"/>
          <w:insideH w:val="nil"/>
          <w:insideV w:val="nil"/>
          <w:tl2br w:val="nil"/>
          <w:tr2bl w:val="nil"/>
        </w:tcBorders>
      </w:tcPr>
    </w:tblStylePr>
    <w:tblStylePr w:type="firstCol">
      <w:pPr>
        <w:wordWrap/>
        <w:spacing w:line="240" w:lineRule="auto"/>
        <w:ind w:leftChars="0" w:left="170" w:rightChars="0" w:right="0" w:firstLineChars="0" w:hanging="170"/>
        <w:jc w:val="left"/>
      </w:pPr>
    </w:tblStylePr>
    <w:tblStylePr w:type="lastCol">
      <w:rPr>
        <w:b/>
      </w:rPr>
      <w:tblPr/>
      <w:tcPr>
        <w:shd w:val="clear" w:color="auto" w:fill="F2F2F2"/>
      </w:tcPr>
    </w:tblStylePr>
    <w:tblStylePr w:type="band1Vert">
      <w:tblPr/>
      <w:tcPr>
        <w:shd w:val="clear" w:color="auto" w:fill="EBEBEB"/>
      </w:tcPr>
    </w:tblStylePr>
    <w:tblStylePr w:type="band1Horz">
      <w:tblPr/>
      <w:tcPr>
        <w:shd w:val="clear" w:color="auto" w:fill="EBEBEB"/>
      </w:tcPr>
    </w:tblStylePr>
    <w:tblStylePr w:type="band2Horz">
      <w:tblPr/>
      <w:tcPr>
        <w:shd w:val="clear" w:color="auto" w:fill="FFFFFF"/>
      </w:tcPr>
    </w:tblStylePr>
  </w:style>
  <w:style w:type="character" w:customStyle="1" w:styleId="TableofFiguresChar">
    <w:name w:val="Table of Figures Char"/>
    <w:link w:val="TableofFigures"/>
    <w:rsid w:val="00DE43AC"/>
    <w:rPr>
      <w:rFonts w:asciiTheme="minorHAnsi" w:hAnsiTheme="minorHAnsi"/>
      <w:color w:val="000000" w:themeColor="text1"/>
      <w:sz w:val="19"/>
    </w:rPr>
  </w:style>
  <w:style w:type="paragraph" w:customStyle="1" w:styleId="Tabletextheading">
    <w:name w:val="Table text heading"/>
    <w:basedOn w:val="TableofFigures"/>
    <w:link w:val="TabletextheadingChar"/>
    <w:rsid w:val="00DE43AC"/>
    <w:pPr>
      <w:spacing w:before="20" w:after="20" w:line="240" w:lineRule="auto"/>
      <w:jc w:val="right"/>
    </w:pPr>
    <w:rPr>
      <w:rFonts w:eastAsia="Tahoma" w:cs="Arial"/>
      <w:i/>
      <w:iCs/>
      <w:noProof/>
      <w:spacing w:val="2"/>
      <w:sz w:val="16"/>
      <w:szCs w:val="18"/>
      <w:lang w:eastAsia="en-AU"/>
    </w:rPr>
  </w:style>
  <w:style w:type="character" w:customStyle="1" w:styleId="TabletextheadingChar">
    <w:name w:val="Table text heading Char"/>
    <w:link w:val="Tabletextheading"/>
    <w:rsid w:val="00DE43AC"/>
    <w:rPr>
      <w:rFonts w:asciiTheme="minorHAnsi" w:eastAsia="Tahoma" w:hAnsiTheme="minorHAnsi" w:cs="Arial"/>
      <w:i/>
      <w:iCs/>
      <w:noProof/>
      <w:spacing w:val="2"/>
      <w:sz w:val="16"/>
      <w:szCs w:val="18"/>
      <w:lang w:eastAsia="en-AU"/>
    </w:rPr>
  </w:style>
  <w:style w:type="paragraph" w:customStyle="1" w:styleId="TabletextheadingCentred">
    <w:name w:val="Table text heading Centred"/>
    <w:basedOn w:val="Tabletextheading"/>
    <w:link w:val="TabletextheadingCentredChar"/>
    <w:rsid w:val="00DE43AC"/>
    <w:pPr>
      <w:jc w:val="center"/>
    </w:pPr>
    <w:rPr>
      <w:noProof w:val="0"/>
      <w:szCs w:val="20"/>
    </w:rPr>
  </w:style>
  <w:style w:type="character" w:customStyle="1" w:styleId="TabletextheadingCentredChar">
    <w:name w:val="Table text heading Centred Char"/>
    <w:link w:val="TabletextheadingCentred"/>
    <w:locked/>
    <w:rsid w:val="00DE43AC"/>
    <w:rPr>
      <w:rFonts w:asciiTheme="minorHAnsi" w:eastAsia="Tahoma" w:hAnsiTheme="minorHAnsi" w:cs="Arial"/>
      <w:i/>
      <w:iCs/>
      <w:spacing w:val="2"/>
      <w:sz w:val="16"/>
      <w:lang w:eastAsia="en-AU"/>
    </w:rPr>
  </w:style>
  <w:style w:type="paragraph" w:customStyle="1" w:styleId="TabletextheadingLeft">
    <w:name w:val="Table text heading Left"/>
    <w:basedOn w:val="Tabletextheading"/>
    <w:rsid w:val="005404C3"/>
    <w:pPr>
      <w:jc w:val="left"/>
    </w:pPr>
    <w:rPr>
      <w:i w:val="0"/>
    </w:rPr>
  </w:style>
  <w:style w:type="paragraph" w:customStyle="1" w:styleId="Bullet1">
    <w:name w:val="_Bullet1"/>
    <w:basedOn w:val="Normal"/>
    <w:rsid w:val="00CC41E6"/>
    <w:pPr>
      <w:numPr>
        <w:numId w:val="17"/>
      </w:numPr>
      <w:spacing w:line="240" w:lineRule="auto"/>
      <w:contextualSpacing/>
    </w:pPr>
    <w:rPr>
      <w:rFonts w:ascii="Arial" w:hAnsi="Arial" w:cs="Arial"/>
      <w:color w:val="464749"/>
      <w:sz w:val="21"/>
      <w:szCs w:val="21"/>
    </w:rPr>
  </w:style>
  <w:style w:type="paragraph" w:customStyle="1" w:styleId="Bullet2">
    <w:name w:val="_Bullet2"/>
    <w:basedOn w:val="Normal"/>
    <w:rsid w:val="00CC41E6"/>
    <w:pPr>
      <w:numPr>
        <w:ilvl w:val="1"/>
        <w:numId w:val="17"/>
      </w:numPr>
      <w:spacing w:line="240" w:lineRule="auto"/>
      <w:contextualSpacing/>
    </w:pPr>
    <w:rPr>
      <w:rFonts w:ascii="Arial" w:hAnsi="Arial" w:cs="Arial"/>
      <w:color w:val="464749"/>
      <w:sz w:val="21"/>
      <w:szCs w:val="21"/>
    </w:rPr>
  </w:style>
  <w:style w:type="paragraph" w:customStyle="1" w:styleId="Bullet3">
    <w:name w:val="_Bullet3"/>
    <w:basedOn w:val="Normal"/>
    <w:rsid w:val="00CC41E6"/>
    <w:pPr>
      <w:numPr>
        <w:ilvl w:val="2"/>
        <w:numId w:val="17"/>
      </w:numPr>
      <w:spacing w:line="240" w:lineRule="auto"/>
      <w:contextualSpacing/>
    </w:pPr>
    <w:rPr>
      <w:rFonts w:ascii="Arial" w:hAnsi="Arial" w:cs="Arial"/>
      <w:color w:val="464749"/>
      <w:sz w:val="21"/>
      <w:szCs w:val="21"/>
    </w:rPr>
  </w:style>
  <w:style w:type="character" w:customStyle="1" w:styleId="font71">
    <w:name w:val="font71"/>
    <w:basedOn w:val="DefaultParagraphFont"/>
    <w:rsid w:val="006B1A07"/>
    <w:rPr>
      <w:rFonts w:ascii="Arial" w:hAnsi="Arial" w:cs="Arial" w:hint="default"/>
      <w:b/>
      <w:bCs/>
      <w:i w:val="0"/>
      <w:iCs w:val="0"/>
      <w:strike w:val="0"/>
      <w:dstrike w:val="0"/>
      <w:color w:val="000000"/>
      <w:sz w:val="18"/>
      <w:szCs w:val="18"/>
      <w:u w:val="none"/>
      <w:effect w:val="none"/>
    </w:rPr>
  </w:style>
  <w:style w:type="character" w:customStyle="1" w:styleId="font91">
    <w:name w:val="font91"/>
    <w:basedOn w:val="DefaultParagraphFont"/>
    <w:rsid w:val="006B1A07"/>
    <w:rPr>
      <w:rFonts w:ascii="Arial" w:hAnsi="Arial" w:cs="Arial" w:hint="default"/>
      <w:b w:val="0"/>
      <w:bCs w:val="0"/>
      <w:i w:val="0"/>
      <w:iCs w:val="0"/>
      <w:strike w:val="0"/>
      <w:dstrike w:val="0"/>
      <w:color w:val="000000"/>
      <w:sz w:val="18"/>
      <w:szCs w:val="18"/>
      <w:u w:val="none"/>
      <w:effect w:val="none"/>
    </w:rPr>
  </w:style>
  <w:style w:type="character" w:customStyle="1" w:styleId="font121">
    <w:name w:val="font121"/>
    <w:basedOn w:val="DefaultParagraphFont"/>
    <w:rsid w:val="006B1A07"/>
    <w:rPr>
      <w:rFonts w:ascii="Arial" w:hAnsi="Arial" w:cs="Arial" w:hint="default"/>
      <w:b w:val="0"/>
      <w:bCs w:val="0"/>
      <w:i w:val="0"/>
      <w:iCs w:val="0"/>
      <w:strike w:val="0"/>
      <w:dstrike w:val="0"/>
      <w:color w:val="000000"/>
      <w:sz w:val="16"/>
      <w:szCs w:val="16"/>
      <w:u w:val="none"/>
      <w:effect w:val="none"/>
    </w:rPr>
  </w:style>
  <w:style w:type="character" w:customStyle="1" w:styleId="font241">
    <w:name w:val="font241"/>
    <w:basedOn w:val="DefaultParagraphFont"/>
    <w:rsid w:val="006B1A07"/>
    <w:rPr>
      <w:rFonts w:ascii="Arial" w:hAnsi="Arial" w:cs="Arial" w:hint="default"/>
      <w:b w:val="0"/>
      <w:bCs w:val="0"/>
      <w:i w:val="0"/>
      <w:iCs w:val="0"/>
      <w:strike w:val="0"/>
      <w:dstrike w:val="0"/>
      <w:color w:val="000000"/>
      <w:sz w:val="16"/>
      <w:szCs w:val="16"/>
      <w:u w:val="none"/>
      <w:effect w:val="none"/>
    </w:rPr>
  </w:style>
  <w:style w:type="character" w:customStyle="1" w:styleId="font81">
    <w:name w:val="font81"/>
    <w:basedOn w:val="DefaultParagraphFont"/>
    <w:rsid w:val="006B1A07"/>
    <w:rPr>
      <w:rFonts w:ascii="Arial" w:hAnsi="Arial" w:cs="Arial" w:hint="default"/>
      <w:b w:val="0"/>
      <w:bCs w:val="0"/>
      <w:i w:val="0"/>
      <w:iCs w:val="0"/>
      <w:strike w:val="0"/>
      <w:dstrike w:val="0"/>
      <w:color w:val="000000"/>
      <w:sz w:val="16"/>
      <w:szCs w:val="16"/>
      <w:u w:val="none"/>
      <w:effect w:val="none"/>
    </w:rPr>
  </w:style>
  <w:style w:type="paragraph" w:customStyle="1" w:styleId="xWeb">
    <w:name w:val="xWeb"/>
    <w:basedOn w:val="Normal"/>
    <w:rsid w:val="001174C3"/>
    <w:pPr>
      <w:spacing w:after="0" w:line="240" w:lineRule="auto"/>
    </w:pPr>
    <w:rPr>
      <w:rFonts w:eastAsia="Times New Roman" w:cs="Arial"/>
      <w:b/>
      <w:color w:val="00A9B2"/>
      <w:spacing w:val="-4"/>
      <w:sz w:val="25"/>
      <w:szCs w:val="42"/>
      <w:lang w:eastAsia="en-AU"/>
    </w:rPr>
  </w:style>
  <w:style w:type="paragraph" w:styleId="Revision">
    <w:name w:val="Revision"/>
    <w:hidden/>
    <w:uiPriority w:val="99"/>
    <w:semiHidden/>
    <w:rsid w:val="00E02EA4"/>
    <w:rPr>
      <w:color w:val="000000" w:themeColor="text1"/>
      <w:sz w:val="19"/>
    </w:rPr>
  </w:style>
  <w:style w:type="paragraph" w:customStyle="1" w:styleId="Pa2">
    <w:name w:val="Pa2"/>
    <w:basedOn w:val="Default"/>
    <w:next w:val="Default"/>
    <w:uiPriority w:val="99"/>
    <w:rsid w:val="003A5BC6"/>
    <w:pPr>
      <w:spacing w:line="171" w:lineRule="atLeast"/>
    </w:pPr>
    <w:rPr>
      <w:rFonts w:ascii="DIN Next LT Pro Medium" w:hAnsi="DIN Next LT Pro Medium" w:cs="Times New Roman"/>
      <w:color w:val="auto"/>
    </w:rPr>
  </w:style>
  <w:style w:type="character" w:customStyle="1" w:styleId="A8">
    <w:name w:val="A8"/>
    <w:uiPriority w:val="99"/>
    <w:rsid w:val="003A5BC6"/>
    <w:rPr>
      <w:rFonts w:cs="DIN Next LT Pro Light"/>
      <w:color w:val="000000"/>
      <w:sz w:val="10"/>
      <w:szCs w:val="10"/>
    </w:rPr>
  </w:style>
  <w:style w:type="paragraph" w:customStyle="1" w:styleId="xDisclaimertext3">
    <w:name w:val="xDisclaimer text 3"/>
    <w:basedOn w:val="Normal"/>
    <w:semiHidden/>
    <w:rsid w:val="00C51681"/>
    <w:pPr>
      <w:spacing w:before="60" w:after="60" w:line="175" w:lineRule="atLeast"/>
    </w:pPr>
    <w:rPr>
      <w:rFonts w:eastAsia="Times New Roman" w:cs="Arial"/>
      <w:sz w:val="12"/>
      <w:lang w:eastAsia="en-AU"/>
    </w:rPr>
  </w:style>
  <w:style w:type="paragraph" w:customStyle="1" w:styleId="Pa9">
    <w:name w:val="Pa9"/>
    <w:basedOn w:val="Default"/>
    <w:next w:val="Default"/>
    <w:uiPriority w:val="99"/>
    <w:rsid w:val="00D07BDF"/>
    <w:pPr>
      <w:spacing w:line="171" w:lineRule="atLeast"/>
    </w:pPr>
    <w:rPr>
      <w:rFonts w:ascii="DIN Next LT Pro Light" w:hAnsi="DIN Next LT Pro Light" w:cstheme="minorBidi"/>
      <w:color w:val="auto"/>
    </w:rPr>
  </w:style>
  <w:style w:type="paragraph" w:styleId="Caption">
    <w:name w:val="caption"/>
    <w:basedOn w:val="Normal"/>
    <w:next w:val="Normal"/>
    <w:uiPriority w:val="35"/>
    <w:unhideWhenUsed/>
    <w:qFormat/>
    <w:rsid w:val="000E2BD0"/>
    <w:pPr>
      <w:spacing w:before="120" w:after="40" w:line="240" w:lineRule="auto"/>
    </w:pPr>
    <w:rPr>
      <w:b/>
      <w:bCs/>
      <w:color w:val="41631F" w:themeColor="accent1" w:themeShade="80"/>
    </w:rPr>
  </w:style>
  <w:style w:type="character" w:styleId="Strong">
    <w:name w:val="Strong"/>
    <w:basedOn w:val="DefaultParagraphFont"/>
    <w:uiPriority w:val="22"/>
    <w:qFormat/>
    <w:rsid w:val="000F326D"/>
    <w:rPr>
      <w:b/>
      <w:bCs/>
    </w:rPr>
  </w:style>
  <w:style w:type="character" w:styleId="Emphasis">
    <w:name w:val="Emphasis"/>
    <w:basedOn w:val="DefaultParagraphFont"/>
    <w:uiPriority w:val="20"/>
    <w:qFormat/>
    <w:rsid w:val="000F326D"/>
    <w:rPr>
      <w:i/>
      <w:iCs/>
    </w:rPr>
  </w:style>
  <w:style w:type="character" w:styleId="SubtleEmphasis">
    <w:name w:val="Subtle Emphasis"/>
    <w:basedOn w:val="DefaultParagraphFont"/>
    <w:uiPriority w:val="19"/>
    <w:qFormat/>
    <w:rsid w:val="000F326D"/>
    <w:rPr>
      <w:i/>
      <w:iCs/>
      <w:color w:val="404040" w:themeColor="text1" w:themeTint="BF"/>
    </w:rPr>
  </w:style>
  <w:style w:type="character" w:styleId="IntenseEmphasis">
    <w:name w:val="Intense Emphasis"/>
    <w:basedOn w:val="DefaultParagraphFont"/>
    <w:uiPriority w:val="21"/>
    <w:qFormat/>
    <w:rsid w:val="000F326D"/>
    <w:rPr>
      <w:b/>
      <w:bCs/>
      <w:i/>
      <w:iCs/>
    </w:rPr>
  </w:style>
  <w:style w:type="character" w:styleId="SubtleReference">
    <w:name w:val="Subtle Reference"/>
    <w:basedOn w:val="DefaultParagraphFont"/>
    <w:uiPriority w:val="31"/>
    <w:qFormat/>
    <w:rsid w:val="000F326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F326D"/>
    <w:rPr>
      <w:b/>
      <w:bCs/>
      <w:smallCaps/>
      <w:spacing w:val="5"/>
      <w:u w:val="single"/>
    </w:rPr>
  </w:style>
  <w:style w:type="character" w:styleId="BookTitle">
    <w:name w:val="Book Title"/>
    <w:basedOn w:val="DefaultParagraphFont"/>
    <w:uiPriority w:val="33"/>
    <w:qFormat/>
    <w:rsid w:val="000F326D"/>
    <w:rPr>
      <w:b/>
      <w:bCs/>
      <w:smallCaps/>
    </w:rPr>
  </w:style>
  <w:style w:type="character" w:styleId="FollowedHyperlink">
    <w:name w:val="FollowedHyperlink"/>
    <w:basedOn w:val="DefaultParagraphFont"/>
    <w:uiPriority w:val="99"/>
    <w:semiHidden/>
    <w:unhideWhenUsed/>
    <w:rsid w:val="003A12BF"/>
    <w:rPr>
      <w:color w:val="954F72"/>
      <w:u w:val="single"/>
    </w:rPr>
  </w:style>
  <w:style w:type="paragraph" w:customStyle="1" w:styleId="msonormal0">
    <w:name w:val="msonormal"/>
    <w:basedOn w:val="Normal"/>
    <w:rsid w:val="003A12B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B4592F"/>
    <w:pPr>
      <w:spacing w:before="100" w:beforeAutospacing="1" w:after="100" w:afterAutospacing="1" w:line="240" w:lineRule="auto"/>
    </w:pPr>
    <w:rPr>
      <w:rFonts w:ascii="Calibri" w:eastAsiaTheme="minorHAnsi" w:hAnsi="Calibri" w:cs="Calibri"/>
      <w:lang w:eastAsia="en-AU"/>
    </w:rPr>
  </w:style>
  <w:style w:type="character" w:customStyle="1" w:styleId="normaltextrun">
    <w:name w:val="normaltextrun"/>
    <w:basedOn w:val="DefaultParagraphFont"/>
    <w:rsid w:val="00B4592F"/>
  </w:style>
  <w:style w:type="character" w:customStyle="1" w:styleId="hgkelc">
    <w:name w:val="hgkelc"/>
    <w:basedOn w:val="DefaultParagraphFont"/>
    <w:rsid w:val="00783779"/>
  </w:style>
  <w:style w:type="character" w:customStyle="1" w:styleId="scxw255232883">
    <w:name w:val="scxw255232883"/>
    <w:basedOn w:val="DefaultParagraphFont"/>
    <w:rsid w:val="00751F16"/>
  </w:style>
  <w:style w:type="character" w:customStyle="1" w:styleId="eop">
    <w:name w:val="eop"/>
    <w:basedOn w:val="DefaultParagraphFont"/>
    <w:rsid w:val="00751F16"/>
  </w:style>
  <w:style w:type="character" w:customStyle="1" w:styleId="normaltextrun1">
    <w:name w:val="normaltextrun1"/>
    <w:basedOn w:val="DefaultParagraphFont"/>
    <w:rsid w:val="00F573DC"/>
  </w:style>
  <w:style w:type="character" w:customStyle="1" w:styleId="A1">
    <w:name w:val="A1"/>
    <w:uiPriority w:val="99"/>
    <w:rsid w:val="00227B38"/>
    <w:rPr>
      <w:rFonts w:cs="DIN Next LT Pro Light"/>
      <w:color w:val="000000"/>
      <w:sz w:val="28"/>
      <w:szCs w:val="28"/>
    </w:rPr>
  </w:style>
  <w:style w:type="character" w:customStyle="1" w:styleId="Italics">
    <w:name w:val="Italics"/>
    <w:rsid w:val="00FB5267"/>
    <w:rPr>
      <w:i/>
    </w:rPr>
  </w:style>
  <w:style w:type="paragraph" w:customStyle="1" w:styleId="Pa24">
    <w:name w:val="Pa24"/>
    <w:basedOn w:val="Default"/>
    <w:next w:val="Default"/>
    <w:uiPriority w:val="99"/>
    <w:rsid w:val="00561922"/>
    <w:pPr>
      <w:spacing w:after="0" w:line="261" w:lineRule="atLeast"/>
    </w:pPr>
    <w:rPr>
      <w:rFonts w:cstheme="minorBidi"/>
      <w:color w:val="auto"/>
    </w:rPr>
  </w:style>
  <w:style w:type="character" w:styleId="UnresolvedMention">
    <w:name w:val="Unresolved Mention"/>
    <w:basedOn w:val="DefaultParagraphFont"/>
    <w:uiPriority w:val="99"/>
    <w:unhideWhenUsed/>
    <w:rsid w:val="008E0D68"/>
    <w:rPr>
      <w:color w:val="605E5C"/>
      <w:shd w:val="clear" w:color="auto" w:fill="E1DFDD"/>
    </w:rPr>
  </w:style>
  <w:style w:type="paragraph" w:customStyle="1" w:styleId="Pa7">
    <w:name w:val="Pa7"/>
    <w:basedOn w:val="Default"/>
    <w:next w:val="Default"/>
    <w:uiPriority w:val="99"/>
    <w:rsid w:val="00DF716C"/>
    <w:pPr>
      <w:spacing w:after="0" w:line="261" w:lineRule="atLeast"/>
    </w:pPr>
    <w:rPr>
      <w:rFonts w:cstheme="minorBidi"/>
      <w:color w:val="auto"/>
    </w:rPr>
  </w:style>
  <w:style w:type="character" w:customStyle="1" w:styleId="A9">
    <w:name w:val="A9"/>
    <w:uiPriority w:val="99"/>
    <w:rsid w:val="007F75F5"/>
    <w:rPr>
      <w:rFonts w:ascii="DIN Next LT Pro Medium" w:hAnsi="DIN Next LT Pro Medium" w:cs="DIN Next LT Pro Medium"/>
      <w:b/>
      <w:bCs/>
      <w:color w:val="82C340"/>
      <w:sz w:val="17"/>
      <w:szCs w:val="17"/>
    </w:rPr>
  </w:style>
  <w:style w:type="paragraph" w:customStyle="1" w:styleId="Intro">
    <w:name w:val="Intro"/>
    <w:basedOn w:val="Normal"/>
    <w:link w:val="IntroChar"/>
    <w:qFormat/>
    <w:rsid w:val="007A0720"/>
    <w:rPr>
      <w:sz w:val="24"/>
      <w:szCs w:val="24"/>
    </w:rPr>
  </w:style>
  <w:style w:type="character" w:customStyle="1" w:styleId="IntroChar">
    <w:name w:val="Intro Char"/>
    <w:basedOn w:val="DefaultParagraphFont"/>
    <w:link w:val="Intro"/>
    <w:rsid w:val="007A0720"/>
    <w:rPr>
      <w:sz w:val="24"/>
      <w:szCs w:val="24"/>
    </w:rPr>
  </w:style>
  <w:style w:type="paragraph" w:customStyle="1" w:styleId="Tablenote">
    <w:name w:val="Table note"/>
    <w:basedOn w:val="Normal"/>
    <w:link w:val="TablenoteChar"/>
    <w:qFormat/>
    <w:rsid w:val="006E31EC"/>
    <w:rPr>
      <w:sz w:val="20"/>
      <w:szCs w:val="20"/>
    </w:rPr>
  </w:style>
  <w:style w:type="character" w:customStyle="1" w:styleId="TablenoteChar">
    <w:name w:val="Table note Char"/>
    <w:basedOn w:val="DefaultParagraphFont"/>
    <w:link w:val="Tablenote"/>
    <w:rsid w:val="006E31EC"/>
  </w:style>
  <w:style w:type="paragraph" w:customStyle="1" w:styleId="numbercolour">
    <w:name w:val="number colour"/>
    <w:basedOn w:val="ListNumber"/>
    <w:link w:val="numbercolourChar"/>
    <w:qFormat/>
    <w:rsid w:val="00DD2B9C"/>
    <w:rPr>
      <w:color w:val="41631F" w:themeColor="background1" w:themeShade="80"/>
    </w:rPr>
  </w:style>
  <w:style w:type="paragraph" w:customStyle="1" w:styleId="PullOutBoxBodyText">
    <w:name w:val="Pull Out Box Body Text"/>
    <w:basedOn w:val="Normal"/>
    <w:qFormat/>
    <w:rsid w:val="00F059DE"/>
    <w:pPr>
      <w:spacing w:before="120" w:line="240" w:lineRule="atLeast"/>
      <w:ind w:left="142" w:right="142"/>
    </w:pPr>
    <w:rPr>
      <w:rFonts w:eastAsia="Times New Roman" w:cs="Arial"/>
      <w:color w:val="000000" w:themeColor="text1"/>
      <w:sz w:val="20"/>
      <w:szCs w:val="20"/>
      <w:lang w:eastAsia="en-AU"/>
    </w:rPr>
  </w:style>
  <w:style w:type="character" w:customStyle="1" w:styleId="ListNumberChar">
    <w:name w:val="List Number Char"/>
    <w:basedOn w:val="DefaultParagraphFont"/>
    <w:link w:val="ListNumber"/>
    <w:rsid w:val="00DD2B9C"/>
    <w:rPr>
      <w:sz w:val="22"/>
      <w:szCs w:val="22"/>
    </w:rPr>
  </w:style>
  <w:style w:type="character" w:customStyle="1" w:styleId="numbercolourChar">
    <w:name w:val="number colour Char"/>
    <w:basedOn w:val="ListNumberChar"/>
    <w:link w:val="numbercolour"/>
    <w:rsid w:val="00DD2B9C"/>
    <w:rPr>
      <w:color w:val="41631F" w:themeColor="background1" w:themeShade="80"/>
      <w:sz w:val="22"/>
      <w:szCs w:val="22"/>
    </w:rPr>
  </w:style>
  <w:style w:type="table" w:customStyle="1" w:styleId="PullOutBoxTable">
    <w:name w:val="Pull Out Box Table"/>
    <w:basedOn w:val="TableNormal"/>
    <w:uiPriority w:val="99"/>
    <w:rsid w:val="00F059DE"/>
    <w:pPr>
      <w:spacing w:after="0" w:line="240" w:lineRule="auto"/>
    </w:pPr>
    <w:rPr>
      <w:rFonts w:eastAsia="Times New Roman" w:cs="Arial"/>
      <w:color w:val="000000" w:themeColor="text1"/>
      <w:lang w:eastAsia="en-AU"/>
    </w:rPr>
    <w:tblPr>
      <w:tblBorders>
        <w:top w:val="single" w:sz="4" w:space="0" w:color="BCBEC0" w:themeColor="text2"/>
        <w:left w:val="single" w:sz="4" w:space="0" w:color="BCBEC0" w:themeColor="text2"/>
        <w:bottom w:val="single" w:sz="4" w:space="0" w:color="BCBEC0" w:themeColor="text2"/>
        <w:right w:val="single" w:sz="4" w:space="0" w:color="BCBEC0" w:themeColor="text2"/>
      </w:tblBorders>
      <w:tblCellMar>
        <w:top w:w="85" w:type="dxa"/>
        <w:left w:w="0" w:type="dxa"/>
        <w:bottom w:w="85" w:type="dxa"/>
        <w:right w:w="0" w:type="dxa"/>
      </w:tblCellMar>
    </w:tblPr>
    <w:tcPr>
      <w:shd w:val="clear" w:color="auto" w:fill="auto"/>
    </w:tcPr>
  </w:style>
  <w:style w:type="paragraph" w:customStyle="1" w:styleId="Pa22">
    <w:name w:val="Pa22"/>
    <w:basedOn w:val="Default"/>
    <w:next w:val="Default"/>
    <w:uiPriority w:val="99"/>
    <w:rsid w:val="004E5647"/>
    <w:pPr>
      <w:spacing w:after="0" w:line="151" w:lineRule="atLeast"/>
    </w:pPr>
    <w:rPr>
      <w:rFonts w:ascii="DIN Next LT Pro Light" w:hAnsi="DIN Next LT Pro Light" w:cstheme="minorBidi"/>
      <w:color w:val="auto"/>
    </w:rPr>
  </w:style>
  <w:style w:type="paragraph" w:customStyle="1" w:styleId="Pa0">
    <w:name w:val="Pa0"/>
    <w:basedOn w:val="Default"/>
    <w:next w:val="Default"/>
    <w:uiPriority w:val="99"/>
    <w:rsid w:val="004E5647"/>
    <w:pPr>
      <w:spacing w:after="0" w:line="171" w:lineRule="atLeast"/>
    </w:pPr>
    <w:rPr>
      <w:rFonts w:ascii="DIN Next LT Pro Light" w:hAnsi="DIN Next LT Pro Light" w:cstheme="minorBidi"/>
      <w:color w:val="auto"/>
    </w:rPr>
  </w:style>
  <w:style w:type="paragraph" w:customStyle="1" w:styleId="tableright">
    <w:name w:val="table right"/>
    <w:basedOn w:val="Tabletext0"/>
    <w:link w:val="tablerightChar"/>
    <w:qFormat/>
    <w:rsid w:val="00110DB9"/>
    <w:pPr>
      <w:jc w:val="right"/>
    </w:pPr>
  </w:style>
  <w:style w:type="character" w:customStyle="1" w:styleId="tablerightChar">
    <w:name w:val="table right Char"/>
    <w:basedOn w:val="TabletextChar"/>
    <w:link w:val="tableright"/>
    <w:rsid w:val="00110DB9"/>
    <w:rPr>
      <w:rFonts w:ascii="Arial" w:hAnsi="Arial" w:cs="Arial"/>
      <w:sz w:val="19"/>
      <w:szCs w:val="19"/>
      <w:lang w:eastAsia="en-AU"/>
    </w:rPr>
  </w:style>
  <w:style w:type="paragraph" w:customStyle="1" w:styleId="Pa20">
    <w:name w:val="Pa20"/>
    <w:basedOn w:val="Default"/>
    <w:next w:val="Default"/>
    <w:uiPriority w:val="99"/>
    <w:rsid w:val="00B921F5"/>
    <w:pPr>
      <w:spacing w:after="0" w:line="171" w:lineRule="atLeast"/>
    </w:pPr>
    <w:rPr>
      <w:rFonts w:ascii="DIN Next LT Pro Medium" w:hAnsi="DIN Next LT Pro Medium" w:cstheme="minorBidi"/>
      <w:color w:val="auto"/>
    </w:rPr>
  </w:style>
  <w:style w:type="paragraph" w:customStyle="1" w:styleId="Pa26">
    <w:name w:val="Pa26"/>
    <w:basedOn w:val="Default"/>
    <w:next w:val="Default"/>
    <w:uiPriority w:val="99"/>
    <w:rsid w:val="00B921F5"/>
    <w:pPr>
      <w:spacing w:after="0" w:line="171" w:lineRule="atLeast"/>
    </w:pPr>
    <w:rPr>
      <w:rFonts w:ascii="DIN Next LT Pro Medium" w:hAnsi="DIN Next LT Pro Medium" w:cstheme="minorBidi"/>
      <w:color w:val="auto"/>
    </w:rPr>
  </w:style>
  <w:style w:type="paragraph" w:customStyle="1" w:styleId="Pa27">
    <w:name w:val="Pa27"/>
    <w:basedOn w:val="Default"/>
    <w:next w:val="Default"/>
    <w:uiPriority w:val="99"/>
    <w:rsid w:val="00B921F5"/>
    <w:pPr>
      <w:spacing w:after="0" w:line="171" w:lineRule="atLeast"/>
    </w:pPr>
    <w:rPr>
      <w:rFonts w:ascii="DIN Next LT Pro Medium" w:hAnsi="DIN Next LT Pro Medium" w:cstheme="minorBidi"/>
      <w:color w:val="auto"/>
    </w:rPr>
  </w:style>
  <w:style w:type="paragraph" w:customStyle="1" w:styleId="tableheadright">
    <w:name w:val="table head right"/>
    <w:basedOn w:val="TableHeading"/>
    <w:link w:val="tableheadrightChar"/>
    <w:qFormat/>
    <w:rsid w:val="00FE1ED7"/>
    <w:pPr>
      <w:jc w:val="right"/>
    </w:pPr>
  </w:style>
  <w:style w:type="character" w:customStyle="1" w:styleId="A3">
    <w:name w:val="A3"/>
    <w:uiPriority w:val="99"/>
    <w:rsid w:val="00225FF8"/>
    <w:rPr>
      <w:rFonts w:cs="DIN Next LT Pro"/>
      <w:b/>
      <w:bCs/>
      <w:color w:val="82C340"/>
      <w:sz w:val="36"/>
      <w:szCs w:val="36"/>
    </w:rPr>
  </w:style>
  <w:style w:type="character" w:customStyle="1" w:styleId="TableHeadingChar">
    <w:name w:val="Table Heading Char"/>
    <w:basedOn w:val="DefaultParagraphFont"/>
    <w:link w:val="TableHeading"/>
    <w:rsid w:val="00FE1ED7"/>
    <w:rPr>
      <w:rFonts w:asciiTheme="majorHAnsi" w:hAnsiTheme="majorHAnsi"/>
      <w:b/>
      <w:bCs/>
      <w:color w:val="000000" w:themeColor="accent2"/>
      <w:sz w:val="22"/>
      <w:szCs w:val="22"/>
      <w:lang w:eastAsia="en-AU"/>
    </w:rPr>
  </w:style>
  <w:style w:type="character" w:customStyle="1" w:styleId="tableheadrightChar">
    <w:name w:val="table head right Char"/>
    <w:basedOn w:val="TableHeadingChar"/>
    <w:link w:val="tableheadright"/>
    <w:rsid w:val="00FE1ED7"/>
    <w:rPr>
      <w:rFonts w:asciiTheme="majorHAnsi" w:hAnsiTheme="majorHAnsi"/>
      <w:b/>
      <w:bCs/>
      <w:color w:val="000000" w:themeColor="accent2"/>
      <w:sz w:val="22"/>
      <w:szCs w:val="22"/>
      <w:lang w:eastAsia="en-AU"/>
    </w:rPr>
  </w:style>
  <w:style w:type="paragraph" w:customStyle="1" w:styleId="Header3outcome">
    <w:name w:val="Header 3 outcome"/>
    <w:basedOn w:val="Heading3"/>
    <w:link w:val="Header3outcomeChar"/>
    <w:qFormat/>
    <w:rsid w:val="00B30771"/>
    <w:pPr>
      <w:pBdr>
        <w:top w:val="single" w:sz="4" w:space="1" w:color="auto"/>
        <w:bottom w:val="single" w:sz="4" w:space="1" w:color="auto"/>
      </w:pBdr>
      <w:spacing w:after="120"/>
    </w:pPr>
    <w:rPr>
      <w:sz w:val="36"/>
      <w:szCs w:val="36"/>
    </w:rPr>
  </w:style>
  <w:style w:type="character" w:customStyle="1" w:styleId="acopre">
    <w:name w:val="acopre"/>
    <w:basedOn w:val="DefaultParagraphFont"/>
    <w:rsid w:val="0075013C"/>
  </w:style>
  <w:style w:type="character" w:customStyle="1" w:styleId="Header3outcomeChar">
    <w:name w:val="Header 3 outcome Char"/>
    <w:basedOn w:val="Heading3Char"/>
    <w:link w:val="Header3outcome"/>
    <w:rsid w:val="00B30771"/>
    <w:rPr>
      <w:rFonts w:asciiTheme="majorHAnsi" w:eastAsiaTheme="majorEastAsia" w:hAnsiTheme="majorHAnsi" w:cstheme="majorBidi"/>
      <w:color w:val="595959" w:themeColor="accent2" w:themeTint="A6"/>
      <w:sz w:val="36"/>
      <w:szCs w:val="36"/>
    </w:rPr>
  </w:style>
  <w:style w:type="character" w:styleId="Mention">
    <w:name w:val="Mention"/>
    <w:basedOn w:val="DefaultParagraphFont"/>
    <w:uiPriority w:val="99"/>
    <w:unhideWhenUsed/>
    <w:rsid w:val="009B7D1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63794">
      <w:bodyDiv w:val="1"/>
      <w:marLeft w:val="0"/>
      <w:marRight w:val="0"/>
      <w:marTop w:val="0"/>
      <w:marBottom w:val="0"/>
      <w:divBdr>
        <w:top w:val="none" w:sz="0" w:space="0" w:color="auto"/>
        <w:left w:val="none" w:sz="0" w:space="0" w:color="auto"/>
        <w:bottom w:val="none" w:sz="0" w:space="0" w:color="auto"/>
        <w:right w:val="none" w:sz="0" w:space="0" w:color="auto"/>
      </w:divBdr>
    </w:div>
    <w:div w:id="43602598">
      <w:bodyDiv w:val="1"/>
      <w:marLeft w:val="0"/>
      <w:marRight w:val="0"/>
      <w:marTop w:val="0"/>
      <w:marBottom w:val="0"/>
      <w:divBdr>
        <w:top w:val="none" w:sz="0" w:space="0" w:color="auto"/>
        <w:left w:val="none" w:sz="0" w:space="0" w:color="auto"/>
        <w:bottom w:val="none" w:sz="0" w:space="0" w:color="auto"/>
        <w:right w:val="none" w:sz="0" w:space="0" w:color="auto"/>
      </w:divBdr>
    </w:div>
    <w:div w:id="45645485">
      <w:bodyDiv w:val="1"/>
      <w:marLeft w:val="0"/>
      <w:marRight w:val="0"/>
      <w:marTop w:val="0"/>
      <w:marBottom w:val="0"/>
      <w:divBdr>
        <w:top w:val="none" w:sz="0" w:space="0" w:color="auto"/>
        <w:left w:val="none" w:sz="0" w:space="0" w:color="auto"/>
        <w:bottom w:val="none" w:sz="0" w:space="0" w:color="auto"/>
        <w:right w:val="none" w:sz="0" w:space="0" w:color="auto"/>
      </w:divBdr>
    </w:div>
    <w:div w:id="53624429">
      <w:bodyDiv w:val="1"/>
      <w:marLeft w:val="0"/>
      <w:marRight w:val="0"/>
      <w:marTop w:val="0"/>
      <w:marBottom w:val="0"/>
      <w:divBdr>
        <w:top w:val="none" w:sz="0" w:space="0" w:color="auto"/>
        <w:left w:val="none" w:sz="0" w:space="0" w:color="auto"/>
        <w:bottom w:val="none" w:sz="0" w:space="0" w:color="auto"/>
        <w:right w:val="none" w:sz="0" w:space="0" w:color="auto"/>
      </w:divBdr>
      <w:divsChild>
        <w:div w:id="440031368">
          <w:marLeft w:val="0"/>
          <w:marRight w:val="0"/>
          <w:marTop w:val="0"/>
          <w:marBottom w:val="0"/>
          <w:divBdr>
            <w:top w:val="none" w:sz="0" w:space="0" w:color="auto"/>
            <w:left w:val="none" w:sz="0" w:space="0" w:color="auto"/>
            <w:bottom w:val="none" w:sz="0" w:space="0" w:color="auto"/>
            <w:right w:val="none" w:sz="0" w:space="0" w:color="auto"/>
          </w:divBdr>
          <w:divsChild>
            <w:div w:id="1952126181">
              <w:marLeft w:val="0"/>
              <w:marRight w:val="0"/>
              <w:marTop w:val="0"/>
              <w:marBottom w:val="0"/>
              <w:divBdr>
                <w:top w:val="none" w:sz="0" w:space="0" w:color="auto"/>
                <w:left w:val="none" w:sz="0" w:space="0" w:color="auto"/>
                <w:bottom w:val="none" w:sz="0" w:space="0" w:color="auto"/>
                <w:right w:val="none" w:sz="0" w:space="0" w:color="auto"/>
              </w:divBdr>
              <w:divsChild>
                <w:div w:id="185946504">
                  <w:marLeft w:val="0"/>
                  <w:marRight w:val="0"/>
                  <w:marTop w:val="0"/>
                  <w:marBottom w:val="0"/>
                  <w:divBdr>
                    <w:top w:val="none" w:sz="0" w:space="0" w:color="auto"/>
                    <w:left w:val="none" w:sz="0" w:space="0" w:color="auto"/>
                    <w:bottom w:val="none" w:sz="0" w:space="0" w:color="auto"/>
                    <w:right w:val="none" w:sz="0" w:space="0" w:color="auto"/>
                  </w:divBdr>
                  <w:divsChild>
                    <w:div w:id="1056011973">
                      <w:marLeft w:val="0"/>
                      <w:marRight w:val="0"/>
                      <w:marTop w:val="0"/>
                      <w:marBottom w:val="0"/>
                      <w:divBdr>
                        <w:top w:val="none" w:sz="0" w:space="0" w:color="auto"/>
                        <w:left w:val="none" w:sz="0" w:space="0" w:color="auto"/>
                        <w:bottom w:val="none" w:sz="0" w:space="0" w:color="auto"/>
                        <w:right w:val="none" w:sz="0" w:space="0" w:color="auto"/>
                      </w:divBdr>
                      <w:divsChild>
                        <w:div w:id="1381707367">
                          <w:marLeft w:val="0"/>
                          <w:marRight w:val="0"/>
                          <w:marTop w:val="0"/>
                          <w:marBottom w:val="480"/>
                          <w:divBdr>
                            <w:top w:val="none" w:sz="0" w:space="0" w:color="auto"/>
                            <w:left w:val="none" w:sz="0" w:space="0" w:color="auto"/>
                            <w:bottom w:val="none" w:sz="0" w:space="0" w:color="auto"/>
                            <w:right w:val="none" w:sz="0" w:space="0" w:color="auto"/>
                          </w:divBdr>
                          <w:divsChild>
                            <w:div w:id="200015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43790">
      <w:bodyDiv w:val="1"/>
      <w:marLeft w:val="0"/>
      <w:marRight w:val="0"/>
      <w:marTop w:val="0"/>
      <w:marBottom w:val="0"/>
      <w:divBdr>
        <w:top w:val="none" w:sz="0" w:space="0" w:color="auto"/>
        <w:left w:val="none" w:sz="0" w:space="0" w:color="auto"/>
        <w:bottom w:val="none" w:sz="0" w:space="0" w:color="auto"/>
        <w:right w:val="none" w:sz="0" w:space="0" w:color="auto"/>
      </w:divBdr>
    </w:div>
    <w:div w:id="64686976">
      <w:bodyDiv w:val="1"/>
      <w:marLeft w:val="0"/>
      <w:marRight w:val="0"/>
      <w:marTop w:val="0"/>
      <w:marBottom w:val="0"/>
      <w:divBdr>
        <w:top w:val="none" w:sz="0" w:space="0" w:color="auto"/>
        <w:left w:val="none" w:sz="0" w:space="0" w:color="auto"/>
        <w:bottom w:val="none" w:sz="0" w:space="0" w:color="auto"/>
        <w:right w:val="none" w:sz="0" w:space="0" w:color="auto"/>
      </w:divBdr>
    </w:div>
    <w:div w:id="143356081">
      <w:bodyDiv w:val="1"/>
      <w:marLeft w:val="0"/>
      <w:marRight w:val="0"/>
      <w:marTop w:val="0"/>
      <w:marBottom w:val="0"/>
      <w:divBdr>
        <w:top w:val="none" w:sz="0" w:space="0" w:color="auto"/>
        <w:left w:val="none" w:sz="0" w:space="0" w:color="auto"/>
        <w:bottom w:val="none" w:sz="0" w:space="0" w:color="auto"/>
        <w:right w:val="none" w:sz="0" w:space="0" w:color="auto"/>
      </w:divBdr>
    </w:div>
    <w:div w:id="148984433">
      <w:bodyDiv w:val="1"/>
      <w:marLeft w:val="0"/>
      <w:marRight w:val="0"/>
      <w:marTop w:val="0"/>
      <w:marBottom w:val="0"/>
      <w:divBdr>
        <w:top w:val="none" w:sz="0" w:space="0" w:color="auto"/>
        <w:left w:val="none" w:sz="0" w:space="0" w:color="auto"/>
        <w:bottom w:val="none" w:sz="0" w:space="0" w:color="auto"/>
        <w:right w:val="none" w:sz="0" w:space="0" w:color="auto"/>
      </w:divBdr>
    </w:div>
    <w:div w:id="204486925">
      <w:bodyDiv w:val="1"/>
      <w:marLeft w:val="0"/>
      <w:marRight w:val="0"/>
      <w:marTop w:val="0"/>
      <w:marBottom w:val="0"/>
      <w:divBdr>
        <w:top w:val="none" w:sz="0" w:space="0" w:color="auto"/>
        <w:left w:val="none" w:sz="0" w:space="0" w:color="auto"/>
        <w:bottom w:val="none" w:sz="0" w:space="0" w:color="auto"/>
        <w:right w:val="none" w:sz="0" w:space="0" w:color="auto"/>
      </w:divBdr>
    </w:div>
    <w:div w:id="320549980">
      <w:bodyDiv w:val="1"/>
      <w:marLeft w:val="0"/>
      <w:marRight w:val="0"/>
      <w:marTop w:val="0"/>
      <w:marBottom w:val="0"/>
      <w:divBdr>
        <w:top w:val="none" w:sz="0" w:space="0" w:color="auto"/>
        <w:left w:val="none" w:sz="0" w:space="0" w:color="auto"/>
        <w:bottom w:val="none" w:sz="0" w:space="0" w:color="auto"/>
        <w:right w:val="none" w:sz="0" w:space="0" w:color="auto"/>
      </w:divBdr>
    </w:div>
    <w:div w:id="350836115">
      <w:bodyDiv w:val="1"/>
      <w:marLeft w:val="0"/>
      <w:marRight w:val="0"/>
      <w:marTop w:val="0"/>
      <w:marBottom w:val="0"/>
      <w:divBdr>
        <w:top w:val="none" w:sz="0" w:space="0" w:color="auto"/>
        <w:left w:val="none" w:sz="0" w:space="0" w:color="auto"/>
        <w:bottom w:val="none" w:sz="0" w:space="0" w:color="auto"/>
        <w:right w:val="none" w:sz="0" w:space="0" w:color="auto"/>
      </w:divBdr>
    </w:div>
    <w:div w:id="387991991">
      <w:bodyDiv w:val="1"/>
      <w:marLeft w:val="0"/>
      <w:marRight w:val="0"/>
      <w:marTop w:val="0"/>
      <w:marBottom w:val="0"/>
      <w:divBdr>
        <w:top w:val="none" w:sz="0" w:space="0" w:color="auto"/>
        <w:left w:val="none" w:sz="0" w:space="0" w:color="auto"/>
        <w:bottom w:val="none" w:sz="0" w:space="0" w:color="auto"/>
        <w:right w:val="none" w:sz="0" w:space="0" w:color="auto"/>
      </w:divBdr>
    </w:div>
    <w:div w:id="396127363">
      <w:bodyDiv w:val="1"/>
      <w:marLeft w:val="0"/>
      <w:marRight w:val="0"/>
      <w:marTop w:val="0"/>
      <w:marBottom w:val="0"/>
      <w:divBdr>
        <w:top w:val="none" w:sz="0" w:space="0" w:color="auto"/>
        <w:left w:val="none" w:sz="0" w:space="0" w:color="auto"/>
        <w:bottom w:val="none" w:sz="0" w:space="0" w:color="auto"/>
        <w:right w:val="none" w:sz="0" w:space="0" w:color="auto"/>
      </w:divBdr>
    </w:div>
    <w:div w:id="448353007">
      <w:bodyDiv w:val="1"/>
      <w:marLeft w:val="0"/>
      <w:marRight w:val="0"/>
      <w:marTop w:val="0"/>
      <w:marBottom w:val="0"/>
      <w:divBdr>
        <w:top w:val="none" w:sz="0" w:space="0" w:color="auto"/>
        <w:left w:val="none" w:sz="0" w:space="0" w:color="auto"/>
        <w:bottom w:val="none" w:sz="0" w:space="0" w:color="auto"/>
        <w:right w:val="none" w:sz="0" w:space="0" w:color="auto"/>
      </w:divBdr>
    </w:div>
    <w:div w:id="490290335">
      <w:bodyDiv w:val="1"/>
      <w:marLeft w:val="0"/>
      <w:marRight w:val="0"/>
      <w:marTop w:val="0"/>
      <w:marBottom w:val="0"/>
      <w:divBdr>
        <w:top w:val="none" w:sz="0" w:space="0" w:color="auto"/>
        <w:left w:val="none" w:sz="0" w:space="0" w:color="auto"/>
        <w:bottom w:val="none" w:sz="0" w:space="0" w:color="auto"/>
        <w:right w:val="none" w:sz="0" w:space="0" w:color="auto"/>
      </w:divBdr>
    </w:div>
    <w:div w:id="549923313">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317971">
      <w:bodyDiv w:val="1"/>
      <w:marLeft w:val="0"/>
      <w:marRight w:val="0"/>
      <w:marTop w:val="0"/>
      <w:marBottom w:val="0"/>
      <w:divBdr>
        <w:top w:val="none" w:sz="0" w:space="0" w:color="auto"/>
        <w:left w:val="none" w:sz="0" w:space="0" w:color="auto"/>
        <w:bottom w:val="none" w:sz="0" w:space="0" w:color="auto"/>
        <w:right w:val="none" w:sz="0" w:space="0" w:color="auto"/>
      </w:divBdr>
    </w:div>
    <w:div w:id="564487884">
      <w:bodyDiv w:val="1"/>
      <w:marLeft w:val="0"/>
      <w:marRight w:val="0"/>
      <w:marTop w:val="0"/>
      <w:marBottom w:val="0"/>
      <w:divBdr>
        <w:top w:val="none" w:sz="0" w:space="0" w:color="auto"/>
        <w:left w:val="none" w:sz="0" w:space="0" w:color="auto"/>
        <w:bottom w:val="none" w:sz="0" w:space="0" w:color="auto"/>
        <w:right w:val="none" w:sz="0" w:space="0" w:color="auto"/>
      </w:divBdr>
    </w:div>
    <w:div w:id="580481853">
      <w:bodyDiv w:val="1"/>
      <w:marLeft w:val="0"/>
      <w:marRight w:val="0"/>
      <w:marTop w:val="0"/>
      <w:marBottom w:val="0"/>
      <w:divBdr>
        <w:top w:val="none" w:sz="0" w:space="0" w:color="auto"/>
        <w:left w:val="none" w:sz="0" w:space="0" w:color="auto"/>
        <w:bottom w:val="none" w:sz="0" w:space="0" w:color="auto"/>
        <w:right w:val="none" w:sz="0" w:space="0" w:color="auto"/>
      </w:divBdr>
    </w:div>
    <w:div w:id="593320992">
      <w:bodyDiv w:val="1"/>
      <w:marLeft w:val="0"/>
      <w:marRight w:val="0"/>
      <w:marTop w:val="0"/>
      <w:marBottom w:val="0"/>
      <w:divBdr>
        <w:top w:val="none" w:sz="0" w:space="0" w:color="auto"/>
        <w:left w:val="none" w:sz="0" w:space="0" w:color="auto"/>
        <w:bottom w:val="none" w:sz="0" w:space="0" w:color="auto"/>
        <w:right w:val="none" w:sz="0" w:space="0" w:color="auto"/>
      </w:divBdr>
    </w:div>
    <w:div w:id="607155433">
      <w:bodyDiv w:val="1"/>
      <w:marLeft w:val="0"/>
      <w:marRight w:val="0"/>
      <w:marTop w:val="0"/>
      <w:marBottom w:val="0"/>
      <w:divBdr>
        <w:top w:val="none" w:sz="0" w:space="0" w:color="auto"/>
        <w:left w:val="none" w:sz="0" w:space="0" w:color="auto"/>
        <w:bottom w:val="none" w:sz="0" w:space="0" w:color="auto"/>
        <w:right w:val="none" w:sz="0" w:space="0" w:color="auto"/>
      </w:divBdr>
    </w:div>
    <w:div w:id="633213105">
      <w:bodyDiv w:val="1"/>
      <w:marLeft w:val="0"/>
      <w:marRight w:val="0"/>
      <w:marTop w:val="0"/>
      <w:marBottom w:val="0"/>
      <w:divBdr>
        <w:top w:val="none" w:sz="0" w:space="0" w:color="auto"/>
        <w:left w:val="none" w:sz="0" w:space="0" w:color="auto"/>
        <w:bottom w:val="none" w:sz="0" w:space="0" w:color="auto"/>
        <w:right w:val="none" w:sz="0" w:space="0" w:color="auto"/>
      </w:divBdr>
    </w:div>
    <w:div w:id="641621368">
      <w:bodyDiv w:val="1"/>
      <w:marLeft w:val="0"/>
      <w:marRight w:val="0"/>
      <w:marTop w:val="0"/>
      <w:marBottom w:val="0"/>
      <w:divBdr>
        <w:top w:val="none" w:sz="0" w:space="0" w:color="auto"/>
        <w:left w:val="none" w:sz="0" w:space="0" w:color="auto"/>
        <w:bottom w:val="none" w:sz="0" w:space="0" w:color="auto"/>
        <w:right w:val="none" w:sz="0" w:space="0" w:color="auto"/>
      </w:divBdr>
    </w:div>
    <w:div w:id="669215351">
      <w:bodyDiv w:val="1"/>
      <w:marLeft w:val="0"/>
      <w:marRight w:val="0"/>
      <w:marTop w:val="0"/>
      <w:marBottom w:val="0"/>
      <w:divBdr>
        <w:top w:val="none" w:sz="0" w:space="0" w:color="auto"/>
        <w:left w:val="none" w:sz="0" w:space="0" w:color="auto"/>
        <w:bottom w:val="none" w:sz="0" w:space="0" w:color="auto"/>
        <w:right w:val="none" w:sz="0" w:space="0" w:color="auto"/>
      </w:divBdr>
    </w:div>
    <w:div w:id="729353071">
      <w:bodyDiv w:val="1"/>
      <w:marLeft w:val="0"/>
      <w:marRight w:val="0"/>
      <w:marTop w:val="0"/>
      <w:marBottom w:val="0"/>
      <w:divBdr>
        <w:top w:val="none" w:sz="0" w:space="0" w:color="auto"/>
        <w:left w:val="none" w:sz="0" w:space="0" w:color="auto"/>
        <w:bottom w:val="none" w:sz="0" w:space="0" w:color="auto"/>
        <w:right w:val="none" w:sz="0" w:space="0" w:color="auto"/>
      </w:divBdr>
    </w:div>
    <w:div w:id="747728286">
      <w:bodyDiv w:val="1"/>
      <w:marLeft w:val="0"/>
      <w:marRight w:val="0"/>
      <w:marTop w:val="0"/>
      <w:marBottom w:val="0"/>
      <w:divBdr>
        <w:top w:val="none" w:sz="0" w:space="0" w:color="auto"/>
        <w:left w:val="none" w:sz="0" w:space="0" w:color="auto"/>
        <w:bottom w:val="none" w:sz="0" w:space="0" w:color="auto"/>
        <w:right w:val="none" w:sz="0" w:space="0" w:color="auto"/>
      </w:divBdr>
    </w:div>
    <w:div w:id="820736172">
      <w:bodyDiv w:val="1"/>
      <w:marLeft w:val="0"/>
      <w:marRight w:val="0"/>
      <w:marTop w:val="0"/>
      <w:marBottom w:val="0"/>
      <w:divBdr>
        <w:top w:val="none" w:sz="0" w:space="0" w:color="auto"/>
        <w:left w:val="none" w:sz="0" w:space="0" w:color="auto"/>
        <w:bottom w:val="none" w:sz="0" w:space="0" w:color="auto"/>
        <w:right w:val="none" w:sz="0" w:space="0" w:color="auto"/>
      </w:divBdr>
    </w:div>
    <w:div w:id="845941670">
      <w:bodyDiv w:val="1"/>
      <w:marLeft w:val="0"/>
      <w:marRight w:val="0"/>
      <w:marTop w:val="0"/>
      <w:marBottom w:val="0"/>
      <w:divBdr>
        <w:top w:val="none" w:sz="0" w:space="0" w:color="auto"/>
        <w:left w:val="none" w:sz="0" w:space="0" w:color="auto"/>
        <w:bottom w:val="none" w:sz="0" w:space="0" w:color="auto"/>
        <w:right w:val="none" w:sz="0" w:space="0" w:color="auto"/>
      </w:divBdr>
    </w:div>
    <w:div w:id="907226941">
      <w:bodyDiv w:val="1"/>
      <w:marLeft w:val="0"/>
      <w:marRight w:val="0"/>
      <w:marTop w:val="0"/>
      <w:marBottom w:val="0"/>
      <w:divBdr>
        <w:top w:val="none" w:sz="0" w:space="0" w:color="auto"/>
        <w:left w:val="none" w:sz="0" w:space="0" w:color="auto"/>
        <w:bottom w:val="none" w:sz="0" w:space="0" w:color="auto"/>
        <w:right w:val="none" w:sz="0" w:space="0" w:color="auto"/>
      </w:divBdr>
    </w:div>
    <w:div w:id="936448934">
      <w:bodyDiv w:val="1"/>
      <w:marLeft w:val="0"/>
      <w:marRight w:val="0"/>
      <w:marTop w:val="0"/>
      <w:marBottom w:val="0"/>
      <w:divBdr>
        <w:top w:val="none" w:sz="0" w:space="0" w:color="auto"/>
        <w:left w:val="none" w:sz="0" w:space="0" w:color="auto"/>
        <w:bottom w:val="none" w:sz="0" w:space="0" w:color="auto"/>
        <w:right w:val="none" w:sz="0" w:space="0" w:color="auto"/>
      </w:divBdr>
    </w:div>
    <w:div w:id="998650488">
      <w:bodyDiv w:val="1"/>
      <w:marLeft w:val="0"/>
      <w:marRight w:val="0"/>
      <w:marTop w:val="0"/>
      <w:marBottom w:val="0"/>
      <w:divBdr>
        <w:top w:val="none" w:sz="0" w:space="0" w:color="auto"/>
        <w:left w:val="none" w:sz="0" w:space="0" w:color="auto"/>
        <w:bottom w:val="none" w:sz="0" w:space="0" w:color="auto"/>
        <w:right w:val="none" w:sz="0" w:space="0" w:color="auto"/>
      </w:divBdr>
    </w:div>
    <w:div w:id="1025520572">
      <w:bodyDiv w:val="1"/>
      <w:marLeft w:val="0"/>
      <w:marRight w:val="0"/>
      <w:marTop w:val="0"/>
      <w:marBottom w:val="0"/>
      <w:divBdr>
        <w:top w:val="none" w:sz="0" w:space="0" w:color="auto"/>
        <w:left w:val="none" w:sz="0" w:space="0" w:color="auto"/>
        <w:bottom w:val="none" w:sz="0" w:space="0" w:color="auto"/>
        <w:right w:val="none" w:sz="0" w:space="0" w:color="auto"/>
      </w:divBdr>
    </w:div>
    <w:div w:id="1028414150">
      <w:bodyDiv w:val="1"/>
      <w:marLeft w:val="0"/>
      <w:marRight w:val="0"/>
      <w:marTop w:val="0"/>
      <w:marBottom w:val="0"/>
      <w:divBdr>
        <w:top w:val="none" w:sz="0" w:space="0" w:color="auto"/>
        <w:left w:val="none" w:sz="0" w:space="0" w:color="auto"/>
        <w:bottom w:val="none" w:sz="0" w:space="0" w:color="auto"/>
        <w:right w:val="none" w:sz="0" w:space="0" w:color="auto"/>
      </w:divBdr>
    </w:div>
    <w:div w:id="1037969632">
      <w:bodyDiv w:val="1"/>
      <w:marLeft w:val="0"/>
      <w:marRight w:val="0"/>
      <w:marTop w:val="0"/>
      <w:marBottom w:val="0"/>
      <w:divBdr>
        <w:top w:val="none" w:sz="0" w:space="0" w:color="auto"/>
        <w:left w:val="none" w:sz="0" w:space="0" w:color="auto"/>
        <w:bottom w:val="none" w:sz="0" w:space="0" w:color="auto"/>
        <w:right w:val="none" w:sz="0" w:space="0" w:color="auto"/>
      </w:divBdr>
    </w:div>
    <w:div w:id="1047528586">
      <w:bodyDiv w:val="1"/>
      <w:marLeft w:val="0"/>
      <w:marRight w:val="0"/>
      <w:marTop w:val="0"/>
      <w:marBottom w:val="0"/>
      <w:divBdr>
        <w:top w:val="none" w:sz="0" w:space="0" w:color="auto"/>
        <w:left w:val="none" w:sz="0" w:space="0" w:color="auto"/>
        <w:bottom w:val="none" w:sz="0" w:space="0" w:color="auto"/>
        <w:right w:val="none" w:sz="0" w:space="0" w:color="auto"/>
      </w:divBdr>
    </w:div>
    <w:div w:id="1047607405">
      <w:bodyDiv w:val="1"/>
      <w:marLeft w:val="0"/>
      <w:marRight w:val="0"/>
      <w:marTop w:val="0"/>
      <w:marBottom w:val="0"/>
      <w:divBdr>
        <w:top w:val="none" w:sz="0" w:space="0" w:color="auto"/>
        <w:left w:val="none" w:sz="0" w:space="0" w:color="auto"/>
        <w:bottom w:val="none" w:sz="0" w:space="0" w:color="auto"/>
        <w:right w:val="none" w:sz="0" w:space="0" w:color="auto"/>
      </w:divBdr>
    </w:div>
    <w:div w:id="1094325853">
      <w:bodyDiv w:val="1"/>
      <w:marLeft w:val="0"/>
      <w:marRight w:val="0"/>
      <w:marTop w:val="0"/>
      <w:marBottom w:val="0"/>
      <w:divBdr>
        <w:top w:val="none" w:sz="0" w:space="0" w:color="auto"/>
        <w:left w:val="none" w:sz="0" w:space="0" w:color="auto"/>
        <w:bottom w:val="none" w:sz="0" w:space="0" w:color="auto"/>
        <w:right w:val="none" w:sz="0" w:space="0" w:color="auto"/>
      </w:divBdr>
    </w:div>
    <w:div w:id="1123306297">
      <w:bodyDiv w:val="1"/>
      <w:marLeft w:val="0"/>
      <w:marRight w:val="0"/>
      <w:marTop w:val="0"/>
      <w:marBottom w:val="0"/>
      <w:divBdr>
        <w:top w:val="none" w:sz="0" w:space="0" w:color="auto"/>
        <w:left w:val="none" w:sz="0" w:space="0" w:color="auto"/>
        <w:bottom w:val="none" w:sz="0" w:space="0" w:color="auto"/>
        <w:right w:val="none" w:sz="0" w:space="0" w:color="auto"/>
      </w:divBdr>
    </w:div>
    <w:div w:id="1152139078">
      <w:bodyDiv w:val="1"/>
      <w:marLeft w:val="0"/>
      <w:marRight w:val="0"/>
      <w:marTop w:val="0"/>
      <w:marBottom w:val="0"/>
      <w:divBdr>
        <w:top w:val="none" w:sz="0" w:space="0" w:color="auto"/>
        <w:left w:val="none" w:sz="0" w:space="0" w:color="auto"/>
        <w:bottom w:val="none" w:sz="0" w:space="0" w:color="auto"/>
        <w:right w:val="none" w:sz="0" w:space="0" w:color="auto"/>
      </w:divBdr>
    </w:div>
    <w:div w:id="1169906326">
      <w:bodyDiv w:val="1"/>
      <w:marLeft w:val="0"/>
      <w:marRight w:val="0"/>
      <w:marTop w:val="0"/>
      <w:marBottom w:val="0"/>
      <w:divBdr>
        <w:top w:val="none" w:sz="0" w:space="0" w:color="auto"/>
        <w:left w:val="none" w:sz="0" w:space="0" w:color="auto"/>
        <w:bottom w:val="none" w:sz="0" w:space="0" w:color="auto"/>
        <w:right w:val="none" w:sz="0" w:space="0" w:color="auto"/>
      </w:divBdr>
    </w:div>
    <w:div w:id="1193492859">
      <w:bodyDiv w:val="1"/>
      <w:marLeft w:val="0"/>
      <w:marRight w:val="0"/>
      <w:marTop w:val="0"/>
      <w:marBottom w:val="0"/>
      <w:divBdr>
        <w:top w:val="none" w:sz="0" w:space="0" w:color="auto"/>
        <w:left w:val="none" w:sz="0" w:space="0" w:color="auto"/>
        <w:bottom w:val="none" w:sz="0" w:space="0" w:color="auto"/>
        <w:right w:val="none" w:sz="0" w:space="0" w:color="auto"/>
      </w:divBdr>
    </w:div>
    <w:div w:id="1257976564">
      <w:bodyDiv w:val="1"/>
      <w:marLeft w:val="0"/>
      <w:marRight w:val="0"/>
      <w:marTop w:val="0"/>
      <w:marBottom w:val="0"/>
      <w:divBdr>
        <w:top w:val="none" w:sz="0" w:space="0" w:color="auto"/>
        <w:left w:val="none" w:sz="0" w:space="0" w:color="auto"/>
        <w:bottom w:val="none" w:sz="0" w:space="0" w:color="auto"/>
        <w:right w:val="none" w:sz="0" w:space="0" w:color="auto"/>
      </w:divBdr>
    </w:div>
    <w:div w:id="1298490736">
      <w:bodyDiv w:val="1"/>
      <w:marLeft w:val="0"/>
      <w:marRight w:val="0"/>
      <w:marTop w:val="0"/>
      <w:marBottom w:val="0"/>
      <w:divBdr>
        <w:top w:val="none" w:sz="0" w:space="0" w:color="auto"/>
        <w:left w:val="none" w:sz="0" w:space="0" w:color="auto"/>
        <w:bottom w:val="none" w:sz="0" w:space="0" w:color="auto"/>
        <w:right w:val="none" w:sz="0" w:space="0" w:color="auto"/>
      </w:divBdr>
    </w:div>
    <w:div w:id="1304656629">
      <w:bodyDiv w:val="1"/>
      <w:marLeft w:val="0"/>
      <w:marRight w:val="0"/>
      <w:marTop w:val="0"/>
      <w:marBottom w:val="0"/>
      <w:divBdr>
        <w:top w:val="none" w:sz="0" w:space="0" w:color="auto"/>
        <w:left w:val="none" w:sz="0" w:space="0" w:color="auto"/>
        <w:bottom w:val="none" w:sz="0" w:space="0" w:color="auto"/>
        <w:right w:val="none" w:sz="0" w:space="0" w:color="auto"/>
      </w:divBdr>
    </w:div>
    <w:div w:id="1310091390">
      <w:bodyDiv w:val="1"/>
      <w:marLeft w:val="0"/>
      <w:marRight w:val="0"/>
      <w:marTop w:val="0"/>
      <w:marBottom w:val="0"/>
      <w:divBdr>
        <w:top w:val="none" w:sz="0" w:space="0" w:color="auto"/>
        <w:left w:val="none" w:sz="0" w:space="0" w:color="auto"/>
        <w:bottom w:val="none" w:sz="0" w:space="0" w:color="auto"/>
        <w:right w:val="none" w:sz="0" w:space="0" w:color="auto"/>
      </w:divBdr>
    </w:div>
    <w:div w:id="1330714553">
      <w:bodyDiv w:val="1"/>
      <w:marLeft w:val="0"/>
      <w:marRight w:val="0"/>
      <w:marTop w:val="0"/>
      <w:marBottom w:val="0"/>
      <w:divBdr>
        <w:top w:val="none" w:sz="0" w:space="0" w:color="auto"/>
        <w:left w:val="none" w:sz="0" w:space="0" w:color="auto"/>
        <w:bottom w:val="none" w:sz="0" w:space="0" w:color="auto"/>
        <w:right w:val="none" w:sz="0" w:space="0" w:color="auto"/>
      </w:divBdr>
    </w:div>
    <w:div w:id="1335185027">
      <w:bodyDiv w:val="1"/>
      <w:marLeft w:val="0"/>
      <w:marRight w:val="0"/>
      <w:marTop w:val="0"/>
      <w:marBottom w:val="0"/>
      <w:divBdr>
        <w:top w:val="none" w:sz="0" w:space="0" w:color="auto"/>
        <w:left w:val="none" w:sz="0" w:space="0" w:color="auto"/>
        <w:bottom w:val="none" w:sz="0" w:space="0" w:color="auto"/>
        <w:right w:val="none" w:sz="0" w:space="0" w:color="auto"/>
      </w:divBdr>
    </w:div>
    <w:div w:id="1341815838">
      <w:bodyDiv w:val="1"/>
      <w:marLeft w:val="0"/>
      <w:marRight w:val="0"/>
      <w:marTop w:val="0"/>
      <w:marBottom w:val="0"/>
      <w:divBdr>
        <w:top w:val="none" w:sz="0" w:space="0" w:color="auto"/>
        <w:left w:val="none" w:sz="0" w:space="0" w:color="auto"/>
        <w:bottom w:val="none" w:sz="0" w:space="0" w:color="auto"/>
        <w:right w:val="none" w:sz="0" w:space="0" w:color="auto"/>
      </w:divBdr>
    </w:div>
    <w:div w:id="1344699756">
      <w:bodyDiv w:val="1"/>
      <w:marLeft w:val="0"/>
      <w:marRight w:val="0"/>
      <w:marTop w:val="0"/>
      <w:marBottom w:val="0"/>
      <w:divBdr>
        <w:top w:val="none" w:sz="0" w:space="0" w:color="auto"/>
        <w:left w:val="none" w:sz="0" w:space="0" w:color="auto"/>
        <w:bottom w:val="none" w:sz="0" w:space="0" w:color="auto"/>
        <w:right w:val="none" w:sz="0" w:space="0" w:color="auto"/>
      </w:divBdr>
    </w:div>
    <w:div w:id="1366516596">
      <w:bodyDiv w:val="1"/>
      <w:marLeft w:val="0"/>
      <w:marRight w:val="0"/>
      <w:marTop w:val="0"/>
      <w:marBottom w:val="0"/>
      <w:divBdr>
        <w:top w:val="none" w:sz="0" w:space="0" w:color="auto"/>
        <w:left w:val="none" w:sz="0" w:space="0" w:color="auto"/>
        <w:bottom w:val="none" w:sz="0" w:space="0" w:color="auto"/>
        <w:right w:val="none" w:sz="0" w:space="0" w:color="auto"/>
      </w:divBdr>
    </w:div>
    <w:div w:id="1417483419">
      <w:bodyDiv w:val="1"/>
      <w:marLeft w:val="0"/>
      <w:marRight w:val="0"/>
      <w:marTop w:val="0"/>
      <w:marBottom w:val="0"/>
      <w:divBdr>
        <w:top w:val="none" w:sz="0" w:space="0" w:color="auto"/>
        <w:left w:val="none" w:sz="0" w:space="0" w:color="auto"/>
        <w:bottom w:val="none" w:sz="0" w:space="0" w:color="auto"/>
        <w:right w:val="none" w:sz="0" w:space="0" w:color="auto"/>
      </w:divBdr>
    </w:div>
    <w:div w:id="1443956671">
      <w:bodyDiv w:val="1"/>
      <w:marLeft w:val="0"/>
      <w:marRight w:val="0"/>
      <w:marTop w:val="0"/>
      <w:marBottom w:val="0"/>
      <w:divBdr>
        <w:top w:val="none" w:sz="0" w:space="0" w:color="auto"/>
        <w:left w:val="none" w:sz="0" w:space="0" w:color="auto"/>
        <w:bottom w:val="none" w:sz="0" w:space="0" w:color="auto"/>
        <w:right w:val="none" w:sz="0" w:space="0" w:color="auto"/>
      </w:divBdr>
    </w:div>
    <w:div w:id="1453668063">
      <w:bodyDiv w:val="1"/>
      <w:marLeft w:val="0"/>
      <w:marRight w:val="0"/>
      <w:marTop w:val="0"/>
      <w:marBottom w:val="0"/>
      <w:divBdr>
        <w:top w:val="none" w:sz="0" w:space="0" w:color="auto"/>
        <w:left w:val="none" w:sz="0" w:space="0" w:color="auto"/>
        <w:bottom w:val="none" w:sz="0" w:space="0" w:color="auto"/>
        <w:right w:val="none" w:sz="0" w:space="0" w:color="auto"/>
      </w:divBdr>
    </w:div>
    <w:div w:id="1470711436">
      <w:bodyDiv w:val="1"/>
      <w:marLeft w:val="0"/>
      <w:marRight w:val="0"/>
      <w:marTop w:val="0"/>
      <w:marBottom w:val="0"/>
      <w:divBdr>
        <w:top w:val="none" w:sz="0" w:space="0" w:color="auto"/>
        <w:left w:val="none" w:sz="0" w:space="0" w:color="auto"/>
        <w:bottom w:val="none" w:sz="0" w:space="0" w:color="auto"/>
        <w:right w:val="none" w:sz="0" w:space="0" w:color="auto"/>
      </w:divBdr>
    </w:div>
    <w:div w:id="1490709124">
      <w:bodyDiv w:val="1"/>
      <w:marLeft w:val="0"/>
      <w:marRight w:val="0"/>
      <w:marTop w:val="0"/>
      <w:marBottom w:val="0"/>
      <w:divBdr>
        <w:top w:val="none" w:sz="0" w:space="0" w:color="auto"/>
        <w:left w:val="none" w:sz="0" w:space="0" w:color="auto"/>
        <w:bottom w:val="none" w:sz="0" w:space="0" w:color="auto"/>
        <w:right w:val="none" w:sz="0" w:space="0" w:color="auto"/>
      </w:divBdr>
    </w:div>
    <w:div w:id="1516000623">
      <w:bodyDiv w:val="1"/>
      <w:marLeft w:val="0"/>
      <w:marRight w:val="0"/>
      <w:marTop w:val="0"/>
      <w:marBottom w:val="0"/>
      <w:divBdr>
        <w:top w:val="none" w:sz="0" w:space="0" w:color="auto"/>
        <w:left w:val="none" w:sz="0" w:space="0" w:color="auto"/>
        <w:bottom w:val="none" w:sz="0" w:space="0" w:color="auto"/>
        <w:right w:val="none" w:sz="0" w:space="0" w:color="auto"/>
      </w:divBdr>
    </w:div>
    <w:div w:id="1527326723">
      <w:bodyDiv w:val="1"/>
      <w:marLeft w:val="0"/>
      <w:marRight w:val="0"/>
      <w:marTop w:val="0"/>
      <w:marBottom w:val="0"/>
      <w:divBdr>
        <w:top w:val="none" w:sz="0" w:space="0" w:color="auto"/>
        <w:left w:val="none" w:sz="0" w:space="0" w:color="auto"/>
        <w:bottom w:val="none" w:sz="0" w:space="0" w:color="auto"/>
        <w:right w:val="none" w:sz="0" w:space="0" w:color="auto"/>
      </w:divBdr>
    </w:div>
    <w:div w:id="1539270541">
      <w:bodyDiv w:val="1"/>
      <w:marLeft w:val="0"/>
      <w:marRight w:val="0"/>
      <w:marTop w:val="0"/>
      <w:marBottom w:val="0"/>
      <w:divBdr>
        <w:top w:val="none" w:sz="0" w:space="0" w:color="auto"/>
        <w:left w:val="none" w:sz="0" w:space="0" w:color="auto"/>
        <w:bottom w:val="none" w:sz="0" w:space="0" w:color="auto"/>
        <w:right w:val="none" w:sz="0" w:space="0" w:color="auto"/>
      </w:divBdr>
    </w:div>
    <w:div w:id="1585913137">
      <w:bodyDiv w:val="1"/>
      <w:marLeft w:val="0"/>
      <w:marRight w:val="0"/>
      <w:marTop w:val="0"/>
      <w:marBottom w:val="0"/>
      <w:divBdr>
        <w:top w:val="none" w:sz="0" w:space="0" w:color="auto"/>
        <w:left w:val="none" w:sz="0" w:space="0" w:color="auto"/>
        <w:bottom w:val="none" w:sz="0" w:space="0" w:color="auto"/>
        <w:right w:val="none" w:sz="0" w:space="0" w:color="auto"/>
      </w:divBdr>
    </w:div>
    <w:div w:id="1635285745">
      <w:bodyDiv w:val="1"/>
      <w:marLeft w:val="0"/>
      <w:marRight w:val="0"/>
      <w:marTop w:val="0"/>
      <w:marBottom w:val="0"/>
      <w:divBdr>
        <w:top w:val="none" w:sz="0" w:space="0" w:color="auto"/>
        <w:left w:val="none" w:sz="0" w:space="0" w:color="auto"/>
        <w:bottom w:val="none" w:sz="0" w:space="0" w:color="auto"/>
        <w:right w:val="none" w:sz="0" w:space="0" w:color="auto"/>
      </w:divBdr>
    </w:div>
    <w:div w:id="1657950618">
      <w:bodyDiv w:val="1"/>
      <w:marLeft w:val="0"/>
      <w:marRight w:val="0"/>
      <w:marTop w:val="0"/>
      <w:marBottom w:val="0"/>
      <w:divBdr>
        <w:top w:val="none" w:sz="0" w:space="0" w:color="auto"/>
        <w:left w:val="none" w:sz="0" w:space="0" w:color="auto"/>
        <w:bottom w:val="none" w:sz="0" w:space="0" w:color="auto"/>
        <w:right w:val="none" w:sz="0" w:space="0" w:color="auto"/>
      </w:divBdr>
    </w:div>
    <w:div w:id="1678997031">
      <w:bodyDiv w:val="1"/>
      <w:marLeft w:val="0"/>
      <w:marRight w:val="0"/>
      <w:marTop w:val="0"/>
      <w:marBottom w:val="0"/>
      <w:divBdr>
        <w:top w:val="none" w:sz="0" w:space="0" w:color="auto"/>
        <w:left w:val="none" w:sz="0" w:space="0" w:color="auto"/>
        <w:bottom w:val="none" w:sz="0" w:space="0" w:color="auto"/>
        <w:right w:val="none" w:sz="0" w:space="0" w:color="auto"/>
      </w:divBdr>
    </w:div>
    <w:div w:id="1684240535">
      <w:bodyDiv w:val="1"/>
      <w:marLeft w:val="0"/>
      <w:marRight w:val="0"/>
      <w:marTop w:val="0"/>
      <w:marBottom w:val="0"/>
      <w:divBdr>
        <w:top w:val="none" w:sz="0" w:space="0" w:color="auto"/>
        <w:left w:val="none" w:sz="0" w:space="0" w:color="auto"/>
        <w:bottom w:val="none" w:sz="0" w:space="0" w:color="auto"/>
        <w:right w:val="none" w:sz="0" w:space="0" w:color="auto"/>
      </w:divBdr>
    </w:div>
    <w:div w:id="1710953288">
      <w:bodyDiv w:val="1"/>
      <w:marLeft w:val="0"/>
      <w:marRight w:val="0"/>
      <w:marTop w:val="0"/>
      <w:marBottom w:val="0"/>
      <w:divBdr>
        <w:top w:val="none" w:sz="0" w:space="0" w:color="auto"/>
        <w:left w:val="none" w:sz="0" w:space="0" w:color="auto"/>
        <w:bottom w:val="none" w:sz="0" w:space="0" w:color="auto"/>
        <w:right w:val="none" w:sz="0" w:space="0" w:color="auto"/>
      </w:divBdr>
      <w:divsChild>
        <w:div w:id="1474520717">
          <w:marLeft w:val="0"/>
          <w:marRight w:val="0"/>
          <w:marTop w:val="0"/>
          <w:marBottom w:val="0"/>
          <w:divBdr>
            <w:top w:val="none" w:sz="0" w:space="0" w:color="auto"/>
            <w:left w:val="none" w:sz="0" w:space="0" w:color="auto"/>
            <w:bottom w:val="none" w:sz="0" w:space="0" w:color="auto"/>
            <w:right w:val="none" w:sz="0" w:space="0" w:color="auto"/>
          </w:divBdr>
          <w:divsChild>
            <w:div w:id="1233656906">
              <w:marLeft w:val="0"/>
              <w:marRight w:val="0"/>
              <w:marTop w:val="0"/>
              <w:marBottom w:val="0"/>
              <w:divBdr>
                <w:top w:val="none" w:sz="0" w:space="0" w:color="auto"/>
                <w:left w:val="none" w:sz="0" w:space="0" w:color="auto"/>
                <w:bottom w:val="none" w:sz="0" w:space="0" w:color="auto"/>
                <w:right w:val="none" w:sz="0" w:space="0" w:color="auto"/>
              </w:divBdr>
              <w:divsChild>
                <w:div w:id="546527327">
                  <w:marLeft w:val="0"/>
                  <w:marRight w:val="0"/>
                  <w:marTop w:val="0"/>
                  <w:marBottom w:val="0"/>
                  <w:divBdr>
                    <w:top w:val="none" w:sz="0" w:space="0" w:color="auto"/>
                    <w:left w:val="none" w:sz="0" w:space="0" w:color="auto"/>
                    <w:bottom w:val="none" w:sz="0" w:space="0" w:color="auto"/>
                    <w:right w:val="none" w:sz="0" w:space="0" w:color="auto"/>
                  </w:divBdr>
                  <w:divsChild>
                    <w:div w:id="911087855">
                      <w:marLeft w:val="0"/>
                      <w:marRight w:val="0"/>
                      <w:marTop w:val="0"/>
                      <w:marBottom w:val="0"/>
                      <w:divBdr>
                        <w:top w:val="none" w:sz="0" w:space="0" w:color="auto"/>
                        <w:left w:val="none" w:sz="0" w:space="0" w:color="auto"/>
                        <w:bottom w:val="none" w:sz="0" w:space="0" w:color="auto"/>
                        <w:right w:val="none" w:sz="0" w:space="0" w:color="auto"/>
                      </w:divBdr>
                      <w:divsChild>
                        <w:div w:id="1992757494">
                          <w:marLeft w:val="0"/>
                          <w:marRight w:val="0"/>
                          <w:marTop w:val="0"/>
                          <w:marBottom w:val="0"/>
                          <w:divBdr>
                            <w:top w:val="none" w:sz="0" w:space="0" w:color="auto"/>
                            <w:left w:val="none" w:sz="0" w:space="0" w:color="auto"/>
                            <w:bottom w:val="none" w:sz="0" w:space="0" w:color="auto"/>
                            <w:right w:val="none" w:sz="0" w:space="0" w:color="auto"/>
                          </w:divBdr>
                          <w:divsChild>
                            <w:div w:id="1001354455">
                              <w:marLeft w:val="0"/>
                              <w:marRight w:val="0"/>
                              <w:marTop w:val="0"/>
                              <w:marBottom w:val="0"/>
                              <w:divBdr>
                                <w:top w:val="none" w:sz="0" w:space="0" w:color="auto"/>
                                <w:left w:val="none" w:sz="0" w:space="0" w:color="auto"/>
                                <w:bottom w:val="none" w:sz="0" w:space="0" w:color="auto"/>
                                <w:right w:val="none" w:sz="0" w:space="0" w:color="auto"/>
                              </w:divBdr>
                              <w:divsChild>
                                <w:div w:id="1320307448">
                                  <w:marLeft w:val="0"/>
                                  <w:marRight w:val="0"/>
                                  <w:marTop w:val="0"/>
                                  <w:marBottom w:val="0"/>
                                  <w:divBdr>
                                    <w:top w:val="none" w:sz="0" w:space="0" w:color="auto"/>
                                    <w:left w:val="none" w:sz="0" w:space="0" w:color="auto"/>
                                    <w:bottom w:val="none" w:sz="0" w:space="0" w:color="auto"/>
                                    <w:right w:val="none" w:sz="0" w:space="0" w:color="auto"/>
                                  </w:divBdr>
                                  <w:divsChild>
                                    <w:div w:id="1279878140">
                                      <w:marLeft w:val="0"/>
                                      <w:marRight w:val="0"/>
                                      <w:marTop w:val="0"/>
                                      <w:marBottom w:val="0"/>
                                      <w:divBdr>
                                        <w:top w:val="none" w:sz="0" w:space="0" w:color="auto"/>
                                        <w:left w:val="none" w:sz="0" w:space="0" w:color="auto"/>
                                        <w:bottom w:val="none" w:sz="0" w:space="0" w:color="auto"/>
                                        <w:right w:val="none" w:sz="0" w:space="0" w:color="auto"/>
                                      </w:divBdr>
                                      <w:divsChild>
                                        <w:div w:id="325548519">
                                          <w:marLeft w:val="0"/>
                                          <w:marRight w:val="0"/>
                                          <w:marTop w:val="0"/>
                                          <w:marBottom w:val="0"/>
                                          <w:divBdr>
                                            <w:top w:val="none" w:sz="0" w:space="0" w:color="auto"/>
                                            <w:left w:val="none" w:sz="0" w:space="0" w:color="auto"/>
                                            <w:bottom w:val="none" w:sz="0" w:space="0" w:color="auto"/>
                                            <w:right w:val="none" w:sz="0" w:space="0" w:color="auto"/>
                                          </w:divBdr>
                                          <w:divsChild>
                                            <w:div w:id="465663288">
                                              <w:marLeft w:val="0"/>
                                              <w:marRight w:val="0"/>
                                              <w:marTop w:val="0"/>
                                              <w:marBottom w:val="0"/>
                                              <w:divBdr>
                                                <w:top w:val="none" w:sz="0" w:space="0" w:color="auto"/>
                                                <w:left w:val="none" w:sz="0" w:space="0" w:color="auto"/>
                                                <w:bottom w:val="none" w:sz="0" w:space="0" w:color="auto"/>
                                                <w:right w:val="none" w:sz="0" w:space="0" w:color="auto"/>
                                              </w:divBdr>
                                              <w:divsChild>
                                                <w:div w:id="1810585026">
                                                  <w:marLeft w:val="0"/>
                                                  <w:marRight w:val="0"/>
                                                  <w:marTop w:val="0"/>
                                                  <w:marBottom w:val="345"/>
                                                  <w:divBdr>
                                                    <w:top w:val="none" w:sz="0" w:space="0" w:color="auto"/>
                                                    <w:left w:val="none" w:sz="0" w:space="0" w:color="auto"/>
                                                    <w:bottom w:val="none" w:sz="0" w:space="0" w:color="auto"/>
                                                    <w:right w:val="none" w:sz="0" w:space="0" w:color="auto"/>
                                                  </w:divBdr>
                                                  <w:divsChild>
                                                    <w:div w:id="431752539">
                                                      <w:marLeft w:val="0"/>
                                                      <w:marRight w:val="0"/>
                                                      <w:marTop w:val="0"/>
                                                      <w:marBottom w:val="0"/>
                                                      <w:divBdr>
                                                        <w:top w:val="none" w:sz="0" w:space="0" w:color="auto"/>
                                                        <w:left w:val="none" w:sz="0" w:space="0" w:color="auto"/>
                                                        <w:bottom w:val="none" w:sz="0" w:space="0" w:color="auto"/>
                                                        <w:right w:val="none" w:sz="0" w:space="0" w:color="auto"/>
                                                      </w:divBdr>
                                                      <w:divsChild>
                                                        <w:div w:id="329874788">
                                                          <w:marLeft w:val="0"/>
                                                          <w:marRight w:val="0"/>
                                                          <w:marTop w:val="0"/>
                                                          <w:marBottom w:val="0"/>
                                                          <w:divBdr>
                                                            <w:top w:val="single" w:sz="6" w:space="0" w:color="ABABAB"/>
                                                            <w:left w:val="single" w:sz="6" w:space="0" w:color="ABABAB"/>
                                                            <w:bottom w:val="single" w:sz="6" w:space="0" w:color="ABABAB"/>
                                                            <w:right w:val="single" w:sz="6" w:space="0" w:color="ABABAB"/>
                                                          </w:divBdr>
                                                          <w:divsChild>
                                                            <w:div w:id="73861034">
                                                              <w:marLeft w:val="0"/>
                                                              <w:marRight w:val="0"/>
                                                              <w:marTop w:val="0"/>
                                                              <w:marBottom w:val="0"/>
                                                              <w:divBdr>
                                                                <w:top w:val="none" w:sz="0" w:space="0" w:color="auto"/>
                                                                <w:left w:val="none" w:sz="0" w:space="0" w:color="auto"/>
                                                                <w:bottom w:val="none" w:sz="0" w:space="0" w:color="auto"/>
                                                                <w:right w:val="none" w:sz="0" w:space="0" w:color="auto"/>
                                                              </w:divBdr>
                                                              <w:divsChild>
                                                                <w:div w:id="316225053">
                                                                  <w:marLeft w:val="0"/>
                                                                  <w:marRight w:val="0"/>
                                                                  <w:marTop w:val="0"/>
                                                                  <w:marBottom w:val="0"/>
                                                                  <w:divBdr>
                                                                    <w:top w:val="none" w:sz="0" w:space="0" w:color="auto"/>
                                                                    <w:left w:val="none" w:sz="0" w:space="0" w:color="auto"/>
                                                                    <w:bottom w:val="none" w:sz="0" w:space="0" w:color="auto"/>
                                                                    <w:right w:val="none" w:sz="0" w:space="0" w:color="auto"/>
                                                                  </w:divBdr>
                                                                  <w:divsChild>
                                                                    <w:div w:id="1253391418">
                                                                      <w:marLeft w:val="0"/>
                                                                      <w:marRight w:val="0"/>
                                                                      <w:marTop w:val="0"/>
                                                                      <w:marBottom w:val="0"/>
                                                                      <w:divBdr>
                                                                        <w:top w:val="none" w:sz="0" w:space="0" w:color="auto"/>
                                                                        <w:left w:val="none" w:sz="0" w:space="0" w:color="auto"/>
                                                                        <w:bottom w:val="none" w:sz="0" w:space="0" w:color="auto"/>
                                                                        <w:right w:val="none" w:sz="0" w:space="0" w:color="auto"/>
                                                                      </w:divBdr>
                                                                      <w:divsChild>
                                                                        <w:div w:id="1400639885">
                                                                          <w:marLeft w:val="0"/>
                                                                          <w:marRight w:val="0"/>
                                                                          <w:marTop w:val="0"/>
                                                                          <w:marBottom w:val="0"/>
                                                                          <w:divBdr>
                                                                            <w:top w:val="none" w:sz="0" w:space="0" w:color="auto"/>
                                                                            <w:left w:val="none" w:sz="0" w:space="0" w:color="auto"/>
                                                                            <w:bottom w:val="none" w:sz="0" w:space="0" w:color="auto"/>
                                                                            <w:right w:val="none" w:sz="0" w:space="0" w:color="auto"/>
                                                                          </w:divBdr>
                                                                          <w:divsChild>
                                                                            <w:div w:id="310140326">
                                                                              <w:marLeft w:val="0"/>
                                                                              <w:marRight w:val="0"/>
                                                                              <w:marTop w:val="0"/>
                                                                              <w:marBottom w:val="0"/>
                                                                              <w:divBdr>
                                                                                <w:top w:val="none" w:sz="0" w:space="0" w:color="auto"/>
                                                                                <w:left w:val="none" w:sz="0" w:space="0" w:color="auto"/>
                                                                                <w:bottom w:val="none" w:sz="0" w:space="0" w:color="auto"/>
                                                                                <w:right w:val="none" w:sz="0" w:space="0" w:color="auto"/>
                                                                              </w:divBdr>
                                                                              <w:divsChild>
                                                                                <w:div w:id="1777673232">
                                                                                  <w:marLeft w:val="0"/>
                                                                                  <w:marRight w:val="0"/>
                                                                                  <w:marTop w:val="0"/>
                                                                                  <w:marBottom w:val="0"/>
                                                                                  <w:divBdr>
                                                                                    <w:top w:val="none" w:sz="0" w:space="0" w:color="auto"/>
                                                                                    <w:left w:val="none" w:sz="0" w:space="0" w:color="auto"/>
                                                                                    <w:bottom w:val="none" w:sz="0" w:space="0" w:color="auto"/>
                                                                                    <w:right w:val="none" w:sz="0" w:space="0" w:color="auto"/>
                                                                                  </w:divBdr>
                                                                                  <w:divsChild>
                                                                                    <w:div w:id="16270749">
                                                                                      <w:marLeft w:val="0"/>
                                                                                      <w:marRight w:val="0"/>
                                                                                      <w:marTop w:val="0"/>
                                                                                      <w:marBottom w:val="0"/>
                                                                                      <w:divBdr>
                                                                                        <w:top w:val="none" w:sz="0" w:space="0" w:color="auto"/>
                                                                                        <w:left w:val="none" w:sz="0" w:space="0" w:color="auto"/>
                                                                                        <w:bottom w:val="none" w:sz="0" w:space="0" w:color="auto"/>
                                                                                        <w:right w:val="none" w:sz="0" w:space="0" w:color="auto"/>
                                                                                      </w:divBdr>
                                                                                    </w:div>
                                                                                    <w:div w:id="37821710">
                                                                                      <w:marLeft w:val="0"/>
                                                                                      <w:marRight w:val="0"/>
                                                                                      <w:marTop w:val="0"/>
                                                                                      <w:marBottom w:val="0"/>
                                                                                      <w:divBdr>
                                                                                        <w:top w:val="none" w:sz="0" w:space="0" w:color="auto"/>
                                                                                        <w:left w:val="none" w:sz="0" w:space="0" w:color="auto"/>
                                                                                        <w:bottom w:val="none" w:sz="0" w:space="0" w:color="auto"/>
                                                                                        <w:right w:val="none" w:sz="0" w:space="0" w:color="auto"/>
                                                                                      </w:divBdr>
                                                                                    </w:div>
                                                                                    <w:div w:id="140655240">
                                                                                      <w:marLeft w:val="0"/>
                                                                                      <w:marRight w:val="0"/>
                                                                                      <w:marTop w:val="0"/>
                                                                                      <w:marBottom w:val="0"/>
                                                                                      <w:divBdr>
                                                                                        <w:top w:val="none" w:sz="0" w:space="0" w:color="auto"/>
                                                                                        <w:left w:val="none" w:sz="0" w:space="0" w:color="auto"/>
                                                                                        <w:bottom w:val="none" w:sz="0" w:space="0" w:color="auto"/>
                                                                                        <w:right w:val="none" w:sz="0" w:space="0" w:color="auto"/>
                                                                                      </w:divBdr>
                                                                                    </w:div>
                                                                                    <w:div w:id="209655180">
                                                                                      <w:marLeft w:val="0"/>
                                                                                      <w:marRight w:val="0"/>
                                                                                      <w:marTop w:val="0"/>
                                                                                      <w:marBottom w:val="0"/>
                                                                                      <w:divBdr>
                                                                                        <w:top w:val="none" w:sz="0" w:space="0" w:color="auto"/>
                                                                                        <w:left w:val="none" w:sz="0" w:space="0" w:color="auto"/>
                                                                                        <w:bottom w:val="none" w:sz="0" w:space="0" w:color="auto"/>
                                                                                        <w:right w:val="none" w:sz="0" w:space="0" w:color="auto"/>
                                                                                      </w:divBdr>
                                                                                    </w:div>
                                                                                    <w:div w:id="379482039">
                                                                                      <w:marLeft w:val="0"/>
                                                                                      <w:marRight w:val="0"/>
                                                                                      <w:marTop w:val="0"/>
                                                                                      <w:marBottom w:val="0"/>
                                                                                      <w:divBdr>
                                                                                        <w:top w:val="none" w:sz="0" w:space="0" w:color="auto"/>
                                                                                        <w:left w:val="none" w:sz="0" w:space="0" w:color="auto"/>
                                                                                        <w:bottom w:val="none" w:sz="0" w:space="0" w:color="auto"/>
                                                                                        <w:right w:val="none" w:sz="0" w:space="0" w:color="auto"/>
                                                                                      </w:divBdr>
                                                                                    </w:div>
                                                                                    <w:div w:id="410739627">
                                                                                      <w:marLeft w:val="0"/>
                                                                                      <w:marRight w:val="0"/>
                                                                                      <w:marTop w:val="0"/>
                                                                                      <w:marBottom w:val="0"/>
                                                                                      <w:divBdr>
                                                                                        <w:top w:val="none" w:sz="0" w:space="0" w:color="auto"/>
                                                                                        <w:left w:val="none" w:sz="0" w:space="0" w:color="auto"/>
                                                                                        <w:bottom w:val="none" w:sz="0" w:space="0" w:color="auto"/>
                                                                                        <w:right w:val="none" w:sz="0" w:space="0" w:color="auto"/>
                                                                                      </w:divBdr>
                                                                                    </w:div>
                                                                                    <w:div w:id="590315477">
                                                                                      <w:marLeft w:val="0"/>
                                                                                      <w:marRight w:val="0"/>
                                                                                      <w:marTop w:val="0"/>
                                                                                      <w:marBottom w:val="0"/>
                                                                                      <w:divBdr>
                                                                                        <w:top w:val="none" w:sz="0" w:space="0" w:color="auto"/>
                                                                                        <w:left w:val="none" w:sz="0" w:space="0" w:color="auto"/>
                                                                                        <w:bottom w:val="none" w:sz="0" w:space="0" w:color="auto"/>
                                                                                        <w:right w:val="none" w:sz="0" w:space="0" w:color="auto"/>
                                                                                      </w:divBdr>
                                                                                    </w:div>
                                                                                    <w:div w:id="634257485">
                                                                                      <w:marLeft w:val="0"/>
                                                                                      <w:marRight w:val="0"/>
                                                                                      <w:marTop w:val="0"/>
                                                                                      <w:marBottom w:val="0"/>
                                                                                      <w:divBdr>
                                                                                        <w:top w:val="none" w:sz="0" w:space="0" w:color="auto"/>
                                                                                        <w:left w:val="none" w:sz="0" w:space="0" w:color="auto"/>
                                                                                        <w:bottom w:val="none" w:sz="0" w:space="0" w:color="auto"/>
                                                                                        <w:right w:val="none" w:sz="0" w:space="0" w:color="auto"/>
                                                                                      </w:divBdr>
                                                                                    </w:div>
                                                                                    <w:div w:id="666326089">
                                                                                      <w:marLeft w:val="0"/>
                                                                                      <w:marRight w:val="0"/>
                                                                                      <w:marTop w:val="0"/>
                                                                                      <w:marBottom w:val="0"/>
                                                                                      <w:divBdr>
                                                                                        <w:top w:val="none" w:sz="0" w:space="0" w:color="auto"/>
                                                                                        <w:left w:val="none" w:sz="0" w:space="0" w:color="auto"/>
                                                                                        <w:bottom w:val="none" w:sz="0" w:space="0" w:color="auto"/>
                                                                                        <w:right w:val="none" w:sz="0" w:space="0" w:color="auto"/>
                                                                                      </w:divBdr>
                                                                                    </w:div>
                                                                                    <w:div w:id="897664830">
                                                                                      <w:marLeft w:val="0"/>
                                                                                      <w:marRight w:val="0"/>
                                                                                      <w:marTop w:val="0"/>
                                                                                      <w:marBottom w:val="0"/>
                                                                                      <w:divBdr>
                                                                                        <w:top w:val="none" w:sz="0" w:space="0" w:color="auto"/>
                                                                                        <w:left w:val="none" w:sz="0" w:space="0" w:color="auto"/>
                                                                                        <w:bottom w:val="none" w:sz="0" w:space="0" w:color="auto"/>
                                                                                        <w:right w:val="none" w:sz="0" w:space="0" w:color="auto"/>
                                                                                      </w:divBdr>
                                                                                    </w:div>
                                                                                    <w:div w:id="932200038">
                                                                                      <w:marLeft w:val="0"/>
                                                                                      <w:marRight w:val="0"/>
                                                                                      <w:marTop w:val="0"/>
                                                                                      <w:marBottom w:val="0"/>
                                                                                      <w:divBdr>
                                                                                        <w:top w:val="none" w:sz="0" w:space="0" w:color="auto"/>
                                                                                        <w:left w:val="none" w:sz="0" w:space="0" w:color="auto"/>
                                                                                        <w:bottom w:val="none" w:sz="0" w:space="0" w:color="auto"/>
                                                                                        <w:right w:val="none" w:sz="0" w:space="0" w:color="auto"/>
                                                                                      </w:divBdr>
                                                                                    </w:div>
                                                                                    <w:div w:id="1301613318">
                                                                                      <w:marLeft w:val="0"/>
                                                                                      <w:marRight w:val="0"/>
                                                                                      <w:marTop w:val="0"/>
                                                                                      <w:marBottom w:val="0"/>
                                                                                      <w:divBdr>
                                                                                        <w:top w:val="none" w:sz="0" w:space="0" w:color="auto"/>
                                                                                        <w:left w:val="none" w:sz="0" w:space="0" w:color="auto"/>
                                                                                        <w:bottom w:val="none" w:sz="0" w:space="0" w:color="auto"/>
                                                                                        <w:right w:val="none" w:sz="0" w:space="0" w:color="auto"/>
                                                                                      </w:divBdr>
                                                                                    </w:div>
                                                                                    <w:div w:id="1308895031">
                                                                                      <w:marLeft w:val="0"/>
                                                                                      <w:marRight w:val="0"/>
                                                                                      <w:marTop w:val="0"/>
                                                                                      <w:marBottom w:val="0"/>
                                                                                      <w:divBdr>
                                                                                        <w:top w:val="none" w:sz="0" w:space="0" w:color="auto"/>
                                                                                        <w:left w:val="none" w:sz="0" w:space="0" w:color="auto"/>
                                                                                        <w:bottom w:val="none" w:sz="0" w:space="0" w:color="auto"/>
                                                                                        <w:right w:val="none" w:sz="0" w:space="0" w:color="auto"/>
                                                                                      </w:divBdr>
                                                                                    </w:div>
                                                                                    <w:div w:id="1543637663">
                                                                                      <w:marLeft w:val="0"/>
                                                                                      <w:marRight w:val="0"/>
                                                                                      <w:marTop w:val="0"/>
                                                                                      <w:marBottom w:val="0"/>
                                                                                      <w:divBdr>
                                                                                        <w:top w:val="none" w:sz="0" w:space="0" w:color="auto"/>
                                                                                        <w:left w:val="none" w:sz="0" w:space="0" w:color="auto"/>
                                                                                        <w:bottom w:val="none" w:sz="0" w:space="0" w:color="auto"/>
                                                                                        <w:right w:val="none" w:sz="0" w:space="0" w:color="auto"/>
                                                                                      </w:divBdr>
                                                                                    </w:div>
                                                                                    <w:div w:id="1773279839">
                                                                                      <w:marLeft w:val="0"/>
                                                                                      <w:marRight w:val="0"/>
                                                                                      <w:marTop w:val="0"/>
                                                                                      <w:marBottom w:val="0"/>
                                                                                      <w:divBdr>
                                                                                        <w:top w:val="none" w:sz="0" w:space="0" w:color="auto"/>
                                                                                        <w:left w:val="none" w:sz="0" w:space="0" w:color="auto"/>
                                                                                        <w:bottom w:val="none" w:sz="0" w:space="0" w:color="auto"/>
                                                                                        <w:right w:val="none" w:sz="0" w:space="0" w:color="auto"/>
                                                                                      </w:divBdr>
                                                                                    </w:div>
                                                                                    <w:div w:id="1820538570">
                                                                                      <w:marLeft w:val="0"/>
                                                                                      <w:marRight w:val="0"/>
                                                                                      <w:marTop w:val="0"/>
                                                                                      <w:marBottom w:val="0"/>
                                                                                      <w:divBdr>
                                                                                        <w:top w:val="none" w:sz="0" w:space="0" w:color="auto"/>
                                                                                        <w:left w:val="none" w:sz="0" w:space="0" w:color="auto"/>
                                                                                        <w:bottom w:val="none" w:sz="0" w:space="0" w:color="auto"/>
                                                                                        <w:right w:val="none" w:sz="0" w:space="0" w:color="auto"/>
                                                                                      </w:divBdr>
                                                                                    </w:div>
                                                                                    <w:div w:id="1854414713">
                                                                                      <w:marLeft w:val="0"/>
                                                                                      <w:marRight w:val="0"/>
                                                                                      <w:marTop w:val="0"/>
                                                                                      <w:marBottom w:val="0"/>
                                                                                      <w:divBdr>
                                                                                        <w:top w:val="none" w:sz="0" w:space="0" w:color="auto"/>
                                                                                        <w:left w:val="none" w:sz="0" w:space="0" w:color="auto"/>
                                                                                        <w:bottom w:val="none" w:sz="0" w:space="0" w:color="auto"/>
                                                                                        <w:right w:val="none" w:sz="0" w:space="0" w:color="auto"/>
                                                                                      </w:divBdr>
                                                                                    </w:div>
                                                                                    <w:div w:id="1901016238">
                                                                                      <w:marLeft w:val="0"/>
                                                                                      <w:marRight w:val="0"/>
                                                                                      <w:marTop w:val="0"/>
                                                                                      <w:marBottom w:val="0"/>
                                                                                      <w:divBdr>
                                                                                        <w:top w:val="none" w:sz="0" w:space="0" w:color="auto"/>
                                                                                        <w:left w:val="none" w:sz="0" w:space="0" w:color="auto"/>
                                                                                        <w:bottom w:val="none" w:sz="0" w:space="0" w:color="auto"/>
                                                                                        <w:right w:val="none" w:sz="0" w:space="0" w:color="auto"/>
                                                                                      </w:divBdr>
                                                                                    </w:div>
                                                                                    <w:div w:id="1908761120">
                                                                                      <w:marLeft w:val="0"/>
                                                                                      <w:marRight w:val="0"/>
                                                                                      <w:marTop w:val="0"/>
                                                                                      <w:marBottom w:val="0"/>
                                                                                      <w:divBdr>
                                                                                        <w:top w:val="none" w:sz="0" w:space="0" w:color="auto"/>
                                                                                        <w:left w:val="none" w:sz="0" w:space="0" w:color="auto"/>
                                                                                        <w:bottom w:val="none" w:sz="0" w:space="0" w:color="auto"/>
                                                                                        <w:right w:val="none" w:sz="0" w:space="0" w:color="auto"/>
                                                                                      </w:divBdr>
                                                                                    </w:div>
                                                                                    <w:div w:id="1923485289">
                                                                                      <w:marLeft w:val="0"/>
                                                                                      <w:marRight w:val="0"/>
                                                                                      <w:marTop w:val="0"/>
                                                                                      <w:marBottom w:val="0"/>
                                                                                      <w:divBdr>
                                                                                        <w:top w:val="none" w:sz="0" w:space="0" w:color="auto"/>
                                                                                        <w:left w:val="none" w:sz="0" w:space="0" w:color="auto"/>
                                                                                        <w:bottom w:val="none" w:sz="0" w:space="0" w:color="auto"/>
                                                                                        <w:right w:val="none" w:sz="0" w:space="0" w:color="auto"/>
                                                                                      </w:divBdr>
                                                                                    </w:div>
                                                                                    <w:div w:id="209670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3991225">
      <w:bodyDiv w:val="1"/>
      <w:marLeft w:val="0"/>
      <w:marRight w:val="0"/>
      <w:marTop w:val="0"/>
      <w:marBottom w:val="0"/>
      <w:divBdr>
        <w:top w:val="none" w:sz="0" w:space="0" w:color="auto"/>
        <w:left w:val="none" w:sz="0" w:space="0" w:color="auto"/>
        <w:bottom w:val="none" w:sz="0" w:space="0" w:color="auto"/>
        <w:right w:val="none" w:sz="0" w:space="0" w:color="auto"/>
      </w:divBdr>
    </w:div>
    <w:div w:id="1764104070">
      <w:bodyDiv w:val="1"/>
      <w:marLeft w:val="0"/>
      <w:marRight w:val="0"/>
      <w:marTop w:val="0"/>
      <w:marBottom w:val="0"/>
      <w:divBdr>
        <w:top w:val="none" w:sz="0" w:space="0" w:color="auto"/>
        <w:left w:val="none" w:sz="0" w:space="0" w:color="auto"/>
        <w:bottom w:val="none" w:sz="0" w:space="0" w:color="auto"/>
        <w:right w:val="none" w:sz="0" w:space="0" w:color="auto"/>
      </w:divBdr>
    </w:div>
    <w:div w:id="1773817979">
      <w:bodyDiv w:val="1"/>
      <w:marLeft w:val="0"/>
      <w:marRight w:val="0"/>
      <w:marTop w:val="0"/>
      <w:marBottom w:val="0"/>
      <w:divBdr>
        <w:top w:val="none" w:sz="0" w:space="0" w:color="auto"/>
        <w:left w:val="none" w:sz="0" w:space="0" w:color="auto"/>
        <w:bottom w:val="none" w:sz="0" w:space="0" w:color="auto"/>
        <w:right w:val="none" w:sz="0" w:space="0" w:color="auto"/>
      </w:divBdr>
    </w:div>
    <w:div w:id="1872105212">
      <w:bodyDiv w:val="1"/>
      <w:marLeft w:val="0"/>
      <w:marRight w:val="0"/>
      <w:marTop w:val="0"/>
      <w:marBottom w:val="0"/>
      <w:divBdr>
        <w:top w:val="none" w:sz="0" w:space="0" w:color="auto"/>
        <w:left w:val="none" w:sz="0" w:space="0" w:color="auto"/>
        <w:bottom w:val="none" w:sz="0" w:space="0" w:color="auto"/>
        <w:right w:val="none" w:sz="0" w:space="0" w:color="auto"/>
      </w:divBdr>
      <w:divsChild>
        <w:div w:id="640496780">
          <w:marLeft w:val="0"/>
          <w:marRight w:val="0"/>
          <w:marTop w:val="0"/>
          <w:marBottom w:val="0"/>
          <w:divBdr>
            <w:top w:val="none" w:sz="0" w:space="0" w:color="auto"/>
            <w:left w:val="none" w:sz="0" w:space="0" w:color="auto"/>
            <w:bottom w:val="none" w:sz="0" w:space="0" w:color="auto"/>
            <w:right w:val="none" w:sz="0" w:space="0" w:color="auto"/>
          </w:divBdr>
          <w:divsChild>
            <w:div w:id="118339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903958">
      <w:bodyDiv w:val="1"/>
      <w:marLeft w:val="0"/>
      <w:marRight w:val="0"/>
      <w:marTop w:val="0"/>
      <w:marBottom w:val="0"/>
      <w:divBdr>
        <w:top w:val="none" w:sz="0" w:space="0" w:color="auto"/>
        <w:left w:val="none" w:sz="0" w:space="0" w:color="auto"/>
        <w:bottom w:val="none" w:sz="0" w:space="0" w:color="auto"/>
        <w:right w:val="none" w:sz="0" w:space="0" w:color="auto"/>
      </w:divBdr>
    </w:div>
    <w:div w:id="1899630310">
      <w:bodyDiv w:val="1"/>
      <w:marLeft w:val="0"/>
      <w:marRight w:val="0"/>
      <w:marTop w:val="0"/>
      <w:marBottom w:val="0"/>
      <w:divBdr>
        <w:top w:val="none" w:sz="0" w:space="0" w:color="auto"/>
        <w:left w:val="none" w:sz="0" w:space="0" w:color="auto"/>
        <w:bottom w:val="none" w:sz="0" w:space="0" w:color="auto"/>
        <w:right w:val="none" w:sz="0" w:space="0" w:color="auto"/>
      </w:divBdr>
    </w:div>
    <w:div w:id="1906451341">
      <w:bodyDiv w:val="1"/>
      <w:marLeft w:val="0"/>
      <w:marRight w:val="0"/>
      <w:marTop w:val="0"/>
      <w:marBottom w:val="0"/>
      <w:divBdr>
        <w:top w:val="none" w:sz="0" w:space="0" w:color="auto"/>
        <w:left w:val="none" w:sz="0" w:space="0" w:color="auto"/>
        <w:bottom w:val="none" w:sz="0" w:space="0" w:color="auto"/>
        <w:right w:val="none" w:sz="0" w:space="0" w:color="auto"/>
      </w:divBdr>
    </w:div>
    <w:div w:id="1933003811">
      <w:bodyDiv w:val="1"/>
      <w:marLeft w:val="0"/>
      <w:marRight w:val="0"/>
      <w:marTop w:val="0"/>
      <w:marBottom w:val="0"/>
      <w:divBdr>
        <w:top w:val="none" w:sz="0" w:space="0" w:color="auto"/>
        <w:left w:val="none" w:sz="0" w:space="0" w:color="auto"/>
        <w:bottom w:val="none" w:sz="0" w:space="0" w:color="auto"/>
        <w:right w:val="none" w:sz="0" w:space="0" w:color="auto"/>
      </w:divBdr>
    </w:div>
    <w:div w:id="1986817619">
      <w:bodyDiv w:val="1"/>
      <w:marLeft w:val="0"/>
      <w:marRight w:val="0"/>
      <w:marTop w:val="0"/>
      <w:marBottom w:val="0"/>
      <w:divBdr>
        <w:top w:val="none" w:sz="0" w:space="0" w:color="auto"/>
        <w:left w:val="none" w:sz="0" w:space="0" w:color="auto"/>
        <w:bottom w:val="none" w:sz="0" w:space="0" w:color="auto"/>
        <w:right w:val="none" w:sz="0" w:space="0" w:color="auto"/>
      </w:divBdr>
    </w:div>
    <w:div w:id="2016154846">
      <w:bodyDiv w:val="1"/>
      <w:marLeft w:val="0"/>
      <w:marRight w:val="0"/>
      <w:marTop w:val="0"/>
      <w:marBottom w:val="0"/>
      <w:divBdr>
        <w:top w:val="none" w:sz="0" w:space="0" w:color="auto"/>
        <w:left w:val="none" w:sz="0" w:space="0" w:color="auto"/>
        <w:bottom w:val="none" w:sz="0" w:space="0" w:color="auto"/>
        <w:right w:val="none" w:sz="0" w:space="0" w:color="auto"/>
      </w:divBdr>
      <w:divsChild>
        <w:div w:id="76755191">
          <w:marLeft w:val="0"/>
          <w:marRight w:val="0"/>
          <w:marTop w:val="0"/>
          <w:marBottom w:val="0"/>
          <w:divBdr>
            <w:top w:val="none" w:sz="0" w:space="0" w:color="auto"/>
            <w:left w:val="none" w:sz="0" w:space="0" w:color="auto"/>
            <w:bottom w:val="none" w:sz="0" w:space="0" w:color="auto"/>
            <w:right w:val="none" w:sz="0" w:space="0" w:color="auto"/>
          </w:divBdr>
          <w:divsChild>
            <w:div w:id="206236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401686">
      <w:bodyDiv w:val="1"/>
      <w:marLeft w:val="0"/>
      <w:marRight w:val="0"/>
      <w:marTop w:val="0"/>
      <w:marBottom w:val="0"/>
      <w:divBdr>
        <w:top w:val="none" w:sz="0" w:space="0" w:color="auto"/>
        <w:left w:val="none" w:sz="0" w:space="0" w:color="auto"/>
        <w:bottom w:val="none" w:sz="0" w:space="0" w:color="auto"/>
        <w:right w:val="none" w:sz="0" w:space="0" w:color="auto"/>
      </w:divBdr>
    </w:div>
    <w:div w:id="2106726659">
      <w:bodyDiv w:val="1"/>
      <w:marLeft w:val="0"/>
      <w:marRight w:val="0"/>
      <w:marTop w:val="0"/>
      <w:marBottom w:val="0"/>
      <w:divBdr>
        <w:top w:val="none" w:sz="0" w:space="0" w:color="auto"/>
        <w:left w:val="none" w:sz="0" w:space="0" w:color="auto"/>
        <w:bottom w:val="none" w:sz="0" w:space="0" w:color="auto"/>
        <w:right w:val="none" w:sz="0" w:space="0" w:color="auto"/>
      </w:divBdr>
    </w:div>
    <w:div w:id="2119062775">
      <w:bodyDiv w:val="1"/>
      <w:marLeft w:val="0"/>
      <w:marRight w:val="0"/>
      <w:marTop w:val="0"/>
      <w:marBottom w:val="0"/>
      <w:divBdr>
        <w:top w:val="none" w:sz="0" w:space="0" w:color="auto"/>
        <w:left w:val="none" w:sz="0" w:space="0" w:color="auto"/>
        <w:bottom w:val="none" w:sz="0" w:space="0" w:color="auto"/>
        <w:right w:val="none" w:sz="0" w:space="0" w:color="auto"/>
      </w:divBdr>
    </w:div>
    <w:div w:id="213794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sustainability.vic.gov.au/Grants-and-funding/Recycling-Victoria-Infrastructure-Fund" TargetMode="External"/><Relationship Id="rId26" Type="http://schemas.openxmlformats.org/officeDocument/2006/relationships/hyperlink" Target="https://www.sustainability.vic.gov.au/Grants-and-funding/Victorian-Healthy-Homes-Program" TargetMode="External"/><Relationship Id="rId39" Type="http://schemas.openxmlformats.org/officeDocument/2006/relationships/hyperlink" Target="http://www.data.vic.gov.au" TargetMode="External"/><Relationship Id="rId21" Type="http://schemas.openxmlformats.org/officeDocument/2006/relationships/hyperlink" Target="http://www.sustainability.vic.gov.au/schools" TargetMode="External"/><Relationship Id="rId34" Type="http://schemas.openxmlformats.org/officeDocument/2006/relationships/image" Target="media/image1.emf"/><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www.audit.vic.gov.au/report/recovering-and-reprocessing-resources-waste?section=" TargetMode="External"/><Relationship Id="rId29" Type="http://schemas.openxmlformats.org/officeDocument/2006/relationships/hyperlink" Target="https://www.recycling.vic.gov.au/"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keeli/Dropbox/Work/SV%20-%20annual%20report/www.sustainability.vic.gov.au" TargetMode="External"/><Relationship Id="rId24" Type="http://schemas.openxmlformats.org/officeDocument/2006/relationships/hyperlink" Target="https://www.sustainability.vic.gov.au/betterbuildings" TargetMode="External"/><Relationship Id="rId32" Type="http://schemas.openxmlformats.org/officeDocument/2006/relationships/hyperlink" Target="https://www.sustainability.vic.gov.au/Grants-and-funding/Bioenergy-infrastructure-fund-grants" TargetMode="External"/><Relationship Id="rId37" Type="http://schemas.openxmlformats.org/officeDocument/2006/relationships/hyperlink" Target="http://www.ovic.vic.gov.au" TargetMode="External"/><Relationship Id="rId40" Type="http://schemas.openxmlformats.org/officeDocument/2006/relationships/image" Target="media/image3.emf"/><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sustainability.vic.gov.au/Grants-and-funding/Local-Government-energy-saver-program" TargetMode="External"/><Relationship Id="rId28" Type="http://schemas.openxmlformats.org/officeDocument/2006/relationships/hyperlink" Target="https://www.sustainability.vic.gov.au/PlasticBags" TargetMode="External"/><Relationship Id="rId36"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https://www.vic.gov.au/transforming-recycling-victoria" TargetMode="External"/><Relationship Id="rId31" Type="http://schemas.openxmlformats.org/officeDocument/2006/relationships/hyperlink" Target="https://www.sustainability.vic.gov.au/Grants-and-funding/Bioenergy-infrastructure-fund-gra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sustainability.vic.gov.au/Grants-and-funding/Community-power-hubs" TargetMode="External"/><Relationship Id="rId27" Type="http://schemas.openxmlformats.org/officeDocument/2006/relationships/hyperlink" Target="https://www.sustainability.vic.gov.au/campaigns/take2" TargetMode="External"/><Relationship Id="rId30" Type="http://schemas.openxmlformats.org/officeDocument/2006/relationships/hyperlink" Target="https://www.sustainability.vic.gov.au/detoxyourhome" TargetMode="External"/><Relationship Id="rId35" Type="http://schemas.openxmlformats.org/officeDocument/2006/relationships/package" Target="embeddings/Microsoft_Visio_Drawing.vsdx"/><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sustainability.vic.gov.au/PlasticBags" TargetMode="External"/><Relationship Id="rId25" Type="http://schemas.openxmlformats.org/officeDocument/2006/relationships/hyperlink" Target="https://www.sustainability.vic.gov.au/zeronetcarbonhomes" TargetMode="External"/><Relationship Id="rId33" Type="http://schemas.openxmlformats.org/officeDocument/2006/relationships/hyperlink" Target="https://www.sustainability.vic.gov.au/campaigns/love-Food-Hate-Waste/love-a-list" TargetMode="External"/><Relationship Id="rId38" Type="http://schemas.openxmlformats.org/officeDocument/2006/relationships/hyperlink" Target="http://www.sustainability.vic.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cfadden\Desktop\TEMPLATES\FINALS\Report_FINAL.dotm" TargetMode="External"/></Relationships>
</file>

<file path=word/theme/theme1.xml><?xml version="1.0" encoding="utf-8"?>
<a:theme xmlns:a="http://schemas.openxmlformats.org/drawingml/2006/main" name="Office Theme">
  <a:themeElements>
    <a:clrScheme name="000">
      <a:dk1>
        <a:sysClr val="windowText" lastClr="000000"/>
      </a:dk1>
      <a:lt1>
        <a:srgbClr val="82C341"/>
      </a:lt1>
      <a:dk2>
        <a:srgbClr val="BCBEC0"/>
      </a:dk2>
      <a:lt2>
        <a:srgbClr val="FFFFFF"/>
      </a:lt2>
      <a:accent1>
        <a:srgbClr val="82C341"/>
      </a:accent1>
      <a:accent2>
        <a:srgbClr val="000000"/>
      </a:accent2>
      <a:accent3>
        <a:srgbClr val="BCBEC0"/>
      </a:accent3>
      <a:accent4>
        <a:srgbClr val="6AA336"/>
      </a:accent4>
      <a:accent5>
        <a:srgbClr val="A7D278"/>
      </a:accent5>
      <a:accent6>
        <a:srgbClr val="CBE3AE"/>
      </a:accent6>
      <a:hlink>
        <a:srgbClr val="82C341"/>
      </a:hlink>
      <a:folHlink>
        <a:srgbClr val="A5A6A5"/>
      </a:folHlink>
    </a:clrScheme>
    <a:fontScheme name="AAT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9A8EE48D188E40978C7E15E9CBF16A" ma:contentTypeVersion="11" ma:contentTypeDescription="Create a new document." ma:contentTypeScope="" ma:versionID="cc31f832e7db56b116a81b1e5ae958f2">
  <xsd:schema xmlns:xsd="http://www.w3.org/2001/XMLSchema" xmlns:xs="http://www.w3.org/2001/XMLSchema" xmlns:p="http://schemas.microsoft.com/office/2006/metadata/properties" xmlns:ns2="b2e75932-c60b-42da-b52b-ae79902f6da7" xmlns:ns3="15e823f9-312a-4492-9c64-b74532480e2a" targetNamespace="http://schemas.microsoft.com/office/2006/metadata/properties" ma:root="true" ma:fieldsID="49745ead22a79b742384537b18ae7b41" ns2:_="" ns3:_="">
    <xsd:import namespace="b2e75932-c60b-42da-b52b-ae79902f6da7"/>
    <xsd:import namespace="15e823f9-312a-4492-9c64-b74532480e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75932-c60b-42da-b52b-ae79902f6d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e823f9-312a-4492-9c64-b74532480e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09C0B0-2137-40E7-B5C5-088E6FE891D2}">
  <ds:schemaRefs>
    <ds:schemaRef ds:uri="http://schemas.microsoft.com/sharepoint/v3/contenttype/forms"/>
  </ds:schemaRefs>
</ds:datastoreItem>
</file>

<file path=customXml/itemProps2.xml><?xml version="1.0" encoding="utf-8"?>
<ds:datastoreItem xmlns:ds="http://schemas.openxmlformats.org/officeDocument/2006/customXml" ds:itemID="{87B6E0DF-35AC-442E-A975-99711F6A5328}">
  <ds:schemaRefs>
    <ds:schemaRef ds:uri="http://schemas.openxmlformats.org/officeDocument/2006/bibliography"/>
  </ds:schemaRefs>
</ds:datastoreItem>
</file>

<file path=customXml/itemProps3.xml><?xml version="1.0" encoding="utf-8"?>
<ds:datastoreItem xmlns:ds="http://schemas.openxmlformats.org/officeDocument/2006/customXml" ds:itemID="{115911E8-37A0-466C-9151-F4D080DAF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75932-c60b-42da-b52b-ae79902f6da7"/>
    <ds:schemaRef ds:uri="15e823f9-312a-4492-9c64-b74532480e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75AAAA-063C-4266-A98C-A8732D42FFA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Report_FINAL.dotm</Template>
  <TotalTime>0</TotalTime>
  <Pages>7</Pages>
  <Words>27644</Words>
  <Characters>157577</Characters>
  <Application>Microsoft Office Word</Application>
  <DocSecurity>0</DocSecurity>
  <PresentationFormat/>
  <Lines>1313</Lines>
  <Paragraphs>369</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2019-20 Annual Report Draft v5 (KR feedback)_SV response</vt:lpstr>
    </vt:vector>
  </TitlesOfParts>
  <Manager/>
  <Company/>
  <LinksUpToDate>false</LinksUpToDate>
  <CharactersWithSpaces>184852</CharactersWithSpaces>
  <SharedDoc>false</SharedDoc>
  <HyperlinkBase/>
  <HLinks>
    <vt:vector size="444" baseType="variant">
      <vt:variant>
        <vt:i4>6684725</vt:i4>
      </vt:variant>
      <vt:variant>
        <vt:i4>552</vt:i4>
      </vt:variant>
      <vt:variant>
        <vt:i4>0</vt:i4>
      </vt:variant>
      <vt:variant>
        <vt:i4>5</vt:i4>
      </vt:variant>
      <vt:variant>
        <vt:lpwstr>http://www.data.vic.gov.au/</vt:lpwstr>
      </vt:variant>
      <vt:variant>
        <vt:lpwstr/>
      </vt:variant>
      <vt:variant>
        <vt:i4>196677</vt:i4>
      </vt:variant>
      <vt:variant>
        <vt:i4>549</vt:i4>
      </vt:variant>
      <vt:variant>
        <vt:i4>0</vt:i4>
      </vt:variant>
      <vt:variant>
        <vt:i4>5</vt:i4>
      </vt:variant>
      <vt:variant>
        <vt:lpwstr>http://www.sustainability.vic.gov.au/</vt:lpwstr>
      </vt:variant>
      <vt:variant>
        <vt:lpwstr/>
      </vt:variant>
      <vt:variant>
        <vt:i4>7340064</vt:i4>
      </vt:variant>
      <vt:variant>
        <vt:i4>546</vt:i4>
      </vt:variant>
      <vt:variant>
        <vt:i4>0</vt:i4>
      </vt:variant>
      <vt:variant>
        <vt:i4>5</vt:i4>
      </vt:variant>
      <vt:variant>
        <vt:lpwstr>http://www.ovic.vic.gov.au/</vt:lpwstr>
      </vt:variant>
      <vt:variant>
        <vt:lpwstr/>
      </vt:variant>
      <vt:variant>
        <vt:i4>458832</vt:i4>
      </vt:variant>
      <vt:variant>
        <vt:i4>444</vt:i4>
      </vt:variant>
      <vt:variant>
        <vt:i4>0</vt:i4>
      </vt:variant>
      <vt:variant>
        <vt:i4>5</vt:i4>
      </vt:variant>
      <vt:variant>
        <vt:lpwstr>https://www.sustainability.vic.gov.au/campaigns/love-Food-Hate-Waste/love-a-list</vt:lpwstr>
      </vt:variant>
      <vt:variant>
        <vt:lpwstr/>
      </vt:variant>
      <vt:variant>
        <vt:i4>7405682</vt:i4>
      </vt:variant>
      <vt:variant>
        <vt:i4>426</vt:i4>
      </vt:variant>
      <vt:variant>
        <vt:i4>0</vt:i4>
      </vt:variant>
      <vt:variant>
        <vt:i4>5</vt:i4>
      </vt:variant>
      <vt:variant>
        <vt:lpwstr>https://www.sustainability.vic.gov.au/detoxyourhome</vt:lpwstr>
      </vt:variant>
      <vt:variant>
        <vt:lpwstr/>
      </vt:variant>
      <vt:variant>
        <vt:i4>720985</vt:i4>
      </vt:variant>
      <vt:variant>
        <vt:i4>417</vt:i4>
      </vt:variant>
      <vt:variant>
        <vt:i4>0</vt:i4>
      </vt:variant>
      <vt:variant>
        <vt:i4>5</vt:i4>
      </vt:variant>
      <vt:variant>
        <vt:lpwstr>https://www.recycling.vic.gov.au/</vt:lpwstr>
      </vt:variant>
      <vt:variant>
        <vt:lpwstr/>
      </vt:variant>
      <vt:variant>
        <vt:i4>65551</vt:i4>
      </vt:variant>
      <vt:variant>
        <vt:i4>411</vt:i4>
      </vt:variant>
      <vt:variant>
        <vt:i4>0</vt:i4>
      </vt:variant>
      <vt:variant>
        <vt:i4>5</vt:i4>
      </vt:variant>
      <vt:variant>
        <vt:lpwstr>https://www.sustainability.vic.gov.au/PlasticBags</vt:lpwstr>
      </vt:variant>
      <vt:variant>
        <vt:lpwstr/>
      </vt:variant>
      <vt:variant>
        <vt:i4>5177356</vt:i4>
      </vt:variant>
      <vt:variant>
        <vt:i4>399</vt:i4>
      </vt:variant>
      <vt:variant>
        <vt:i4>0</vt:i4>
      </vt:variant>
      <vt:variant>
        <vt:i4>5</vt:i4>
      </vt:variant>
      <vt:variant>
        <vt:lpwstr>https://www.sustainability.vic.gov.au/campaigns/take2</vt:lpwstr>
      </vt:variant>
      <vt:variant>
        <vt:lpwstr/>
      </vt:variant>
      <vt:variant>
        <vt:i4>1114136</vt:i4>
      </vt:variant>
      <vt:variant>
        <vt:i4>396</vt:i4>
      </vt:variant>
      <vt:variant>
        <vt:i4>0</vt:i4>
      </vt:variant>
      <vt:variant>
        <vt:i4>5</vt:i4>
      </vt:variant>
      <vt:variant>
        <vt:lpwstr>https://www.sustainability.vic.gov.au/Grants-and-funding/Victorian-Healthy-Homes-Program</vt:lpwstr>
      </vt:variant>
      <vt:variant>
        <vt:lpwstr/>
      </vt:variant>
      <vt:variant>
        <vt:i4>1376285</vt:i4>
      </vt:variant>
      <vt:variant>
        <vt:i4>381</vt:i4>
      </vt:variant>
      <vt:variant>
        <vt:i4>0</vt:i4>
      </vt:variant>
      <vt:variant>
        <vt:i4>5</vt:i4>
      </vt:variant>
      <vt:variant>
        <vt:lpwstr>https://www.sustainability.vic.gov.au/zeronetcarbonhomes</vt:lpwstr>
      </vt:variant>
      <vt:variant>
        <vt:lpwstr/>
      </vt:variant>
      <vt:variant>
        <vt:i4>393242</vt:i4>
      </vt:variant>
      <vt:variant>
        <vt:i4>375</vt:i4>
      </vt:variant>
      <vt:variant>
        <vt:i4>0</vt:i4>
      </vt:variant>
      <vt:variant>
        <vt:i4>5</vt:i4>
      </vt:variant>
      <vt:variant>
        <vt:lpwstr>https://www.sustainability.vic.gov.au/betterbuildings</vt:lpwstr>
      </vt:variant>
      <vt:variant>
        <vt:lpwstr/>
      </vt:variant>
      <vt:variant>
        <vt:i4>2228325</vt:i4>
      </vt:variant>
      <vt:variant>
        <vt:i4>372</vt:i4>
      </vt:variant>
      <vt:variant>
        <vt:i4>0</vt:i4>
      </vt:variant>
      <vt:variant>
        <vt:i4>5</vt:i4>
      </vt:variant>
      <vt:variant>
        <vt:lpwstr>https://www.sustainability.vic.gov.au/Grants-and-funding/Local-Government-energy-saver-program</vt:lpwstr>
      </vt:variant>
      <vt:variant>
        <vt:lpwstr/>
      </vt:variant>
      <vt:variant>
        <vt:i4>655427</vt:i4>
      </vt:variant>
      <vt:variant>
        <vt:i4>369</vt:i4>
      </vt:variant>
      <vt:variant>
        <vt:i4>0</vt:i4>
      </vt:variant>
      <vt:variant>
        <vt:i4>5</vt:i4>
      </vt:variant>
      <vt:variant>
        <vt:lpwstr>https://www.sustainability.vic.gov.au/Grants-and-funding/Community-power-hubs</vt:lpwstr>
      </vt:variant>
      <vt:variant>
        <vt:lpwstr/>
      </vt:variant>
      <vt:variant>
        <vt:i4>262154</vt:i4>
      </vt:variant>
      <vt:variant>
        <vt:i4>348</vt:i4>
      </vt:variant>
      <vt:variant>
        <vt:i4>0</vt:i4>
      </vt:variant>
      <vt:variant>
        <vt:i4>5</vt:i4>
      </vt:variant>
      <vt:variant>
        <vt:lpwstr>http://www.sustainability.vic.gov.au/schools</vt:lpwstr>
      </vt:variant>
      <vt:variant>
        <vt:lpwstr/>
      </vt:variant>
      <vt:variant>
        <vt:i4>5439499</vt:i4>
      </vt:variant>
      <vt:variant>
        <vt:i4>333</vt:i4>
      </vt:variant>
      <vt:variant>
        <vt:i4>0</vt:i4>
      </vt:variant>
      <vt:variant>
        <vt:i4>5</vt:i4>
      </vt:variant>
      <vt:variant>
        <vt:lpwstr>https://www.audit.vic.gov.au/report/recovering-and-reprocessing-resources-waste?section=</vt:lpwstr>
      </vt:variant>
      <vt:variant>
        <vt:lpwstr/>
      </vt:variant>
      <vt:variant>
        <vt:i4>2162787</vt:i4>
      </vt:variant>
      <vt:variant>
        <vt:i4>330</vt:i4>
      </vt:variant>
      <vt:variant>
        <vt:i4>0</vt:i4>
      </vt:variant>
      <vt:variant>
        <vt:i4>5</vt:i4>
      </vt:variant>
      <vt:variant>
        <vt:lpwstr>https://www.vic.gov.au/transforming-recycling-victoria</vt:lpwstr>
      </vt:variant>
      <vt:variant>
        <vt:lpwstr/>
      </vt:variant>
      <vt:variant>
        <vt:i4>3801128</vt:i4>
      </vt:variant>
      <vt:variant>
        <vt:i4>327</vt:i4>
      </vt:variant>
      <vt:variant>
        <vt:i4>0</vt:i4>
      </vt:variant>
      <vt:variant>
        <vt:i4>5</vt:i4>
      </vt:variant>
      <vt:variant>
        <vt:lpwstr>https://www.sustainability.vic.gov.au/Grants-and-funding/Recycling-Victoria-Infrastructure-Fund</vt:lpwstr>
      </vt:variant>
      <vt:variant>
        <vt:lpwstr/>
      </vt:variant>
      <vt:variant>
        <vt:i4>65551</vt:i4>
      </vt:variant>
      <vt:variant>
        <vt:i4>324</vt:i4>
      </vt:variant>
      <vt:variant>
        <vt:i4>0</vt:i4>
      </vt:variant>
      <vt:variant>
        <vt:i4>5</vt:i4>
      </vt:variant>
      <vt:variant>
        <vt:lpwstr>https://www.sustainability.vic.gov.au/PlasticBags</vt:lpwstr>
      </vt:variant>
      <vt:variant>
        <vt:lpwstr/>
      </vt:variant>
      <vt:variant>
        <vt:i4>1114164</vt:i4>
      </vt:variant>
      <vt:variant>
        <vt:i4>317</vt:i4>
      </vt:variant>
      <vt:variant>
        <vt:i4>0</vt:i4>
      </vt:variant>
      <vt:variant>
        <vt:i4>5</vt:i4>
      </vt:variant>
      <vt:variant>
        <vt:lpwstr/>
      </vt:variant>
      <vt:variant>
        <vt:lpwstr>_Toc57650175</vt:lpwstr>
      </vt:variant>
      <vt:variant>
        <vt:i4>1048628</vt:i4>
      </vt:variant>
      <vt:variant>
        <vt:i4>311</vt:i4>
      </vt:variant>
      <vt:variant>
        <vt:i4>0</vt:i4>
      </vt:variant>
      <vt:variant>
        <vt:i4>5</vt:i4>
      </vt:variant>
      <vt:variant>
        <vt:lpwstr/>
      </vt:variant>
      <vt:variant>
        <vt:lpwstr>_Toc57650174</vt:lpwstr>
      </vt:variant>
      <vt:variant>
        <vt:i4>1507380</vt:i4>
      </vt:variant>
      <vt:variant>
        <vt:i4>305</vt:i4>
      </vt:variant>
      <vt:variant>
        <vt:i4>0</vt:i4>
      </vt:variant>
      <vt:variant>
        <vt:i4>5</vt:i4>
      </vt:variant>
      <vt:variant>
        <vt:lpwstr/>
      </vt:variant>
      <vt:variant>
        <vt:lpwstr>_Toc57650173</vt:lpwstr>
      </vt:variant>
      <vt:variant>
        <vt:i4>1441844</vt:i4>
      </vt:variant>
      <vt:variant>
        <vt:i4>299</vt:i4>
      </vt:variant>
      <vt:variant>
        <vt:i4>0</vt:i4>
      </vt:variant>
      <vt:variant>
        <vt:i4>5</vt:i4>
      </vt:variant>
      <vt:variant>
        <vt:lpwstr/>
      </vt:variant>
      <vt:variant>
        <vt:lpwstr>_Toc57650172</vt:lpwstr>
      </vt:variant>
      <vt:variant>
        <vt:i4>1376308</vt:i4>
      </vt:variant>
      <vt:variant>
        <vt:i4>293</vt:i4>
      </vt:variant>
      <vt:variant>
        <vt:i4>0</vt:i4>
      </vt:variant>
      <vt:variant>
        <vt:i4>5</vt:i4>
      </vt:variant>
      <vt:variant>
        <vt:lpwstr/>
      </vt:variant>
      <vt:variant>
        <vt:lpwstr>_Toc57650171</vt:lpwstr>
      </vt:variant>
      <vt:variant>
        <vt:i4>1310772</vt:i4>
      </vt:variant>
      <vt:variant>
        <vt:i4>287</vt:i4>
      </vt:variant>
      <vt:variant>
        <vt:i4>0</vt:i4>
      </vt:variant>
      <vt:variant>
        <vt:i4>5</vt:i4>
      </vt:variant>
      <vt:variant>
        <vt:lpwstr/>
      </vt:variant>
      <vt:variant>
        <vt:lpwstr>_Toc57650170</vt:lpwstr>
      </vt:variant>
      <vt:variant>
        <vt:i4>1900597</vt:i4>
      </vt:variant>
      <vt:variant>
        <vt:i4>281</vt:i4>
      </vt:variant>
      <vt:variant>
        <vt:i4>0</vt:i4>
      </vt:variant>
      <vt:variant>
        <vt:i4>5</vt:i4>
      </vt:variant>
      <vt:variant>
        <vt:lpwstr/>
      </vt:variant>
      <vt:variant>
        <vt:lpwstr>_Toc57650169</vt:lpwstr>
      </vt:variant>
      <vt:variant>
        <vt:i4>1835061</vt:i4>
      </vt:variant>
      <vt:variant>
        <vt:i4>275</vt:i4>
      </vt:variant>
      <vt:variant>
        <vt:i4>0</vt:i4>
      </vt:variant>
      <vt:variant>
        <vt:i4>5</vt:i4>
      </vt:variant>
      <vt:variant>
        <vt:lpwstr/>
      </vt:variant>
      <vt:variant>
        <vt:lpwstr>_Toc57650168</vt:lpwstr>
      </vt:variant>
      <vt:variant>
        <vt:i4>1245237</vt:i4>
      </vt:variant>
      <vt:variant>
        <vt:i4>269</vt:i4>
      </vt:variant>
      <vt:variant>
        <vt:i4>0</vt:i4>
      </vt:variant>
      <vt:variant>
        <vt:i4>5</vt:i4>
      </vt:variant>
      <vt:variant>
        <vt:lpwstr/>
      </vt:variant>
      <vt:variant>
        <vt:lpwstr>_Toc57650167</vt:lpwstr>
      </vt:variant>
      <vt:variant>
        <vt:i4>1179701</vt:i4>
      </vt:variant>
      <vt:variant>
        <vt:i4>263</vt:i4>
      </vt:variant>
      <vt:variant>
        <vt:i4>0</vt:i4>
      </vt:variant>
      <vt:variant>
        <vt:i4>5</vt:i4>
      </vt:variant>
      <vt:variant>
        <vt:lpwstr/>
      </vt:variant>
      <vt:variant>
        <vt:lpwstr>_Toc57650166</vt:lpwstr>
      </vt:variant>
      <vt:variant>
        <vt:i4>1114165</vt:i4>
      </vt:variant>
      <vt:variant>
        <vt:i4>257</vt:i4>
      </vt:variant>
      <vt:variant>
        <vt:i4>0</vt:i4>
      </vt:variant>
      <vt:variant>
        <vt:i4>5</vt:i4>
      </vt:variant>
      <vt:variant>
        <vt:lpwstr/>
      </vt:variant>
      <vt:variant>
        <vt:lpwstr>_Toc57650165</vt:lpwstr>
      </vt:variant>
      <vt:variant>
        <vt:i4>1048629</vt:i4>
      </vt:variant>
      <vt:variant>
        <vt:i4>251</vt:i4>
      </vt:variant>
      <vt:variant>
        <vt:i4>0</vt:i4>
      </vt:variant>
      <vt:variant>
        <vt:i4>5</vt:i4>
      </vt:variant>
      <vt:variant>
        <vt:lpwstr/>
      </vt:variant>
      <vt:variant>
        <vt:lpwstr>_Toc57650164</vt:lpwstr>
      </vt:variant>
      <vt:variant>
        <vt:i4>1507381</vt:i4>
      </vt:variant>
      <vt:variant>
        <vt:i4>245</vt:i4>
      </vt:variant>
      <vt:variant>
        <vt:i4>0</vt:i4>
      </vt:variant>
      <vt:variant>
        <vt:i4>5</vt:i4>
      </vt:variant>
      <vt:variant>
        <vt:lpwstr/>
      </vt:variant>
      <vt:variant>
        <vt:lpwstr>_Toc57650163</vt:lpwstr>
      </vt:variant>
      <vt:variant>
        <vt:i4>1441845</vt:i4>
      </vt:variant>
      <vt:variant>
        <vt:i4>239</vt:i4>
      </vt:variant>
      <vt:variant>
        <vt:i4>0</vt:i4>
      </vt:variant>
      <vt:variant>
        <vt:i4>5</vt:i4>
      </vt:variant>
      <vt:variant>
        <vt:lpwstr/>
      </vt:variant>
      <vt:variant>
        <vt:lpwstr>_Toc57650162</vt:lpwstr>
      </vt:variant>
      <vt:variant>
        <vt:i4>1376309</vt:i4>
      </vt:variant>
      <vt:variant>
        <vt:i4>233</vt:i4>
      </vt:variant>
      <vt:variant>
        <vt:i4>0</vt:i4>
      </vt:variant>
      <vt:variant>
        <vt:i4>5</vt:i4>
      </vt:variant>
      <vt:variant>
        <vt:lpwstr/>
      </vt:variant>
      <vt:variant>
        <vt:lpwstr>_Toc57650161</vt:lpwstr>
      </vt:variant>
      <vt:variant>
        <vt:i4>1310773</vt:i4>
      </vt:variant>
      <vt:variant>
        <vt:i4>227</vt:i4>
      </vt:variant>
      <vt:variant>
        <vt:i4>0</vt:i4>
      </vt:variant>
      <vt:variant>
        <vt:i4>5</vt:i4>
      </vt:variant>
      <vt:variant>
        <vt:lpwstr/>
      </vt:variant>
      <vt:variant>
        <vt:lpwstr>_Toc57650160</vt:lpwstr>
      </vt:variant>
      <vt:variant>
        <vt:i4>1900598</vt:i4>
      </vt:variant>
      <vt:variant>
        <vt:i4>221</vt:i4>
      </vt:variant>
      <vt:variant>
        <vt:i4>0</vt:i4>
      </vt:variant>
      <vt:variant>
        <vt:i4>5</vt:i4>
      </vt:variant>
      <vt:variant>
        <vt:lpwstr/>
      </vt:variant>
      <vt:variant>
        <vt:lpwstr>_Toc57650159</vt:lpwstr>
      </vt:variant>
      <vt:variant>
        <vt:i4>1835062</vt:i4>
      </vt:variant>
      <vt:variant>
        <vt:i4>215</vt:i4>
      </vt:variant>
      <vt:variant>
        <vt:i4>0</vt:i4>
      </vt:variant>
      <vt:variant>
        <vt:i4>5</vt:i4>
      </vt:variant>
      <vt:variant>
        <vt:lpwstr/>
      </vt:variant>
      <vt:variant>
        <vt:lpwstr>_Toc57650158</vt:lpwstr>
      </vt:variant>
      <vt:variant>
        <vt:i4>1245238</vt:i4>
      </vt:variant>
      <vt:variant>
        <vt:i4>209</vt:i4>
      </vt:variant>
      <vt:variant>
        <vt:i4>0</vt:i4>
      </vt:variant>
      <vt:variant>
        <vt:i4>5</vt:i4>
      </vt:variant>
      <vt:variant>
        <vt:lpwstr/>
      </vt:variant>
      <vt:variant>
        <vt:lpwstr>_Toc57650157</vt:lpwstr>
      </vt:variant>
      <vt:variant>
        <vt:i4>1179702</vt:i4>
      </vt:variant>
      <vt:variant>
        <vt:i4>203</vt:i4>
      </vt:variant>
      <vt:variant>
        <vt:i4>0</vt:i4>
      </vt:variant>
      <vt:variant>
        <vt:i4>5</vt:i4>
      </vt:variant>
      <vt:variant>
        <vt:lpwstr/>
      </vt:variant>
      <vt:variant>
        <vt:lpwstr>_Toc57650156</vt:lpwstr>
      </vt:variant>
      <vt:variant>
        <vt:i4>1114166</vt:i4>
      </vt:variant>
      <vt:variant>
        <vt:i4>197</vt:i4>
      </vt:variant>
      <vt:variant>
        <vt:i4>0</vt:i4>
      </vt:variant>
      <vt:variant>
        <vt:i4>5</vt:i4>
      </vt:variant>
      <vt:variant>
        <vt:lpwstr/>
      </vt:variant>
      <vt:variant>
        <vt:lpwstr>_Toc57650155</vt:lpwstr>
      </vt:variant>
      <vt:variant>
        <vt:i4>1048630</vt:i4>
      </vt:variant>
      <vt:variant>
        <vt:i4>191</vt:i4>
      </vt:variant>
      <vt:variant>
        <vt:i4>0</vt:i4>
      </vt:variant>
      <vt:variant>
        <vt:i4>5</vt:i4>
      </vt:variant>
      <vt:variant>
        <vt:lpwstr/>
      </vt:variant>
      <vt:variant>
        <vt:lpwstr>_Toc57650154</vt:lpwstr>
      </vt:variant>
      <vt:variant>
        <vt:i4>1507382</vt:i4>
      </vt:variant>
      <vt:variant>
        <vt:i4>185</vt:i4>
      </vt:variant>
      <vt:variant>
        <vt:i4>0</vt:i4>
      </vt:variant>
      <vt:variant>
        <vt:i4>5</vt:i4>
      </vt:variant>
      <vt:variant>
        <vt:lpwstr/>
      </vt:variant>
      <vt:variant>
        <vt:lpwstr>_Toc57650153</vt:lpwstr>
      </vt:variant>
      <vt:variant>
        <vt:i4>1441846</vt:i4>
      </vt:variant>
      <vt:variant>
        <vt:i4>179</vt:i4>
      </vt:variant>
      <vt:variant>
        <vt:i4>0</vt:i4>
      </vt:variant>
      <vt:variant>
        <vt:i4>5</vt:i4>
      </vt:variant>
      <vt:variant>
        <vt:lpwstr/>
      </vt:variant>
      <vt:variant>
        <vt:lpwstr>_Toc57650152</vt:lpwstr>
      </vt:variant>
      <vt:variant>
        <vt:i4>1376310</vt:i4>
      </vt:variant>
      <vt:variant>
        <vt:i4>173</vt:i4>
      </vt:variant>
      <vt:variant>
        <vt:i4>0</vt:i4>
      </vt:variant>
      <vt:variant>
        <vt:i4>5</vt:i4>
      </vt:variant>
      <vt:variant>
        <vt:lpwstr/>
      </vt:variant>
      <vt:variant>
        <vt:lpwstr>_Toc57650151</vt:lpwstr>
      </vt:variant>
      <vt:variant>
        <vt:i4>1310774</vt:i4>
      </vt:variant>
      <vt:variant>
        <vt:i4>167</vt:i4>
      </vt:variant>
      <vt:variant>
        <vt:i4>0</vt:i4>
      </vt:variant>
      <vt:variant>
        <vt:i4>5</vt:i4>
      </vt:variant>
      <vt:variant>
        <vt:lpwstr/>
      </vt:variant>
      <vt:variant>
        <vt:lpwstr>_Toc57650150</vt:lpwstr>
      </vt:variant>
      <vt:variant>
        <vt:i4>1900599</vt:i4>
      </vt:variant>
      <vt:variant>
        <vt:i4>161</vt:i4>
      </vt:variant>
      <vt:variant>
        <vt:i4>0</vt:i4>
      </vt:variant>
      <vt:variant>
        <vt:i4>5</vt:i4>
      </vt:variant>
      <vt:variant>
        <vt:lpwstr/>
      </vt:variant>
      <vt:variant>
        <vt:lpwstr>_Toc57650149</vt:lpwstr>
      </vt:variant>
      <vt:variant>
        <vt:i4>1835063</vt:i4>
      </vt:variant>
      <vt:variant>
        <vt:i4>155</vt:i4>
      </vt:variant>
      <vt:variant>
        <vt:i4>0</vt:i4>
      </vt:variant>
      <vt:variant>
        <vt:i4>5</vt:i4>
      </vt:variant>
      <vt:variant>
        <vt:lpwstr/>
      </vt:variant>
      <vt:variant>
        <vt:lpwstr>_Toc57650148</vt:lpwstr>
      </vt:variant>
      <vt:variant>
        <vt:i4>1245239</vt:i4>
      </vt:variant>
      <vt:variant>
        <vt:i4>149</vt:i4>
      </vt:variant>
      <vt:variant>
        <vt:i4>0</vt:i4>
      </vt:variant>
      <vt:variant>
        <vt:i4>5</vt:i4>
      </vt:variant>
      <vt:variant>
        <vt:lpwstr/>
      </vt:variant>
      <vt:variant>
        <vt:lpwstr>_Toc57650147</vt:lpwstr>
      </vt:variant>
      <vt:variant>
        <vt:i4>1179703</vt:i4>
      </vt:variant>
      <vt:variant>
        <vt:i4>143</vt:i4>
      </vt:variant>
      <vt:variant>
        <vt:i4>0</vt:i4>
      </vt:variant>
      <vt:variant>
        <vt:i4>5</vt:i4>
      </vt:variant>
      <vt:variant>
        <vt:lpwstr/>
      </vt:variant>
      <vt:variant>
        <vt:lpwstr>_Toc57650146</vt:lpwstr>
      </vt:variant>
      <vt:variant>
        <vt:i4>1114167</vt:i4>
      </vt:variant>
      <vt:variant>
        <vt:i4>137</vt:i4>
      </vt:variant>
      <vt:variant>
        <vt:i4>0</vt:i4>
      </vt:variant>
      <vt:variant>
        <vt:i4>5</vt:i4>
      </vt:variant>
      <vt:variant>
        <vt:lpwstr/>
      </vt:variant>
      <vt:variant>
        <vt:lpwstr>_Toc57650145</vt:lpwstr>
      </vt:variant>
      <vt:variant>
        <vt:i4>1048631</vt:i4>
      </vt:variant>
      <vt:variant>
        <vt:i4>131</vt:i4>
      </vt:variant>
      <vt:variant>
        <vt:i4>0</vt:i4>
      </vt:variant>
      <vt:variant>
        <vt:i4>5</vt:i4>
      </vt:variant>
      <vt:variant>
        <vt:lpwstr/>
      </vt:variant>
      <vt:variant>
        <vt:lpwstr>_Toc57650144</vt:lpwstr>
      </vt:variant>
      <vt:variant>
        <vt:i4>1507383</vt:i4>
      </vt:variant>
      <vt:variant>
        <vt:i4>125</vt:i4>
      </vt:variant>
      <vt:variant>
        <vt:i4>0</vt:i4>
      </vt:variant>
      <vt:variant>
        <vt:i4>5</vt:i4>
      </vt:variant>
      <vt:variant>
        <vt:lpwstr/>
      </vt:variant>
      <vt:variant>
        <vt:lpwstr>_Toc57650143</vt:lpwstr>
      </vt:variant>
      <vt:variant>
        <vt:i4>1441847</vt:i4>
      </vt:variant>
      <vt:variant>
        <vt:i4>119</vt:i4>
      </vt:variant>
      <vt:variant>
        <vt:i4>0</vt:i4>
      </vt:variant>
      <vt:variant>
        <vt:i4>5</vt:i4>
      </vt:variant>
      <vt:variant>
        <vt:lpwstr/>
      </vt:variant>
      <vt:variant>
        <vt:lpwstr>_Toc57650142</vt:lpwstr>
      </vt:variant>
      <vt:variant>
        <vt:i4>1376311</vt:i4>
      </vt:variant>
      <vt:variant>
        <vt:i4>113</vt:i4>
      </vt:variant>
      <vt:variant>
        <vt:i4>0</vt:i4>
      </vt:variant>
      <vt:variant>
        <vt:i4>5</vt:i4>
      </vt:variant>
      <vt:variant>
        <vt:lpwstr/>
      </vt:variant>
      <vt:variant>
        <vt:lpwstr>_Toc57650141</vt:lpwstr>
      </vt:variant>
      <vt:variant>
        <vt:i4>1310775</vt:i4>
      </vt:variant>
      <vt:variant>
        <vt:i4>107</vt:i4>
      </vt:variant>
      <vt:variant>
        <vt:i4>0</vt:i4>
      </vt:variant>
      <vt:variant>
        <vt:i4>5</vt:i4>
      </vt:variant>
      <vt:variant>
        <vt:lpwstr/>
      </vt:variant>
      <vt:variant>
        <vt:lpwstr>_Toc57650140</vt:lpwstr>
      </vt:variant>
      <vt:variant>
        <vt:i4>1900592</vt:i4>
      </vt:variant>
      <vt:variant>
        <vt:i4>101</vt:i4>
      </vt:variant>
      <vt:variant>
        <vt:i4>0</vt:i4>
      </vt:variant>
      <vt:variant>
        <vt:i4>5</vt:i4>
      </vt:variant>
      <vt:variant>
        <vt:lpwstr/>
      </vt:variant>
      <vt:variant>
        <vt:lpwstr>_Toc57650139</vt:lpwstr>
      </vt:variant>
      <vt:variant>
        <vt:i4>1835056</vt:i4>
      </vt:variant>
      <vt:variant>
        <vt:i4>95</vt:i4>
      </vt:variant>
      <vt:variant>
        <vt:i4>0</vt:i4>
      </vt:variant>
      <vt:variant>
        <vt:i4>5</vt:i4>
      </vt:variant>
      <vt:variant>
        <vt:lpwstr/>
      </vt:variant>
      <vt:variant>
        <vt:lpwstr>_Toc57650138</vt:lpwstr>
      </vt:variant>
      <vt:variant>
        <vt:i4>1245232</vt:i4>
      </vt:variant>
      <vt:variant>
        <vt:i4>89</vt:i4>
      </vt:variant>
      <vt:variant>
        <vt:i4>0</vt:i4>
      </vt:variant>
      <vt:variant>
        <vt:i4>5</vt:i4>
      </vt:variant>
      <vt:variant>
        <vt:lpwstr/>
      </vt:variant>
      <vt:variant>
        <vt:lpwstr>_Toc57650137</vt:lpwstr>
      </vt:variant>
      <vt:variant>
        <vt:i4>1179696</vt:i4>
      </vt:variant>
      <vt:variant>
        <vt:i4>83</vt:i4>
      </vt:variant>
      <vt:variant>
        <vt:i4>0</vt:i4>
      </vt:variant>
      <vt:variant>
        <vt:i4>5</vt:i4>
      </vt:variant>
      <vt:variant>
        <vt:lpwstr/>
      </vt:variant>
      <vt:variant>
        <vt:lpwstr>_Toc57650136</vt:lpwstr>
      </vt:variant>
      <vt:variant>
        <vt:i4>1114160</vt:i4>
      </vt:variant>
      <vt:variant>
        <vt:i4>77</vt:i4>
      </vt:variant>
      <vt:variant>
        <vt:i4>0</vt:i4>
      </vt:variant>
      <vt:variant>
        <vt:i4>5</vt:i4>
      </vt:variant>
      <vt:variant>
        <vt:lpwstr/>
      </vt:variant>
      <vt:variant>
        <vt:lpwstr>_Toc57650135</vt:lpwstr>
      </vt:variant>
      <vt:variant>
        <vt:i4>1048624</vt:i4>
      </vt:variant>
      <vt:variant>
        <vt:i4>71</vt:i4>
      </vt:variant>
      <vt:variant>
        <vt:i4>0</vt:i4>
      </vt:variant>
      <vt:variant>
        <vt:i4>5</vt:i4>
      </vt:variant>
      <vt:variant>
        <vt:lpwstr/>
      </vt:variant>
      <vt:variant>
        <vt:lpwstr>_Toc57650134</vt:lpwstr>
      </vt:variant>
      <vt:variant>
        <vt:i4>1507376</vt:i4>
      </vt:variant>
      <vt:variant>
        <vt:i4>65</vt:i4>
      </vt:variant>
      <vt:variant>
        <vt:i4>0</vt:i4>
      </vt:variant>
      <vt:variant>
        <vt:i4>5</vt:i4>
      </vt:variant>
      <vt:variant>
        <vt:lpwstr/>
      </vt:variant>
      <vt:variant>
        <vt:lpwstr>_Toc57650133</vt:lpwstr>
      </vt:variant>
      <vt:variant>
        <vt:i4>1441840</vt:i4>
      </vt:variant>
      <vt:variant>
        <vt:i4>59</vt:i4>
      </vt:variant>
      <vt:variant>
        <vt:i4>0</vt:i4>
      </vt:variant>
      <vt:variant>
        <vt:i4>5</vt:i4>
      </vt:variant>
      <vt:variant>
        <vt:lpwstr/>
      </vt:variant>
      <vt:variant>
        <vt:lpwstr>_Toc57650132</vt:lpwstr>
      </vt:variant>
      <vt:variant>
        <vt:i4>1376304</vt:i4>
      </vt:variant>
      <vt:variant>
        <vt:i4>53</vt:i4>
      </vt:variant>
      <vt:variant>
        <vt:i4>0</vt:i4>
      </vt:variant>
      <vt:variant>
        <vt:i4>5</vt:i4>
      </vt:variant>
      <vt:variant>
        <vt:lpwstr/>
      </vt:variant>
      <vt:variant>
        <vt:lpwstr>_Toc57650131</vt:lpwstr>
      </vt:variant>
      <vt:variant>
        <vt:i4>1310768</vt:i4>
      </vt:variant>
      <vt:variant>
        <vt:i4>47</vt:i4>
      </vt:variant>
      <vt:variant>
        <vt:i4>0</vt:i4>
      </vt:variant>
      <vt:variant>
        <vt:i4>5</vt:i4>
      </vt:variant>
      <vt:variant>
        <vt:lpwstr/>
      </vt:variant>
      <vt:variant>
        <vt:lpwstr>_Toc57650130</vt:lpwstr>
      </vt:variant>
      <vt:variant>
        <vt:i4>1900593</vt:i4>
      </vt:variant>
      <vt:variant>
        <vt:i4>41</vt:i4>
      </vt:variant>
      <vt:variant>
        <vt:i4>0</vt:i4>
      </vt:variant>
      <vt:variant>
        <vt:i4>5</vt:i4>
      </vt:variant>
      <vt:variant>
        <vt:lpwstr/>
      </vt:variant>
      <vt:variant>
        <vt:lpwstr>_Toc57650129</vt:lpwstr>
      </vt:variant>
      <vt:variant>
        <vt:i4>1835057</vt:i4>
      </vt:variant>
      <vt:variant>
        <vt:i4>35</vt:i4>
      </vt:variant>
      <vt:variant>
        <vt:i4>0</vt:i4>
      </vt:variant>
      <vt:variant>
        <vt:i4>5</vt:i4>
      </vt:variant>
      <vt:variant>
        <vt:lpwstr/>
      </vt:variant>
      <vt:variant>
        <vt:lpwstr>_Toc57650128</vt:lpwstr>
      </vt:variant>
      <vt:variant>
        <vt:i4>1245233</vt:i4>
      </vt:variant>
      <vt:variant>
        <vt:i4>29</vt:i4>
      </vt:variant>
      <vt:variant>
        <vt:i4>0</vt:i4>
      </vt:variant>
      <vt:variant>
        <vt:i4>5</vt:i4>
      </vt:variant>
      <vt:variant>
        <vt:lpwstr/>
      </vt:variant>
      <vt:variant>
        <vt:lpwstr>_Toc57650127</vt:lpwstr>
      </vt:variant>
      <vt:variant>
        <vt:i4>1179697</vt:i4>
      </vt:variant>
      <vt:variant>
        <vt:i4>23</vt:i4>
      </vt:variant>
      <vt:variant>
        <vt:i4>0</vt:i4>
      </vt:variant>
      <vt:variant>
        <vt:i4>5</vt:i4>
      </vt:variant>
      <vt:variant>
        <vt:lpwstr/>
      </vt:variant>
      <vt:variant>
        <vt:lpwstr>_Toc57650126</vt:lpwstr>
      </vt:variant>
      <vt:variant>
        <vt:i4>1114161</vt:i4>
      </vt:variant>
      <vt:variant>
        <vt:i4>17</vt:i4>
      </vt:variant>
      <vt:variant>
        <vt:i4>0</vt:i4>
      </vt:variant>
      <vt:variant>
        <vt:i4>5</vt:i4>
      </vt:variant>
      <vt:variant>
        <vt:lpwstr/>
      </vt:variant>
      <vt:variant>
        <vt:lpwstr>_Toc57650125</vt:lpwstr>
      </vt:variant>
      <vt:variant>
        <vt:i4>1048625</vt:i4>
      </vt:variant>
      <vt:variant>
        <vt:i4>11</vt:i4>
      </vt:variant>
      <vt:variant>
        <vt:i4>0</vt:i4>
      </vt:variant>
      <vt:variant>
        <vt:i4>5</vt:i4>
      </vt:variant>
      <vt:variant>
        <vt:lpwstr/>
      </vt:variant>
      <vt:variant>
        <vt:lpwstr>_Toc57650124</vt:lpwstr>
      </vt:variant>
      <vt:variant>
        <vt:i4>1507377</vt:i4>
      </vt:variant>
      <vt:variant>
        <vt:i4>5</vt:i4>
      </vt:variant>
      <vt:variant>
        <vt:i4>0</vt:i4>
      </vt:variant>
      <vt:variant>
        <vt:i4>5</vt:i4>
      </vt:variant>
      <vt:variant>
        <vt:lpwstr/>
      </vt:variant>
      <vt:variant>
        <vt:lpwstr>_Toc57650123</vt:lpwstr>
      </vt:variant>
      <vt:variant>
        <vt:i4>3473510</vt:i4>
      </vt:variant>
      <vt:variant>
        <vt:i4>0</vt:i4>
      </vt:variant>
      <vt:variant>
        <vt:i4>0</vt:i4>
      </vt:variant>
      <vt:variant>
        <vt:i4>5</vt:i4>
      </vt:variant>
      <vt:variant>
        <vt:lpwstr>C:\Users\keeli\Dropbox\Work\SV - annual report\www.sustainability.vic.gov.au</vt:lpwstr>
      </vt:variant>
      <vt:variant>
        <vt:lpwstr/>
      </vt:variant>
      <vt:variant>
        <vt:i4>3211351</vt:i4>
      </vt:variant>
      <vt:variant>
        <vt:i4>0</vt:i4>
      </vt:variant>
      <vt:variant>
        <vt:i4>0</vt:i4>
      </vt:variant>
      <vt:variant>
        <vt:i4>5</vt:i4>
      </vt:variant>
      <vt:variant>
        <vt:lpwstr>mailto:Thilaka.Satha@sustainability.vic.gov.au</vt:lpwstr>
      </vt:variant>
      <vt:variant>
        <vt:lpwstr/>
      </vt:variant>
      <vt:variant>
        <vt:i4>5308496</vt:i4>
      </vt:variant>
      <vt:variant>
        <vt:i4>0</vt:i4>
      </vt:variant>
      <vt:variant>
        <vt:i4>0</vt:i4>
      </vt:variant>
      <vt:variant>
        <vt:i4>5</vt:i4>
      </vt:variant>
      <vt:variant>
        <vt:lpwstr>https://www.sustainability.vic.gov.au/Grants-and-funding/Bioenergy-infrastructure-fund-grants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 Annual Report Draft v5 (KR feedback)_SV response</dc:title>
  <dc:subject/>
  <dc:creator>Thilaka Satha</dc:creator>
  <cp:keywords/>
  <dc:description/>
  <cp:lastModifiedBy>Thilaka Satha</cp:lastModifiedBy>
  <cp:revision>2</cp:revision>
  <cp:lastPrinted>2019-09-13T03:03:00Z</cp:lastPrinted>
  <dcterms:created xsi:type="dcterms:W3CDTF">2021-05-19T06:13:00Z</dcterms:created>
  <dcterms:modified xsi:type="dcterms:W3CDTF">2021-05-19T06:13:00Z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Title">
    <vt:lpwstr/>
  </property>
  <property fmtid="{D5CDD505-2E9C-101B-9397-08002B2CF9AE}" pid="3" name="CoverDate">
    <vt:lpwstr/>
  </property>
  <property fmtid="{D5CDD505-2E9C-101B-9397-08002B2CF9AE}" pid="4" name="CoverReportBy">
    <vt:lpwstr/>
  </property>
  <property fmtid="{D5CDD505-2E9C-101B-9397-08002B2CF9AE}" pid="5" name="CoverSubtitle">
    <vt:lpwstr/>
  </property>
  <property fmtid="{D5CDD505-2E9C-101B-9397-08002B2CF9AE}" pid="6" name="ContentTypeId">
    <vt:lpwstr>0x010100639A8EE48D188E40978C7E15E9CBF16A</vt:lpwstr>
  </property>
  <property fmtid="{D5CDD505-2E9C-101B-9397-08002B2CF9AE}" pid="7" name="m2a46786ab4242859a6101eb70b9b150">
    <vt:lpwstr/>
  </property>
  <property fmtid="{D5CDD505-2E9C-101B-9397-08002B2CF9AE}" pid="8" name="DM Key Word">
    <vt:lpwstr>81;#Annual Report|cd5ad8f2-1be3-46b2-96e8-540ef1b248c2</vt:lpwstr>
  </property>
  <property fmtid="{D5CDD505-2E9C-101B-9397-08002B2CF9AE}" pid="9" name="ndce0d0d55a349928d36ed823709dfec">
    <vt:lpwstr/>
  </property>
  <property fmtid="{D5CDD505-2E9C-101B-9397-08002B2CF9AE}" pid="10" name="oa9ff634f432497fbe7a448b9e66b205">
    <vt:lpwstr/>
  </property>
  <property fmtid="{D5CDD505-2E9C-101B-9397-08002B2CF9AE}" pid="11" name="lbd76de8d1c447e69ed2be2b10a21be3">
    <vt:lpwstr/>
  </property>
  <property fmtid="{D5CDD505-2E9C-101B-9397-08002B2CF9AE}" pid="12" name="Security Classification">
    <vt:lpwstr/>
  </property>
  <property fmtid="{D5CDD505-2E9C-101B-9397-08002B2CF9AE}" pid="13" name="Report Type">
    <vt:lpwstr/>
  </property>
  <property fmtid="{D5CDD505-2E9C-101B-9397-08002B2CF9AE}" pid="14" name="Team1">
    <vt:lpwstr/>
  </property>
  <property fmtid="{D5CDD505-2E9C-101B-9397-08002B2CF9AE}" pid="15" name="Financial Year">
    <vt:lpwstr/>
  </property>
  <property fmtid="{D5CDD505-2E9C-101B-9397-08002B2CF9AE}" pid="16" name="RecordPoint_WorkflowType">
    <vt:lpwstr/>
  </property>
  <property fmtid="{D5CDD505-2E9C-101B-9397-08002B2CF9AE}" pid="17" name="RecordPoint_ActiveItemListId">
    <vt:lpwstr/>
  </property>
  <property fmtid="{D5CDD505-2E9C-101B-9397-08002B2CF9AE}" pid="18" name="RecordPoint_ActiveItemUniqueId">
    <vt:lpwstr/>
  </property>
  <property fmtid="{D5CDD505-2E9C-101B-9397-08002B2CF9AE}" pid="19" name="RecordPoint_ActiveItemWebId">
    <vt:lpwstr/>
  </property>
  <property fmtid="{D5CDD505-2E9C-101B-9397-08002B2CF9AE}" pid="20" name="RecordPoint_ActiveItemSiteId">
    <vt:lpwstr/>
  </property>
  <property fmtid="{D5CDD505-2E9C-101B-9397-08002B2CF9AE}" pid="21" name="RecordPoint_RecordNumberSubmitted">
    <vt:lpwstr/>
  </property>
  <property fmtid="{D5CDD505-2E9C-101B-9397-08002B2CF9AE}" pid="22" name="RecordPoint_SubmissionDate">
    <vt:lpwstr/>
  </property>
  <property fmtid="{D5CDD505-2E9C-101B-9397-08002B2CF9AE}" pid="23" name="RecordPoint_RecordFormat">
    <vt:lpwstr/>
  </property>
  <property fmtid="{D5CDD505-2E9C-101B-9397-08002B2CF9AE}" pid="24" name="RecordPoint_ActiveItemMoved">
    <vt:lpwstr/>
  </property>
  <property fmtid="{D5CDD505-2E9C-101B-9397-08002B2CF9AE}" pid="25" name="RecordPoint_SubmissionCompleted">
    <vt:lpwstr/>
  </property>
</Properties>
</file>